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4C6A" w14:textId="77777777" w:rsidR="00000000" w:rsidRDefault="007125B5">
      <w:pPr>
        <w:pStyle w:val="a3"/>
        <w:pBdr>
          <w:top w:val="double" w:sz="6" w:space="1" w:color="auto"/>
        </w:pBdr>
        <w:spacing w:before="0" w:beforeAutospacing="0" w:after="0" w:afterAutospacing="0"/>
        <w:rPr>
          <w:sz w:val="20"/>
          <w:szCs w:val="20"/>
        </w:rPr>
      </w:pPr>
      <w:r>
        <w:rPr>
          <w:sz w:val="20"/>
          <w:szCs w:val="20"/>
        </w:rPr>
        <w:t> </w:t>
      </w:r>
    </w:p>
    <w:p w14:paraId="1E9B5474" w14:textId="77777777" w:rsidR="00000000" w:rsidRDefault="007125B5">
      <w:pPr>
        <w:pStyle w:val="a3"/>
        <w:spacing w:before="0" w:beforeAutospacing="0" w:after="0" w:afterAutospacing="0"/>
        <w:jc w:val="center"/>
        <w:rPr>
          <w:b/>
          <w:bCs/>
          <w:sz w:val="36"/>
          <w:szCs w:val="36"/>
        </w:rPr>
      </w:pPr>
      <w:r>
        <w:rPr>
          <w:b/>
          <w:bCs/>
          <w:sz w:val="36"/>
          <w:szCs w:val="36"/>
        </w:rPr>
        <w:t>UNITED STATES</w:t>
      </w:r>
    </w:p>
    <w:p w14:paraId="4803A6BB" w14:textId="77777777" w:rsidR="00000000" w:rsidRDefault="007125B5">
      <w:pPr>
        <w:pStyle w:val="a3"/>
        <w:spacing w:before="0" w:beforeAutospacing="0" w:after="0" w:afterAutospacing="0"/>
        <w:jc w:val="center"/>
        <w:rPr>
          <w:b/>
          <w:bCs/>
          <w:sz w:val="36"/>
          <w:szCs w:val="36"/>
        </w:rPr>
      </w:pPr>
      <w:r>
        <w:rPr>
          <w:b/>
          <w:bCs/>
          <w:sz w:val="36"/>
          <w:szCs w:val="36"/>
        </w:rPr>
        <w:t>SECURITIES AND EXCHANGE COMMISSION</w:t>
      </w:r>
    </w:p>
    <w:p w14:paraId="4F201D70" w14:textId="77777777" w:rsidR="00000000" w:rsidRDefault="007125B5">
      <w:pPr>
        <w:pStyle w:val="a3"/>
        <w:spacing w:before="0" w:beforeAutospacing="0" w:after="0" w:afterAutospacing="0"/>
        <w:jc w:val="center"/>
        <w:rPr>
          <w:b/>
          <w:bCs/>
        </w:rPr>
      </w:pPr>
      <w:r>
        <w:rPr>
          <w:b/>
          <w:bCs/>
        </w:rPr>
        <w:t>WASHINGTON, DC 20549</w:t>
      </w:r>
    </w:p>
    <w:p w14:paraId="1E1632CC" w14:textId="77777777" w:rsidR="00000000" w:rsidRDefault="007125B5">
      <w:pPr>
        <w:pStyle w:val="a3"/>
        <w:pBdr>
          <w:bottom w:val="single" w:sz="6" w:space="1" w:color="auto"/>
        </w:pBdr>
        <w:spacing w:before="60" w:beforeAutospacing="0" w:after="120" w:afterAutospacing="0"/>
        <w:ind w:left="4762" w:right="4762"/>
        <w:jc w:val="center"/>
        <w:rPr>
          <w:sz w:val="6"/>
          <w:szCs w:val="6"/>
        </w:rPr>
      </w:pPr>
      <w:r>
        <w:rPr>
          <w:sz w:val="6"/>
          <w:szCs w:val="6"/>
        </w:rPr>
        <w:t> </w:t>
      </w:r>
    </w:p>
    <w:p w14:paraId="54A77F2B" w14:textId="77777777" w:rsidR="00000000" w:rsidRDefault="007125B5">
      <w:pPr>
        <w:pStyle w:val="a3"/>
        <w:spacing w:before="120" w:beforeAutospacing="0" w:after="0" w:afterAutospacing="0"/>
        <w:jc w:val="center"/>
        <w:rPr>
          <w:b/>
          <w:bCs/>
          <w:sz w:val="36"/>
          <w:szCs w:val="36"/>
        </w:rPr>
      </w:pPr>
      <w:r>
        <w:rPr>
          <w:b/>
          <w:bCs/>
          <w:sz w:val="36"/>
          <w:szCs w:val="36"/>
        </w:rPr>
        <w:t>FORM 10-Q</w:t>
      </w:r>
    </w:p>
    <w:p w14:paraId="38C68444" w14:textId="77777777" w:rsidR="00000000" w:rsidRDefault="007125B5">
      <w:pPr>
        <w:pStyle w:val="a3"/>
        <w:pBdr>
          <w:bottom w:val="single" w:sz="6" w:space="1" w:color="auto"/>
        </w:pBdr>
        <w:spacing w:before="60" w:beforeAutospacing="0" w:after="120" w:afterAutospacing="0"/>
        <w:ind w:left="4762" w:right="4762"/>
        <w:jc w:val="center"/>
        <w:rPr>
          <w:sz w:val="6"/>
          <w:szCs w:val="6"/>
        </w:rPr>
      </w:pPr>
      <w:r>
        <w:rPr>
          <w:sz w:val="6"/>
          <w:szCs w:val="6"/>
        </w:rPr>
        <w:t> </w:t>
      </w:r>
    </w:p>
    <w:p w14:paraId="32CCF0E8" w14:textId="77777777" w:rsidR="00000000" w:rsidRDefault="007125B5">
      <w:pPr>
        <w:pStyle w:val="a3"/>
        <w:spacing w:before="80" w:beforeAutospacing="0" w:after="0" w:afterAutospacing="0"/>
        <w:rPr>
          <w:b/>
          <w:bCs/>
          <w:sz w:val="16"/>
          <w:szCs w:val="16"/>
        </w:rPr>
      </w:pPr>
      <w:r>
        <w:rPr>
          <w:b/>
          <w:bCs/>
          <w:sz w:val="16"/>
          <w:szCs w:val="16"/>
        </w:rPr>
        <w:t>(Mark One)</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14:paraId="735AC77C" w14:textId="77777777">
        <w:trPr>
          <w:divId w:val="1054812811"/>
          <w:jc w:val="center"/>
        </w:trPr>
        <w:tc>
          <w:tcPr>
            <w:tcW w:w="200" w:type="pct"/>
            <w:hideMark/>
          </w:tcPr>
          <w:p w14:paraId="7B42C3B4" w14:textId="77777777" w:rsidR="00000000" w:rsidRDefault="007125B5">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4800" w:type="pct"/>
            <w:hideMark/>
          </w:tcPr>
          <w:p w14:paraId="4B5ABEE9" w14:textId="77777777" w:rsidR="00000000" w:rsidRDefault="007125B5">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14:paraId="7CA3CDE3" w14:textId="77777777" w:rsidR="00000000" w:rsidRDefault="007125B5">
      <w:pPr>
        <w:pStyle w:val="a3"/>
        <w:spacing w:before="120" w:beforeAutospacing="0" w:after="0" w:afterAutospacing="0"/>
        <w:jc w:val="center"/>
        <w:rPr>
          <w:b/>
          <w:bCs/>
          <w:sz w:val="20"/>
          <w:szCs w:val="20"/>
        </w:rPr>
      </w:pPr>
      <w:r>
        <w:rPr>
          <w:b/>
          <w:bCs/>
          <w:sz w:val="20"/>
          <w:szCs w:val="20"/>
        </w:rPr>
        <w:t>For the quarterly period ended June 30, 2020</w:t>
      </w:r>
    </w:p>
    <w:p w14:paraId="331E88C2" w14:textId="77777777" w:rsidR="00000000" w:rsidRDefault="007125B5">
      <w:pPr>
        <w:pStyle w:val="a3"/>
        <w:spacing w:before="120" w:beforeAutospacing="0" w:after="0" w:afterAutospacing="0"/>
        <w:jc w:val="center"/>
        <w:rPr>
          <w:b/>
          <w:bCs/>
          <w:sz w:val="20"/>
          <w:szCs w:val="20"/>
        </w:rPr>
      </w:pPr>
      <w:r>
        <w:rPr>
          <w:b/>
          <w:bCs/>
          <w:sz w:val="20"/>
          <w:szCs w:val="20"/>
        </w:rPr>
        <w:t>OR</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14:paraId="16490FD8" w14:textId="77777777">
        <w:trPr>
          <w:divId w:val="1668509435"/>
          <w:jc w:val="center"/>
        </w:trPr>
        <w:tc>
          <w:tcPr>
            <w:tcW w:w="200" w:type="pct"/>
            <w:hideMark/>
          </w:tcPr>
          <w:p w14:paraId="357147BB" w14:textId="77777777" w:rsidR="00000000" w:rsidRDefault="007125B5">
            <w:pPr>
              <w:pStyle w:val="a3"/>
              <w:spacing w:before="120" w:beforeAutospacing="0" w:after="0" w:afterAutospacing="0"/>
              <w:rPr>
                <w:rFonts w:ascii="Segoe UI Symbol" w:hAnsi="Segoe UI Symbol"/>
                <w:b/>
                <w:bCs/>
                <w:sz w:val="20"/>
                <w:szCs w:val="20"/>
              </w:rPr>
            </w:pPr>
            <w:r>
              <w:rPr>
                <w:rFonts w:ascii="Segoe UI Symbol" w:hAnsi="Segoe UI Symbol"/>
                <w:b/>
                <w:bCs/>
                <w:sz w:val="20"/>
                <w:szCs w:val="20"/>
              </w:rPr>
              <w:t>☐</w:t>
            </w:r>
          </w:p>
        </w:tc>
        <w:tc>
          <w:tcPr>
            <w:tcW w:w="4800" w:type="pct"/>
            <w:vAlign w:val="bottom"/>
            <w:hideMark/>
          </w:tcPr>
          <w:p w14:paraId="55D98ED3" w14:textId="77777777" w:rsidR="00000000" w:rsidRDefault="007125B5">
            <w:pPr>
              <w:pStyle w:val="a3"/>
              <w:spacing w:before="120" w:beforeAutospacing="0" w:after="0" w:afterAutospacing="0"/>
              <w:rPr>
                <w:b/>
                <w:bCs/>
                <w:sz w:val="20"/>
                <w:szCs w:val="20"/>
              </w:rPr>
            </w:pPr>
            <w:r>
              <w:rPr>
                <w:b/>
                <w:bCs/>
                <w:sz w:val="20"/>
                <w:szCs w:val="20"/>
              </w:rPr>
              <w:t>TRANSITION REPORT PURSUANT TO SECTION 13 OR 15(d) OF THE SECURITIES EXCHANGE ACT OF 1934</w:t>
            </w:r>
          </w:p>
        </w:tc>
      </w:tr>
    </w:tbl>
    <w:p w14:paraId="0BF1871F" w14:textId="77777777" w:rsidR="00000000" w:rsidRDefault="007125B5">
      <w:pPr>
        <w:pStyle w:val="a3"/>
        <w:spacing w:before="120" w:beforeAutospacing="0" w:after="0" w:afterAutospacing="0"/>
        <w:jc w:val="center"/>
        <w:rPr>
          <w:b/>
          <w:bCs/>
          <w:sz w:val="20"/>
          <w:szCs w:val="20"/>
        </w:rPr>
      </w:pPr>
      <w:r>
        <w:rPr>
          <w:b/>
          <w:bCs/>
          <w:sz w:val="20"/>
          <w:szCs w:val="20"/>
        </w:rPr>
        <w:t xml:space="preserve">For the transition period from          to          </w:t>
      </w:r>
    </w:p>
    <w:p w14:paraId="4BD965D6" w14:textId="77777777" w:rsidR="00000000" w:rsidRDefault="007125B5">
      <w:pPr>
        <w:pStyle w:val="a3"/>
        <w:spacing w:before="120" w:beforeAutospacing="0" w:after="0" w:afterAutospacing="0"/>
        <w:jc w:val="center"/>
        <w:rPr>
          <w:b/>
          <w:bCs/>
          <w:sz w:val="20"/>
          <w:szCs w:val="20"/>
        </w:rPr>
      </w:pPr>
      <w:r>
        <w:rPr>
          <w:b/>
          <w:bCs/>
          <w:sz w:val="20"/>
          <w:szCs w:val="20"/>
        </w:rPr>
        <w:t>Commission File Number: 001-39394</w:t>
      </w:r>
    </w:p>
    <w:p w14:paraId="6E2497B5" w14:textId="77777777" w:rsidR="00000000" w:rsidRDefault="007125B5">
      <w:pPr>
        <w:pStyle w:val="a3"/>
        <w:pBdr>
          <w:bottom w:val="single" w:sz="6" w:space="1" w:color="auto"/>
        </w:pBdr>
        <w:spacing w:before="60" w:beforeAutospacing="0" w:after="120" w:afterAutospacing="0"/>
        <w:ind w:left="4762" w:right="4762"/>
        <w:jc w:val="center"/>
        <w:rPr>
          <w:sz w:val="6"/>
          <w:szCs w:val="6"/>
        </w:rPr>
      </w:pPr>
      <w:r>
        <w:rPr>
          <w:sz w:val="6"/>
          <w:szCs w:val="6"/>
        </w:rPr>
        <w:t> </w:t>
      </w:r>
    </w:p>
    <w:p w14:paraId="0CDCFA36" w14:textId="77777777" w:rsidR="00000000" w:rsidRDefault="007125B5">
      <w:pPr>
        <w:pStyle w:val="a3"/>
        <w:spacing w:before="0" w:beforeAutospacing="0" w:after="0" w:afterAutospacing="0"/>
        <w:jc w:val="center"/>
        <w:rPr>
          <w:b/>
          <w:bCs/>
          <w:sz w:val="48"/>
          <w:szCs w:val="48"/>
        </w:rPr>
      </w:pPr>
      <w:r>
        <w:rPr>
          <w:b/>
          <w:bCs/>
          <w:sz w:val="48"/>
          <w:szCs w:val="48"/>
        </w:rPr>
        <w:t>Montrose Environmental Group, Inc.</w:t>
      </w:r>
    </w:p>
    <w:p w14:paraId="14779C0C" w14:textId="77777777" w:rsidR="00000000" w:rsidRDefault="007125B5">
      <w:pPr>
        <w:pStyle w:val="a3"/>
        <w:spacing w:before="0" w:beforeAutospacing="0" w:after="0" w:afterAutospacing="0"/>
        <w:jc w:val="center"/>
        <w:rPr>
          <w:b/>
          <w:bCs/>
          <w:sz w:val="20"/>
          <w:szCs w:val="20"/>
        </w:rPr>
      </w:pPr>
      <w:r>
        <w:rPr>
          <w:b/>
          <w:bCs/>
          <w:sz w:val="20"/>
          <w:szCs w:val="20"/>
        </w:rPr>
        <w:t xml:space="preserve">(Exact Name of Registrant as Specified in </w:t>
      </w:r>
      <w:r>
        <w:rPr>
          <w:b/>
          <w:bCs/>
          <w:sz w:val="20"/>
          <w:szCs w:val="20"/>
        </w:rPr>
        <w:t>its Charter)</w:t>
      </w:r>
    </w:p>
    <w:p w14:paraId="4BAA3533" w14:textId="77777777" w:rsidR="00000000" w:rsidRDefault="007125B5">
      <w:pPr>
        <w:pStyle w:val="a3"/>
        <w:pBdr>
          <w:bottom w:val="single" w:sz="6" w:space="1" w:color="auto"/>
        </w:pBdr>
        <w:spacing w:before="60" w:beforeAutospacing="0" w:after="0" w:afterAutospacing="0"/>
        <w:ind w:left="4762" w:right="4762"/>
        <w:jc w:val="center"/>
        <w:rPr>
          <w:sz w:val="6"/>
          <w:szCs w:val="6"/>
        </w:rPr>
      </w:pPr>
      <w:r>
        <w:rPr>
          <w:sz w:val="6"/>
          <w:szCs w:val="6"/>
        </w:rPr>
        <w:t> </w:t>
      </w:r>
    </w:p>
    <w:p w14:paraId="5BC7D23F" w14:textId="77777777" w:rsidR="00000000" w:rsidRDefault="007125B5">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14:paraId="102E5B89" w14:textId="77777777">
        <w:trPr>
          <w:divId w:val="1882130379"/>
          <w:jc w:val="center"/>
        </w:trPr>
        <w:tc>
          <w:tcPr>
            <w:tcW w:w="2500" w:type="pct"/>
            <w:vAlign w:val="bottom"/>
            <w:hideMark/>
          </w:tcPr>
          <w:p w14:paraId="1BD9AA3C" w14:textId="77777777" w:rsidR="00000000" w:rsidRDefault="007125B5">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14:paraId="08647021" w14:textId="77777777" w:rsidR="00000000" w:rsidRDefault="007125B5">
            <w:pPr>
              <w:pStyle w:val="a3"/>
              <w:spacing w:before="0" w:beforeAutospacing="0" w:after="0" w:afterAutospacing="0"/>
              <w:jc w:val="center"/>
              <w:rPr>
                <w:b/>
                <w:bCs/>
                <w:sz w:val="20"/>
                <w:szCs w:val="20"/>
              </w:rPr>
            </w:pPr>
            <w:r>
              <w:rPr>
                <w:b/>
                <w:bCs/>
                <w:sz w:val="20"/>
                <w:szCs w:val="20"/>
              </w:rPr>
              <w:t>46-4195044</w:t>
            </w:r>
          </w:p>
        </w:tc>
      </w:tr>
      <w:tr w:rsidR="00000000" w14:paraId="25CF1ABE" w14:textId="77777777">
        <w:trPr>
          <w:divId w:val="1882130379"/>
          <w:jc w:val="center"/>
        </w:trPr>
        <w:tc>
          <w:tcPr>
            <w:tcW w:w="2500" w:type="pct"/>
            <w:vAlign w:val="bottom"/>
            <w:hideMark/>
          </w:tcPr>
          <w:p w14:paraId="5D7A5D6D" w14:textId="77777777" w:rsidR="00000000" w:rsidRDefault="007125B5">
            <w:pPr>
              <w:pStyle w:val="a3"/>
              <w:spacing w:before="0" w:beforeAutospacing="0" w:after="0" w:afterAutospacing="0"/>
              <w:jc w:val="center"/>
              <w:rPr>
                <w:b/>
                <w:bCs/>
                <w:sz w:val="14"/>
                <w:szCs w:val="14"/>
              </w:rPr>
            </w:pPr>
            <w:r>
              <w:rPr>
                <w:b/>
                <w:bCs/>
                <w:sz w:val="14"/>
                <w:szCs w:val="14"/>
              </w:rPr>
              <w:t>( State or other jurisdiction of</w:t>
            </w:r>
          </w:p>
          <w:p w14:paraId="3A5F0374" w14:textId="77777777" w:rsidR="00000000" w:rsidRDefault="007125B5">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14:paraId="6A143F59" w14:textId="77777777" w:rsidR="00000000" w:rsidRDefault="007125B5">
            <w:pPr>
              <w:pStyle w:val="a3"/>
              <w:spacing w:before="0" w:beforeAutospacing="0" w:after="0" w:afterAutospacing="0"/>
              <w:jc w:val="center"/>
              <w:rPr>
                <w:b/>
                <w:bCs/>
                <w:sz w:val="14"/>
                <w:szCs w:val="14"/>
              </w:rPr>
            </w:pPr>
            <w:r>
              <w:rPr>
                <w:b/>
                <w:bCs/>
                <w:sz w:val="14"/>
                <w:szCs w:val="14"/>
              </w:rPr>
              <w:t>(I.R.S. Employer</w:t>
            </w:r>
            <w:r>
              <w:rPr>
                <w:b/>
                <w:bCs/>
                <w:sz w:val="14"/>
                <w:szCs w:val="14"/>
              </w:rPr>
              <w:br/>
              <w:t>Identification No.)</w:t>
            </w:r>
          </w:p>
        </w:tc>
      </w:tr>
      <w:tr w:rsidR="00000000" w14:paraId="080EA1E4" w14:textId="77777777">
        <w:trPr>
          <w:divId w:val="1882130379"/>
          <w:jc w:val="center"/>
        </w:trPr>
        <w:tc>
          <w:tcPr>
            <w:tcW w:w="2500" w:type="pct"/>
            <w:vAlign w:val="bottom"/>
            <w:hideMark/>
          </w:tcPr>
          <w:p w14:paraId="1541A399" w14:textId="77777777" w:rsidR="00000000" w:rsidRDefault="007125B5">
            <w:pPr>
              <w:pStyle w:val="a3"/>
              <w:spacing w:before="0" w:beforeAutospacing="0" w:after="0" w:afterAutospacing="0"/>
              <w:jc w:val="center"/>
              <w:rPr>
                <w:b/>
                <w:bCs/>
                <w:sz w:val="20"/>
                <w:szCs w:val="20"/>
              </w:rPr>
            </w:pPr>
            <w:r>
              <w:rPr>
                <w:b/>
                <w:bCs/>
                <w:sz w:val="20"/>
                <w:szCs w:val="20"/>
              </w:rPr>
              <w:t>1 Park Plaza, Suite 1000</w:t>
            </w:r>
          </w:p>
          <w:p w14:paraId="122DDD61" w14:textId="77777777" w:rsidR="00000000" w:rsidRDefault="007125B5">
            <w:pPr>
              <w:pStyle w:val="a3"/>
              <w:spacing w:before="0" w:beforeAutospacing="0" w:after="0" w:afterAutospacing="0"/>
              <w:jc w:val="center"/>
              <w:rPr>
                <w:b/>
                <w:bCs/>
                <w:sz w:val="20"/>
                <w:szCs w:val="20"/>
              </w:rPr>
            </w:pPr>
            <w:r>
              <w:rPr>
                <w:b/>
                <w:bCs/>
                <w:sz w:val="20"/>
                <w:szCs w:val="20"/>
              </w:rPr>
              <w:t>Irvine, California</w:t>
            </w:r>
          </w:p>
        </w:tc>
        <w:tc>
          <w:tcPr>
            <w:tcW w:w="2500" w:type="pct"/>
            <w:vAlign w:val="bottom"/>
            <w:hideMark/>
          </w:tcPr>
          <w:p w14:paraId="04929FF1" w14:textId="77777777" w:rsidR="00000000" w:rsidRDefault="007125B5">
            <w:pPr>
              <w:pStyle w:val="a3"/>
              <w:spacing w:before="0" w:beforeAutospacing="0" w:after="0" w:afterAutospacing="0"/>
              <w:jc w:val="center"/>
              <w:rPr>
                <w:b/>
                <w:bCs/>
                <w:sz w:val="20"/>
                <w:szCs w:val="20"/>
              </w:rPr>
            </w:pPr>
            <w:r>
              <w:rPr>
                <w:b/>
                <w:bCs/>
                <w:sz w:val="20"/>
                <w:szCs w:val="20"/>
              </w:rPr>
              <w:t>92614</w:t>
            </w:r>
          </w:p>
        </w:tc>
      </w:tr>
      <w:tr w:rsidR="00000000" w14:paraId="1A068D40" w14:textId="77777777">
        <w:trPr>
          <w:divId w:val="1882130379"/>
          <w:jc w:val="center"/>
        </w:trPr>
        <w:tc>
          <w:tcPr>
            <w:tcW w:w="2500" w:type="pct"/>
            <w:vAlign w:val="bottom"/>
            <w:hideMark/>
          </w:tcPr>
          <w:p w14:paraId="34656A4A" w14:textId="77777777" w:rsidR="00000000" w:rsidRDefault="007125B5">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14:paraId="31AB7725" w14:textId="77777777" w:rsidR="00000000" w:rsidRDefault="007125B5">
            <w:pPr>
              <w:pStyle w:val="a3"/>
              <w:spacing w:before="0" w:beforeAutospacing="0" w:after="0" w:afterAutospacing="0"/>
              <w:jc w:val="center"/>
              <w:rPr>
                <w:b/>
                <w:bCs/>
                <w:sz w:val="14"/>
                <w:szCs w:val="14"/>
              </w:rPr>
            </w:pPr>
            <w:r>
              <w:rPr>
                <w:b/>
                <w:bCs/>
                <w:sz w:val="14"/>
                <w:szCs w:val="14"/>
              </w:rPr>
              <w:t>(Zip Code)</w:t>
            </w:r>
          </w:p>
        </w:tc>
      </w:tr>
    </w:tbl>
    <w:p w14:paraId="08659CAE" w14:textId="77777777" w:rsidR="00000000" w:rsidRDefault="007125B5">
      <w:pPr>
        <w:pStyle w:val="a3"/>
        <w:spacing w:before="0" w:beforeAutospacing="0" w:after="0" w:afterAutospacing="0"/>
        <w:jc w:val="center"/>
        <w:rPr>
          <w:b/>
          <w:bCs/>
          <w:sz w:val="20"/>
          <w:szCs w:val="20"/>
        </w:rPr>
      </w:pPr>
      <w:r>
        <w:rPr>
          <w:b/>
          <w:bCs/>
          <w:sz w:val="20"/>
          <w:szCs w:val="20"/>
        </w:rPr>
        <w:t>Registrant’s telephone number, including area code: (949) 988-3500</w:t>
      </w:r>
    </w:p>
    <w:p w14:paraId="3D387D2D" w14:textId="77777777" w:rsidR="00000000" w:rsidRDefault="007125B5">
      <w:pPr>
        <w:pStyle w:val="a3"/>
        <w:pBdr>
          <w:bottom w:val="single" w:sz="6" w:space="1" w:color="auto"/>
        </w:pBdr>
        <w:spacing w:before="60" w:beforeAutospacing="0" w:after="0" w:afterAutospacing="0"/>
        <w:ind w:left="4762" w:right="4762"/>
        <w:jc w:val="center"/>
        <w:rPr>
          <w:sz w:val="6"/>
          <w:szCs w:val="6"/>
        </w:rPr>
      </w:pPr>
      <w:r>
        <w:rPr>
          <w:sz w:val="6"/>
          <w:szCs w:val="6"/>
        </w:rPr>
        <w:t> </w:t>
      </w:r>
    </w:p>
    <w:p w14:paraId="3B270981" w14:textId="77777777" w:rsidR="00000000" w:rsidRDefault="007125B5">
      <w:pPr>
        <w:pStyle w:val="a3"/>
        <w:spacing w:before="80" w:beforeAutospacing="0" w:after="0" w:afterAutospacing="0"/>
        <w:ind w:firstLine="652"/>
        <w:rPr>
          <w:sz w:val="18"/>
          <w:szCs w:val="18"/>
        </w:rPr>
      </w:pPr>
      <w:r>
        <w:rPr>
          <w:sz w:val="18"/>
          <w:szCs w:val="18"/>
        </w:rPr>
        <w:t xml:space="preserve">Securities registered pursuant to Section 12(b) of the Act: </w:t>
      </w:r>
    </w:p>
    <w:p w14:paraId="63A471C1" w14:textId="77777777" w:rsidR="00000000" w:rsidRDefault="007125B5">
      <w:pPr>
        <w:pStyle w:val="a3"/>
        <w:spacing w:before="0" w:beforeAutospacing="0" w:after="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14:paraId="548AA72B" w14:textId="77777777">
        <w:tc>
          <w:tcPr>
            <w:tcW w:w="1900" w:type="pct"/>
            <w:tcBorders>
              <w:bottom w:val="single" w:sz="6" w:space="0" w:color="000000"/>
            </w:tcBorders>
            <w:vAlign w:val="bottom"/>
            <w:hideMark/>
          </w:tcPr>
          <w:p w14:paraId="36ACD56D" w14:textId="77777777" w:rsidR="00000000" w:rsidRDefault="007125B5">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14:paraId="1F84880C" w14:textId="77777777" w:rsidR="00000000" w:rsidRDefault="007125B5">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14:paraId="3A63F8D8" w14:textId="77777777" w:rsidR="00000000" w:rsidRDefault="007125B5">
            <w:pPr>
              <w:pStyle w:val="a3"/>
              <w:spacing w:before="0" w:beforeAutospacing="0" w:after="0" w:afterAutospacing="0"/>
              <w:jc w:val="center"/>
              <w:rPr>
                <w:b/>
                <w:bCs/>
                <w:sz w:val="16"/>
                <w:szCs w:val="16"/>
              </w:rPr>
            </w:pPr>
            <w:r>
              <w:rPr>
                <w:b/>
                <w:bCs/>
                <w:sz w:val="16"/>
                <w:szCs w:val="16"/>
              </w:rPr>
              <w:t>Trading</w:t>
            </w:r>
          </w:p>
          <w:p w14:paraId="284E510F" w14:textId="77777777" w:rsidR="00000000" w:rsidRDefault="007125B5">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14:paraId="5F887714" w14:textId="77777777" w:rsidR="00000000" w:rsidRDefault="007125B5">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14:paraId="114D10D0" w14:textId="77777777" w:rsidR="00000000" w:rsidRDefault="007125B5">
            <w:pPr>
              <w:pStyle w:val="a3"/>
              <w:spacing w:before="0" w:beforeAutospacing="0" w:after="0" w:afterAutospacing="0"/>
              <w:jc w:val="center"/>
              <w:rPr>
                <w:b/>
                <w:bCs/>
                <w:sz w:val="16"/>
                <w:szCs w:val="16"/>
              </w:rPr>
            </w:pPr>
            <w:r>
              <w:rPr>
                <w:b/>
                <w:bCs/>
                <w:sz w:val="16"/>
                <w:szCs w:val="16"/>
              </w:rPr>
              <w:t>Name of each exchange on which registered</w:t>
            </w:r>
          </w:p>
        </w:tc>
      </w:tr>
      <w:tr w:rsidR="00000000" w14:paraId="08457002" w14:textId="77777777">
        <w:trPr>
          <w:trHeight w:val="260"/>
        </w:trPr>
        <w:tc>
          <w:tcPr>
            <w:tcW w:w="1900" w:type="pct"/>
            <w:tcBorders>
              <w:top w:val="single" w:sz="6" w:space="0" w:color="000000"/>
            </w:tcBorders>
            <w:hideMark/>
          </w:tcPr>
          <w:p w14:paraId="663C11E2" w14:textId="77777777" w:rsidR="00000000" w:rsidRDefault="007125B5">
            <w:pPr>
              <w:pStyle w:val="a3"/>
              <w:spacing w:before="0" w:beforeAutospacing="0" w:after="0" w:afterAutospacing="0"/>
              <w:jc w:val="center"/>
              <w:rPr>
                <w:sz w:val="18"/>
                <w:szCs w:val="18"/>
              </w:rPr>
            </w:pPr>
            <w:r>
              <w:rPr>
                <w:sz w:val="18"/>
                <w:szCs w:val="18"/>
              </w:rPr>
              <w:t>Common Stock, par value $0.000004 per share</w:t>
            </w:r>
          </w:p>
        </w:tc>
        <w:tc>
          <w:tcPr>
            <w:tcW w:w="50" w:type="pct"/>
            <w:vAlign w:val="bottom"/>
            <w:hideMark/>
          </w:tcPr>
          <w:p w14:paraId="2986EF35" w14:textId="77777777" w:rsidR="00000000" w:rsidRDefault="007125B5">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14:paraId="38939181" w14:textId="77777777" w:rsidR="00000000" w:rsidRDefault="007125B5">
            <w:pPr>
              <w:pStyle w:val="a3"/>
              <w:spacing w:before="0" w:beforeAutospacing="0" w:after="0" w:afterAutospacing="0"/>
              <w:jc w:val="center"/>
              <w:rPr>
                <w:sz w:val="18"/>
                <w:szCs w:val="18"/>
              </w:rPr>
            </w:pPr>
            <w:r>
              <w:rPr>
                <w:sz w:val="18"/>
                <w:szCs w:val="18"/>
              </w:rPr>
              <w:t>MEG</w:t>
            </w:r>
          </w:p>
        </w:tc>
        <w:tc>
          <w:tcPr>
            <w:tcW w:w="50" w:type="pct"/>
            <w:vAlign w:val="bottom"/>
            <w:hideMark/>
          </w:tcPr>
          <w:p w14:paraId="1041E61F" w14:textId="77777777" w:rsidR="00000000" w:rsidRDefault="007125B5">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14:paraId="4B25E816" w14:textId="77777777" w:rsidR="00000000" w:rsidRDefault="007125B5">
            <w:pPr>
              <w:pStyle w:val="a3"/>
              <w:spacing w:before="0" w:beforeAutospacing="0" w:after="0" w:afterAutospacing="0"/>
              <w:jc w:val="center"/>
              <w:rPr>
                <w:sz w:val="18"/>
                <w:szCs w:val="18"/>
              </w:rPr>
            </w:pPr>
            <w:r>
              <w:rPr>
                <w:sz w:val="18"/>
                <w:szCs w:val="18"/>
              </w:rPr>
              <w:t>The New York Stock Exchange</w:t>
            </w:r>
          </w:p>
        </w:tc>
      </w:tr>
    </w:tbl>
    <w:p w14:paraId="6AE6B24C" w14:textId="77777777" w:rsidR="00000000" w:rsidRDefault="007125B5">
      <w:pPr>
        <w:pStyle w:val="a3"/>
        <w:spacing w:before="120" w:beforeAutospacing="0" w:after="0" w:afterAutospacing="0"/>
        <w:ind w:firstLine="556"/>
        <w:rPr>
          <w:sz w:val="18"/>
          <w:szCs w:val="18"/>
        </w:rPr>
      </w:pPr>
      <w:r>
        <w:rPr>
          <w:sz w:val="18"/>
          <w:szCs w:val="18"/>
        </w:rPr>
        <w:t>Indicate by check mark whether the registrant (1) has filed all reports required to be filed by Section 13 or 15(d) of the Securitie</w:t>
      </w:r>
      <w:r>
        <w:rPr>
          <w:sz w:val="18"/>
          <w:szCs w:val="18"/>
        </w:rPr>
        <w:t>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14:paraId="2F5308F1" w14:textId="77777777" w:rsidR="00000000" w:rsidRDefault="007125B5">
      <w:pPr>
        <w:pStyle w:val="a3"/>
        <w:spacing w:before="80" w:beforeAutospacing="0" w:after="0" w:afterAutospacing="0"/>
        <w:ind w:firstLine="556"/>
        <w:rPr>
          <w:sz w:val="18"/>
          <w:szCs w:val="18"/>
        </w:rPr>
      </w:pPr>
      <w:r>
        <w:rPr>
          <w:sz w:val="18"/>
          <w:szCs w:val="18"/>
        </w:rPr>
        <w:t xml:space="preserve">Indicate by check mark </w:t>
      </w:r>
      <w:r>
        <w:rPr>
          <w:sz w:val="18"/>
          <w:szCs w:val="18"/>
        </w:rPr>
        <w:t>whether the registrant has submitted electronically every Interactive Data File required to be submitted pursuant to Rule 405 of Regulation S-T (§232.405 of this chapter) during the preceding 12 months (or for such shorter period that the registrant was re</w:t>
      </w:r>
      <w:r>
        <w:rPr>
          <w:sz w:val="18"/>
          <w:szCs w:val="18"/>
        </w:rPr>
        <w:t>quired to submit such files).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14:paraId="1F8ADECB" w14:textId="77777777" w:rsidR="00000000" w:rsidRDefault="007125B5">
      <w:pPr>
        <w:pStyle w:val="a3"/>
        <w:spacing w:before="80" w:beforeAutospacing="0" w:after="0" w:afterAutospacing="0"/>
        <w:ind w:firstLine="556"/>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accelerated filer,” “accelerated filer,” “sma</w:t>
      </w:r>
      <w:r>
        <w:rPr>
          <w:sz w:val="18"/>
          <w:szCs w:val="18"/>
        </w:rPr>
        <w:t>ller reporting company,” and “emerging growth company” in Rule 12b-2 of the Exchange Act.</w:t>
      </w:r>
    </w:p>
    <w:p w14:paraId="2D91D209" w14:textId="77777777" w:rsidR="00000000" w:rsidRDefault="007125B5">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14:paraId="52FE64B3" w14:textId="77777777">
        <w:trPr>
          <w:divId w:val="1808624867"/>
          <w:trHeight w:val="216"/>
          <w:jc w:val="center"/>
        </w:trPr>
        <w:tc>
          <w:tcPr>
            <w:tcW w:w="965" w:type="pct"/>
            <w:hideMark/>
          </w:tcPr>
          <w:p w14:paraId="4E337743" w14:textId="77777777" w:rsidR="00000000" w:rsidRDefault="007125B5">
            <w:pPr>
              <w:pStyle w:val="a3"/>
              <w:spacing w:before="0" w:beforeAutospacing="0" w:after="0" w:afterAutospacing="0"/>
              <w:rPr>
                <w:sz w:val="18"/>
                <w:szCs w:val="18"/>
              </w:rPr>
            </w:pPr>
            <w:r>
              <w:rPr>
                <w:sz w:val="18"/>
                <w:szCs w:val="18"/>
              </w:rPr>
              <w:t>Large accelerated filer</w:t>
            </w:r>
          </w:p>
        </w:tc>
        <w:tc>
          <w:tcPr>
            <w:tcW w:w="30" w:type="pct"/>
            <w:hideMark/>
          </w:tcPr>
          <w:p w14:paraId="277336EF" w14:textId="77777777" w:rsidR="00000000" w:rsidRDefault="007125B5">
            <w:pPr>
              <w:pStyle w:val="a3"/>
              <w:spacing w:before="0" w:beforeAutospacing="0" w:after="0" w:afterAutospacing="0"/>
              <w:rPr>
                <w:sz w:val="18"/>
                <w:szCs w:val="18"/>
              </w:rPr>
            </w:pPr>
            <w:r>
              <w:rPr>
                <w:sz w:val="18"/>
                <w:szCs w:val="18"/>
              </w:rPr>
              <w:t> </w:t>
            </w:r>
          </w:p>
        </w:tc>
        <w:tc>
          <w:tcPr>
            <w:tcW w:w="2792" w:type="pct"/>
            <w:hideMark/>
          </w:tcPr>
          <w:p w14:paraId="0A0F3064" w14:textId="77777777" w:rsidR="00000000" w:rsidRDefault="007125B5">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03C01D56" w14:textId="77777777" w:rsidR="00000000" w:rsidRDefault="007125B5">
            <w:pPr>
              <w:pStyle w:val="a3"/>
              <w:spacing w:before="0" w:beforeAutospacing="0" w:after="0" w:afterAutospacing="0"/>
              <w:rPr>
                <w:sz w:val="18"/>
                <w:szCs w:val="18"/>
              </w:rPr>
            </w:pPr>
            <w:r>
              <w:rPr>
                <w:sz w:val="18"/>
                <w:szCs w:val="18"/>
              </w:rPr>
              <w:t>  </w:t>
            </w:r>
          </w:p>
        </w:tc>
        <w:tc>
          <w:tcPr>
            <w:tcW w:w="1024" w:type="pct"/>
            <w:hideMark/>
          </w:tcPr>
          <w:p w14:paraId="7C3217C6" w14:textId="77777777" w:rsidR="00000000" w:rsidRDefault="007125B5">
            <w:pPr>
              <w:pStyle w:val="a3"/>
              <w:spacing w:before="0" w:beforeAutospacing="0" w:after="0" w:afterAutospacing="0"/>
              <w:rPr>
                <w:sz w:val="18"/>
                <w:szCs w:val="18"/>
              </w:rPr>
            </w:pPr>
            <w:r>
              <w:rPr>
                <w:sz w:val="18"/>
                <w:szCs w:val="18"/>
              </w:rPr>
              <w:t>Accelerated filer</w:t>
            </w:r>
          </w:p>
        </w:tc>
        <w:tc>
          <w:tcPr>
            <w:tcW w:w="30" w:type="pct"/>
            <w:hideMark/>
          </w:tcPr>
          <w:p w14:paraId="28C6F53A" w14:textId="77777777" w:rsidR="00000000" w:rsidRDefault="007125B5">
            <w:pPr>
              <w:pStyle w:val="a3"/>
              <w:spacing w:before="0" w:beforeAutospacing="0" w:after="0" w:afterAutospacing="0"/>
              <w:rPr>
                <w:sz w:val="18"/>
                <w:szCs w:val="18"/>
              </w:rPr>
            </w:pPr>
            <w:r>
              <w:rPr>
                <w:sz w:val="18"/>
                <w:szCs w:val="18"/>
              </w:rPr>
              <w:t> </w:t>
            </w:r>
          </w:p>
        </w:tc>
        <w:tc>
          <w:tcPr>
            <w:tcW w:w="106" w:type="pct"/>
            <w:hideMark/>
          </w:tcPr>
          <w:p w14:paraId="73BA73EE" w14:textId="77777777" w:rsidR="00000000" w:rsidRDefault="007125B5">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14:paraId="1A195F2F" w14:textId="77777777">
        <w:trPr>
          <w:divId w:val="1808624867"/>
          <w:trHeight w:val="75"/>
          <w:jc w:val="center"/>
        </w:trPr>
        <w:tc>
          <w:tcPr>
            <w:tcW w:w="965" w:type="pct"/>
            <w:hideMark/>
          </w:tcPr>
          <w:p w14:paraId="046A0EF5" w14:textId="77777777" w:rsidR="00000000" w:rsidRDefault="007125B5">
            <w:pPr>
              <w:pStyle w:val="a3"/>
              <w:spacing w:before="0" w:beforeAutospacing="0" w:after="0" w:afterAutospacing="0"/>
              <w:rPr>
                <w:sz w:val="4"/>
                <w:szCs w:val="4"/>
              </w:rPr>
            </w:pPr>
            <w:r>
              <w:rPr>
                <w:sz w:val="4"/>
                <w:szCs w:val="4"/>
              </w:rPr>
              <w:t> </w:t>
            </w:r>
          </w:p>
        </w:tc>
        <w:tc>
          <w:tcPr>
            <w:tcW w:w="2822" w:type="pct"/>
            <w:gridSpan w:val="2"/>
            <w:hideMark/>
          </w:tcPr>
          <w:p w14:paraId="73CC7E01" w14:textId="77777777" w:rsidR="00000000" w:rsidRDefault="007125B5">
            <w:pPr>
              <w:pStyle w:val="a3"/>
              <w:spacing w:before="0" w:beforeAutospacing="0" w:after="0" w:afterAutospacing="0"/>
              <w:rPr>
                <w:sz w:val="4"/>
                <w:szCs w:val="4"/>
              </w:rPr>
            </w:pPr>
            <w:r>
              <w:rPr>
                <w:sz w:val="4"/>
                <w:szCs w:val="4"/>
              </w:rPr>
              <w:t> </w:t>
            </w:r>
          </w:p>
        </w:tc>
        <w:tc>
          <w:tcPr>
            <w:tcW w:w="1078" w:type="pct"/>
            <w:gridSpan w:val="2"/>
            <w:hideMark/>
          </w:tcPr>
          <w:p w14:paraId="070AE4A1" w14:textId="77777777" w:rsidR="00000000" w:rsidRDefault="007125B5">
            <w:pPr>
              <w:pStyle w:val="a3"/>
              <w:spacing w:before="0" w:beforeAutospacing="0" w:after="0" w:afterAutospacing="0"/>
              <w:rPr>
                <w:sz w:val="4"/>
                <w:szCs w:val="4"/>
              </w:rPr>
            </w:pPr>
            <w:r>
              <w:rPr>
                <w:sz w:val="4"/>
                <w:szCs w:val="4"/>
              </w:rPr>
              <w:t> </w:t>
            </w:r>
          </w:p>
        </w:tc>
        <w:tc>
          <w:tcPr>
            <w:tcW w:w="136" w:type="pct"/>
            <w:gridSpan w:val="2"/>
            <w:hideMark/>
          </w:tcPr>
          <w:p w14:paraId="47F19622" w14:textId="77777777" w:rsidR="00000000" w:rsidRDefault="007125B5">
            <w:pPr>
              <w:pStyle w:val="a3"/>
              <w:spacing w:before="0" w:beforeAutospacing="0" w:after="0" w:afterAutospacing="0"/>
              <w:rPr>
                <w:sz w:val="4"/>
                <w:szCs w:val="4"/>
              </w:rPr>
            </w:pPr>
            <w:r>
              <w:rPr>
                <w:sz w:val="4"/>
                <w:szCs w:val="4"/>
              </w:rPr>
              <w:t> </w:t>
            </w:r>
          </w:p>
        </w:tc>
      </w:tr>
      <w:tr w:rsidR="00000000" w14:paraId="2CB6FAA7" w14:textId="77777777">
        <w:trPr>
          <w:divId w:val="1808624867"/>
          <w:jc w:val="center"/>
        </w:trPr>
        <w:tc>
          <w:tcPr>
            <w:tcW w:w="965" w:type="pct"/>
            <w:hideMark/>
          </w:tcPr>
          <w:p w14:paraId="5A6556D4" w14:textId="77777777" w:rsidR="00000000" w:rsidRDefault="007125B5">
            <w:pPr>
              <w:pStyle w:val="a3"/>
              <w:spacing w:before="0" w:beforeAutospacing="0" w:after="0" w:afterAutospacing="0"/>
              <w:rPr>
                <w:sz w:val="18"/>
                <w:szCs w:val="18"/>
              </w:rPr>
            </w:pPr>
            <w:r>
              <w:rPr>
                <w:sz w:val="18"/>
                <w:szCs w:val="18"/>
              </w:rPr>
              <w:t>Non-accelerated filer</w:t>
            </w:r>
          </w:p>
        </w:tc>
        <w:tc>
          <w:tcPr>
            <w:tcW w:w="30" w:type="pct"/>
            <w:hideMark/>
          </w:tcPr>
          <w:p w14:paraId="7CC0EB2A" w14:textId="77777777" w:rsidR="00000000" w:rsidRDefault="007125B5">
            <w:pPr>
              <w:pStyle w:val="a3"/>
              <w:spacing w:before="0" w:beforeAutospacing="0" w:after="0" w:afterAutospacing="0"/>
              <w:rPr>
                <w:sz w:val="18"/>
                <w:szCs w:val="18"/>
              </w:rPr>
            </w:pPr>
            <w:r>
              <w:rPr>
                <w:sz w:val="18"/>
                <w:szCs w:val="18"/>
              </w:rPr>
              <w:t> </w:t>
            </w:r>
          </w:p>
        </w:tc>
        <w:tc>
          <w:tcPr>
            <w:tcW w:w="2792" w:type="pct"/>
            <w:hideMark/>
          </w:tcPr>
          <w:p w14:paraId="100A9688" w14:textId="77777777" w:rsidR="00000000" w:rsidRDefault="007125B5">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013DA505" w14:textId="77777777" w:rsidR="00000000" w:rsidRDefault="007125B5">
            <w:pPr>
              <w:pStyle w:val="a3"/>
              <w:spacing w:before="0" w:beforeAutospacing="0" w:after="0" w:afterAutospacing="0"/>
              <w:rPr>
                <w:sz w:val="18"/>
                <w:szCs w:val="18"/>
              </w:rPr>
            </w:pPr>
            <w:r>
              <w:rPr>
                <w:sz w:val="18"/>
                <w:szCs w:val="18"/>
              </w:rPr>
              <w:t>  </w:t>
            </w:r>
          </w:p>
        </w:tc>
        <w:tc>
          <w:tcPr>
            <w:tcW w:w="1024" w:type="pct"/>
            <w:hideMark/>
          </w:tcPr>
          <w:p w14:paraId="34F05A7A" w14:textId="77777777" w:rsidR="00000000" w:rsidRDefault="007125B5">
            <w:pPr>
              <w:pStyle w:val="a3"/>
              <w:spacing w:before="0" w:beforeAutospacing="0" w:after="0" w:afterAutospacing="0"/>
              <w:rPr>
                <w:sz w:val="18"/>
                <w:szCs w:val="18"/>
              </w:rPr>
            </w:pPr>
            <w:r>
              <w:rPr>
                <w:sz w:val="18"/>
                <w:szCs w:val="18"/>
              </w:rPr>
              <w:t>Smaller reporting company</w:t>
            </w:r>
          </w:p>
        </w:tc>
        <w:tc>
          <w:tcPr>
            <w:tcW w:w="30" w:type="pct"/>
            <w:hideMark/>
          </w:tcPr>
          <w:p w14:paraId="03CBD3DD" w14:textId="77777777" w:rsidR="00000000" w:rsidRDefault="007125B5">
            <w:pPr>
              <w:pStyle w:val="a3"/>
              <w:spacing w:before="0" w:beforeAutospacing="0" w:after="0" w:afterAutospacing="0"/>
              <w:rPr>
                <w:sz w:val="18"/>
                <w:szCs w:val="18"/>
              </w:rPr>
            </w:pPr>
            <w:r>
              <w:rPr>
                <w:sz w:val="18"/>
                <w:szCs w:val="18"/>
              </w:rPr>
              <w:t> </w:t>
            </w:r>
          </w:p>
        </w:tc>
        <w:tc>
          <w:tcPr>
            <w:tcW w:w="106" w:type="pct"/>
            <w:hideMark/>
          </w:tcPr>
          <w:p w14:paraId="3D8B8696" w14:textId="77777777" w:rsidR="00000000" w:rsidRDefault="007125B5">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14:paraId="28E00E59" w14:textId="77777777">
        <w:trPr>
          <w:divId w:val="1808624867"/>
          <w:jc w:val="center"/>
        </w:trPr>
        <w:tc>
          <w:tcPr>
            <w:tcW w:w="965" w:type="pct"/>
            <w:hideMark/>
          </w:tcPr>
          <w:p w14:paraId="02BAA5D9" w14:textId="77777777" w:rsidR="00000000" w:rsidRDefault="007125B5">
            <w:pPr>
              <w:pStyle w:val="a3"/>
              <w:spacing w:before="0" w:beforeAutospacing="0" w:after="0" w:afterAutospacing="0"/>
              <w:rPr>
                <w:sz w:val="4"/>
                <w:szCs w:val="4"/>
              </w:rPr>
            </w:pPr>
            <w:r>
              <w:rPr>
                <w:sz w:val="4"/>
                <w:szCs w:val="4"/>
              </w:rPr>
              <w:t> </w:t>
            </w:r>
          </w:p>
        </w:tc>
        <w:tc>
          <w:tcPr>
            <w:tcW w:w="30" w:type="pct"/>
            <w:hideMark/>
          </w:tcPr>
          <w:p w14:paraId="4D792CC1" w14:textId="77777777" w:rsidR="00000000" w:rsidRDefault="007125B5">
            <w:pPr>
              <w:pStyle w:val="a3"/>
              <w:spacing w:before="0" w:beforeAutospacing="0" w:after="0" w:afterAutospacing="0"/>
              <w:rPr>
                <w:sz w:val="4"/>
                <w:szCs w:val="4"/>
              </w:rPr>
            </w:pPr>
            <w:r>
              <w:rPr>
                <w:sz w:val="4"/>
                <w:szCs w:val="4"/>
              </w:rPr>
              <w:t> </w:t>
            </w:r>
          </w:p>
        </w:tc>
        <w:tc>
          <w:tcPr>
            <w:tcW w:w="2792" w:type="pct"/>
            <w:hideMark/>
          </w:tcPr>
          <w:p w14:paraId="3CB6C76D" w14:textId="77777777" w:rsidR="00000000" w:rsidRDefault="007125B5">
            <w:pPr>
              <w:pStyle w:val="a3"/>
              <w:spacing w:before="0" w:beforeAutospacing="0" w:after="0" w:afterAutospacing="0"/>
              <w:rPr>
                <w:sz w:val="4"/>
                <w:szCs w:val="4"/>
              </w:rPr>
            </w:pPr>
            <w:r>
              <w:rPr>
                <w:sz w:val="4"/>
                <w:szCs w:val="4"/>
              </w:rPr>
              <w:t> </w:t>
            </w:r>
          </w:p>
        </w:tc>
        <w:tc>
          <w:tcPr>
            <w:tcW w:w="53" w:type="pct"/>
            <w:hideMark/>
          </w:tcPr>
          <w:p w14:paraId="4B0D6CE0" w14:textId="77777777" w:rsidR="00000000" w:rsidRDefault="007125B5">
            <w:pPr>
              <w:pStyle w:val="a3"/>
              <w:spacing w:before="0" w:beforeAutospacing="0" w:after="0" w:afterAutospacing="0"/>
              <w:rPr>
                <w:sz w:val="4"/>
                <w:szCs w:val="4"/>
              </w:rPr>
            </w:pPr>
            <w:r>
              <w:rPr>
                <w:sz w:val="4"/>
                <w:szCs w:val="4"/>
              </w:rPr>
              <w:t> </w:t>
            </w:r>
          </w:p>
        </w:tc>
        <w:tc>
          <w:tcPr>
            <w:tcW w:w="1024" w:type="pct"/>
            <w:hideMark/>
          </w:tcPr>
          <w:p w14:paraId="5D16A3C4" w14:textId="77777777" w:rsidR="00000000" w:rsidRDefault="007125B5">
            <w:pPr>
              <w:pStyle w:val="a3"/>
              <w:spacing w:before="0" w:beforeAutospacing="0" w:after="0" w:afterAutospacing="0"/>
              <w:rPr>
                <w:sz w:val="4"/>
                <w:szCs w:val="4"/>
              </w:rPr>
            </w:pPr>
            <w:r>
              <w:rPr>
                <w:sz w:val="4"/>
                <w:szCs w:val="4"/>
              </w:rPr>
              <w:t> </w:t>
            </w:r>
          </w:p>
        </w:tc>
        <w:tc>
          <w:tcPr>
            <w:tcW w:w="30" w:type="pct"/>
            <w:hideMark/>
          </w:tcPr>
          <w:p w14:paraId="4895809A" w14:textId="77777777" w:rsidR="00000000" w:rsidRDefault="007125B5">
            <w:pPr>
              <w:pStyle w:val="a3"/>
              <w:spacing w:before="0" w:beforeAutospacing="0" w:after="0" w:afterAutospacing="0"/>
              <w:rPr>
                <w:sz w:val="4"/>
                <w:szCs w:val="4"/>
              </w:rPr>
            </w:pPr>
            <w:r>
              <w:rPr>
                <w:sz w:val="4"/>
                <w:szCs w:val="4"/>
              </w:rPr>
              <w:t> </w:t>
            </w:r>
          </w:p>
        </w:tc>
        <w:tc>
          <w:tcPr>
            <w:tcW w:w="106" w:type="pct"/>
            <w:hideMark/>
          </w:tcPr>
          <w:p w14:paraId="2A736B17" w14:textId="77777777" w:rsidR="00000000" w:rsidRDefault="007125B5">
            <w:pPr>
              <w:pStyle w:val="a3"/>
              <w:spacing w:before="0" w:beforeAutospacing="0" w:after="0" w:afterAutospacing="0"/>
              <w:rPr>
                <w:sz w:val="4"/>
                <w:szCs w:val="4"/>
              </w:rPr>
            </w:pPr>
            <w:r>
              <w:rPr>
                <w:sz w:val="4"/>
                <w:szCs w:val="4"/>
              </w:rPr>
              <w:t> </w:t>
            </w:r>
          </w:p>
        </w:tc>
      </w:tr>
      <w:tr w:rsidR="00000000" w14:paraId="36249252" w14:textId="77777777">
        <w:trPr>
          <w:divId w:val="1808624867"/>
          <w:jc w:val="center"/>
        </w:trPr>
        <w:tc>
          <w:tcPr>
            <w:tcW w:w="965" w:type="pct"/>
            <w:hideMark/>
          </w:tcPr>
          <w:p w14:paraId="369340A1" w14:textId="77777777" w:rsidR="00000000" w:rsidRDefault="007125B5">
            <w:pPr>
              <w:pStyle w:val="a3"/>
              <w:spacing w:before="0" w:beforeAutospacing="0" w:after="0" w:afterAutospacing="0"/>
              <w:rPr>
                <w:sz w:val="18"/>
                <w:szCs w:val="18"/>
              </w:rPr>
            </w:pPr>
            <w:r>
              <w:rPr>
                <w:sz w:val="18"/>
                <w:szCs w:val="18"/>
              </w:rPr>
              <w:t>Emerging growth company</w:t>
            </w:r>
          </w:p>
        </w:tc>
        <w:tc>
          <w:tcPr>
            <w:tcW w:w="30" w:type="pct"/>
            <w:hideMark/>
          </w:tcPr>
          <w:p w14:paraId="4A23213A" w14:textId="77777777" w:rsidR="00000000" w:rsidRDefault="007125B5">
            <w:pPr>
              <w:pStyle w:val="a3"/>
              <w:spacing w:before="0" w:beforeAutospacing="0" w:after="0" w:afterAutospacing="0"/>
              <w:rPr>
                <w:sz w:val="18"/>
                <w:szCs w:val="18"/>
              </w:rPr>
            </w:pPr>
            <w:r>
              <w:rPr>
                <w:sz w:val="18"/>
                <w:szCs w:val="18"/>
              </w:rPr>
              <w:t> </w:t>
            </w:r>
          </w:p>
        </w:tc>
        <w:tc>
          <w:tcPr>
            <w:tcW w:w="2792" w:type="pct"/>
            <w:hideMark/>
          </w:tcPr>
          <w:p w14:paraId="40BE8583" w14:textId="77777777" w:rsidR="00000000" w:rsidRDefault="007125B5">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6814CB74" w14:textId="77777777" w:rsidR="00000000" w:rsidRDefault="007125B5">
            <w:pPr>
              <w:pStyle w:val="a3"/>
              <w:spacing w:before="0" w:beforeAutospacing="0" w:after="0" w:afterAutospacing="0"/>
              <w:rPr>
                <w:sz w:val="18"/>
                <w:szCs w:val="18"/>
              </w:rPr>
            </w:pPr>
            <w:r>
              <w:rPr>
                <w:sz w:val="18"/>
                <w:szCs w:val="18"/>
              </w:rPr>
              <w:t> </w:t>
            </w:r>
          </w:p>
        </w:tc>
        <w:tc>
          <w:tcPr>
            <w:tcW w:w="1024" w:type="pct"/>
            <w:hideMark/>
          </w:tcPr>
          <w:p w14:paraId="00CE0B51" w14:textId="77777777" w:rsidR="00000000" w:rsidRDefault="007125B5">
            <w:pPr>
              <w:pStyle w:val="a3"/>
              <w:spacing w:before="0" w:beforeAutospacing="0" w:after="0" w:afterAutospacing="0"/>
              <w:rPr>
                <w:sz w:val="18"/>
                <w:szCs w:val="18"/>
              </w:rPr>
            </w:pPr>
            <w:r>
              <w:rPr>
                <w:sz w:val="18"/>
                <w:szCs w:val="18"/>
              </w:rPr>
              <w:t> </w:t>
            </w:r>
          </w:p>
        </w:tc>
        <w:tc>
          <w:tcPr>
            <w:tcW w:w="30" w:type="pct"/>
            <w:hideMark/>
          </w:tcPr>
          <w:p w14:paraId="7B94E4A9" w14:textId="77777777" w:rsidR="00000000" w:rsidRDefault="007125B5">
            <w:pPr>
              <w:pStyle w:val="a3"/>
              <w:spacing w:before="0" w:beforeAutospacing="0" w:after="0" w:afterAutospacing="0"/>
              <w:rPr>
                <w:sz w:val="18"/>
                <w:szCs w:val="18"/>
              </w:rPr>
            </w:pPr>
            <w:r>
              <w:rPr>
                <w:sz w:val="18"/>
                <w:szCs w:val="18"/>
              </w:rPr>
              <w:t> </w:t>
            </w:r>
          </w:p>
        </w:tc>
        <w:tc>
          <w:tcPr>
            <w:tcW w:w="106" w:type="pct"/>
            <w:hideMark/>
          </w:tcPr>
          <w:p w14:paraId="1A15171E" w14:textId="77777777" w:rsidR="00000000" w:rsidRDefault="007125B5">
            <w:pPr>
              <w:pStyle w:val="a3"/>
              <w:spacing w:before="0" w:beforeAutospacing="0" w:after="0" w:afterAutospacing="0"/>
              <w:rPr>
                <w:sz w:val="18"/>
                <w:szCs w:val="18"/>
              </w:rPr>
            </w:pPr>
            <w:r>
              <w:rPr>
                <w:sz w:val="18"/>
                <w:szCs w:val="18"/>
              </w:rPr>
              <w:t> </w:t>
            </w:r>
          </w:p>
        </w:tc>
      </w:tr>
    </w:tbl>
    <w:p w14:paraId="340E2503" w14:textId="77777777" w:rsidR="00000000" w:rsidRDefault="007125B5">
      <w:pPr>
        <w:pStyle w:val="a3"/>
        <w:spacing w:before="0" w:beforeAutospacing="0" w:after="0" w:afterAutospacing="0"/>
        <w:rPr>
          <w:sz w:val="8"/>
          <w:szCs w:val="8"/>
        </w:rPr>
      </w:pPr>
      <w:r>
        <w:rPr>
          <w:sz w:val="8"/>
          <w:szCs w:val="8"/>
        </w:rPr>
        <w:t> </w:t>
      </w:r>
    </w:p>
    <w:p w14:paraId="1DAEBA09" w14:textId="77777777" w:rsidR="00000000" w:rsidRDefault="007125B5">
      <w:pPr>
        <w:pStyle w:val="a3"/>
        <w:spacing w:before="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14:paraId="5323ABDB" w14:textId="77777777" w:rsidR="00000000" w:rsidRDefault="007125B5">
      <w:pPr>
        <w:pStyle w:val="a3"/>
        <w:spacing w:before="80" w:beforeAutospacing="0" w:after="0" w:afterAutospacing="0"/>
        <w:ind w:firstLine="556"/>
        <w:rPr>
          <w:sz w:val="18"/>
          <w:szCs w:val="18"/>
        </w:rPr>
      </w:pPr>
      <w:r>
        <w:rPr>
          <w:sz w:val="18"/>
          <w:szCs w:val="18"/>
        </w:rPr>
        <w:lastRenderedPageBreak/>
        <w:t>Ind</w:t>
      </w:r>
      <w:r>
        <w:rPr>
          <w:sz w:val="18"/>
          <w:szCs w:val="18"/>
        </w:rPr>
        <w:t>icate by check mark whether the registrant is a shell company (as defined in Rule 12b-2 of the Exchange Act).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14:paraId="1A84E06E" w14:textId="77777777" w:rsidR="00000000" w:rsidRDefault="007125B5">
      <w:pPr>
        <w:pStyle w:val="a3"/>
        <w:spacing w:before="80" w:beforeAutospacing="0" w:after="0" w:afterAutospacing="0"/>
        <w:ind w:firstLine="556"/>
        <w:rPr>
          <w:sz w:val="18"/>
          <w:szCs w:val="18"/>
        </w:rPr>
      </w:pPr>
      <w:r>
        <w:rPr>
          <w:sz w:val="18"/>
          <w:szCs w:val="18"/>
        </w:rPr>
        <w:t>As of August 28, 2020, the registrant had 24,955,430 shares of common stock, $0.000004 par value per share, outstanding.</w:t>
      </w:r>
    </w:p>
    <w:p w14:paraId="76A296B4" w14:textId="77777777" w:rsidR="00000000" w:rsidRDefault="007125B5">
      <w:pPr>
        <w:pStyle w:val="a3"/>
        <w:pBdr>
          <w:bottom w:val="double" w:sz="6" w:space="1" w:color="auto"/>
        </w:pBdr>
        <w:spacing w:before="0" w:beforeAutospacing="0" w:after="0" w:afterAutospacing="0"/>
        <w:rPr>
          <w:sz w:val="12"/>
          <w:szCs w:val="12"/>
        </w:rPr>
      </w:pPr>
      <w:r>
        <w:rPr>
          <w:sz w:val="12"/>
          <w:szCs w:val="12"/>
        </w:rPr>
        <w:t> </w:t>
      </w:r>
    </w:p>
    <w:p w14:paraId="567C60D0" w14:textId="77777777" w:rsidR="00000000" w:rsidRDefault="007125B5">
      <w:pPr>
        <w:pStyle w:val="a3"/>
        <w:spacing w:before="0" w:beforeAutospacing="0" w:after="0" w:afterAutospacing="0"/>
        <w:rPr>
          <w:sz w:val="20"/>
          <w:szCs w:val="20"/>
        </w:rPr>
      </w:pPr>
      <w:r>
        <w:rPr>
          <w:sz w:val="20"/>
          <w:szCs w:val="20"/>
        </w:rPr>
        <w:t> </w:t>
      </w:r>
    </w:p>
    <w:p w14:paraId="7C9AFB47" w14:textId="77777777" w:rsidR="00000000" w:rsidRDefault="007125B5">
      <w:pPr>
        <w:pStyle w:val="a3"/>
        <w:spacing w:before="0" w:beforeAutospacing="0" w:after="0" w:afterAutospacing="0" w:line="20" w:lineRule="atLeast"/>
        <w:jc w:val="center"/>
        <w:rPr>
          <w:sz w:val="20"/>
          <w:szCs w:val="20"/>
        </w:rPr>
      </w:pPr>
      <w:r>
        <w:rPr>
          <w:sz w:val="20"/>
          <w:szCs w:val="20"/>
        </w:rPr>
        <w:t> </w:t>
      </w:r>
    </w:p>
    <w:p w14:paraId="60A6CC53" w14:textId="77777777" w:rsidR="00000000" w:rsidRDefault="007125B5">
      <w:pPr>
        <w:rPr>
          <w:rFonts w:eastAsia="Times New Roman"/>
        </w:rPr>
      </w:pPr>
      <w:r>
        <w:rPr>
          <w:rFonts w:eastAsia="Times New Roman"/>
        </w:rPr>
        <w:pict w14:anchorId="4A016F43">
          <v:rect id="_x0000_i1025" style="width:415.3pt;height:1.5pt" o:hralign="center" o:hrstd="t" o:hr="t" fillcolor="#a0a0a0" stroked="f"/>
        </w:pict>
      </w:r>
    </w:p>
    <w:p w14:paraId="79F97DF7" w14:textId="77777777" w:rsidR="00000000" w:rsidRDefault="007125B5">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14:paraId="7362698F" w14:textId="77777777" w:rsidR="00000000" w:rsidRDefault="007125B5">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839"/>
        <w:gridCol w:w="6894"/>
        <w:gridCol w:w="573"/>
      </w:tblGrid>
      <w:tr w:rsidR="00000000" w14:paraId="357C9583" w14:textId="77777777">
        <w:trPr>
          <w:divId w:val="763766611"/>
          <w:jc w:val="center"/>
        </w:trPr>
        <w:tc>
          <w:tcPr>
            <w:tcW w:w="505" w:type="pct"/>
            <w:shd w:val="clear" w:color="auto" w:fill="FFFFFF"/>
            <w:tcMar>
              <w:top w:w="15" w:type="dxa"/>
              <w:left w:w="0" w:type="dxa"/>
              <w:bottom w:w="0" w:type="dxa"/>
              <w:right w:w="15" w:type="dxa"/>
            </w:tcMar>
            <w:vAlign w:val="center"/>
            <w:hideMark/>
          </w:tcPr>
          <w:p w14:paraId="21788478" w14:textId="77777777" w:rsidR="00000000" w:rsidRDefault="007125B5">
            <w:pPr>
              <w:pStyle w:val="a3"/>
              <w:spacing w:before="0" w:beforeAutospacing="0" w:after="0" w:afterAutospacing="0"/>
              <w:ind w:left="137"/>
              <w:rPr>
                <w:color w:val="000000"/>
                <w:sz w:val="16"/>
                <w:szCs w:val="16"/>
              </w:rPr>
            </w:pPr>
            <w:r>
              <w:rPr>
                <w:color w:val="000000"/>
                <w:sz w:val="16"/>
                <w:szCs w:val="16"/>
              </w:rPr>
              <w:t> </w:t>
            </w:r>
          </w:p>
        </w:tc>
        <w:tc>
          <w:tcPr>
            <w:tcW w:w="4150" w:type="pct"/>
            <w:shd w:val="clear" w:color="auto" w:fill="FFFFFF"/>
            <w:tcMar>
              <w:top w:w="15" w:type="dxa"/>
              <w:left w:w="0" w:type="dxa"/>
              <w:bottom w:w="0" w:type="dxa"/>
              <w:right w:w="15" w:type="dxa"/>
            </w:tcMar>
            <w:vAlign w:val="center"/>
            <w:hideMark/>
          </w:tcPr>
          <w:p w14:paraId="277EAA4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350" w:type="pct"/>
            <w:tcBorders>
              <w:bottom w:val="single" w:sz="6" w:space="0" w:color="000000"/>
            </w:tcBorders>
            <w:shd w:val="clear" w:color="auto" w:fill="FFFFFF"/>
            <w:tcMar>
              <w:top w:w="15" w:type="dxa"/>
              <w:left w:w="0" w:type="dxa"/>
              <w:bottom w:w="0" w:type="dxa"/>
              <w:right w:w="15" w:type="dxa"/>
            </w:tcMar>
            <w:vAlign w:val="center"/>
            <w:hideMark/>
          </w:tcPr>
          <w:p w14:paraId="4156AEC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Page</w:t>
            </w:r>
          </w:p>
        </w:tc>
      </w:tr>
      <w:tr w:rsidR="00000000" w14:paraId="23D1A3D5" w14:textId="77777777">
        <w:trPr>
          <w:divId w:val="763766611"/>
          <w:jc w:val="center"/>
        </w:trPr>
        <w:tc>
          <w:tcPr>
            <w:tcW w:w="505" w:type="pct"/>
            <w:shd w:val="clear" w:color="auto" w:fill="FFFFFF"/>
            <w:tcMar>
              <w:top w:w="15" w:type="dxa"/>
              <w:left w:w="0" w:type="dxa"/>
              <w:bottom w:w="0" w:type="dxa"/>
              <w:right w:w="15" w:type="dxa"/>
            </w:tcMar>
            <w:vAlign w:val="center"/>
            <w:hideMark/>
          </w:tcPr>
          <w:p w14:paraId="07808E6C" w14:textId="77777777" w:rsidR="00000000" w:rsidRDefault="007125B5">
            <w:pPr>
              <w:pStyle w:val="a3"/>
              <w:spacing w:before="0" w:beforeAutospacing="0" w:after="0" w:afterAutospacing="0"/>
              <w:rPr>
                <w:b/>
                <w:bCs/>
                <w:sz w:val="20"/>
                <w:szCs w:val="20"/>
              </w:rPr>
            </w:pPr>
            <w:r>
              <w:rPr>
                <w:b/>
                <w:bCs/>
                <w:sz w:val="20"/>
                <w:szCs w:val="20"/>
              </w:rPr>
              <w:t>PART I.</w:t>
            </w:r>
          </w:p>
        </w:tc>
        <w:tc>
          <w:tcPr>
            <w:tcW w:w="4150" w:type="pct"/>
            <w:shd w:val="clear" w:color="auto" w:fill="FFFFFF"/>
            <w:tcMar>
              <w:top w:w="15" w:type="dxa"/>
              <w:left w:w="0" w:type="dxa"/>
              <w:bottom w:w="0" w:type="dxa"/>
              <w:right w:w="15" w:type="dxa"/>
            </w:tcMar>
            <w:vAlign w:val="center"/>
            <w:hideMark/>
          </w:tcPr>
          <w:p w14:paraId="69E471D1" w14:textId="77777777" w:rsidR="00000000" w:rsidRDefault="007125B5">
            <w:pPr>
              <w:pStyle w:val="a3"/>
              <w:spacing w:before="0" w:beforeAutospacing="0" w:after="0" w:afterAutospacing="0"/>
              <w:rPr>
                <w:sz w:val="20"/>
                <w:szCs w:val="20"/>
              </w:rPr>
            </w:pPr>
            <w:hyperlink w:anchor="PART_IFINANCIAL_INFORMATION" w:history="1">
              <w:r>
                <w:rPr>
                  <w:rStyle w:val="a4"/>
                  <w:sz w:val="20"/>
                  <w:szCs w:val="20"/>
                </w:rPr>
                <w:t>FINANCIAL INFORMATION</w:t>
              </w:r>
            </w:hyperlink>
          </w:p>
        </w:tc>
        <w:tc>
          <w:tcPr>
            <w:tcW w:w="350" w:type="pct"/>
            <w:tcBorders>
              <w:top w:val="single" w:sz="6" w:space="0" w:color="000000"/>
            </w:tcBorders>
            <w:shd w:val="clear" w:color="auto" w:fill="FFFFFF"/>
            <w:tcMar>
              <w:top w:w="15" w:type="dxa"/>
              <w:left w:w="0" w:type="dxa"/>
              <w:bottom w:w="0" w:type="dxa"/>
              <w:right w:w="15" w:type="dxa"/>
            </w:tcMar>
            <w:vAlign w:val="bottom"/>
            <w:hideMark/>
          </w:tcPr>
          <w:p w14:paraId="7BEF3BA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r>
      <w:tr w:rsidR="00000000" w14:paraId="2B9BF403" w14:textId="77777777">
        <w:trPr>
          <w:divId w:val="763766611"/>
          <w:jc w:val="center"/>
        </w:trPr>
        <w:tc>
          <w:tcPr>
            <w:tcW w:w="505" w:type="pct"/>
            <w:shd w:val="clear" w:color="auto" w:fill="FFFFFF"/>
            <w:tcMar>
              <w:top w:w="15" w:type="dxa"/>
              <w:left w:w="0" w:type="dxa"/>
              <w:bottom w:w="0" w:type="dxa"/>
              <w:right w:w="15" w:type="dxa"/>
            </w:tcMar>
            <w:vAlign w:val="center"/>
            <w:hideMark/>
          </w:tcPr>
          <w:p w14:paraId="3C86F493" w14:textId="77777777" w:rsidR="00000000" w:rsidRDefault="007125B5">
            <w:pPr>
              <w:pStyle w:val="a3"/>
              <w:spacing w:before="0" w:beforeAutospacing="0" w:after="0" w:afterAutospacing="0"/>
              <w:rPr>
                <w:sz w:val="20"/>
                <w:szCs w:val="20"/>
              </w:rPr>
            </w:pPr>
            <w:r>
              <w:rPr>
                <w:sz w:val="20"/>
                <w:szCs w:val="20"/>
              </w:rPr>
              <w:t>Item 1.</w:t>
            </w:r>
          </w:p>
        </w:tc>
        <w:tc>
          <w:tcPr>
            <w:tcW w:w="4150" w:type="pct"/>
            <w:shd w:val="clear" w:color="auto" w:fill="FFFFFF"/>
            <w:tcMar>
              <w:top w:w="15" w:type="dxa"/>
              <w:left w:w="0" w:type="dxa"/>
              <w:bottom w:w="0" w:type="dxa"/>
              <w:right w:w="15" w:type="dxa"/>
            </w:tcMar>
            <w:vAlign w:val="center"/>
            <w:hideMark/>
          </w:tcPr>
          <w:p w14:paraId="20618F36" w14:textId="77777777" w:rsidR="00000000" w:rsidRDefault="007125B5">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350" w:type="pct"/>
            <w:shd w:val="clear" w:color="auto" w:fill="FFFFFF"/>
            <w:tcMar>
              <w:top w:w="15" w:type="dxa"/>
              <w:left w:w="0" w:type="dxa"/>
              <w:bottom w:w="0" w:type="dxa"/>
              <w:right w:w="15" w:type="dxa"/>
            </w:tcMar>
            <w:vAlign w:val="bottom"/>
            <w:hideMark/>
          </w:tcPr>
          <w:p w14:paraId="59BFBBFE" w14:textId="77777777" w:rsidR="00000000" w:rsidRDefault="007125B5">
            <w:pPr>
              <w:pStyle w:val="a3"/>
              <w:spacing w:before="0" w:beforeAutospacing="0" w:after="0" w:afterAutospacing="0"/>
              <w:jc w:val="right"/>
              <w:rPr>
                <w:color w:val="000000"/>
                <w:sz w:val="20"/>
                <w:szCs w:val="20"/>
              </w:rPr>
            </w:pPr>
            <w:r>
              <w:rPr>
                <w:color w:val="000000"/>
                <w:sz w:val="20"/>
                <w:szCs w:val="20"/>
              </w:rPr>
              <w:t>1</w:t>
            </w:r>
          </w:p>
        </w:tc>
      </w:tr>
      <w:tr w:rsidR="00000000" w14:paraId="24993FD8" w14:textId="77777777">
        <w:trPr>
          <w:divId w:val="763766611"/>
          <w:trHeight w:val="138"/>
          <w:jc w:val="center"/>
        </w:trPr>
        <w:tc>
          <w:tcPr>
            <w:tcW w:w="505" w:type="pct"/>
            <w:shd w:val="clear" w:color="auto" w:fill="FFFFFF"/>
            <w:tcMar>
              <w:top w:w="15" w:type="dxa"/>
              <w:left w:w="0" w:type="dxa"/>
              <w:bottom w:w="0" w:type="dxa"/>
              <w:right w:w="15" w:type="dxa"/>
            </w:tcMar>
            <w:vAlign w:val="center"/>
            <w:hideMark/>
          </w:tcPr>
          <w:p w14:paraId="18ECF0C8" w14:textId="77777777" w:rsidR="00000000" w:rsidRDefault="007125B5">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54DDEC64" w14:textId="77777777" w:rsidR="00000000" w:rsidRDefault="007125B5">
            <w:pPr>
              <w:pStyle w:val="a3"/>
              <w:spacing w:before="0" w:beforeAutospacing="0" w:after="0" w:afterAutospacing="0"/>
              <w:rPr>
                <w:sz w:val="20"/>
                <w:szCs w:val="20"/>
              </w:rPr>
            </w:pPr>
            <w:hyperlink w:anchor="UNAUDITED_CONDENSED_CONSOLIDATED_BS" w:history="1">
              <w:r>
                <w:rPr>
                  <w:rStyle w:val="a4"/>
                  <w:sz w:val="20"/>
                  <w:szCs w:val="20"/>
                </w:rPr>
                <w:t>Unaudited Condensed Consolidated Statements of Financial Position</w:t>
              </w:r>
            </w:hyperlink>
          </w:p>
        </w:tc>
        <w:tc>
          <w:tcPr>
            <w:tcW w:w="350" w:type="pct"/>
            <w:shd w:val="clear" w:color="auto" w:fill="FFFFFF"/>
            <w:tcMar>
              <w:top w:w="15" w:type="dxa"/>
              <w:left w:w="0" w:type="dxa"/>
              <w:bottom w:w="0" w:type="dxa"/>
              <w:right w:w="15" w:type="dxa"/>
            </w:tcMar>
            <w:vAlign w:val="bottom"/>
            <w:hideMark/>
          </w:tcPr>
          <w:p w14:paraId="60C299F5" w14:textId="77777777" w:rsidR="00000000" w:rsidRDefault="007125B5">
            <w:pPr>
              <w:pStyle w:val="a3"/>
              <w:spacing w:before="0" w:beforeAutospacing="0" w:after="0" w:afterAutospacing="0"/>
              <w:jc w:val="right"/>
              <w:rPr>
                <w:color w:val="000000"/>
                <w:sz w:val="20"/>
                <w:szCs w:val="20"/>
              </w:rPr>
            </w:pPr>
            <w:r>
              <w:rPr>
                <w:color w:val="000000"/>
                <w:sz w:val="20"/>
                <w:szCs w:val="20"/>
              </w:rPr>
              <w:t>1</w:t>
            </w:r>
          </w:p>
        </w:tc>
      </w:tr>
      <w:tr w:rsidR="00000000" w14:paraId="029A0916" w14:textId="77777777">
        <w:trPr>
          <w:divId w:val="763766611"/>
          <w:jc w:val="center"/>
        </w:trPr>
        <w:tc>
          <w:tcPr>
            <w:tcW w:w="505" w:type="pct"/>
            <w:shd w:val="clear" w:color="auto" w:fill="FFFFFF"/>
            <w:tcMar>
              <w:top w:w="15" w:type="dxa"/>
              <w:left w:w="0" w:type="dxa"/>
              <w:bottom w:w="0" w:type="dxa"/>
              <w:right w:w="15" w:type="dxa"/>
            </w:tcMar>
            <w:vAlign w:val="center"/>
            <w:hideMark/>
          </w:tcPr>
          <w:p w14:paraId="26331444" w14:textId="77777777" w:rsidR="00000000" w:rsidRDefault="007125B5">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109D4388" w14:textId="77777777" w:rsidR="00000000" w:rsidRDefault="007125B5">
            <w:pPr>
              <w:pStyle w:val="a3"/>
              <w:spacing w:before="0" w:beforeAutospacing="0" w:after="0" w:afterAutospacing="0"/>
              <w:rPr>
                <w:sz w:val="20"/>
                <w:szCs w:val="20"/>
              </w:rPr>
            </w:pPr>
            <w:hyperlink w:anchor="UNAUDITED_CONDENSED_CONSOLIDATED_STATE" w:history="1">
              <w:r>
                <w:rPr>
                  <w:rStyle w:val="a4"/>
                  <w:sz w:val="20"/>
                  <w:szCs w:val="20"/>
                </w:rPr>
                <w:t xml:space="preserve">Unaudited Condensed Consolidated Statements of Operations and Comprehensive Loss </w:t>
              </w:r>
            </w:hyperlink>
          </w:p>
        </w:tc>
        <w:tc>
          <w:tcPr>
            <w:tcW w:w="350" w:type="pct"/>
            <w:shd w:val="clear" w:color="auto" w:fill="FFFFFF"/>
            <w:tcMar>
              <w:top w:w="15" w:type="dxa"/>
              <w:left w:w="0" w:type="dxa"/>
              <w:bottom w:w="0" w:type="dxa"/>
              <w:right w:w="15" w:type="dxa"/>
            </w:tcMar>
            <w:vAlign w:val="bottom"/>
            <w:hideMark/>
          </w:tcPr>
          <w:p w14:paraId="7C346F2D" w14:textId="77777777" w:rsidR="00000000" w:rsidRDefault="007125B5">
            <w:pPr>
              <w:pStyle w:val="a3"/>
              <w:spacing w:before="0" w:beforeAutospacing="0" w:after="0" w:afterAutospacing="0"/>
              <w:jc w:val="right"/>
              <w:rPr>
                <w:color w:val="000000"/>
                <w:sz w:val="20"/>
                <w:szCs w:val="20"/>
              </w:rPr>
            </w:pPr>
            <w:r>
              <w:rPr>
                <w:color w:val="000000"/>
                <w:sz w:val="20"/>
                <w:szCs w:val="20"/>
              </w:rPr>
              <w:t>2</w:t>
            </w:r>
          </w:p>
        </w:tc>
      </w:tr>
      <w:tr w:rsidR="00000000" w14:paraId="0A5865D2" w14:textId="77777777">
        <w:trPr>
          <w:divId w:val="763766611"/>
          <w:jc w:val="center"/>
        </w:trPr>
        <w:tc>
          <w:tcPr>
            <w:tcW w:w="505" w:type="pct"/>
            <w:shd w:val="clear" w:color="auto" w:fill="FFFFFF"/>
            <w:tcMar>
              <w:top w:w="15" w:type="dxa"/>
              <w:left w:w="0" w:type="dxa"/>
              <w:bottom w:w="0" w:type="dxa"/>
              <w:right w:w="15" w:type="dxa"/>
            </w:tcMar>
            <w:vAlign w:val="center"/>
            <w:hideMark/>
          </w:tcPr>
          <w:p w14:paraId="6A5B4EA8" w14:textId="77777777" w:rsidR="00000000" w:rsidRDefault="007125B5">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4BE56FAE" w14:textId="77777777" w:rsidR="00000000" w:rsidRDefault="007125B5">
            <w:pPr>
              <w:pStyle w:val="a3"/>
              <w:spacing w:before="0" w:beforeAutospacing="0" w:after="0" w:afterAutospacing="0"/>
              <w:rPr>
                <w:sz w:val="20"/>
                <w:szCs w:val="20"/>
              </w:rPr>
            </w:pPr>
            <w:hyperlink w:anchor="UNAUDITED_CONSOLIDATED_STATEMENTS_REDEE" w:history="1">
              <w:r>
                <w:rPr>
                  <w:rStyle w:val="a4"/>
                  <w:sz w:val="20"/>
                  <w:szCs w:val="20"/>
                </w:rPr>
                <w:t>Unaudited Condensed Consolidated Statements of Redeemable Series A-1 Preferred Stock, Convertible and Redee</w:t>
              </w:r>
              <w:r>
                <w:rPr>
                  <w:rStyle w:val="a4"/>
                  <w:sz w:val="20"/>
                  <w:szCs w:val="20"/>
                </w:rPr>
                <w:t>mable Series A-2 Preferred Stock and Stockholders’ (Deficit) Equity</w:t>
              </w:r>
            </w:hyperlink>
            <w:r>
              <w:rPr>
                <w:sz w:val="20"/>
                <w:szCs w:val="20"/>
                <w:u w:val="single"/>
              </w:rPr>
              <w:t xml:space="preserve"> </w:t>
            </w:r>
          </w:p>
        </w:tc>
        <w:tc>
          <w:tcPr>
            <w:tcW w:w="350" w:type="pct"/>
            <w:shd w:val="clear" w:color="auto" w:fill="FFFFFF"/>
            <w:tcMar>
              <w:top w:w="15" w:type="dxa"/>
              <w:left w:w="0" w:type="dxa"/>
              <w:bottom w:w="0" w:type="dxa"/>
              <w:right w:w="15" w:type="dxa"/>
            </w:tcMar>
            <w:vAlign w:val="bottom"/>
            <w:hideMark/>
          </w:tcPr>
          <w:p w14:paraId="3BFA3F3A" w14:textId="77777777" w:rsidR="00000000" w:rsidRDefault="007125B5">
            <w:pPr>
              <w:pStyle w:val="a3"/>
              <w:spacing w:before="0" w:beforeAutospacing="0" w:after="0" w:afterAutospacing="0"/>
              <w:jc w:val="right"/>
              <w:rPr>
                <w:color w:val="000000"/>
                <w:sz w:val="20"/>
                <w:szCs w:val="20"/>
              </w:rPr>
            </w:pPr>
            <w:r>
              <w:rPr>
                <w:color w:val="000000"/>
                <w:sz w:val="20"/>
                <w:szCs w:val="20"/>
              </w:rPr>
              <w:t>3</w:t>
            </w:r>
          </w:p>
        </w:tc>
      </w:tr>
      <w:tr w:rsidR="00000000" w14:paraId="6486CCF0" w14:textId="77777777">
        <w:trPr>
          <w:divId w:val="763766611"/>
          <w:jc w:val="center"/>
        </w:trPr>
        <w:tc>
          <w:tcPr>
            <w:tcW w:w="505" w:type="pct"/>
            <w:shd w:val="clear" w:color="auto" w:fill="FFFFFF"/>
            <w:tcMar>
              <w:top w:w="15" w:type="dxa"/>
              <w:left w:w="0" w:type="dxa"/>
              <w:bottom w:w="0" w:type="dxa"/>
              <w:right w:w="15" w:type="dxa"/>
            </w:tcMar>
            <w:vAlign w:val="center"/>
            <w:hideMark/>
          </w:tcPr>
          <w:p w14:paraId="7C46E348" w14:textId="77777777" w:rsidR="00000000" w:rsidRDefault="007125B5">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468A31A0" w14:textId="77777777" w:rsidR="00000000" w:rsidRDefault="007125B5">
            <w:pPr>
              <w:pStyle w:val="a3"/>
              <w:spacing w:before="0" w:beforeAutospacing="0" w:after="0" w:afterAutospacing="0"/>
              <w:rPr>
                <w:rFonts w:ascii="TimesNewRomanPS" w:hAnsi="TimesNewRomanPS"/>
                <w:sz w:val="20"/>
                <w:szCs w:val="20"/>
              </w:rPr>
            </w:pPr>
            <w:hyperlink w:anchor="UNAUDITED_CONDENSED_CONSOLIDATED_CF" w:history="1">
              <w:r>
                <w:rPr>
                  <w:rStyle w:val="a4"/>
                  <w:rFonts w:ascii="TimesNewRomanPS" w:hAnsi="TimesNewRomanPS"/>
                  <w:sz w:val="20"/>
                  <w:szCs w:val="20"/>
                </w:rPr>
                <w:t>Unaudited Condensed Consolidated Statements of Cash Flows</w:t>
              </w:r>
            </w:hyperlink>
          </w:p>
        </w:tc>
        <w:tc>
          <w:tcPr>
            <w:tcW w:w="350" w:type="pct"/>
            <w:shd w:val="clear" w:color="auto" w:fill="FFFFFF"/>
            <w:tcMar>
              <w:top w:w="15" w:type="dxa"/>
              <w:left w:w="0" w:type="dxa"/>
              <w:bottom w:w="0" w:type="dxa"/>
              <w:right w:w="15" w:type="dxa"/>
            </w:tcMar>
            <w:vAlign w:val="bottom"/>
            <w:hideMark/>
          </w:tcPr>
          <w:p w14:paraId="3E9E9354" w14:textId="77777777" w:rsidR="00000000" w:rsidRDefault="007125B5">
            <w:pPr>
              <w:pStyle w:val="a3"/>
              <w:spacing w:before="0" w:beforeAutospacing="0" w:after="0" w:afterAutospacing="0"/>
              <w:jc w:val="right"/>
              <w:rPr>
                <w:color w:val="000000"/>
                <w:sz w:val="20"/>
                <w:szCs w:val="20"/>
              </w:rPr>
            </w:pPr>
            <w:r>
              <w:rPr>
                <w:color w:val="000000"/>
                <w:sz w:val="20"/>
                <w:szCs w:val="20"/>
              </w:rPr>
              <w:t>4</w:t>
            </w:r>
          </w:p>
        </w:tc>
      </w:tr>
      <w:tr w:rsidR="00000000" w14:paraId="7A9ACCB2" w14:textId="77777777">
        <w:trPr>
          <w:divId w:val="763766611"/>
          <w:jc w:val="center"/>
        </w:trPr>
        <w:tc>
          <w:tcPr>
            <w:tcW w:w="505" w:type="pct"/>
            <w:shd w:val="clear" w:color="auto" w:fill="FFFFFF"/>
            <w:tcMar>
              <w:top w:w="15" w:type="dxa"/>
              <w:left w:w="0" w:type="dxa"/>
              <w:bottom w:w="0" w:type="dxa"/>
              <w:right w:w="15" w:type="dxa"/>
            </w:tcMar>
            <w:vAlign w:val="center"/>
            <w:hideMark/>
          </w:tcPr>
          <w:p w14:paraId="227101B5" w14:textId="77777777" w:rsidR="00000000" w:rsidRDefault="007125B5">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645B5385" w14:textId="77777777" w:rsidR="00000000" w:rsidRDefault="007125B5">
            <w:pPr>
              <w:pStyle w:val="a3"/>
              <w:spacing w:before="0" w:beforeAutospacing="0" w:after="0" w:afterAutospacing="0"/>
              <w:rPr>
                <w:rFonts w:ascii="TimesNewRomanPS" w:hAnsi="TimesNewRomanPS"/>
                <w:sz w:val="20"/>
                <w:szCs w:val="20"/>
              </w:rPr>
            </w:pPr>
            <w:hyperlink w:anchor="NOTES_TO_UNAUDITED_CONDENSED_CONSOLIDAT" w:history="1">
              <w:r>
                <w:rPr>
                  <w:rStyle w:val="a4"/>
                  <w:rFonts w:ascii="TimesNewRomanPS" w:hAnsi="TimesNewRomanPS"/>
                  <w:sz w:val="20"/>
                  <w:szCs w:val="20"/>
                </w:rPr>
                <w:t>Notes to Unaudited Condensed Consolidated Financial Statements</w:t>
              </w:r>
            </w:hyperlink>
          </w:p>
        </w:tc>
        <w:tc>
          <w:tcPr>
            <w:tcW w:w="350" w:type="pct"/>
            <w:shd w:val="clear" w:color="auto" w:fill="FFFFFF"/>
            <w:tcMar>
              <w:top w:w="15" w:type="dxa"/>
              <w:left w:w="0" w:type="dxa"/>
              <w:bottom w:w="0" w:type="dxa"/>
              <w:right w:w="15" w:type="dxa"/>
            </w:tcMar>
            <w:vAlign w:val="bottom"/>
            <w:hideMark/>
          </w:tcPr>
          <w:p w14:paraId="1E9FFC32" w14:textId="77777777" w:rsidR="00000000" w:rsidRDefault="007125B5">
            <w:pPr>
              <w:pStyle w:val="a3"/>
              <w:spacing w:before="0" w:beforeAutospacing="0" w:after="0" w:afterAutospacing="0"/>
              <w:jc w:val="right"/>
              <w:rPr>
                <w:color w:val="000000"/>
                <w:sz w:val="20"/>
                <w:szCs w:val="20"/>
              </w:rPr>
            </w:pPr>
            <w:r>
              <w:rPr>
                <w:color w:val="000000"/>
                <w:sz w:val="20"/>
                <w:szCs w:val="20"/>
              </w:rPr>
              <w:t>5</w:t>
            </w:r>
          </w:p>
        </w:tc>
      </w:tr>
      <w:tr w:rsidR="00000000" w14:paraId="0405A0A7" w14:textId="77777777">
        <w:trPr>
          <w:divId w:val="763766611"/>
          <w:jc w:val="center"/>
        </w:trPr>
        <w:tc>
          <w:tcPr>
            <w:tcW w:w="505" w:type="pct"/>
            <w:shd w:val="clear" w:color="auto" w:fill="FFFFFF"/>
            <w:tcMar>
              <w:top w:w="15" w:type="dxa"/>
              <w:left w:w="0" w:type="dxa"/>
              <w:bottom w:w="0" w:type="dxa"/>
              <w:right w:w="15" w:type="dxa"/>
            </w:tcMar>
            <w:vAlign w:val="center"/>
            <w:hideMark/>
          </w:tcPr>
          <w:p w14:paraId="1FABD442" w14:textId="77777777" w:rsidR="00000000" w:rsidRDefault="007125B5">
            <w:pPr>
              <w:pStyle w:val="a3"/>
              <w:spacing w:before="0" w:beforeAutospacing="0" w:after="0" w:afterAutospacing="0"/>
              <w:rPr>
                <w:sz w:val="20"/>
                <w:szCs w:val="20"/>
              </w:rPr>
            </w:pPr>
            <w:r>
              <w:rPr>
                <w:sz w:val="20"/>
                <w:szCs w:val="20"/>
              </w:rPr>
              <w:t>Item 2.</w:t>
            </w:r>
          </w:p>
        </w:tc>
        <w:tc>
          <w:tcPr>
            <w:tcW w:w="4150" w:type="pct"/>
            <w:shd w:val="clear" w:color="auto" w:fill="FFFFFF"/>
            <w:tcMar>
              <w:top w:w="15" w:type="dxa"/>
              <w:left w:w="0" w:type="dxa"/>
              <w:bottom w:w="0" w:type="dxa"/>
              <w:right w:w="15" w:type="dxa"/>
            </w:tcMar>
            <w:vAlign w:val="center"/>
            <w:hideMark/>
          </w:tcPr>
          <w:p w14:paraId="1DFAAABD" w14:textId="77777777" w:rsidR="00000000" w:rsidRDefault="007125B5">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350" w:type="pct"/>
            <w:shd w:val="clear" w:color="auto" w:fill="FFFFFF"/>
            <w:tcMar>
              <w:top w:w="15" w:type="dxa"/>
              <w:left w:w="0" w:type="dxa"/>
              <w:bottom w:w="0" w:type="dxa"/>
              <w:right w:w="15" w:type="dxa"/>
            </w:tcMar>
            <w:vAlign w:val="bottom"/>
            <w:hideMark/>
          </w:tcPr>
          <w:p w14:paraId="3474E86E" w14:textId="77777777" w:rsidR="00000000" w:rsidRDefault="007125B5">
            <w:pPr>
              <w:pStyle w:val="a3"/>
              <w:spacing w:before="0" w:beforeAutospacing="0" w:after="0" w:afterAutospacing="0"/>
              <w:jc w:val="right"/>
              <w:rPr>
                <w:color w:val="000000"/>
                <w:sz w:val="20"/>
                <w:szCs w:val="20"/>
              </w:rPr>
            </w:pPr>
            <w:r>
              <w:rPr>
                <w:color w:val="000000"/>
                <w:sz w:val="20"/>
                <w:szCs w:val="20"/>
              </w:rPr>
              <w:t>29</w:t>
            </w:r>
          </w:p>
        </w:tc>
      </w:tr>
      <w:tr w:rsidR="00000000" w14:paraId="7F679614" w14:textId="77777777">
        <w:trPr>
          <w:divId w:val="763766611"/>
          <w:jc w:val="center"/>
        </w:trPr>
        <w:tc>
          <w:tcPr>
            <w:tcW w:w="505" w:type="pct"/>
            <w:shd w:val="clear" w:color="auto" w:fill="FFFFFF"/>
            <w:tcMar>
              <w:top w:w="15" w:type="dxa"/>
              <w:left w:w="0" w:type="dxa"/>
              <w:bottom w:w="0" w:type="dxa"/>
              <w:right w:w="15" w:type="dxa"/>
            </w:tcMar>
            <w:vAlign w:val="center"/>
            <w:hideMark/>
          </w:tcPr>
          <w:p w14:paraId="66F0CE3A" w14:textId="77777777" w:rsidR="00000000" w:rsidRDefault="007125B5">
            <w:pPr>
              <w:pStyle w:val="a3"/>
              <w:spacing w:before="0" w:beforeAutospacing="0" w:after="0" w:afterAutospacing="0"/>
              <w:rPr>
                <w:sz w:val="20"/>
                <w:szCs w:val="20"/>
              </w:rPr>
            </w:pPr>
            <w:r>
              <w:rPr>
                <w:sz w:val="20"/>
                <w:szCs w:val="20"/>
              </w:rPr>
              <w:t>Item 3.</w:t>
            </w:r>
          </w:p>
        </w:tc>
        <w:tc>
          <w:tcPr>
            <w:tcW w:w="4150" w:type="pct"/>
            <w:shd w:val="clear" w:color="auto" w:fill="FFFFFF"/>
            <w:tcMar>
              <w:top w:w="15" w:type="dxa"/>
              <w:left w:w="0" w:type="dxa"/>
              <w:bottom w:w="0" w:type="dxa"/>
              <w:right w:w="15" w:type="dxa"/>
            </w:tcMar>
            <w:vAlign w:val="center"/>
            <w:hideMark/>
          </w:tcPr>
          <w:p w14:paraId="3F2483AD" w14:textId="77777777" w:rsidR="00000000" w:rsidRDefault="007125B5">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350" w:type="pct"/>
            <w:shd w:val="clear" w:color="auto" w:fill="FFFFFF"/>
            <w:tcMar>
              <w:top w:w="15" w:type="dxa"/>
              <w:left w:w="0" w:type="dxa"/>
              <w:bottom w:w="0" w:type="dxa"/>
              <w:right w:w="15" w:type="dxa"/>
            </w:tcMar>
            <w:vAlign w:val="bottom"/>
            <w:hideMark/>
          </w:tcPr>
          <w:p w14:paraId="76DC604E" w14:textId="77777777" w:rsidR="00000000" w:rsidRDefault="007125B5">
            <w:pPr>
              <w:pStyle w:val="a3"/>
              <w:spacing w:before="0" w:beforeAutospacing="0" w:after="0" w:afterAutospacing="0"/>
              <w:jc w:val="right"/>
              <w:rPr>
                <w:color w:val="000000"/>
                <w:sz w:val="20"/>
                <w:szCs w:val="20"/>
              </w:rPr>
            </w:pPr>
            <w:r>
              <w:rPr>
                <w:color w:val="000000"/>
                <w:sz w:val="20"/>
                <w:szCs w:val="20"/>
              </w:rPr>
              <w:t>44</w:t>
            </w:r>
          </w:p>
        </w:tc>
      </w:tr>
      <w:tr w:rsidR="00000000" w14:paraId="7159D0C2" w14:textId="77777777">
        <w:trPr>
          <w:divId w:val="763766611"/>
          <w:jc w:val="center"/>
        </w:trPr>
        <w:tc>
          <w:tcPr>
            <w:tcW w:w="505" w:type="pct"/>
            <w:shd w:val="clear" w:color="auto" w:fill="FFFFFF"/>
            <w:tcMar>
              <w:top w:w="15" w:type="dxa"/>
              <w:left w:w="0" w:type="dxa"/>
              <w:bottom w:w="0" w:type="dxa"/>
              <w:right w:w="15" w:type="dxa"/>
            </w:tcMar>
            <w:vAlign w:val="center"/>
            <w:hideMark/>
          </w:tcPr>
          <w:p w14:paraId="43F5864F" w14:textId="77777777" w:rsidR="00000000" w:rsidRDefault="007125B5">
            <w:pPr>
              <w:pStyle w:val="a3"/>
              <w:spacing w:before="0" w:beforeAutospacing="0" w:after="0" w:afterAutospacing="0"/>
              <w:rPr>
                <w:sz w:val="20"/>
                <w:szCs w:val="20"/>
              </w:rPr>
            </w:pPr>
            <w:r>
              <w:rPr>
                <w:sz w:val="20"/>
                <w:szCs w:val="20"/>
              </w:rPr>
              <w:t>Item 4.</w:t>
            </w:r>
          </w:p>
        </w:tc>
        <w:tc>
          <w:tcPr>
            <w:tcW w:w="4150" w:type="pct"/>
            <w:shd w:val="clear" w:color="auto" w:fill="FFFFFF"/>
            <w:tcMar>
              <w:top w:w="15" w:type="dxa"/>
              <w:left w:w="0" w:type="dxa"/>
              <w:bottom w:w="0" w:type="dxa"/>
              <w:right w:w="15" w:type="dxa"/>
            </w:tcMar>
            <w:hideMark/>
          </w:tcPr>
          <w:p w14:paraId="3D2E6715" w14:textId="77777777" w:rsidR="00000000" w:rsidRDefault="007125B5">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350" w:type="pct"/>
            <w:shd w:val="clear" w:color="auto" w:fill="FFFFFF"/>
            <w:tcMar>
              <w:top w:w="15" w:type="dxa"/>
              <w:left w:w="0" w:type="dxa"/>
              <w:bottom w:w="0" w:type="dxa"/>
              <w:right w:w="15" w:type="dxa"/>
            </w:tcMar>
            <w:vAlign w:val="bottom"/>
            <w:hideMark/>
          </w:tcPr>
          <w:p w14:paraId="38355710" w14:textId="77777777" w:rsidR="00000000" w:rsidRDefault="007125B5">
            <w:pPr>
              <w:pStyle w:val="a3"/>
              <w:spacing w:before="0" w:beforeAutospacing="0" w:after="0" w:afterAutospacing="0"/>
              <w:jc w:val="right"/>
              <w:rPr>
                <w:color w:val="000000"/>
                <w:sz w:val="20"/>
                <w:szCs w:val="20"/>
              </w:rPr>
            </w:pPr>
            <w:r>
              <w:rPr>
                <w:color w:val="000000"/>
                <w:sz w:val="20"/>
                <w:szCs w:val="20"/>
              </w:rPr>
              <w:t>44</w:t>
            </w:r>
          </w:p>
        </w:tc>
      </w:tr>
      <w:tr w:rsidR="00000000" w14:paraId="13A6C91D" w14:textId="77777777">
        <w:trPr>
          <w:divId w:val="763766611"/>
          <w:jc w:val="center"/>
        </w:trPr>
        <w:tc>
          <w:tcPr>
            <w:tcW w:w="505" w:type="pct"/>
            <w:shd w:val="clear" w:color="auto" w:fill="FFFFFF"/>
            <w:tcMar>
              <w:top w:w="15" w:type="dxa"/>
              <w:left w:w="0" w:type="dxa"/>
              <w:bottom w:w="0" w:type="dxa"/>
              <w:right w:w="15" w:type="dxa"/>
            </w:tcMar>
            <w:vAlign w:val="center"/>
            <w:hideMark/>
          </w:tcPr>
          <w:p w14:paraId="1DAA9B6A" w14:textId="77777777" w:rsidR="00000000" w:rsidRDefault="007125B5">
            <w:pPr>
              <w:pStyle w:val="a3"/>
              <w:spacing w:before="0" w:beforeAutospacing="0" w:after="0" w:afterAutospacing="0"/>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3518EB94" w14:textId="77777777" w:rsidR="00000000" w:rsidRDefault="007125B5">
            <w:pPr>
              <w:pStyle w:val="a3"/>
              <w:spacing w:before="0" w:beforeAutospacing="0" w:after="0" w:afterAutospacing="0"/>
              <w:rPr>
                <w:sz w:val="20"/>
                <w:szCs w:val="20"/>
              </w:rPr>
            </w:pPr>
            <w:r>
              <w:rPr>
                <w:sz w:val="20"/>
                <w:szCs w:val="20"/>
              </w:rPr>
              <w:t> </w:t>
            </w:r>
          </w:p>
        </w:tc>
        <w:tc>
          <w:tcPr>
            <w:tcW w:w="350" w:type="pct"/>
            <w:shd w:val="clear" w:color="auto" w:fill="FFFFFF"/>
            <w:tcMar>
              <w:top w:w="15" w:type="dxa"/>
              <w:left w:w="0" w:type="dxa"/>
              <w:bottom w:w="0" w:type="dxa"/>
              <w:right w:w="15" w:type="dxa"/>
            </w:tcMar>
            <w:vAlign w:val="bottom"/>
            <w:hideMark/>
          </w:tcPr>
          <w:p w14:paraId="18125DD7" w14:textId="77777777" w:rsidR="00000000" w:rsidRDefault="007125B5">
            <w:pPr>
              <w:pStyle w:val="a3"/>
              <w:spacing w:before="0" w:beforeAutospacing="0" w:after="0" w:afterAutospacing="0"/>
              <w:jc w:val="right"/>
              <w:rPr>
                <w:sz w:val="20"/>
                <w:szCs w:val="20"/>
              </w:rPr>
            </w:pPr>
            <w:r>
              <w:rPr>
                <w:sz w:val="20"/>
                <w:szCs w:val="20"/>
              </w:rPr>
              <w:t> </w:t>
            </w:r>
          </w:p>
        </w:tc>
      </w:tr>
      <w:tr w:rsidR="00000000" w14:paraId="2B5C3DF3" w14:textId="77777777">
        <w:trPr>
          <w:divId w:val="763766611"/>
          <w:jc w:val="center"/>
        </w:trPr>
        <w:tc>
          <w:tcPr>
            <w:tcW w:w="505" w:type="pct"/>
            <w:shd w:val="clear" w:color="auto" w:fill="FFFFFF"/>
            <w:tcMar>
              <w:top w:w="15" w:type="dxa"/>
              <w:left w:w="0" w:type="dxa"/>
              <w:bottom w:w="0" w:type="dxa"/>
              <w:right w:w="15" w:type="dxa"/>
            </w:tcMar>
            <w:vAlign w:val="center"/>
            <w:hideMark/>
          </w:tcPr>
          <w:p w14:paraId="007E265F" w14:textId="77777777" w:rsidR="00000000" w:rsidRDefault="007125B5">
            <w:pPr>
              <w:pStyle w:val="a3"/>
              <w:spacing w:before="0" w:beforeAutospacing="0" w:after="0" w:afterAutospacing="0"/>
              <w:rPr>
                <w:b/>
                <w:bCs/>
                <w:sz w:val="20"/>
                <w:szCs w:val="20"/>
              </w:rPr>
            </w:pPr>
            <w:r>
              <w:rPr>
                <w:b/>
                <w:bCs/>
                <w:sz w:val="20"/>
                <w:szCs w:val="20"/>
              </w:rPr>
              <w:t>PART II.</w:t>
            </w:r>
          </w:p>
        </w:tc>
        <w:tc>
          <w:tcPr>
            <w:tcW w:w="4150" w:type="pct"/>
            <w:shd w:val="clear" w:color="auto" w:fill="FFFFFF"/>
            <w:tcMar>
              <w:top w:w="15" w:type="dxa"/>
              <w:left w:w="0" w:type="dxa"/>
              <w:bottom w:w="0" w:type="dxa"/>
              <w:right w:w="15" w:type="dxa"/>
            </w:tcMar>
            <w:vAlign w:val="center"/>
            <w:hideMark/>
          </w:tcPr>
          <w:p w14:paraId="0292ACE8" w14:textId="77777777" w:rsidR="00000000" w:rsidRDefault="007125B5">
            <w:pPr>
              <w:pStyle w:val="a3"/>
              <w:spacing w:before="0" w:beforeAutospacing="0" w:after="0" w:afterAutospacing="0"/>
              <w:rPr>
                <w:sz w:val="20"/>
                <w:szCs w:val="20"/>
              </w:rPr>
            </w:pPr>
            <w:hyperlink w:anchor="PART_IIOR_INFORMATION" w:history="1">
              <w:r>
                <w:rPr>
                  <w:rStyle w:val="a4"/>
                  <w:sz w:val="20"/>
                  <w:szCs w:val="20"/>
                </w:rPr>
                <w:t>OTHER INFORMATION</w:t>
              </w:r>
            </w:hyperlink>
          </w:p>
        </w:tc>
        <w:tc>
          <w:tcPr>
            <w:tcW w:w="350" w:type="pct"/>
            <w:shd w:val="clear" w:color="auto" w:fill="FFFFFF"/>
            <w:tcMar>
              <w:top w:w="15" w:type="dxa"/>
              <w:left w:w="0" w:type="dxa"/>
              <w:bottom w:w="0" w:type="dxa"/>
              <w:right w:w="15" w:type="dxa"/>
            </w:tcMar>
            <w:vAlign w:val="bottom"/>
            <w:hideMark/>
          </w:tcPr>
          <w:p w14:paraId="50000212" w14:textId="77777777" w:rsidR="00000000" w:rsidRDefault="007125B5">
            <w:pPr>
              <w:pStyle w:val="a3"/>
              <w:spacing w:before="0" w:beforeAutospacing="0" w:after="0" w:afterAutospacing="0"/>
              <w:jc w:val="right"/>
              <w:rPr>
                <w:sz w:val="20"/>
                <w:szCs w:val="20"/>
              </w:rPr>
            </w:pPr>
            <w:r>
              <w:rPr>
                <w:sz w:val="20"/>
                <w:szCs w:val="20"/>
              </w:rPr>
              <w:t> </w:t>
            </w:r>
          </w:p>
        </w:tc>
      </w:tr>
      <w:tr w:rsidR="00000000" w14:paraId="1F0E1FCE" w14:textId="77777777">
        <w:trPr>
          <w:divId w:val="763766611"/>
          <w:jc w:val="center"/>
        </w:trPr>
        <w:tc>
          <w:tcPr>
            <w:tcW w:w="505" w:type="pct"/>
            <w:shd w:val="clear" w:color="auto" w:fill="FFFFFF"/>
            <w:tcMar>
              <w:top w:w="15" w:type="dxa"/>
              <w:left w:w="0" w:type="dxa"/>
              <w:bottom w:w="0" w:type="dxa"/>
              <w:right w:w="15" w:type="dxa"/>
            </w:tcMar>
            <w:vAlign w:val="center"/>
            <w:hideMark/>
          </w:tcPr>
          <w:p w14:paraId="0CC1507F" w14:textId="77777777" w:rsidR="00000000" w:rsidRDefault="007125B5">
            <w:pPr>
              <w:pStyle w:val="a3"/>
              <w:spacing w:before="0" w:beforeAutospacing="0" w:after="0" w:afterAutospacing="0"/>
              <w:rPr>
                <w:sz w:val="20"/>
                <w:szCs w:val="20"/>
              </w:rPr>
            </w:pPr>
            <w:r>
              <w:rPr>
                <w:sz w:val="20"/>
                <w:szCs w:val="20"/>
              </w:rPr>
              <w:t>Item 1.</w:t>
            </w:r>
          </w:p>
        </w:tc>
        <w:tc>
          <w:tcPr>
            <w:tcW w:w="4150" w:type="pct"/>
            <w:shd w:val="clear" w:color="auto" w:fill="FFFFFF"/>
            <w:tcMar>
              <w:top w:w="15" w:type="dxa"/>
              <w:left w:w="0" w:type="dxa"/>
              <w:bottom w:w="0" w:type="dxa"/>
              <w:right w:w="15" w:type="dxa"/>
            </w:tcMar>
            <w:vAlign w:val="center"/>
            <w:hideMark/>
          </w:tcPr>
          <w:p w14:paraId="6F39DAF8" w14:textId="77777777" w:rsidR="00000000" w:rsidRDefault="007125B5">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350" w:type="pct"/>
            <w:shd w:val="clear" w:color="auto" w:fill="FFFFFF"/>
            <w:tcMar>
              <w:top w:w="15" w:type="dxa"/>
              <w:left w:w="0" w:type="dxa"/>
              <w:bottom w:w="0" w:type="dxa"/>
              <w:right w:w="15" w:type="dxa"/>
            </w:tcMar>
            <w:vAlign w:val="bottom"/>
            <w:hideMark/>
          </w:tcPr>
          <w:p w14:paraId="19925D33" w14:textId="77777777" w:rsidR="00000000" w:rsidRDefault="007125B5">
            <w:pPr>
              <w:pStyle w:val="a3"/>
              <w:spacing w:before="0" w:beforeAutospacing="0" w:after="0" w:afterAutospacing="0"/>
              <w:jc w:val="right"/>
              <w:rPr>
                <w:color w:val="000000"/>
                <w:sz w:val="20"/>
                <w:szCs w:val="20"/>
              </w:rPr>
            </w:pPr>
            <w:r>
              <w:rPr>
                <w:color w:val="000000"/>
                <w:sz w:val="20"/>
                <w:szCs w:val="20"/>
              </w:rPr>
              <w:t>45</w:t>
            </w:r>
          </w:p>
        </w:tc>
      </w:tr>
      <w:tr w:rsidR="00000000" w14:paraId="78BA117A" w14:textId="77777777">
        <w:trPr>
          <w:divId w:val="763766611"/>
          <w:jc w:val="center"/>
        </w:trPr>
        <w:tc>
          <w:tcPr>
            <w:tcW w:w="505" w:type="pct"/>
            <w:shd w:val="clear" w:color="auto" w:fill="FFFFFF"/>
            <w:tcMar>
              <w:top w:w="15" w:type="dxa"/>
              <w:left w:w="0" w:type="dxa"/>
              <w:bottom w:w="0" w:type="dxa"/>
              <w:right w:w="15" w:type="dxa"/>
            </w:tcMar>
            <w:vAlign w:val="center"/>
            <w:hideMark/>
          </w:tcPr>
          <w:p w14:paraId="7BE6F71A" w14:textId="77777777" w:rsidR="00000000" w:rsidRDefault="007125B5">
            <w:pPr>
              <w:pStyle w:val="a3"/>
              <w:spacing w:before="0" w:beforeAutospacing="0" w:after="0" w:afterAutospacing="0"/>
              <w:rPr>
                <w:sz w:val="20"/>
                <w:szCs w:val="20"/>
              </w:rPr>
            </w:pPr>
            <w:r>
              <w:rPr>
                <w:sz w:val="20"/>
                <w:szCs w:val="20"/>
              </w:rPr>
              <w:t>Item 1A.</w:t>
            </w:r>
          </w:p>
        </w:tc>
        <w:tc>
          <w:tcPr>
            <w:tcW w:w="4150" w:type="pct"/>
            <w:shd w:val="clear" w:color="auto" w:fill="FFFFFF"/>
            <w:tcMar>
              <w:top w:w="15" w:type="dxa"/>
              <w:left w:w="0" w:type="dxa"/>
              <w:bottom w:w="0" w:type="dxa"/>
              <w:right w:w="15" w:type="dxa"/>
            </w:tcMar>
            <w:vAlign w:val="center"/>
            <w:hideMark/>
          </w:tcPr>
          <w:p w14:paraId="66A29568" w14:textId="77777777" w:rsidR="00000000" w:rsidRDefault="007125B5">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350" w:type="pct"/>
            <w:shd w:val="clear" w:color="auto" w:fill="FFFFFF"/>
            <w:tcMar>
              <w:top w:w="15" w:type="dxa"/>
              <w:left w:w="0" w:type="dxa"/>
              <w:bottom w:w="0" w:type="dxa"/>
              <w:right w:w="15" w:type="dxa"/>
            </w:tcMar>
            <w:vAlign w:val="bottom"/>
            <w:hideMark/>
          </w:tcPr>
          <w:p w14:paraId="064AA574" w14:textId="77777777" w:rsidR="00000000" w:rsidRDefault="007125B5">
            <w:pPr>
              <w:pStyle w:val="a3"/>
              <w:spacing w:before="0" w:beforeAutospacing="0" w:after="0" w:afterAutospacing="0"/>
              <w:jc w:val="right"/>
              <w:rPr>
                <w:color w:val="000000"/>
                <w:sz w:val="20"/>
                <w:szCs w:val="20"/>
              </w:rPr>
            </w:pPr>
            <w:r>
              <w:rPr>
                <w:color w:val="000000"/>
                <w:sz w:val="20"/>
                <w:szCs w:val="20"/>
              </w:rPr>
              <w:t>45</w:t>
            </w:r>
          </w:p>
        </w:tc>
      </w:tr>
      <w:tr w:rsidR="00000000" w14:paraId="2AFDAE3D" w14:textId="77777777">
        <w:trPr>
          <w:divId w:val="763766611"/>
          <w:jc w:val="center"/>
        </w:trPr>
        <w:tc>
          <w:tcPr>
            <w:tcW w:w="505" w:type="pct"/>
            <w:shd w:val="clear" w:color="auto" w:fill="FFFFFF"/>
            <w:tcMar>
              <w:top w:w="15" w:type="dxa"/>
              <w:left w:w="0" w:type="dxa"/>
              <w:bottom w:w="0" w:type="dxa"/>
              <w:right w:w="15" w:type="dxa"/>
            </w:tcMar>
            <w:vAlign w:val="center"/>
            <w:hideMark/>
          </w:tcPr>
          <w:p w14:paraId="153D7A52" w14:textId="77777777" w:rsidR="00000000" w:rsidRDefault="007125B5">
            <w:pPr>
              <w:pStyle w:val="a3"/>
              <w:spacing w:before="0" w:beforeAutospacing="0" w:after="0" w:afterAutospacing="0"/>
              <w:rPr>
                <w:sz w:val="20"/>
                <w:szCs w:val="20"/>
              </w:rPr>
            </w:pPr>
            <w:r>
              <w:rPr>
                <w:sz w:val="20"/>
                <w:szCs w:val="20"/>
              </w:rPr>
              <w:t>Item 2.</w:t>
            </w:r>
          </w:p>
        </w:tc>
        <w:tc>
          <w:tcPr>
            <w:tcW w:w="4150" w:type="pct"/>
            <w:shd w:val="clear" w:color="auto" w:fill="FFFFFF"/>
            <w:tcMar>
              <w:top w:w="15" w:type="dxa"/>
              <w:left w:w="0" w:type="dxa"/>
              <w:bottom w:w="0" w:type="dxa"/>
              <w:right w:w="15" w:type="dxa"/>
            </w:tcMar>
            <w:vAlign w:val="center"/>
            <w:hideMark/>
          </w:tcPr>
          <w:p w14:paraId="728A5F26" w14:textId="77777777" w:rsidR="00000000" w:rsidRDefault="007125B5">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350" w:type="pct"/>
            <w:shd w:val="clear" w:color="auto" w:fill="FFFFFF"/>
            <w:tcMar>
              <w:top w:w="15" w:type="dxa"/>
              <w:left w:w="0" w:type="dxa"/>
              <w:bottom w:w="0" w:type="dxa"/>
              <w:right w:w="15" w:type="dxa"/>
            </w:tcMar>
            <w:vAlign w:val="bottom"/>
            <w:hideMark/>
          </w:tcPr>
          <w:p w14:paraId="417119F5" w14:textId="77777777" w:rsidR="00000000" w:rsidRDefault="007125B5">
            <w:pPr>
              <w:pStyle w:val="a3"/>
              <w:spacing w:before="0" w:beforeAutospacing="0" w:after="0" w:afterAutospacing="0"/>
              <w:jc w:val="right"/>
              <w:rPr>
                <w:color w:val="000000"/>
                <w:sz w:val="20"/>
                <w:szCs w:val="20"/>
              </w:rPr>
            </w:pPr>
            <w:r>
              <w:rPr>
                <w:color w:val="000000"/>
                <w:sz w:val="20"/>
                <w:szCs w:val="20"/>
              </w:rPr>
              <w:t>45</w:t>
            </w:r>
          </w:p>
        </w:tc>
      </w:tr>
      <w:tr w:rsidR="00000000" w14:paraId="1480D55F" w14:textId="77777777">
        <w:trPr>
          <w:divId w:val="763766611"/>
          <w:jc w:val="center"/>
        </w:trPr>
        <w:tc>
          <w:tcPr>
            <w:tcW w:w="505" w:type="pct"/>
            <w:shd w:val="clear" w:color="auto" w:fill="FFFFFF"/>
            <w:tcMar>
              <w:top w:w="15" w:type="dxa"/>
              <w:left w:w="0" w:type="dxa"/>
              <w:bottom w:w="0" w:type="dxa"/>
              <w:right w:w="15" w:type="dxa"/>
            </w:tcMar>
            <w:vAlign w:val="center"/>
            <w:hideMark/>
          </w:tcPr>
          <w:p w14:paraId="611212A8" w14:textId="77777777" w:rsidR="00000000" w:rsidRDefault="007125B5">
            <w:pPr>
              <w:pStyle w:val="a3"/>
              <w:spacing w:before="0" w:beforeAutospacing="0" w:after="0" w:afterAutospacing="0"/>
              <w:rPr>
                <w:sz w:val="20"/>
                <w:szCs w:val="20"/>
              </w:rPr>
            </w:pPr>
            <w:r>
              <w:rPr>
                <w:sz w:val="20"/>
                <w:szCs w:val="20"/>
              </w:rPr>
              <w:t>Item 3.</w:t>
            </w:r>
          </w:p>
        </w:tc>
        <w:tc>
          <w:tcPr>
            <w:tcW w:w="4150" w:type="pct"/>
            <w:shd w:val="clear" w:color="auto" w:fill="FFFFFF"/>
            <w:tcMar>
              <w:top w:w="15" w:type="dxa"/>
              <w:left w:w="0" w:type="dxa"/>
              <w:bottom w:w="0" w:type="dxa"/>
              <w:right w:w="15" w:type="dxa"/>
            </w:tcMar>
            <w:vAlign w:val="center"/>
            <w:hideMark/>
          </w:tcPr>
          <w:p w14:paraId="0D628F3A" w14:textId="77777777" w:rsidR="00000000" w:rsidRDefault="007125B5">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350" w:type="pct"/>
            <w:shd w:val="clear" w:color="auto" w:fill="FFFFFF"/>
            <w:tcMar>
              <w:top w:w="15" w:type="dxa"/>
              <w:left w:w="0" w:type="dxa"/>
              <w:bottom w:w="0" w:type="dxa"/>
              <w:right w:w="15" w:type="dxa"/>
            </w:tcMar>
            <w:vAlign w:val="bottom"/>
            <w:hideMark/>
          </w:tcPr>
          <w:p w14:paraId="191D4F88" w14:textId="77777777" w:rsidR="00000000" w:rsidRDefault="007125B5">
            <w:pPr>
              <w:pStyle w:val="a3"/>
              <w:spacing w:before="0" w:beforeAutospacing="0" w:after="0" w:afterAutospacing="0"/>
              <w:jc w:val="right"/>
              <w:rPr>
                <w:color w:val="000000"/>
                <w:sz w:val="20"/>
                <w:szCs w:val="20"/>
              </w:rPr>
            </w:pPr>
            <w:r>
              <w:rPr>
                <w:color w:val="000000"/>
                <w:sz w:val="20"/>
                <w:szCs w:val="20"/>
              </w:rPr>
              <w:t>46</w:t>
            </w:r>
          </w:p>
        </w:tc>
      </w:tr>
      <w:tr w:rsidR="00000000" w14:paraId="743ADA9F" w14:textId="77777777">
        <w:trPr>
          <w:divId w:val="763766611"/>
          <w:jc w:val="center"/>
        </w:trPr>
        <w:tc>
          <w:tcPr>
            <w:tcW w:w="505" w:type="pct"/>
            <w:shd w:val="clear" w:color="auto" w:fill="FFFFFF"/>
            <w:tcMar>
              <w:top w:w="15" w:type="dxa"/>
              <w:left w:w="0" w:type="dxa"/>
              <w:bottom w:w="0" w:type="dxa"/>
              <w:right w:w="15" w:type="dxa"/>
            </w:tcMar>
            <w:vAlign w:val="center"/>
            <w:hideMark/>
          </w:tcPr>
          <w:p w14:paraId="2D86637F" w14:textId="77777777" w:rsidR="00000000" w:rsidRDefault="007125B5">
            <w:pPr>
              <w:pStyle w:val="a3"/>
              <w:spacing w:before="0" w:beforeAutospacing="0" w:after="0" w:afterAutospacing="0"/>
              <w:rPr>
                <w:sz w:val="20"/>
                <w:szCs w:val="20"/>
              </w:rPr>
            </w:pPr>
            <w:r>
              <w:rPr>
                <w:sz w:val="20"/>
                <w:szCs w:val="20"/>
              </w:rPr>
              <w:t>Item 4.</w:t>
            </w:r>
          </w:p>
        </w:tc>
        <w:tc>
          <w:tcPr>
            <w:tcW w:w="4150" w:type="pct"/>
            <w:shd w:val="clear" w:color="auto" w:fill="FFFFFF"/>
            <w:tcMar>
              <w:top w:w="15" w:type="dxa"/>
              <w:left w:w="0" w:type="dxa"/>
              <w:bottom w:w="0" w:type="dxa"/>
              <w:right w:w="15" w:type="dxa"/>
            </w:tcMar>
            <w:vAlign w:val="center"/>
            <w:hideMark/>
          </w:tcPr>
          <w:p w14:paraId="17A3CBA4" w14:textId="77777777" w:rsidR="00000000" w:rsidRDefault="007125B5">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350" w:type="pct"/>
            <w:shd w:val="clear" w:color="auto" w:fill="FFFFFF"/>
            <w:tcMar>
              <w:top w:w="15" w:type="dxa"/>
              <w:left w:w="0" w:type="dxa"/>
              <w:bottom w:w="0" w:type="dxa"/>
              <w:right w:w="15" w:type="dxa"/>
            </w:tcMar>
            <w:vAlign w:val="bottom"/>
            <w:hideMark/>
          </w:tcPr>
          <w:p w14:paraId="01C81784" w14:textId="77777777" w:rsidR="00000000" w:rsidRDefault="007125B5">
            <w:pPr>
              <w:pStyle w:val="a3"/>
              <w:spacing w:before="0" w:beforeAutospacing="0" w:after="0" w:afterAutospacing="0"/>
              <w:jc w:val="right"/>
              <w:rPr>
                <w:color w:val="000000"/>
                <w:sz w:val="20"/>
                <w:szCs w:val="20"/>
              </w:rPr>
            </w:pPr>
            <w:r>
              <w:rPr>
                <w:color w:val="000000"/>
                <w:sz w:val="20"/>
                <w:szCs w:val="20"/>
              </w:rPr>
              <w:t>46</w:t>
            </w:r>
          </w:p>
        </w:tc>
      </w:tr>
      <w:tr w:rsidR="00000000" w14:paraId="254A237E" w14:textId="77777777">
        <w:trPr>
          <w:divId w:val="763766611"/>
          <w:jc w:val="center"/>
        </w:trPr>
        <w:tc>
          <w:tcPr>
            <w:tcW w:w="505" w:type="pct"/>
            <w:shd w:val="clear" w:color="auto" w:fill="FFFFFF"/>
            <w:tcMar>
              <w:top w:w="15" w:type="dxa"/>
              <w:left w:w="0" w:type="dxa"/>
              <w:bottom w:w="0" w:type="dxa"/>
              <w:right w:w="15" w:type="dxa"/>
            </w:tcMar>
            <w:vAlign w:val="center"/>
            <w:hideMark/>
          </w:tcPr>
          <w:p w14:paraId="10E20465" w14:textId="77777777" w:rsidR="00000000" w:rsidRDefault="007125B5">
            <w:pPr>
              <w:pStyle w:val="a3"/>
              <w:spacing w:before="0" w:beforeAutospacing="0" w:after="0" w:afterAutospacing="0"/>
              <w:rPr>
                <w:sz w:val="20"/>
                <w:szCs w:val="20"/>
              </w:rPr>
            </w:pPr>
            <w:r>
              <w:rPr>
                <w:sz w:val="20"/>
                <w:szCs w:val="20"/>
              </w:rPr>
              <w:t>Item 5.</w:t>
            </w:r>
          </w:p>
        </w:tc>
        <w:tc>
          <w:tcPr>
            <w:tcW w:w="4150" w:type="pct"/>
            <w:shd w:val="clear" w:color="auto" w:fill="FFFFFF"/>
            <w:tcMar>
              <w:top w:w="15" w:type="dxa"/>
              <w:left w:w="0" w:type="dxa"/>
              <w:bottom w:w="0" w:type="dxa"/>
              <w:right w:w="15" w:type="dxa"/>
            </w:tcMar>
            <w:vAlign w:val="center"/>
            <w:hideMark/>
          </w:tcPr>
          <w:p w14:paraId="49CF6032" w14:textId="77777777" w:rsidR="00000000" w:rsidRDefault="007125B5">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350" w:type="pct"/>
            <w:shd w:val="clear" w:color="auto" w:fill="FFFFFF"/>
            <w:tcMar>
              <w:top w:w="15" w:type="dxa"/>
              <w:left w:w="0" w:type="dxa"/>
              <w:bottom w:w="0" w:type="dxa"/>
              <w:right w:w="15" w:type="dxa"/>
            </w:tcMar>
            <w:vAlign w:val="bottom"/>
            <w:hideMark/>
          </w:tcPr>
          <w:p w14:paraId="33AA3F46" w14:textId="77777777" w:rsidR="00000000" w:rsidRDefault="007125B5">
            <w:pPr>
              <w:pStyle w:val="a3"/>
              <w:spacing w:before="0" w:beforeAutospacing="0" w:after="0" w:afterAutospacing="0"/>
              <w:jc w:val="right"/>
              <w:rPr>
                <w:color w:val="000000"/>
                <w:sz w:val="20"/>
                <w:szCs w:val="20"/>
              </w:rPr>
            </w:pPr>
            <w:r>
              <w:rPr>
                <w:color w:val="000000"/>
                <w:sz w:val="20"/>
                <w:szCs w:val="20"/>
              </w:rPr>
              <w:t>46</w:t>
            </w:r>
          </w:p>
        </w:tc>
      </w:tr>
      <w:tr w:rsidR="00000000" w14:paraId="737FE3DA" w14:textId="77777777">
        <w:trPr>
          <w:divId w:val="763766611"/>
          <w:jc w:val="center"/>
        </w:trPr>
        <w:tc>
          <w:tcPr>
            <w:tcW w:w="505" w:type="pct"/>
            <w:shd w:val="clear" w:color="auto" w:fill="FFFFFF"/>
            <w:tcMar>
              <w:top w:w="15" w:type="dxa"/>
              <w:left w:w="0" w:type="dxa"/>
              <w:bottom w:w="0" w:type="dxa"/>
              <w:right w:w="15" w:type="dxa"/>
            </w:tcMar>
            <w:vAlign w:val="center"/>
            <w:hideMark/>
          </w:tcPr>
          <w:p w14:paraId="2840620E" w14:textId="77777777" w:rsidR="00000000" w:rsidRDefault="007125B5">
            <w:pPr>
              <w:pStyle w:val="a3"/>
              <w:spacing w:before="0" w:beforeAutospacing="0" w:after="0" w:afterAutospacing="0"/>
              <w:rPr>
                <w:sz w:val="20"/>
                <w:szCs w:val="20"/>
              </w:rPr>
            </w:pPr>
            <w:r>
              <w:rPr>
                <w:sz w:val="20"/>
                <w:szCs w:val="20"/>
              </w:rPr>
              <w:t>Item 6.</w:t>
            </w:r>
          </w:p>
        </w:tc>
        <w:tc>
          <w:tcPr>
            <w:tcW w:w="4150" w:type="pct"/>
            <w:shd w:val="clear" w:color="auto" w:fill="FFFFFF"/>
            <w:tcMar>
              <w:top w:w="15" w:type="dxa"/>
              <w:left w:w="0" w:type="dxa"/>
              <w:bottom w:w="0" w:type="dxa"/>
              <w:right w:w="15" w:type="dxa"/>
            </w:tcMar>
            <w:vAlign w:val="center"/>
            <w:hideMark/>
          </w:tcPr>
          <w:p w14:paraId="48FE7F4A" w14:textId="77777777" w:rsidR="00000000" w:rsidRDefault="007125B5">
            <w:pPr>
              <w:pStyle w:val="a3"/>
              <w:spacing w:before="0" w:beforeAutospacing="0" w:after="0" w:afterAutospacing="0"/>
              <w:rPr>
                <w:sz w:val="20"/>
                <w:szCs w:val="20"/>
              </w:rPr>
            </w:pPr>
            <w:hyperlink w:anchor="ITEM_6_EXHIBITS" w:history="1">
              <w:r>
                <w:rPr>
                  <w:rStyle w:val="a4"/>
                  <w:sz w:val="20"/>
                  <w:szCs w:val="20"/>
                </w:rPr>
                <w:t>Exhibits</w:t>
              </w:r>
            </w:hyperlink>
          </w:p>
        </w:tc>
        <w:tc>
          <w:tcPr>
            <w:tcW w:w="350" w:type="pct"/>
            <w:shd w:val="clear" w:color="auto" w:fill="FFFFFF"/>
            <w:tcMar>
              <w:top w:w="15" w:type="dxa"/>
              <w:left w:w="0" w:type="dxa"/>
              <w:bottom w:w="0" w:type="dxa"/>
              <w:right w:w="15" w:type="dxa"/>
            </w:tcMar>
            <w:vAlign w:val="bottom"/>
            <w:hideMark/>
          </w:tcPr>
          <w:p w14:paraId="6666094E" w14:textId="77777777" w:rsidR="00000000" w:rsidRDefault="007125B5">
            <w:pPr>
              <w:pStyle w:val="a3"/>
              <w:spacing w:before="0" w:beforeAutospacing="0" w:after="0" w:afterAutospacing="0"/>
              <w:jc w:val="right"/>
              <w:rPr>
                <w:color w:val="000000"/>
                <w:sz w:val="20"/>
                <w:szCs w:val="20"/>
              </w:rPr>
            </w:pPr>
            <w:r>
              <w:rPr>
                <w:color w:val="000000"/>
                <w:sz w:val="20"/>
                <w:szCs w:val="20"/>
              </w:rPr>
              <w:t>47</w:t>
            </w:r>
          </w:p>
        </w:tc>
      </w:tr>
      <w:tr w:rsidR="00000000" w14:paraId="5DEAA72F" w14:textId="77777777">
        <w:trPr>
          <w:divId w:val="763766611"/>
          <w:jc w:val="center"/>
        </w:trPr>
        <w:tc>
          <w:tcPr>
            <w:tcW w:w="4150" w:type="pct"/>
            <w:gridSpan w:val="2"/>
            <w:shd w:val="clear" w:color="auto" w:fill="FFFFFF"/>
            <w:tcMar>
              <w:top w:w="15" w:type="dxa"/>
              <w:left w:w="0" w:type="dxa"/>
              <w:bottom w:w="0" w:type="dxa"/>
              <w:right w:w="15" w:type="dxa"/>
            </w:tcMar>
            <w:vAlign w:val="center"/>
            <w:hideMark/>
          </w:tcPr>
          <w:p w14:paraId="0C551F54" w14:textId="77777777" w:rsidR="00000000" w:rsidRDefault="007125B5">
            <w:pPr>
              <w:pStyle w:val="a3"/>
              <w:spacing w:before="0" w:beforeAutospacing="0" w:after="0" w:afterAutospacing="0"/>
              <w:rPr>
                <w:sz w:val="20"/>
                <w:szCs w:val="20"/>
              </w:rPr>
            </w:pPr>
            <w:hyperlink w:anchor="SIGNATURES" w:history="1">
              <w:r>
                <w:rPr>
                  <w:rStyle w:val="a4"/>
                  <w:sz w:val="20"/>
                  <w:szCs w:val="20"/>
                </w:rPr>
                <w:t>Signatures</w:t>
              </w:r>
            </w:hyperlink>
          </w:p>
        </w:tc>
        <w:tc>
          <w:tcPr>
            <w:tcW w:w="350" w:type="pct"/>
            <w:shd w:val="clear" w:color="auto" w:fill="FFFFFF"/>
            <w:tcMar>
              <w:top w:w="15" w:type="dxa"/>
              <w:left w:w="0" w:type="dxa"/>
              <w:bottom w:w="0" w:type="dxa"/>
              <w:right w:w="15" w:type="dxa"/>
            </w:tcMar>
            <w:vAlign w:val="bottom"/>
            <w:hideMark/>
          </w:tcPr>
          <w:p w14:paraId="389F9A2E" w14:textId="77777777" w:rsidR="00000000" w:rsidRDefault="007125B5">
            <w:pPr>
              <w:pStyle w:val="a3"/>
              <w:spacing w:before="0" w:beforeAutospacing="0" w:after="0" w:afterAutospacing="0"/>
              <w:jc w:val="right"/>
              <w:rPr>
                <w:color w:val="000000"/>
                <w:sz w:val="20"/>
                <w:szCs w:val="20"/>
              </w:rPr>
            </w:pPr>
            <w:r>
              <w:rPr>
                <w:color w:val="000000"/>
                <w:sz w:val="20"/>
                <w:szCs w:val="20"/>
              </w:rPr>
              <w:t>48</w:t>
            </w:r>
          </w:p>
        </w:tc>
      </w:tr>
    </w:tbl>
    <w:p w14:paraId="0E1C9310" w14:textId="77777777" w:rsidR="00000000" w:rsidRDefault="007125B5">
      <w:pPr>
        <w:pStyle w:val="a3"/>
        <w:spacing w:before="240" w:beforeAutospacing="0" w:after="0" w:afterAutospacing="0"/>
        <w:rPr>
          <w:sz w:val="20"/>
          <w:szCs w:val="20"/>
        </w:rPr>
      </w:pPr>
      <w:r>
        <w:rPr>
          <w:sz w:val="20"/>
          <w:szCs w:val="20"/>
        </w:rPr>
        <w:t> </w:t>
      </w:r>
    </w:p>
    <w:p w14:paraId="7942903F" w14:textId="77777777" w:rsidR="00000000" w:rsidRDefault="007125B5">
      <w:pPr>
        <w:pStyle w:val="a3"/>
        <w:spacing w:before="0" w:beforeAutospacing="0" w:after="0" w:afterAutospacing="0"/>
        <w:rPr>
          <w:sz w:val="20"/>
          <w:szCs w:val="20"/>
        </w:rPr>
      </w:pPr>
      <w:r>
        <w:rPr>
          <w:sz w:val="20"/>
          <w:szCs w:val="20"/>
        </w:rPr>
        <w:t> </w:t>
      </w:r>
    </w:p>
    <w:p w14:paraId="09A4AD03" w14:textId="77777777" w:rsidR="00000000" w:rsidRDefault="007125B5">
      <w:pPr>
        <w:pStyle w:val="a3"/>
        <w:spacing w:before="0" w:beforeAutospacing="0" w:after="0" w:afterAutospacing="0"/>
        <w:rPr>
          <w:sz w:val="20"/>
          <w:szCs w:val="20"/>
        </w:rPr>
      </w:pPr>
      <w:r>
        <w:rPr>
          <w:sz w:val="20"/>
          <w:szCs w:val="20"/>
        </w:rPr>
        <w:t> </w:t>
      </w:r>
    </w:p>
    <w:p w14:paraId="0D8E03C4" w14:textId="77777777" w:rsidR="00000000" w:rsidRDefault="007125B5">
      <w:pPr>
        <w:pStyle w:val="a3"/>
        <w:spacing w:before="0" w:beforeAutospacing="0" w:after="0" w:afterAutospacing="0"/>
        <w:rPr>
          <w:sz w:val="20"/>
          <w:szCs w:val="20"/>
        </w:rPr>
      </w:pPr>
      <w:r>
        <w:rPr>
          <w:sz w:val="20"/>
          <w:szCs w:val="20"/>
        </w:rPr>
        <w:t> </w:t>
      </w:r>
    </w:p>
    <w:p w14:paraId="1C33281C" w14:textId="77777777" w:rsidR="00000000" w:rsidRDefault="007125B5">
      <w:pPr>
        <w:pStyle w:val="a3"/>
        <w:spacing w:before="240" w:beforeAutospacing="0" w:after="0" w:afterAutospacing="0"/>
        <w:jc w:val="center"/>
        <w:rPr>
          <w:sz w:val="20"/>
          <w:szCs w:val="20"/>
        </w:rPr>
      </w:pPr>
      <w:r>
        <w:rPr>
          <w:sz w:val="20"/>
          <w:szCs w:val="20"/>
        </w:rPr>
        <w:t>i</w:t>
      </w:r>
    </w:p>
    <w:p w14:paraId="71966C99" w14:textId="77777777" w:rsidR="00000000" w:rsidRDefault="007125B5">
      <w:pPr>
        <w:rPr>
          <w:rFonts w:eastAsia="Times New Roman"/>
        </w:rPr>
      </w:pPr>
      <w:r>
        <w:rPr>
          <w:rFonts w:eastAsia="Times New Roman"/>
        </w:rPr>
        <w:pict w14:anchorId="34163AED">
          <v:rect id="_x0000_i1026" style="width:415.3pt;height:1.5pt" o:hralign="center" o:hrstd="t" o:hr="t" fillcolor="#a0a0a0" stroked="f"/>
        </w:pict>
      </w:r>
    </w:p>
    <w:p w14:paraId="32D10CCA" w14:textId="77777777" w:rsidR="00000000" w:rsidRDefault="007125B5">
      <w:pPr>
        <w:pStyle w:val="a3"/>
        <w:spacing w:before="0" w:beforeAutospacing="0" w:after="0" w:afterAutospacing="0"/>
        <w:rPr>
          <w:sz w:val="20"/>
          <w:szCs w:val="20"/>
        </w:rPr>
      </w:pPr>
      <w:r>
        <w:rPr>
          <w:sz w:val="20"/>
          <w:szCs w:val="20"/>
        </w:rPr>
        <w:t> </w:t>
      </w:r>
    </w:p>
    <w:p w14:paraId="18E467BE" w14:textId="77777777" w:rsidR="00000000" w:rsidRDefault="007125B5">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14:paraId="0D6CAD02" w14:textId="77777777" w:rsidR="00000000" w:rsidRDefault="007125B5">
      <w:pPr>
        <w:pStyle w:val="a3"/>
        <w:spacing w:before="120" w:beforeAutospacing="0" w:after="0" w:afterAutospacing="0"/>
        <w:rPr>
          <w:b/>
          <w:bCs/>
          <w:sz w:val="20"/>
          <w:szCs w:val="20"/>
        </w:rPr>
      </w:pPr>
      <w:bookmarkStart w:id="3" w:name="ITEM_1_FINANCIAL_STATEMENTS"/>
      <w:r>
        <w:rPr>
          <w:b/>
          <w:bCs/>
          <w:sz w:val="20"/>
          <w:szCs w:val="20"/>
        </w:rPr>
        <w:t>Item</w:t>
      </w:r>
      <w:bookmarkEnd w:id="3"/>
      <w:r>
        <w:rPr>
          <w:b/>
          <w:bCs/>
          <w:sz w:val="20"/>
          <w:szCs w:val="20"/>
        </w:rPr>
        <w:t xml:space="preserve"> 1. Financial Statements.</w:t>
      </w:r>
    </w:p>
    <w:p w14:paraId="1D35D60F" w14:textId="77777777" w:rsidR="00000000" w:rsidRDefault="007125B5">
      <w:pPr>
        <w:pStyle w:val="a3"/>
        <w:spacing w:before="120" w:beforeAutospacing="0" w:after="0" w:afterAutospacing="0"/>
        <w:jc w:val="center"/>
        <w:rPr>
          <w:b/>
          <w:bCs/>
          <w:color w:val="000000"/>
          <w:sz w:val="20"/>
          <w:szCs w:val="20"/>
        </w:rPr>
      </w:pPr>
      <w:r>
        <w:rPr>
          <w:b/>
          <w:bCs/>
          <w:color w:val="000000"/>
          <w:sz w:val="20"/>
          <w:szCs w:val="20"/>
        </w:rPr>
        <w:t xml:space="preserve">MONTROSE ENVIRONMENTAL GROUP, INC. </w:t>
      </w:r>
    </w:p>
    <w:p w14:paraId="3561B6FF" w14:textId="77777777" w:rsidR="00000000" w:rsidRDefault="007125B5">
      <w:pPr>
        <w:pStyle w:val="a3"/>
        <w:spacing w:before="0" w:beforeAutospacing="0" w:after="0" w:afterAutospacing="0"/>
        <w:jc w:val="center"/>
        <w:rPr>
          <w:b/>
          <w:bCs/>
          <w:color w:val="000000"/>
          <w:sz w:val="20"/>
          <w:szCs w:val="20"/>
        </w:rPr>
      </w:pPr>
      <w:bookmarkStart w:id="4" w:name="UNAUDITED_CONDENSED_CONSOLIDATED_BS"/>
      <w:bookmarkEnd w:id="4"/>
      <w:r>
        <w:rPr>
          <w:b/>
          <w:bCs/>
          <w:color w:val="000000"/>
          <w:sz w:val="20"/>
          <w:szCs w:val="20"/>
        </w:rPr>
        <w:t>UNAUDITED CONDENSED CONSOLIDATED STATEMENTS OF FINANCIAL POSITION</w:t>
      </w:r>
    </w:p>
    <w:p w14:paraId="00B61B4C" w14:textId="77777777" w:rsidR="00000000" w:rsidRDefault="007125B5">
      <w:pPr>
        <w:pStyle w:val="a3"/>
        <w:spacing w:before="0" w:beforeAutospacing="0" w:after="0" w:afterAutospacing="0"/>
        <w:jc w:val="center"/>
        <w:rPr>
          <w:b/>
          <w:bCs/>
          <w:sz w:val="20"/>
          <w:szCs w:val="20"/>
        </w:rPr>
      </w:pPr>
      <w:r>
        <w:rPr>
          <w:b/>
          <w:bCs/>
          <w:sz w:val="20"/>
          <w:szCs w:val="20"/>
        </w:rPr>
        <w:t>(In thousands, except share data)</w:t>
      </w:r>
    </w:p>
    <w:tbl>
      <w:tblPr>
        <w:tblW w:w="5000" w:type="pct"/>
        <w:jc w:val="center"/>
        <w:tblCellMar>
          <w:left w:w="0" w:type="dxa"/>
          <w:right w:w="0" w:type="dxa"/>
        </w:tblCellMar>
        <w:tblLook w:val="04A0" w:firstRow="1" w:lastRow="0" w:firstColumn="1" w:lastColumn="0" w:noHBand="0" w:noVBand="1"/>
      </w:tblPr>
      <w:tblGrid>
        <w:gridCol w:w="5558"/>
        <w:gridCol w:w="128"/>
        <w:gridCol w:w="105"/>
        <w:gridCol w:w="1063"/>
        <w:gridCol w:w="77"/>
        <w:gridCol w:w="129"/>
        <w:gridCol w:w="105"/>
        <w:gridCol w:w="1064"/>
        <w:gridCol w:w="77"/>
      </w:tblGrid>
      <w:tr w:rsidR="00000000" w14:paraId="6E771F97" w14:textId="77777777">
        <w:trPr>
          <w:divId w:val="572467841"/>
          <w:jc w:val="center"/>
        </w:trPr>
        <w:tc>
          <w:tcPr>
            <w:tcW w:w="3349" w:type="pct"/>
            <w:shd w:val="clear" w:color="auto" w:fill="FFFFFF"/>
            <w:tcMar>
              <w:top w:w="15" w:type="dxa"/>
              <w:left w:w="0" w:type="dxa"/>
              <w:bottom w:w="0" w:type="dxa"/>
              <w:right w:w="15" w:type="dxa"/>
            </w:tcMar>
            <w:vAlign w:val="bottom"/>
            <w:hideMark/>
          </w:tcPr>
          <w:p w14:paraId="6541F119"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2DCB38A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68494B8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5EE3C40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62E4F52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049E79A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4EAD6E8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DA252FF" w14:textId="77777777">
        <w:trPr>
          <w:divId w:val="572467841"/>
          <w:jc w:val="center"/>
        </w:trPr>
        <w:tc>
          <w:tcPr>
            <w:tcW w:w="3349" w:type="pct"/>
            <w:shd w:val="clear" w:color="auto" w:fill="FFFFFF"/>
            <w:tcMar>
              <w:top w:w="15" w:type="dxa"/>
              <w:left w:w="0" w:type="dxa"/>
              <w:bottom w:w="0" w:type="dxa"/>
              <w:right w:w="15" w:type="dxa"/>
            </w:tcMar>
            <w:vAlign w:val="bottom"/>
            <w:hideMark/>
          </w:tcPr>
          <w:p w14:paraId="6B03D42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0CEF809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5B25DEC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6E046A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7503E7C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31E0DA4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A23773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182287D" w14:textId="77777777">
        <w:trPr>
          <w:divId w:val="572467841"/>
          <w:jc w:val="center"/>
        </w:trPr>
        <w:tc>
          <w:tcPr>
            <w:tcW w:w="3349" w:type="pct"/>
            <w:shd w:val="clear" w:color="auto" w:fill="CFF0FC"/>
            <w:tcMar>
              <w:top w:w="15" w:type="dxa"/>
              <w:left w:w="0" w:type="dxa"/>
              <w:bottom w:w="0" w:type="dxa"/>
              <w:right w:w="15" w:type="dxa"/>
            </w:tcMar>
            <w:hideMark/>
          </w:tcPr>
          <w:p w14:paraId="3756F9CC" w14:textId="77777777" w:rsidR="00000000" w:rsidRDefault="007125B5">
            <w:pPr>
              <w:pStyle w:val="a3"/>
              <w:spacing w:before="0" w:beforeAutospacing="0" w:after="0" w:afterAutospacing="0"/>
              <w:rPr>
                <w:b/>
                <w:bCs/>
                <w:color w:val="000000"/>
                <w:sz w:val="18"/>
                <w:szCs w:val="18"/>
              </w:rPr>
            </w:pPr>
            <w:r>
              <w:rPr>
                <w:b/>
                <w:bCs/>
                <w:color w:val="000000"/>
                <w:sz w:val="18"/>
                <w:szCs w:val="18"/>
              </w:rPr>
              <w:t>ASSETS</w:t>
            </w:r>
          </w:p>
        </w:tc>
        <w:tc>
          <w:tcPr>
            <w:tcW w:w="81" w:type="pct"/>
            <w:shd w:val="clear" w:color="auto" w:fill="CFF0FC"/>
            <w:tcMar>
              <w:top w:w="15" w:type="dxa"/>
              <w:left w:w="0" w:type="dxa"/>
              <w:bottom w:w="0" w:type="dxa"/>
              <w:right w:w="15" w:type="dxa"/>
            </w:tcMar>
            <w:vAlign w:val="bottom"/>
            <w:hideMark/>
          </w:tcPr>
          <w:p w14:paraId="1EB9D5F0" w14:textId="77777777" w:rsidR="00000000" w:rsidRDefault="007125B5">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510EF5"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2B7C4BD"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F036A8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111B0EE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181E9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65A8329"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966A2DA"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36E7C7B4" w14:textId="77777777">
        <w:trPr>
          <w:divId w:val="572467841"/>
          <w:jc w:val="center"/>
        </w:trPr>
        <w:tc>
          <w:tcPr>
            <w:tcW w:w="3349" w:type="pct"/>
            <w:shd w:val="clear" w:color="auto" w:fill="FFFFFF"/>
            <w:tcMar>
              <w:top w:w="15" w:type="dxa"/>
              <w:left w:w="0" w:type="dxa"/>
              <w:bottom w:w="0" w:type="dxa"/>
              <w:right w:w="15" w:type="dxa"/>
            </w:tcMar>
            <w:hideMark/>
          </w:tcPr>
          <w:p w14:paraId="39580C17" w14:textId="77777777" w:rsidR="00000000" w:rsidRDefault="007125B5">
            <w:pPr>
              <w:pStyle w:val="a3"/>
              <w:spacing w:before="0" w:beforeAutospacing="0" w:after="0" w:afterAutospacing="0"/>
              <w:rPr>
                <w:color w:val="000000"/>
                <w:sz w:val="18"/>
                <w:szCs w:val="18"/>
              </w:rPr>
            </w:pPr>
            <w:r>
              <w:rPr>
                <w:color w:val="000000"/>
                <w:sz w:val="18"/>
                <w:szCs w:val="18"/>
              </w:rPr>
              <w:t>CURRENT ASSETS:</w:t>
            </w:r>
          </w:p>
        </w:tc>
        <w:tc>
          <w:tcPr>
            <w:tcW w:w="81" w:type="pct"/>
            <w:shd w:val="clear" w:color="auto" w:fill="FFFFFF"/>
            <w:tcMar>
              <w:top w:w="15" w:type="dxa"/>
              <w:left w:w="0" w:type="dxa"/>
              <w:bottom w:w="0" w:type="dxa"/>
              <w:right w:w="15" w:type="dxa"/>
            </w:tcMar>
            <w:vAlign w:val="bottom"/>
            <w:hideMark/>
          </w:tcPr>
          <w:p w14:paraId="01D4AF8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75F0B2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43C0F6B"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285F7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AE2A80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55DC6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CF63C67"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783074"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2002920A" w14:textId="77777777">
        <w:trPr>
          <w:divId w:val="572467841"/>
          <w:jc w:val="center"/>
        </w:trPr>
        <w:tc>
          <w:tcPr>
            <w:tcW w:w="3349" w:type="pct"/>
            <w:shd w:val="clear" w:color="auto" w:fill="CFF0FC"/>
            <w:tcMar>
              <w:top w:w="15" w:type="dxa"/>
              <w:left w:w="0" w:type="dxa"/>
              <w:bottom w:w="0" w:type="dxa"/>
              <w:right w:w="15" w:type="dxa"/>
            </w:tcMar>
            <w:hideMark/>
          </w:tcPr>
          <w:p w14:paraId="74E51E14" w14:textId="77777777" w:rsidR="00000000" w:rsidRDefault="007125B5">
            <w:pPr>
              <w:pStyle w:val="a3"/>
              <w:spacing w:before="0" w:beforeAutospacing="0" w:after="0" w:afterAutospacing="0"/>
              <w:ind w:left="274"/>
              <w:rPr>
                <w:color w:val="000000"/>
                <w:sz w:val="18"/>
                <w:szCs w:val="18"/>
              </w:rPr>
            </w:pPr>
            <w:r>
              <w:rPr>
                <w:color w:val="000000"/>
                <w:sz w:val="18"/>
                <w:szCs w:val="18"/>
              </w:rPr>
              <w:t>Cash and restricted cash</w:t>
            </w:r>
          </w:p>
        </w:tc>
        <w:tc>
          <w:tcPr>
            <w:tcW w:w="81" w:type="pct"/>
            <w:shd w:val="clear" w:color="auto" w:fill="CFF0FC"/>
            <w:tcMar>
              <w:top w:w="15" w:type="dxa"/>
              <w:left w:w="0" w:type="dxa"/>
              <w:bottom w:w="0" w:type="dxa"/>
              <w:right w:w="15" w:type="dxa"/>
            </w:tcMar>
            <w:vAlign w:val="bottom"/>
            <w:hideMark/>
          </w:tcPr>
          <w:p w14:paraId="14BFCF5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D83046B"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shd w:val="clear" w:color="auto" w:fill="CFF0FC"/>
            <w:noWrap/>
            <w:tcMar>
              <w:top w:w="15" w:type="dxa"/>
              <w:left w:w="0" w:type="dxa"/>
              <w:bottom w:w="0" w:type="dxa"/>
              <w:right w:w="15" w:type="dxa"/>
            </w:tcMar>
            <w:vAlign w:val="bottom"/>
            <w:hideMark/>
          </w:tcPr>
          <w:p w14:paraId="464D4A59" w14:textId="77777777" w:rsidR="00000000" w:rsidRDefault="007125B5">
            <w:pPr>
              <w:pStyle w:val="a3"/>
              <w:spacing w:before="0" w:beforeAutospacing="0" w:after="0" w:afterAutospacing="0"/>
              <w:jc w:val="right"/>
              <w:rPr>
                <w:color w:val="000000"/>
                <w:sz w:val="18"/>
                <w:szCs w:val="18"/>
              </w:rPr>
            </w:pPr>
            <w:r>
              <w:rPr>
                <w:color w:val="000000"/>
                <w:sz w:val="18"/>
                <w:szCs w:val="18"/>
              </w:rPr>
              <w:t>44,814</w:t>
            </w:r>
          </w:p>
        </w:tc>
        <w:tc>
          <w:tcPr>
            <w:tcW w:w="50" w:type="pct"/>
            <w:shd w:val="clear" w:color="auto" w:fill="CFF0FC"/>
            <w:noWrap/>
            <w:tcMar>
              <w:top w:w="15" w:type="dxa"/>
              <w:left w:w="0" w:type="dxa"/>
              <w:bottom w:w="0" w:type="dxa"/>
              <w:right w:w="15" w:type="dxa"/>
            </w:tcMar>
            <w:vAlign w:val="bottom"/>
            <w:hideMark/>
          </w:tcPr>
          <w:p w14:paraId="1E2A0B2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4DF9BFD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1406BB4"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shd w:val="clear" w:color="auto" w:fill="CFF0FC"/>
            <w:noWrap/>
            <w:tcMar>
              <w:top w:w="15" w:type="dxa"/>
              <w:left w:w="0" w:type="dxa"/>
              <w:bottom w:w="0" w:type="dxa"/>
              <w:right w:w="15" w:type="dxa"/>
            </w:tcMar>
            <w:vAlign w:val="bottom"/>
            <w:hideMark/>
          </w:tcPr>
          <w:p w14:paraId="1F708367" w14:textId="77777777" w:rsidR="00000000" w:rsidRDefault="007125B5">
            <w:pPr>
              <w:pStyle w:val="a3"/>
              <w:spacing w:before="0" w:beforeAutospacing="0" w:after="0" w:afterAutospacing="0"/>
              <w:jc w:val="right"/>
              <w:rPr>
                <w:color w:val="000000"/>
                <w:sz w:val="18"/>
                <w:szCs w:val="18"/>
              </w:rPr>
            </w:pPr>
            <w:r>
              <w:rPr>
                <w:color w:val="000000"/>
                <w:sz w:val="18"/>
                <w:szCs w:val="18"/>
              </w:rPr>
              <w:t>6,884</w:t>
            </w:r>
          </w:p>
        </w:tc>
        <w:tc>
          <w:tcPr>
            <w:tcW w:w="50" w:type="pct"/>
            <w:shd w:val="clear" w:color="auto" w:fill="CFF0FC"/>
            <w:noWrap/>
            <w:tcMar>
              <w:top w:w="15" w:type="dxa"/>
              <w:left w:w="0" w:type="dxa"/>
              <w:bottom w:w="0" w:type="dxa"/>
              <w:right w:w="15" w:type="dxa"/>
            </w:tcMar>
            <w:vAlign w:val="bottom"/>
            <w:hideMark/>
          </w:tcPr>
          <w:p w14:paraId="3A6DC3F0"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300BC67D" w14:textId="77777777">
        <w:trPr>
          <w:divId w:val="572467841"/>
          <w:jc w:val="center"/>
        </w:trPr>
        <w:tc>
          <w:tcPr>
            <w:tcW w:w="3349" w:type="pct"/>
            <w:shd w:val="clear" w:color="auto" w:fill="FFFFFF"/>
            <w:tcMar>
              <w:top w:w="15" w:type="dxa"/>
              <w:left w:w="0" w:type="dxa"/>
              <w:bottom w:w="0" w:type="dxa"/>
              <w:right w:w="15" w:type="dxa"/>
            </w:tcMar>
            <w:hideMark/>
          </w:tcPr>
          <w:p w14:paraId="1DA93C23" w14:textId="77777777" w:rsidR="00000000" w:rsidRDefault="007125B5">
            <w:pPr>
              <w:pStyle w:val="a3"/>
              <w:spacing w:before="0" w:beforeAutospacing="0" w:after="0" w:afterAutospacing="0"/>
              <w:ind w:left="274"/>
              <w:rPr>
                <w:color w:val="000000"/>
                <w:sz w:val="18"/>
                <w:szCs w:val="18"/>
              </w:rPr>
            </w:pPr>
            <w:r>
              <w:rPr>
                <w:color w:val="000000"/>
                <w:sz w:val="18"/>
                <w:szCs w:val="18"/>
              </w:rPr>
              <w:t>Accounts receivable—net</w:t>
            </w:r>
          </w:p>
        </w:tc>
        <w:tc>
          <w:tcPr>
            <w:tcW w:w="81" w:type="pct"/>
            <w:shd w:val="clear" w:color="auto" w:fill="FFFFFF"/>
            <w:tcMar>
              <w:top w:w="15" w:type="dxa"/>
              <w:left w:w="0" w:type="dxa"/>
              <w:bottom w:w="0" w:type="dxa"/>
              <w:right w:w="15" w:type="dxa"/>
            </w:tcMar>
            <w:vAlign w:val="bottom"/>
            <w:hideMark/>
          </w:tcPr>
          <w:p w14:paraId="0074CE8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23D34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256D3A84" w14:textId="77777777" w:rsidR="00000000" w:rsidRDefault="007125B5">
            <w:pPr>
              <w:pStyle w:val="a3"/>
              <w:spacing w:before="0" w:beforeAutospacing="0" w:after="0" w:afterAutospacing="0"/>
              <w:jc w:val="right"/>
              <w:rPr>
                <w:color w:val="000000"/>
                <w:sz w:val="18"/>
                <w:szCs w:val="18"/>
              </w:rPr>
            </w:pPr>
            <w:r>
              <w:rPr>
                <w:color w:val="000000"/>
                <w:sz w:val="18"/>
                <w:szCs w:val="18"/>
              </w:rPr>
              <w:t>43,255</w:t>
            </w:r>
          </w:p>
        </w:tc>
        <w:tc>
          <w:tcPr>
            <w:tcW w:w="50" w:type="pct"/>
            <w:shd w:val="clear" w:color="auto" w:fill="FFFFFF"/>
            <w:noWrap/>
            <w:tcMar>
              <w:top w:w="15" w:type="dxa"/>
              <w:left w:w="0" w:type="dxa"/>
              <w:bottom w:w="0" w:type="dxa"/>
              <w:right w:w="15" w:type="dxa"/>
            </w:tcMar>
            <w:vAlign w:val="bottom"/>
            <w:hideMark/>
          </w:tcPr>
          <w:p w14:paraId="6A6A924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1579EE4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1B77C3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72593C2" w14:textId="77777777" w:rsidR="00000000" w:rsidRDefault="007125B5">
            <w:pPr>
              <w:pStyle w:val="a3"/>
              <w:spacing w:before="0" w:beforeAutospacing="0" w:after="0" w:afterAutospacing="0"/>
              <w:jc w:val="right"/>
              <w:rPr>
                <w:color w:val="000000"/>
                <w:sz w:val="18"/>
                <w:szCs w:val="18"/>
              </w:rPr>
            </w:pPr>
            <w:r>
              <w:rPr>
                <w:color w:val="000000"/>
                <w:sz w:val="18"/>
                <w:szCs w:val="18"/>
              </w:rPr>
              <w:t>45,927</w:t>
            </w:r>
          </w:p>
        </w:tc>
        <w:tc>
          <w:tcPr>
            <w:tcW w:w="50" w:type="pct"/>
            <w:shd w:val="clear" w:color="auto" w:fill="FFFFFF"/>
            <w:noWrap/>
            <w:tcMar>
              <w:top w:w="15" w:type="dxa"/>
              <w:left w:w="0" w:type="dxa"/>
              <w:bottom w:w="0" w:type="dxa"/>
              <w:right w:w="15" w:type="dxa"/>
            </w:tcMar>
            <w:vAlign w:val="bottom"/>
            <w:hideMark/>
          </w:tcPr>
          <w:p w14:paraId="77A27FBF"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501D5090" w14:textId="77777777">
        <w:trPr>
          <w:divId w:val="572467841"/>
          <w:jc w:val="center"/>
        </w:trPr>
        <w:tc>
          <w:tcPr>
            <w:tcW w:w="3349" w:type="pct"/>
            <w:shd w:val="clear" w:color="auto" w:fill="CFF0FC"/>
            <w:tcMar>
              <w:top w:w="15" w:type="dxa"/>
              <w:left w:w="0" w:type="dxa"/>
              <w:bottom w:w="0" w:type="dxa"/>
              <w:right w:w="15" w:type="dxa"/>
            </w:tcMar>
            <w:hideMark/>
          </w:tcPr>
          <w:p w14:paraId="4ECA65E0" w14:textId="77777777" w:rsidR="00000000" w:rsidRDefault="007125B5">
            <w:pPr>
              <w:pStyle w:val="a3"/>
              <w:spacing w:before="0" w:beforeAutospacing="0" w:after="0" w:afterAutospacing="0"/>
              <w:ind w:left="274"/>
              <w:rPr>
                <w:color w:val="000000"/>
                <w:sz w:val="18"/>
                <w:szCs w:val="18"/>
              </w:rPr>
            </w:pPr>
            <w:r>
              <w:rPr>
                <w:color w:val="000000"/>
                <w:sz w:val="18"/>
                <w:szCs w:val="18"/>
              </w:rPr>
              <w:t>Contract assets</w:t>
            </w:r>
          </w:p>
        </w:tc>
        <w:tc>
          <w:tcPr>
            <w:tcW w:w="81" w:type="pct"/>
            <w:shd w:val="clear" w:color="auto" w:fill="CFF0FC"/>
            <w:tcMar>
              <w:top w:w="15" w:type="dxa"/>
              <w:left w:w="0" w:type="dxa"/>
              <w:bottom w:w="0" w:type="dxa"/>
              <w:right w:w="15" w:type="dxa"/>
            </w:tcMar>
            <w:vAlign w:val="bottom"/>
            <w:hideMark/>
          </w:tcPr>
          <w:p w14:paraId="45B3329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6A9B4F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790FC5E" w14:textId="77777777" w:rsidR="00000000" w:rsidRDefault="007125B5">
            <w:pPr>
              <w:pStyle w:val="a3"/>
              <w:spacing w:before="0" w:beforeAutospacing="0" w:after="0" w:afterAutospacing="0"/>
              <w:jc w:val="right"/>
              <w:rPr>
                <w:color w:val="000000"/>
                <w:sz w:val="18"/>
                <w:szCs w:val="18"/>
              </w:rPr>
            </w:pPr>
            <w:r>
              <w:rPr>
                <w:color w:val="000000"/>
                <w:sz w:val="18"/>
                <w:szCs w:val="18"/>
              </w:rPr>
              <w:t>22,775</w:t>
            </w:r>
          </w:p>
        </w:tc>
        <w:tc>
          <w:tcPr>
            <w:tcW w:w="50" w:type="pct"/>
            <w:shd w:val="clear" w:color="auto" w:fill="CFF0FC"/>
            <w:noWrap/>
            <w:tcMar>
              <w:top w:w="15" w:type="dxa"/>
              <w:left w:w="0" w:type="dxa"/>
              <w:bottom w:w="0" w:type="dxa"/>
              <w:right w:w="15" w:type="dxa"/>
            </w:tcMar>
            <w:vAlign w:val="bottom"/>
            <w:hideMark/>
          </w:tcPr>
          <w:p w14:paraId="502E6D4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02403E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0B79CF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F0CE7CD" w14:textId="77777777" w:rsidR="00000000" w:rsidRDefault="007125B5">
            <w:pPr>
              <w:pStyle w:val="a3"/>
              <w:spacing w:before="0" w:beforeAutospacing="0" w:after="0" w:afterAutospacing="0"/>
              <w:jc w:val="right"/>
              <w:rPr>
                <w:color w:val="000000"/>
                <w:sz w:val="18"/>
                <w:szCs w:val="18"/>
              </w:rPr>
            </w:pPr>
            <w:r>
              <w:rPr>
                <w:color w:val="000000"/>
                <w:sz w:val="18"/>
                <w:szCs w:val="18"/>
              </w:rPr>
              <w:t>13,605</w:t>
            </w:r>
          </w:p>
        </w:tc>
        <w:tc>
          <w:tcPr>
            <w:tcW w:w="50" w:type="pct"/>
            <w:shd w:val="clear" w:color="auto" w:fill="CFF0FC"/>
            <w:noWrap/>
            <w:tcMar>
              <w:top w:w="15" w:type="dxa"/>
              <w:left w:w="0" w:type="dxa"/>
              <w:bottom w:w="0" w:type="dxa"/>
              <w:right w:w="15" w:type="dxa"/>
            </w:tcMar>
            <w:vAlign w:val="bottom"/>
            <w:hideMark/>
          </w:tcPr>
          <w:p w14:paraId="6D256EEC"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59887BF2" w14:textId="77777777">
        <w:trPr>
          <w:divId w:val="572467841"/>
          <w:jc w:val="center"/>
        </w:trPr>
        <w:tc>
          <w:tcPr>
            <w:tcW w:w="3349" w:type="pct"/>
            <w:shd w:val="clear" w:color="auto" w:fill="FFFFFF"/>
            <w:tcMar>
              <w:top w:w="15" w:type="dxa"/>
              <w:left w:w="0" w:type="dxa"/>
              <w:bottom w:w="0" w:type="dxa"/>
              <w:right w:w="15" w:type="dxa"/>
            </w:tcMar>
            <w:hideMark/>
          </w:tcPr>
          <w:p w14:paraId="0FA895D5" w14:textId="77777777" w:rsidR="00000000" w:rsidRDefault="007125B5">
            <w:pPr>
              <w:pStyle w:val="a3"/>
              <w:spacing w:before="0" w:beforeAutospacing="0" w:after="0" w:afterAutospacing="0"/>
              <w:ind w:left="274"/>
              <w:rPr>
                <w:color w:val="000000"/>
                <w:sz w:val="18"/>
                <w:szCs w:val="18"/>
              </w:rPr>
            </w:pPr>
            <w:r>
              <w:rPr>
                <w:color w:val="000000"/>
                <w:sz w:val="18"/>
                <w:szCs w:val="18"/>
              </w:rPr>
              <w:t>Prepaid and other current assets</w:t>
            </w:r>
          </w:p>
        </w:tc>
        <w:tc>
          <w:tcPr>
            <w:tcW w:w="81" w:type="pct"/>
            <w:shd w:val="clear" w:color="auto" w:fill="FFFFFF"/>
            <w:tcMar>
              <w:top w:w="15" w:type="dxa"/>
              <w:left w:w="0" w:type="dxa"/>
              <w:bottom w:w="0" w:type="dxa"/>
              <w:right w:w="15" w:type="dxa"/>
            </w:tcMar>
            <w:vAlign w:val="bottom"/>
            <w:hideMark/>
          </w:tcPr>
          <w:p w14:paraId="5188C6F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4619F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75E2A70" w14:textId="77777777" w:rsidR="00000000" w:rsidRDefault="007125B5">
            <w:pPr>
              <w:pStyle w:val="a3"/>
              <w:spacing w:before="0" w:beforeAutospacing="0" w:after="0" w:afterAutospacing="0"/>
              <w:jc w:val="right"/>
              <w:rPr>
                <w:color w:val="000000"/>
                <w:sz w:val="18"/>
                <w:szCs w:val="18"/>
              </w:rPr>
            </w:pPr>
            <w:r>
              <w:rPr>
                <w:color w:val="000000"/>
                <w:sz w:val="18"/>
                <w:szCs w:val="18"/>
              </w:rPr>
              <w:t>10,194</w:t>
            </w:r>
          </w:p>
        </w:tc>
        <w:tc>
          <w:tcPr>
            <w:tcW w:w="50" w:type="pct"/>
            <w:shd w:val="clear" w:color="auto" w:fill="FFFFFF"/>
            <w:noWrap/>
            <w:tcMar>
              <w:top w:w="15" w:type="dxa"/>
              <w:left w:w="0" w:type="dxa"/>
              <w:bottom w:w="0" w:type="dxa"/>
              <w:right w:w="15" w:type="dxa"/>
            </w:tcMar>
            <w:vAlign w:val="bottom"/>
            <w:hideMark/>
          </w:tcPr>
          <w:p w14:paraId="628ED62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1CB9F98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5A73AD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1B8A034F" w14:textId="77777777" w:rsidR="00000000" w:rsidRDefault="007125B5">
            <w:pPr>
              <w:pStyle w:val="a3"/>
              <w:spacing w:before="0" w:beforeAutospacing="0" w:after="0" w:afterAutospacing="0"/>
              <w:jc w:val="right"/>
              <w:rPr>
                <w:color w:val="000000"/>
                <w:sz w:val="18"/>
                <w:szCs w:val="18"/>
              </w:rPr>
            </w:pPr>
            <w:r>
              <w:rPr>
                <w:color w:val="000000"/>
                <w:sz w:val="18"/>
                <w:szCs w:val="18"/>
              </w:rPr>
              <w:t>6,823</w:t>
            </w:r>
          </w:p>
        </w:tc>
        <w:tc>
          <w:tcPr>
            <w:tcW w:w="50" w:type="pct"/>
            <w:shd w:val="clear" w:color="auto" w:fill="FFFFFF"/>
            <w:noWrap/>
            <w:tcMar>
              <w:top w:w="15" w:type="dxa"/>
              <w:left w:w="0" w:type="dxa"/>
              <w:bottom w:w="0" w:type="dxa"/>
              <w:right w:w="15" w:type="dxa"/>
            </w:tcMar>
            <w:vAlign w:val="bottom"/>
            <w:hideMark/>
          </w:tcPr>
          <w:p w14:paraId="18ADAB11"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0F576E06" w14:textId="77777777">
        <w:trPr>
          <w:divId w:val="572467841"/>
          <w:jc w:val="center"/>
        </w:trPr>
        <w:tc>
          <w:tcPr>
            <w:tcW w:w="3349" w:type="pct"/>
            <w:shd w:val="clear" w:color="auto" w:fill="CFF0FC"/>
            <w:tcMar>
              <w:top w:w="15" w:type="dxa"/>
              <w:left w:w="0" w:type="dxa"/>
              <w:bottom w:w="0" w:type="dxa"/>
              <w:right w:w="15" w:type="dxa"/>
            </w:tcMar>
            <w:hideMark/>
          </w:tcPr>
          <w:p w14:paraId="6407EBC6" w14:textId="77777777" w:rsidR="00000000" w:rsidRDefault="007125B5">
            <w:pPr>
              <w:pStyle w:val="a3"/>
              <w:spacing w:before="0" w:beforeAutospacing="0" w:after="0" w:afterAutospacing="0"/>
              <w:ind w:left="547"/>
              <w:rPr>
                <w:color w:val="000000"/>
                <w:sz w:val="18"/>
                <w:szCs w:val="18"/>
              </w:rPr>
            </w:pPr>
            <w:r>
              <w:rPr>
                <w:color w:val="000000"/>
                <w:sz w:val="18"/>
                <w:szCs w:val="18"/>
              </w:rPr>
              <w:lastRenderedPageBreak/>
              <w:t>Total current assets</w:t>
            </w:r>
          </w:p>
        </w:tc>
        <w:tc>
          <w:tcPr>
            <w:tcW w:w="81" w:type="pct"/>
            <w:shd w:val="clear" w:color="auto" w:fill="CFF0FC"/>
            <w:tcMar>
              <w:top w:w="15" w:type="dxa"/>
              <w:left w:w="0" w:type="dxa"/>
              <w:bottom w:w="0" w:type="dxa"/>
              <w:right w:w="15" w:type="dxa"/>
            </w:tcMar>
            <w:vAlign w:val="bottom"/>
            <w:hideMark/>
          </w:tcPr>
          <w:p w14:paraId="1EECE43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FD0C2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06C7B752" w14:textId="77777777" w:rsidR="00000000" w:rsidRDefault="007125B5">
            <w:pPr>
              <w:pStyle w:val="a3"/>
              <w:spacing w:before="0" w:beforeAutospacing="0" w:after="0" w:afterAutospacing="0"/>
              <w:jc w:val="right"/>
              <w:rPr>
                <w:color w:val="000000"/>
                <w:sz w:val="18"/>
                <w:szCs w:val="18"/>
              </w:rPr>
            </w:pPr>
            <w:r>
              <w:rPr>
                <w:color w:val="000000"/>
                <w:sz w:val="18"/>
                <w:szCs w:val="18"/>
              </w:rPr>
              <w:t>121,038</w:t>
            </w:r>
          </w:p>
        </w:tc>
        <w:tc>
          <w:tcPr>
            <w:tcW w:w="50" w:type="pct"/>
            <w:shd w:val="clear" w:color="auto" w:fill="CFF0FC"/>
            <w:noWrap/>
            <w:tcMar>
              <w:top w:w="15" w:type="dxa"/>
              <w:left w:w="0" w:type="dxa"/>
              <w:bottom w:w="0" w:type="dxa"/>
              <w:right w:w="15" w:type="dxa"/>
            </w:tcMar>
            <w:vAlign w:val="bottom"/>
            <w:hideMark/>
          </w:tcPr>
          <w:p w14:paraId="36D06A0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74807E7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7FD32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2D43CD6" w14:textId="77777777" w:rsidR="00000000" w:rsidRDefault="007125B5">
            <w:pPr>
              <w:pStyle w:val="a3"/>
              <w:spacing w:before="0" w:beforeAutospacing="0" w:after="0" w:afterAutospacing="0"/>
              <w:jc w:val="right"/>
              <w:rPr>
                <w:color w:val="000000"/>
                <w:sz w:val="18"/>
                <w:szCs w:val="18"/>
              </w:rPr>
            </w:pPr>
            <w:r>
              <w:rPr>
                <w:color w:val="000000"/>
                <w:sz w:val="18"/>
                <w:szCs w:val="18"/>
              </w:rPr>
              <w:t>73,239</w:t>
            </w:r>
          </w:p>
        </w:tc>
        <w:tc>
          <w:tcPr>
            <w:tcW w:w="50" w:type="pct"/>
            <w:shd w:val="clear" w:color="auto" w:fill="CFF0FC"/>
            <w:noWrap/>
            <w:tcMar>
              <w:top w:w="15" w:type="dxa"/>
              <w:left w:w="0" w:type="dxa"/>
              <w:bottom w:w="0" w:type="dxa"/>
              <w:right w:w="15" w:type="dxa"/>
            </w:tcMar>
            <w:vAlign w:val="bottom"/>
            <w:hideMark/>
          </w:tcPr>
          <w:p w14:paraId="632EA406"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24C72505" w14:textId="77777777">
        <w:trPr>
          <w:divId w:val="572467841"/>
          <w:jc w:val="center"/>
        </w:trPr>
        <w:tc>
          <w:tcPr>
            <w:tcW w:w="3349" w:type="pct"/>
            <w:shd w:val="clear" w:color="auto" w:fill="FFFFFF"/>
            <w:tcMar>
              <w:top w:w="15" w:type="dxa"/>
              <w:left w:w="0" w:type="dxa"/>
              <w:bottom w:w="0" w:type="dxa"/>
              <w:right w:w="15" w:type="dxa"/>
            </w:tcMar>
            <w:hideMark/>
          </w:tcPr>
          <w:p w14:paraId="2824889D" w14:textId="77777777" w:rsidR="00000000" w:rsidRDefault="007125B5">
            <w:pPr>
              <w:pStyle w:val="a3"/>
              <w:spacing w:before="0" w:beforeAutospacing="0" w:after="0" w:afterAutospacing="0"/>
              <w:rPr>
                <w:color w:val="000000"/>
                <w:sz w:val="18"/>
                <w:szCs w:val="18"/>
              </w:rPr>
            </w:pPr>
            <w:r>
              <w:rPr>
                <w:color w:val="000000"/>
                <w:sz w:val="18"/>
                <w:szCs w:val="18"/>
              </w:rPr>
              <w:t>NON-CURRENT ASSETS:</w:t>
            </w:r>
          </w:p>
        </w:tc>
        <w:tc>
          <w:tcPr>
            <w:tcW w:w="81" w:type="pct"/>
            <w:shd w:val="clear" w:color="auto" w:fill="FFFFFF"/>
            <w:tcMar>
              <w:top w:w="15" w:type="dxa"/>
              <w:left w:w="0" w:type="dxa"/>
              <w:bottom w:w="0" w:type="dxa"/>
              <w:right w:w="15" w:type="dxa"/>
            </w:tcMar>
            <w:vAlign w:val="bottom"/>
            <w:hideMark/>
          </w:tcPr>
          <w:p w14:paraId="1C99BDD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157E0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4091D6D2"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EB1A2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1757C255"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C7012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19834F6B"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8A7C15"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08710A3D" w14:textId="77777777">
        <w:trPr>
          <w:divId w:val="572467841"/>
          <w:jc w:val="center"/>
        </w:trPr>
        <w:tc>
          <w:tcPr>
            <w:tcW w:w="3349" w:type="pct"/>
            <w:shd w:val="clear" w:color="auto" w:fill="CFF0FC"/>
            <w:tcMar>
              <w:top w:w="15" w:type="dxa"/>
              <w:left w:w="0" w:type="dxa"/>
              <w:bottom w:w="0" w:type="dxa"/>
              <w:right w:w="15" w:type="dxa"/>
            </w:tcMar>
            <w:hideMark/>
          </w:tcPr>
          <w:p w14:paraId="06E4002B" w14:textId="77777777" w:rsidR="00000000" w:rsidRDefault="007125B5">
            <w:pPr>
              <w:pStyle w:val="a3"/>
              <w:spacing w:before="0" w:beforeAutospacing="0" w:after="0" w:afterAutospacing="0"/>
              <w:ind w:left="274"/>
              <w:rPr>
                <w:color w:val="000000"/>
                <w:sz w:val="18"/>
                <w:szCs w:val="18"/>
              </w:rPr>
            </w:pPr>
            <w:r>
              <w:rPr>
                <w:color w:val="000000"/>
                <w:sz w:val="18"/>
                <w:szCs w:val="18"/>
              </w:rPr>
              <w:t>Property and equipment—net</w:t>
            </w:r>
          </w:p>
        </w:tc>
        <w:tc>
          <w:tcPr>
            <w:tcW w:w="81" w:type="pct"/>
            <w:shd w:val="clear" w:color="auto" w:fill="CFF0FC"/>
            <w:tcMar>
              <w:top w:w="15" w:type="dxa"/>
              <w:left w:w="0" w:type="dxa"/>
              <w:bottom w:w="0" w:type="dxa"/>
              <w:right w:w="15" w:type="dxa"/>
            </w:tcMar>
            <w:vAlign w:val="bottom"/>
            <w:hideMark/>
          </w:tcPr>
          <w:p w14:paraId="73E732C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7950A1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BB0D491" w14:textId="77777777" w:rsidR="00000000" w:rsidRDefault="007125B5">
            <w:pPr>
              <w:pStyle w:val="a3"/>
              <w:spacing w:before="0" w:beforeAutospacing="0" w:after="0" w:afterAutospacing="0"/>
              <w:jc w:val="right"/>
              <w:rPr>
                <w:color w:val="000000"/>
                <w:sz w:val="18"/>
                <w:szCs w:val="18"/>
              </w:rPr>
            </w:pPr>
            <w:r>
              <w:rPr>
                <w:color w:val="000000"/>
                <w:sz w:val="18"/>
                <w:szCs w:val="18"/>
              </w:rPr>
              <w:t>34,771</w:t>
            </w:r>
          </w:p>
        </w:tc>
        <w:tc>
          <w:tcPr>
            <w:tcW w:w="50" w:type="pct"/>
            <w:shd w:val="clear" w:color="auto" w:fill="CFF0FC"/>
            <w:noWrap/>
            <w:tcMar>
              <w:top w:w="15" w:type="dxa"/>
              <w:left w:w="0" w:type="dxa"/>
              <w:bottom w:w="0" w:type="dxa"/>
              <w:right w:w="15" w:type="dxa"/>
            </w:tcMar>
            <w:vAlign w:val="bottom"/>
            <w:hideMark/>
          </w:tcPr>
          <w:p w14:paraId="49D7B21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72D7058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DFBCD3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FFD2B78" w14:textId="77777777" w:rsidR="00000000" w:rsidRDefault="007125B5">
            <w:pPr>
              <w:pStyle w:val="a3"/>
              <w:spacing w:before="0" w:beforeAutospacing="0" w:after="0" w:afterAutospacing="0"/>
              <w:jc w:val="right"/>
              <w:rPr>
                <w:color w:val="000000"/>
                <w:sz w:val="18"/>
                <w:szCs w:val="18"/>
              </w:rPr>
            </w:pPr>
            <w:r>
              <w:rPr>
                <w:color w:val="000000"/>
                <w:sz w:val="18"/>
                <w:szCs w:val="18"/>
              </w:rPr>
              <w:t>27,036</w:t>
            </w:r>
          </w:p>
        </w:tc>
        <w:tc>
          <w:tcPr>
            <w:tcW w:w="50" w:type="pct"/>
            <w:shd w:val="clear" w:color="auto" w:fill="CFF0FC"/>
            <w:noWrap/>
            <w:tcMar>
              <w:top w:w="15" w:type="dxa"/>
              <w:left w:w="0" w:type="dxa"/>
              <w:bottom w:w="0" w:type="dxa"/>
              <w:right w:w="15" w:type="dxa"/>
            </w:tcMar>
            <w:vAlign w:val="bottom"/>
            <w:hideMark/>
          </w:tcPr>
          <w:p w14:paraId="2E798F09"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71BEB343" w14:textId="77777777">
        <w:trPr>
          <w:divId w:val="572467841"/>
          <w:jc w:val="center"/>
        </w:trPr>
        <w:tc>
          <w:tcPr>
            <w:tcW w:w="3349" w:type="pct"/>
            <w:shd w:val="clear" w:color="auto" w:fill="FFFFFF"/>
            <w:tcMar>
              <w:top w:w="15" w:type="dxa"/>
              <w:left w:w="0" w:type="dxa"/>
              <w:bottom w:w="0" w:type="dxa"/>
              <w:right w:w="15" w:type="dxa"/>
            </w:tcMar>
            <w:hideMark/>
          </w:tcPr>
          <w:p w14:paraId="73A281F3" w14:textId="77777777" w:rsidR="00000000" w:rsidRDefault="007125B5">
            <w:pPr>
              <w:pStyle w:val="a3"/>
              <w:spacing w:before="0" w:beforeAutospacing="0" w:after="0" w:afterAutospacing="0"/>
              <w:ind w:left="274"/>
              <w:rPr>
                <w:color w:val="000000"/>
                <w:sz w:val="18"/>
                <w:szCs w:val="18"/>
              </w:rPr>
            </w:pPr>
            <w:r>
              <w:rPr>
                <w:color w:val="000000"/>
                <w:sz w:val="18"/>
                <w:szCs w:val="18"/>
              </w:rPr>
              <w:t>Goodwill</w:t>
            </w:r>
          </w:p>
        </w:tc>
        <w:tc>
          <w:tcPr>
            <w:tcW w:w="81" w:type="pct"/>
            <w:shd w:val="clear" w:color="auto" w:fill="FFFFFF"/>
            <w:tcMar>
              <w:top w:w="15" w:type="dxa"/>
              <w:left w:w="0" w:type="dxa"/>
              <w:bottom w:w="0" w:type="dxa"/>
              <w:right w:w="15" w:type="dxa"/>
            </w:tcMar>
            <w:vAlign w:val="bottom"/>
            <w:hideMark/>
          </w:tcPr>
          <w:p w14:paraId="3C60458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584EC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AD39A29" w14:textId="77777777" w:rsidR="00000000" w:rsidRDefault="007125B5">
            <w:pPr>
              <w:pStyle w:val="a3"/>
              <w:spacing w:before="0" w:beforeAutospacing="0" w:after="0" w:afterAutospacing="0"/>
              <w:jc w:val="right"/>
              <w:rPr>
                <w:color w:val="000000"/>
                <w:sz w:val="18"/>
                <w:szCs w:val="18"/>
              </w:rPr>
            </w:pPr>
            <w:r>
              <w:rPr>
                <w:color w:val="000000"/>
                <w:sz w:val="18"/>
                <w:szCs w:val="18"/>
              </w:rPr>
              <w:t>273,096</w:t>
            </w:r>
          </w:p>
        </w:tc>
        <w:tc>
          <w:tcPr>
            <w:tcW w:w="50" w:type="pct"/>
            <w:shd w:val="clear" w:color="auto" w:fill="FFFFFF"/>
            <w:noWrap/>
            <w:tcMar>
              <w:top w:w="15" w:type="dxa"/>
              <w:left w:w="0" w:type="dxa"/>
              <w:bottom w:w="0" w:type="dxa"/>
              <w:right w:w="15" w:type="dxa"/>
            </w:tcMar>
            <w:vAlign w:val="bottom"/>
            <w:hideMark/>
          </w:tcPr>
          <w:p w14:paraId="02CDFDA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338797B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D481A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3A7FC927" w14:textId="77777777" w:rsidR="00000000" w:rsidRDefault="007125B5">
            <w:pPr>
              <w:pStyle w:val="a3"/>
              <w:spacing w:before="0" w:beforeAutospacing="0" w:after="0" w:afterAutospacing="0"/>
              <w:jc w:val="right"/>
              <w:rPr>
                <w:color w:val="000000"/>
                <w:sz w:val="18"/>
                <w:szCs w:val="18"/>
              </w:rPr>
            </w:pPr>
            <w:r>
              <w:rPr>
                <w:color w:val="000000"/>
                <w:sz w:val="18"/>
                <w:szCs w:val="18"/>
              </w:rPr>
              <w:t>127,058</w:t>
            </w:r>
          </w:p>
        </w:tc>
        <w:tc>
          <w:tcPr>
            <w:tcW w:w="50" w:type="pct"/>
            <w:shd w:val="clear" w:color="auto" w:fill="FFFFFF"/>
            <w:noWrap/>
            <w:tcMar>
              <w:top w:w="15" w:type="dxa"/>
              <w:left w:w="0" w:type="dxa"/>
              <w:bottom w:w="0" w:type="dxa"/>
              <w:right w:w="15" w:type="dxa"/>
            </w:tcMar>
            <w:vAlign w:val="bottom"/>
            <w:hideMark/>
          </w:tcPr>
          <w:p w14:paraId="5354A805"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0C2734D0" w14:textId="77777777">
        <w:trPr>
          <w:divId w:val="572467841"/>
          <w:jc w:val="center"/>
        </w:trPr>
        <w:tc>
          <w:tcPr>
            <w:tcW w:w="3349" w:type="pct"/>
            <w:shd w:val="clear" w:color="auto" w:fill="CFF0FC"/>
            <w:tcMar>
              <w:top w:w="15" w:type="dxa"/>
              <w:left w:w="0" w:type="dxa"/>
              <w:bottom w:w="0" w:type="dxa"/>
              <w:right w:w="15" w:type="dxa"/>
            </w:tcMar>
            <w:hideMark/>
          </w:tcPr>
          <w:p w14:paraId="3BEFFD50" w14:textId="77777777" w:rsidR="00000000" w:rsidRDefault="007125B5">
            <w:pPr>
              <w:pStyle w:val="a3"/>
              <w:spacing w:before="0" w:beforeAutospacing="0" w:after="0" w:afterAutospacing="0"/>
              <w:ind w:left="274"/>
              <w:rPr>
                <w:color w:val="000000"/>
                <w:sz w:val="18"/>
                <w:szCs w:val="18"/>
              </w:rPr>
            </w:pPr>
            <w:r>
              <w:rPr>
                <w:color w:val="000000"/>
                <w:sz w:val="18"/>
                <w:szCs w:val="18"/>
              </w:rPr>
              <w:t>Other intangible assets—net</w:t>
            </w:r>
          </w:p>
        </w:tc>
        <w:tc>
          <w:tcPr>
            <w:tcW w:w="81" w:type="pct"/>
            <w:shd w:val="clear" w:color="auto" w:fill="CFF0FC"/>
            <w:tcMar>
              <w:top w:w="15" w:type="dxa"/>
              <w:left w:w="0" w:type="dxa"/>
              <w:bottom w:w="0" w:type="dxa"/>
              <w:right w:w="15" w:type="dxa"/>
            </w:tcMar>
            <w:vAlign w:val="bottom"/>
            <w:hideMark/>
          </w:tcPr>
          <w:p w14:paraId="00D5B62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BA236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CECFE75" w14:textId="77777777" w:rsidR="00000000" w:rsidRDefault="007125B5">
            <w:pPr>
              <w:pStyle w:val="a3"/>
              <w:spacing w:before="0" w:beforeAutospacing="0" w:after="0" w:afterAutospacing="0"/>
              <w:jc w:val="right"/>
              <w:rPr>
                <w:color w:val="000000"/>
                <w:sz w:val="18"/>
                <w:szCs w:val="18"/>
              </w:rPr>
            </w:pPr>
            <w:r>
              <w:rPr>
                <w:color w:val="000000"/>
                <w:sz w:val="18"/>
                <w:szCs w:val="18"/>
              </w:rPr>
              <w:t>169,274</w:t>
            </w:r>
          </w:p>
        </w:tc>
        <w:tc>
          <w:tcPr>
            <w:tcW w:w="50" w:type="pct"/>
            <w:shd w:val="clear" w:color="auto" w:fill="CFF0FC"/>
            <w:noWrap/>
            <w:tcMar>
              <w:top w:w="15" w:type="dxa"/>
              <w:left w:w="0" w:type="dxa"/>
              <w:bottom w:w="0" w:type="dxa"/>
              <w:right w:w="15" w:type="dxa"/>
            </w:tcMar>
            <w:vAlign w:val="bottom"/>
            <w:hideMark/>
          </w:tcPr>
          <w:p w14:paraId="2AEAC44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B77C98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D7A362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247D2DCC" w14:textId="77777777" w:rsidR="00000000" w:rsidRDefault="007125B5">
            <w:pPr>
              <w:pStyle w:val="a3"/>
              <w:spacing w:before="0" w:beforeAutospacing="0" w:after="0" w:afterAutospacing="0"/>
              <w:jc w:val="right"/>
              <w:rPr>
                <w:color w:val="000000"/>
                <w:sz w:val="18"/>
                <w:szCs w:val="18"/>
              </w:rPr>
            </w:pPr>
            <w:r>
              <w:rPr>
                <w:color w:val="000000"/>
                <w:sz w:val="18"/>
                <w:szCs w:val="18"/>
              </w:rPr>
              <w:t>102,549</w:t>
            </w:r>
          </w:p>
        </w:tc>
        <w:tc>
          <w:tcPr>
            <w:tcW w:w="50" w:type="pct"/>
            <w:shd w:val="clear" w:color="auto" w:fill="CFF0FC"/>
            <w:noWrap/>
            <w:tcMar>
              <w:top w:w="15" w:type="dxa"/>
              <w:left w:w="0" w:type="dxa"/>
              <w:bottom w:w="0" w:type="dxa"/>
              <w:right w:w="15" w:type="dxa"/>
            </w:tcMar>
            <w:vAlign w:val="bottom"/>
            <w:hideMark/>
          </w:tcPr>
          <w:p w14:paraId="7152AF97"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5CE72886" w14:textId="77777777">
        <w:trPr>
          <w:divId w:val="572467841"/>
          <w:jc w:val="center"/>
        </w:trPr>
        <w:tc>
          <w:tcPr>
            <w:tcW w:w="3349" w:type="pct"/>
            <w:shd w:val="clear" w:color="auto" w:fill="FFFFFF"/>
            <w:tcMar>
              <w:top w:w="15" w:type="dxa"/>
              <w:left w:w="0" w:type="dxa"/>
              <w:bottom w:w="0" w:type="dxa"/>
              <w:right w:w="15" w:type="dxa"/>
            </w:tcMar>
            <w:hideMark/>
          </w:tcPr>
          <w:p w14:paraId="5721B3E7" w14:textId="77777777" w:rsidR="00000000" w:rsidRDefault="007125B5">
            <w:pPr>
              <w:pStyle w:val="a3"/>
              <w:spacing w:before="0" w:beforeAutospacing="0" w:after="0" w:afterAutospacing="0"/>
              <w:ind w:left="274"/>
              <w:rPr>
                <w:color w:val="000000"/>
                <w:sz w:val="18"/>
                <w:szCs w:val="18"/>
              </w:rPr>
            </w:pPr>
            <w:r>
              <w:rPr>
                <w:color w:val="000000"/>
                <w:sz w:val="18"/>
                <w:szCs w:val="18"/>
              </w:rPr>
              <w:t>Deferred tax asset</w:t>
            </w:r>
          </w:p>
        </w:tc>
        <w:tc>
          <w:tcPr>
            <w:tcW w:w="81" w:type="pct"/>
            <w:shd w:val="clear" w:color="auto" w:fill="FFFFFF"/>
            <w:tcMar>
              <w:top w:w="15" w:type="dxa"/>
              <w:left w:w="0" w:type="dxa"/>
              <w:bottom w:w="0" w:type="dxa"/>
              <w:right w:w="15" w:type="dxa"/>
            </w:tcMar>
            <w:vAlign w:val="bottom"/>
            <w:hideMark/>
          </w:tcPr>
          <w:p w14:paraId="42FF826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F3B83C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093C91D7" w14:textId="77777777" w:rsidR="00000000" w:rsidRDefault="007125B5">
            <w:pPr>
              <w:pStyle w:val="a3"/>
              <w:spacing w:before="0" w:beforeAutospacing="0" w:after="0" w:afterAutospacing="0"/>
              <w:jc w:val="right"/>
              <w:rPr>
                <w:color w:val="000000"/>
                <w:sz w:val="18"/>
                <w:szCs w:val="18"/>
              </w:rPr>
            </w:pPr>
            <w:r>
              <w:rPr>
                <w:color w:val="000000"/>
                <w:sz w:val="18"/>
                <w:szCs w:val="18"/>
              </w:rPr>
              <w:t>1,465</w:t>
            </w:r>
          </w:p>
        </w:tc>
        <w:tc>
          <w:tcPr>
            <w:tcW w:w="50" w:type="pct"/>
            <w:shd w:val="clear" w:color="auto" w:fill="FFFFFF"/>
            <w:noWrap/>
            <w:tcMar>
              <w:top w:w="15" w:type="dxa"/>
              <w:left w:w="0" w:type="dxa"/>
              <w:bottom w:w="0" w:type="dxa"/>
              <w:right w:w="15" w:type="dxa"/>
            </w:tcMar>
            <w:vAlign w:val="bottom"/>
            <w:hideMark/>
          </w:tcPr>
          <w:p w14:paraId="73B39F5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4CF4122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699505"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4F86D0C2" w14:textId="77777777" w:rsidR="00000000" w:rsidRDefault="007125B5">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2038A8E"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2E9C2C46" w14:textId="77777777">
        <w:trPr>
          <w:divId w:val="572467841"/>
          <w:jc w:val="center"/>
        </w:trPr>
        <w:tc>
          <w:tcPr>
            <w:tcW w:w="3349" w:type="pct"/>
            <w:shd w:val="clear" w:color="auto" w:fill="CFF0FC"/>
            <w:tcMar>
              <w:top w:w="15" w:type="dxa"/>
              <w:left w:w="0" w:type="dxa"/>
              <w:bottom w:w="0" w:type="dxa"/>
              <w:right w:w="15" w:type="dxa"/>
            </w:tcMar>
            <w:hideMark/>
          </w:tcPr>
          <w:p w14:paraId="2B0A8CB4" w14:textId="77777777" w:rsidR="00000000" w:rsidRDefault="007125B5">
            <w:pPr>
              <w:pStyle w:val="a3"/>
              <w:spacing w:before="0" w:beforeAutospacing="0" w:after="0" w:afterAutospacing="0"/>
              <w:ind w:left="274"/>
              <w:rPr>
                <w:color w:val="000000"/>
                <w:sz w:val="18"/>
                <w:szCs w:val="18"/>
              </w:rPr>
            </w:pPr>
            <w:r>
              <w:rPr>
                <w:color w:val="000000"/>
                <w:sz w:val="18"/>
                <w:szCs w:val="18"/>
              </w:rPr>
              <w:t>Other assets</w:t>
            </w:r>
          </w:p>
        </w:tc>
        <w:tc>
          <w:tcPr>
            <w:tcW w:w="81" w:type="pct"/>
            <w:shd w:val="clear" w:color="auto" w:fill="CFF0FC"/>
            <w:tcMar>
              <w:top w:w="15" w:type="dxa"/>
              <w:left w:w="0" w:type="dxa"/>
              <w:bottom w:w="0" w:type="dxa"/>
              <w:right w:w="15" w:type="dxa"/>
            </w:tcMar>
            <w:vAlign w:val="bottom"/>
            <w:hideMark/>
          </w:tcPr>
          <w:p w14:paraId="4EC48EB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5A3B43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54462CA6" w14:textId="77777777" w:rsidR="00000000" w:rsidRDefault="007125B5">
            <w:pPr>
              <w:pStyle w:val="a3"/>
              <w:spacing w:before="0" w:beforeAutospacing="0" w:after="0" w:afterAutospacing="0"/>
              <w:jc w:val="right"/>
              <w:rPr>
                <w:color w:val="000000"/>
                <w:sz w:val="18"/>
                <w:szCs w:val="18"/>
              </w:rPr>
            </w:pPr>
            <w:r>
              <w:rPr>
                <w:color w:val="000000"/>
                <w:sz w:val="18"/>
                <w:szCs w:val="18"/>
              </w:rPr>
              <w:t>3,132</w:t>
            </w:r>
          </w:p>
        </w:tc>
        <w:tc>
          <w:tcPr>
            <w:tcW w:w="50" w:type="pct"/>
            <w:shd w:val="clear" w:color="auto" w:fill="CFF0FC"/>
            <w:noWrap/>
            <w:tcMar>
              <w:top w:w="15" w:type="dxa"/>
              <w:left w:w="0" w:type="dxa"/>
              <w:bottom w:w="0" w:type="dxa"/>
              <w:right w:w="15" w:type="dxa"/>
            </w:tcMar>
            <w:vAlign w:val="bottom"/>
            <w:hideMark/>
          </w:tcPr>
          <w:p w14:paraId="232BC7C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619AFCB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1DE153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0FE151FA" w14:textId="77777777" w:rsidR="00000000" w:rsidRDefault="007125B5">
            <w:pPr>
              <w:pStyle w:val="a3"/>
              <w:spacing w:before="0" w:beforeAutospacing="0" w:after="0" w:afterAutospacing="0"/>
              <w:jc w:val="right"/>
              <w:rPr>
                <w:color w:val="000000"/>
                <w:sz w:val="18"/>
                <w:szCs w:val="18"/>
              </w:rPr>
            </w:pPr>
            <w:r>
              <w:rPr>
                <w:color w:val="000000"/>
                <w:sz w:val="18"/>
                <w:szCs w:val="18"/>
              </w:rPr>
              <w:t>1,956</w:t>
            </w:r>
          </w:p>
        </w:tc>
        <w:tc>
          <w:tcPr>
            <w:tcW w:w="50" w:type="pct"/>
            <w:shd w:val="clear" w:color="auto" w:fill="CFF0FC"/>
            <w:noWrap/>
            <w:tcMar>
              <w:top w:w="15" w:type="dxa"/>
              <w:left w:w="0" w:type="dxa"/>
              <w:bottom w:w="0" w:type="dxa"/>
              <w:right w:w="15" w:type="dxa"/>
            </w:tcMar>
            <w:vAlign w:val="bottom"/>
            <w:hideMark/>
          </w:tcPr>
          <w:p w14:paraId="5212999E"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4DA00E0A" w14:textId="77777777">
        <w:trPr>
          <w:divId w:val="572467841"/>
          <w:jc w:val="center"/>
        </w:trPr>
        <w:tc>
          <w:tcPr>
            <w:tcW w:w="3349" w:type="pct"/>
            <w:shd w:val="clear" w:color="auto" w:fill="FFFFFF"/>
            <w:tcMar>
              <w:top w:w="15" w:type="dxa"/>
              <w:left w:w="0" w:type="dxa"/>
              <w:bottom w:w="0" w:type="dxa"/>
              <w:right w:w="15" w:type="dxa"/>
            </w:tcMar>
            <w:hideMark/>
          </w:tcPr>
          <w:p w14:paraId="385B4628" w14:textId="77777777" w:rsidR="00000000" w:rsidRDefault="007125B5">
            <w:pPr>
              <w:pStyle w:val="a3"/>
              <w:spacing w:before="0" w:beforeAutospacing="0" w:after="0" w:afterAutospacing="0"/>
              <w:ind w:left="274"/>
              <w:rPr>
                <w:color w:val="000000"/>
                <w:sz w:val="18"/>
                <w:szCs w:val="18"/>
              </w:rPr>
            </w:pPr>
            <w:r>
              <w:rPr>
                <w:color w:val="000000"/>
                <w:sz w:val="18"/>
                <w:szCs w:val="18"/>
              </w:rPr>
              <w:t>Compound embedded option</w:t>
            </w:r>
          </w:p>
        </w:tc>
        <w:tc>
          <w:tcPr>
            <w:tcW w:w="81" w:type="pct"/>
            <w:shd w:val="clear" w:color="auto" w:fill="FFFFFF"/>
            <w:tcMar>
              <w:top w:w="15" w:type="dxa"/>
              <w:left w:w="0" w:type="dxa"/>
              <w:bottom w:w="0" w:type="dxa"/>
              <w:right w:w="15" w:type="dxa"/>
            </w:tcMar>
            <w:vAlign w:val="bottom"/>
            <w:hideMark/>
          </w:tcPr>
          <w:p w14:paraId="209F465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5B7C3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5B7F076" w14:textId="77777777" w:rsidR="00000000" w:rsidRDefault="007125B5">
            <w:pPr>
              <w:pStyle w:val="a3"/>
              <w:spacing w:before="0" w:beforeAutospacing="0" w:after="0" w:afterAutospacing="0"/>
              <w:jc w:val="right"/>
              <w:rPr>
                <w:color w:val="000000"/>
                <w:sz w:val="18"/>
                <w:szCs w:val="18"/>
              </w:rPr>
            </w:pPr>
            <w:r>
              <w:rPr>
                <w:color w:val="000000"/>
                <w:sz w:val="18"/>
                <w:szCs w:val="18"/>
              </w:rPr>
              <w:t>8,605</w:t>
            </w:r>
          </w:p>
        </w:tc>
        <w:tc>
          <w:tcPr>
            <w:tcW w:w="50" w:type="pct"/>
            <w:shd w:val="clear" w:color="auto" w:fill="FFFFFF"/>
            <w:noWrap/>
            <w:tcMar>
              <w:top w:w="15" w:type="dxa"/>
              <w:left w:w="0" w:type="dxa"/>
              <w:bottom w:w="0" w:type="dxa"/>
              <w:right w:w="15" w:type="dxa"/>
            </w:tcMar>
            <w:vAlign w:val="bottom"/>
            <w:hideMark/>
          </w:tcPr>
          <w:p w14:paraId="5C90D37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3B0CFB4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C0FDEF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7E91787" w14:textId="77777777" w:rsidR="00000000" w:rsidRDefault="007125B5">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4384447"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4C5E465D" w14:textId="77777777">
        <w:trPr>
          <w:divId w:val="572467841"/>
          <w:jc w:val="center"/>
        </w:trPr>
        <w:tc>
          <w:tcPr>
            <w:tcW w:w="3349" w:type="pct"/>
            <w:shd w:val="clear" w:color="auto" w:fill="CFF0FC"/>
            <w:tcMar>
              <w:top w:w="15" w:type="dxa"/>
              <w:left w:w="0" w:type="dxa"/>
              <w:bottom w:w="0" w:type="dxa"/>
              <w:right w:w="15" w:type="dxa"/>
            </w:tcMar>
            <w:hideMark/>
          </w:tcPr>
          <w:p w14:paraId="104782F5" w14:textId="77777777" w:rsidR="00000000" w:rsidRDefault="007125B5">
            <w:pPr>
              <w:pStyle w:val="a3"/>
              <w:spacing w:before="0" w:beforeAutospacing="0" w:after="0" w:afterAutospacing="0"/>
              <w:rPr>
                <w:color w:val="000000"/>
                <w:sz w:val="18"/>
                <w:szCs w:val="18"/>
              </w:rPr>
            </w:pPr>
            <w:r>
              <w:rPr>
                <w:color w:val="000000"/>
                <w:sz w:val="18"/>
                <w:szCs w:val="18"/>
              </w:rPr>
              <w:t>TOTAL ASSETS</w:t>
            </w:r>
          </w:p>
        </w:tc>
        <w:tc>
          <w:tcPr>
            <w:tcW w:w="81" w:type="pct"/>
            <w:shd w:val="clear" w:color="auto" w:fill="CFF0FC"/>
            <w:tcMar>
              <w:top w:w="15" w:type="dxa"/>
              <w:left w:w="0" w:type="dxa"/>
              <w:bottom w:w="0" w:type="dxa"/>
              <w:right w:w="15" w:type="dxa"/>
            </w:tcMar>
            <w:vAlign w:val="bottom"/>
            <w:hideMark/>
          </w:tcPr>
          <w:p w14:paraId="2277A50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301F373"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E565AE" w14:textId="77777777" w:rsidR="00000000" w:rsidRDefault="007125B5">
            <w:pPr>
              <w:pStyle w:val="a3"/>
              <w:spacing w:before="0" w:beforeAutospacing="0" w:after="0" w:afterAutospacing="0"/>
              <w:jc w:val="right"/>
              <w:rPr>
                <w:color w:val="000000"/>
                <w:sz w:val="18"/>
                <w:szCs w:val="18"/>
              </w:rPr>
            </w:pPr>
            <w:r>
              <w:rPr>
                <w:color w:val="000000"/>
                <w:sz w:val="18"/>
                <w:szCs w:val="18"/>
              </w:rPr>
              <w:t>611,381</w:t>
            </w:r>
          </w:p>
        </w:tc>
        <w:tc>
          <w:tcPr>
            <w:tcW w:w="50" w:type="pct"/>
            <w:shd w:val="clear" w:color="auto" w:fill="CFF0FC"/>
            <w:noWrap/>
            <w:tcMar>
              <w:top w:w="15" w:type="dxa"/>
              <w:left w:w="0" w:type="dxa"/>
              <w:bottom w:w="0" w:type="dxa"/>
              <w:right w:w="15" w:type="dxa"/>
            </w:tcMar>
            <w:vAlign w:val="bottom"/>
            <w:hideMark/>
          </w:tcPr>
          <w:p w14:paraId="677ABB6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6A74F7B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4F6339"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9E4957" w14:textId="77777777" w:rsidR="00000000" w:rsidRDefault="007125B5">
            <w:pPr>
              <w:pStyle w:val="a3"/>
              <w:spacing w:before="0" w:beforeAutospacing="0" w:after="0" w:afterAutospacing="0"/>
              <w:jc w:val="right"/>
              <w:rPr>
                <w:color w:val="000000"/>
                <w:sz w:val="18"/>
                <w:szCs w:val="18"/>
              </w:rPr>
            </w:pPr>
            <w:r>
              <w:rPr>
                <w:color w:val="000000"/>
                <w:sz w:val="18"/>
                <w:szCs w:val="18"/>
              </w:rPr>
              <w:t>331,838</w:t>
            </w:r>
          </w:p>
        </w:tc>
        <w:tc>
          <w:tcPr>
            <w:tcW w:w="50" w:type="pct"/>
            <w:shd w:val="clear" w:color="auto" w:fill="CFF0FC"/>
            <w:noWrap/>
            <w:tcMar>
              <w:top w:w="15" w:type="dxa"/>
              <w:left w:w="0" w:type="dxa"/>
              <w:bottom w:w="0" w:type="dxa"/>
              <w:right w:w="15" w:type="dxa"/>
            </w:tcMar>
            <w:vAlign w:val="bottom"/>
            <w:hideMark/>
          </w:tcPr>
          <w:p w14:paraId="17705AF6"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425B633A" w14:textId="77777777">
        <w:trPr>
          <w:divId w:val="572467841"/>
          <w:jc w:val="center"/>
        </w:trPr>
        <w:tc>
          <w:tcPr>
            <w:tcW w:w="3349" w:type="pct"/>
            <w:shd w:val="clear" w:color="auto" w:fill="FFFFFF"/>
            <w:tcMar>
              <w:top w:w="15" w:type="dxa"/>
              <w:left w:w="0" w:type="dxa"/>
              <w:bottom w:w="0" w:type="dxa"/>
              <w:right w:w="15" w:type="dxa"/>
            </w:tcMar>
            <w:hideMark/>
          </w:tcPr>
          <w:p w14:paraId="57BE4410" w14:textId="77777777" w:rsidR="00000000" w:rsidRDefault="007125B5">
            <w:pPr>
              <w:pStyle w:val="a3"/>
              <w:spacing w:before="0" w:beforeAutospacing="0" w:after="0" w:afterAutospacing="0"/>
              <w:rPr>
                <w:b/>
                <w:bCs/>
                <w:color w:val="000000"/>
                <w:sz w:val="18"/>
                <w:szCs w:val="18"/>
              </w:rPr>
            </w:pPr>
            <w:r>
              <w:rPr>
                <w:b/>
                <w:bCs/>
                <w:color w:val="000000"/>
                <w:sz w:val="18"/>
                <w:szCs w:val="18"/>
              </w:rPr>
              <w:t>LIABILITIES, REDEEMABLE SERIES A-1 PREFERRED STOCK,</w:t>
            </w:r>
          </w:p>
          <w:p w14:paraId="3945F154" w14:textId="77777777" w:rsidR="00000000" w:rsidRDefault="007125B5">
            <w:pPr>
              <w:pStyle w:val="a3"/>
              <w:spacing w:before="0" w:beforeAutospacing="0" w:after="0" w:afterAutospacing="0"/>
              <w:rPr>
                <w:b/>
                <w:bCs/>
                <w:color w:val="000000"/>
                <w:sz w:val="18"/>
                <w:szCs w:val="18"/>
              </w:rPr>
            </w:pPr>
            <w:r>
              <w:rPr>
                <w:b/>
                <w:bCs/>
                <w:color w:val="000000"/>
                <w:sz w:val="18"/>
                <w:szCs w:val="18"/>
              </w:rPr>
              <w:t xml:space="preserve">   </w:t>
            </w:r>
            <w:r>
              <w:rPr>
                <w:b/>
                <w:bCs/>
                <w:color w:val="000000"/>
                <w:sz w:val="18"/>
                <w:szCs w:val="18"/>
              </w:rPr>
              <w:t>CONVERTIBLE AND REDEEMABLE SERIES A-2 PREFERRED STOCK AND</w:t>
            </w:r>
          </w:p>
          <w:p w14:paraId="4B480359" w14:textId="77777777" w:rsidR="00000000" w:rsidRDefault="007125B5">
            <w:pPr>
              <w:pStyle w:val="a3"/>
              <w:spacing w:before="0" w:beforeAutospacing="0" w:after="0" w:afterAutospacing="0"/>
              <w:rPr>
                <w:b/>
                <w:bCs/>
                <w:color w:val="000000"/>
                <w:sz w:val="18"/>
                <w:szCs w:val="18"/>
              </w:rPr>
            </w:pPr>
            <w:r>
              <w:rPr>
                <w:b/>
                <w:bCs/>
                <w:color w:val="000000"/>
                <w:sz w:val="18"/>
                <w:szCs w:val="18"/>
              </w:rPr>
              <w:t>   STOCKHOLDERS’ DEFICIT</w:t>
            </w:r>
          </w:p>
        </w:tc>
        <w:tc>
          <w:tcPr>
            <w:tcW w:w="81" w:type="pct"/>
            <w:shd w:val="clear" w:color="auto" w:fill="FFFFFF"/>
            <w:tcMar>
              <w:top w:w="15" w:type="dxa"/>
              <w:left w:w="0" w:type="dxa"/>
              <w:bottom w:w="0" w:type="dxa"/>
              <w:right w:w="15" w:type="dxa"/>
            </w:tcMar>
            <w:vAlign w:val="bottom"/>
            <w:hideMark/>
          </w:tcPr>
          <w:p w14:paraId="24B55363" w14:textId="77777777" w:rsidR="00000000" w:rsidRDefault="007125B5">
            <w:pPr>
              <w:pStyle w:val="a3"/>
              <w:spacing w:before="0" w:beforeAutospacing="0" w:after="0" w:afterAutospacing="0"/>
              <w:rPr>
                <w:b/>
                <w:bCs/>
                <w:color w:val="000000"/>
                <w:sz w:val="18"/>
                <w:szCs w:val="18"/>
              </w:rPr>
            </w:pPr>
            <w:r>
              <w:rPr>
                <w:b/>
                <w:bCs/>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B4CBF9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2A5E569A"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02D108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5BDF3EC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E77C27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736D231A"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E899A7"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3AF00DA9" w14:textId="77777777">
        <w:trPr>
          <w:divId w:val="572467841"/>
          <w:jc w:val="center"/>
        </w:trPr>
        <w:tc>
          <w:tcPr>
            <w:tcW w:w="3349" w:type="pct"/>
            <w:shd w:val="clear" w:color="auto" w:fill="CFF0FC"/>
            <w:tcMar>
              <w:top w:w="15" w:type="dxa"/>
              <w:left w:w="0" w:type="dxa"/>
              <w:bottom w:w="0" w:type="dxa"/>
              <w:right w:w="15" w:type="dxa"/>
            </w:tcMar>
            <w:hideMark/>
          </w:tcPr>
          <w:p w14:paraId="46FA6D74" w14:textId="77777777" w:rsidR="00000000" w:rsidRDefault="007125B5">
            <w:pPr>
              <w:pStyle w:val="a3"/>
              <w:spacing w:before="0" w:beforeAutospacing="0" w:after="0" w:afterAutospacing="0"/>
              <w:rPr>
                <w:color w:val="000000"/>
                <w:sz w:val="18"/>
                <w:szCs w:val="18"/>
              </w:rPr>
            </w:pPr>
            <w:r>
              <w:rPr>
                <w:color w:val="000000"/>
                <w:sz w:val="18"/>
                <w:szCs w:val="18"/>
              </w:rPr>
              <w:t>CURRENT LIABILITIES:</w:t>
            </w:r>
          </w:p>
        </w:tc>
        <w:tc>
          <w:tcPr>
            <w:tcW w:w="81" w:type="pct"/>
            <w:shd w:val="clear" w:color="auto" w:fill="CFF0FC"/>
            <w:tcMar>
              <w:top w:w="15" w:type="dxa"/>
              <w:left w:w="0" w:type="dxa"/>
              <w:bottom w:w="0" w:type="dxa"/>
              <w:right w:w="15" w:type="dxa"/>
            </w:tcMar>
            <w:vAlign w:val="bottom"/>
            <w:hideMark/>
          </w:tcPr>
          <w:p w14:paraId="1045DCA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32DA5A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693945CB"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37712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4AFDFC4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C31DD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45C5483"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230127"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7CEC168B" w14:textId="77777777">
        <w:trPr>
          <w:divId w:val="572467841"/>
          <w:jc w:val="center"/>
        </w:trPr>
        <w:tc>
          <w:tcPr>
            <w:tcW w:w="3349" w:type="pct"/>
            <w:shd w:val="clear" w:color="auto" w:fill="FFFFFF"/>
            <w:tcMar>
              <w:top w:w="15" w:type="dxa"/>
              <w:left w:w="0" w:type="dxa"/>
              <w:bottom w:w="0" w:type="dxa"/>
              <w:right w:w="15" w:type="dxa"/>
            </w:tcMar>
            <w:hideMark/>
          </w:tcPr>
          <w:p w14:paraId="2648D3BA" w14:textId="77777777" w:rsidR="00000000" w:rsidRDefault="007125B5">
            <w:pPr>
              <w:pStyle w:val="a3"/>
              <w:spacing w:before="0" w:beforeAutospacing="0" w:after="0" w:afterAutospacing="0"/>
              <w:ind w:left="274"/>
              <w:rPr>
                <w:color w:val="000000"/>
                <w:sz w:val="18"/>
                <w:szCs w:val="18"/>
              </w:rPr>
            </w:pPr>
            <w:r>
              <w:rPr>
                <w:color w:val="000000"/>
                <w:sz w:val="18"/>
                <w:szCs w:val="18"/>
              </w:rPr>
              <w:t>Accounts payable and other accrued liabilities</w:t>
            </w:r>
          </w:p>
        </w:tc>
        <w:tc>
          <w:tcPr>
            <w:tcW w:w="81" w:type="pct"/>
            <w:shd w:val="clear" w:color="auto" w:fill="FFFFFF"/>
            <w:tcMar>
              <w:top w:w="15" w:type="dxa"/>
              <w:left w:w="0" w:type="dxa"/>
              <w:bottom w:w="0" w:type="dxa"/>
              <w:right w:w="15" w:type="dxa"/>
            </w:tcMar>
            <w:vAlign w:val="bottom"/>
            <w:hideMark/>
          </w:tcPr>
          <w:p w14:paraId="52EF5D6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DF72FD"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14:paraId="6E4B38B0" w14:textId="77777777" w:rsidR="00000000" w:rsidRDefault="007125B5">
            <w:pPr>
              <w:pStyle w:val="a3"/>
              <w:spacing w:before="0" w:beforeAutospacing="0" w:after="0" w:afterAutospacing="0"/>
              <w:jc w:val="right"/>
              <w:rPr>
                <w:color w:val="000000"/>
                <w:sz w:val="18"/>
                <w:szCs w:val="18"/>
              </w:rPr>
            </w:pPr>
            <w:r>
              <w:rPr>
                <w:color w:val="000000"/>
                <w:sz w:val="18"/>
                <w:szCs w:val="18"/>
              </w:rPr>
              <w:t>30,225</w:t>
            </w:r>
          </w:p>
        </w:tc>
        <w:tc>
          <w:tcPr>
            <w:tcW w:w="50" w:type="pct"/>
            <w:shd w:val="clear" w:color="auto" w:fill="FFFFFF"/>
            <w:noWrap/>
            <w:tcMar>
              <w:top w:w="15" w:type="dxa"/>
              <w:left w:w="0" w:type="dxa"/>
              <w:bottom w:w="0" w:type="dxa"/>
              <w:right w:w="15" w:type="dxa"/>
            </w:tcMar>
            <w:vAlign w:val="bottom"/>
            <w:hideMark/>
          </w:tcPr>
          <w:p w14:paraId="56CA9D8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360A9CA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28DDF4"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14:paraId="4AD7BC52" w14:textId="77777777" w:rsidR="00000000" w:rsidRDefault="007125B5">
            <w:pPr>
              <w:pStyle w:val="a3"/>
              <w:spacing w:before="0" w:beforeAutospacing="0" w:after="0" w:afterAutospacing="0"/>
              <w:jc w:val="right"/>
              <w:rPr>
                <w:color w:val="000000"/>
                <w:sz w:val="18"/>
                <w:szCs w:val="18"/>
              </w:rPr>
            </w:pPr>
            <w:r>
              <w:rPr>
                <w:color w:val="000000"/>
                <w:sz w:val="18"/>
                <w:szCs w:val="18"/>
              </w:rPr>
              <w:t>29,585</w:t>
            </w:r>
          </w:p>
        </w:tc>
        <w:tc>
          <w:tcPr>
            <w:tcW w:w="50" w:type="pct"/>
            <w:shd w:val="clear" w:color="auto" w:fill="FFFFFF"/>
            <w:noWrap/>
            <w:tcMar>
              <w:top w:w="15" w:type="dxa"/>
              <w:left w:w="0" w:type="dxa"/>
              <w:bottom w:w="0" w:type="dxa"/>
              <w:right w:w="15" w:type="dxa"/>
            </w:tcMar>
            <w:vAlign w:val="bottom"/>
            <w:hideMark/>
          </w:tcPr>
          <w:p w14:paraId="51607818"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5632C911" w14:textId="77777777">
        <w:trPr>
          <w:divId w:val="572467841"/>
          <w:jc w:val="center"/>
        </w:trPr>
        <w:tc>
          <w:tcPr>
            <w:tcW w:w="3349" w:type="pct"/>
            <w:shd w:val="clear" w:color="auto" w:fill="CFF0FC"/>
            <w:tcMar>
              <w:top w:w="15" w:type="dxa"/>
              <w:left w:w="0" w:type="dxa"/>
              <w:bottom w:w="0" w:type="dxa"/>
              <w:right w:w="15" w:type="dxa"/>
            </w:tcMar>
            <w:hideMark/>
          </w:tcPr>
          <w:p w14:paraId="0829CCEF" w14:textId="77777777" w:rsidR="00000000" w:rsidRDefault="007125B5">
            <w:pPr>
              <w:pStyle w:val="a3"/>
              <w:spacing w:before="0" w:beforeAutospacing="0" w:after="0" w:afterAutospacing="0"/>
              <w:ind w:left="274"/>
              <w:rPr>
                <w:color w:val="000000"/>
                <w:sz w:val="18"/>
                <w:szCs w:val="18"/>
              </w:rPr>
            </w:pPr>
            <w:r>
              <w:rPr>
                <w:color w:val="000000"/>
                <w:sz w:val="18"/>
                <w:szCs w:val="18"/>
              </w:rPr>
              <w:t>Accrued payroll and benefits</w:t>
            </w:r>
          </w:p>
        </w:tc>
        <w:tc>
          <w:tcPr>
            <w:tcW w:w="81" w:type="pct"/>
            <w:shd w:val="clear" w:color="auto" w:fill="CFF0FC"/>
            <w:tcMar>
              <w:top w:w="15" w:type="dxa"/>
              <w:left w:w="0" w:type="dxa"/>
              <w:bottom w:w="0" w:type="dxa"/>
              <w:right w:w="15" w:type="dxa"/>
            </w:tcMar>
            <w:vAlign w:val="bottom"/>
            <w:hideMark/>
          </w:tcPr>
          <w:p w14:paraId="46A798C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69E089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17BBE544" w14:textId="77777777" w:rsidR="00000000" w:rsidRDefault="007125B5">
            <w:pPr>
              <w:pStyle w:val="a3"/>
              <w:spacing w:before="0" w:beforeAutospacing="0" w:after="0" w:afterAutospacing="0"/>
              <w:jc w:val="right"/>
              <w:rPr>
                <w:color w:val="000000"/>
                <w:sz w:val="18"/>
                <w:szCs w:val="18"/>
              </w:rPr>
            </w:pPr>
            <w:r>
              <w:rPr>
                <w:color w:val="000000"/>
                <w:sz w:val="18"/>
                <w:szCs w:val="18"/>
              </w:rPr>
              <w:t>15,230</w:t>
            </w:r>
          </w:p>
        </w:tc>
        <w:tc>
          <w:tcPr>
            <w:tcW w:w="50" w:type="pct"/>
            <w:shd w:val="clear" w:color="auto" w:fill="CFF0FC"/>
            <w:noWrap/>
            <w:tcMar>
              <w:top w:w="15" w:type="dxa"/>
              <w:left w:w="0" w:type="dxa"/>
              <w:bottom w:w="0" w:type="dxa"/>
              <w:right w:w="15" w:type="dxa"/>
            </w:tcMar>
            <w:vAlign w:val="bottom"/>
            <w:hideMark/>
          </w:tcPr>
          <w:p w14:paraId="1E5730D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11F907A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9A7C5A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54563052" w14:textId="77777777" w:rsidR="00000000" w:rsidRDefault="007125B5">
            <w:pPr>
              <w:pStyle w:val="a3"/>
              <w:spacing w:before="0" w:beforeAutospacing="0" w:after="0" w:afterAutospacing="0"/>
              <w:jc w:val="right"/>
              <w:rPr>
                <w:color w:val="000000"/>
                <w:sz w:val="18"/>
                <w:szCs w:val="18"/>
              </w:rPr>
            </w:pPr>
            <w:r>
              <w:rPr>
                <w:color w:val="000000"/>
                <w:sz w:val="18"/>
                <w:szCs w:val="18"/>
              </w:rPr>
              <w:t>11,032</w:t>
            </w:r>
          </w:p>
        </w:tc>
        <w:tc>
          <w:tcPr>
            <w:tcW w:w="50" w:type="pct"/>
            <w:shd w:val="clear" w:color="auto" w:fill="CFF0FC"/>
            <w:noWrap/>
            <w:tcMar>
              <w:top w:w="15" w:type="dxa"/>
              <w:left w:w="0" w:type="dxa"/>
              <w:bottom w:w="0" w:type="dxa"/>
              <w:right w:w="15" w:type="dxa"/>
            </w:tcMar>
            <w:vAlign w:val="bottom"/>
            <w:hideMark/>
          </w:tcPr>
          <w:p w14:paraId="09888A6A"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7920BEE3" w14:textId="77777777">
        <w:trPr>
          <w:divId w:val="572467841"/>
          <w:jc w:val="center"/>
        </w:trPr>
        <w:tc>
          <w:tcPr>
            <w:tcW w:w="3349" w:type="pct"/>
            <w:shd w:val="clear" w:color="auto" w:fill="FFFFFF"/>
            <w:tcMar>
              <w:top w:w="15" w:type="dxa"/>
              <w:left w:w="0" w:type="dxa"/>
              <w:bottom w:w="0" w:type="dxa"/>
              <w:right w:w="15" w:type="dxa"/>
            </w:tcMar>
            <w:hideMark/>
          </w:tcPr>
          <w:p w14:paraId="755872BB" w14:textId="77777777" w:rsidR="00000000" w:rsidRDefault="007125B5">
            <w:pPr>
              <w:pStyle w:val="a3"/>
              <w:spacing w:before="0" w:beforeAutospacing="0" w:after="0" w:afterAutospacing="0"/>
              <w:ind w:left="274"/>
              <w:rPr>
                <w:color w:val="000000"/>
                <w:sz w:val="18"/>
                <w:szCs w:val="18"/>
              </w:rPr>
            </w:pPr>
            <w:r>
              <w:rPr>
                <w:color w:val="000000"/>
                <w:sz w:val="18"/>
                <w:szCs w:val="18"/>
              </w:rPr>
              <w:t>Warrant options</w:t>
            </w:r>
          </w:p>
        </w:tc>
        <w:tc>
          <w:tcPr>
            <w:tcW w:w="81" w:type="pct"/>
            <w:shd w:val="clear" w:color="auto" w:fill="FFFFFF"/>
            <w:tcMar>
              <w:top w:w="15" w:type="dxa"/>
              <w:left w:w="0" w:type="dxa"/>
              <w:bottom w:w="0" w:type="dxa"/>
              <w:right w:w="15" w:type="dxa"/>
            </w:tcMar>
            <w:vAlign w:val="bottom"/>
            <w:hideMark/>
          </w:tcPr>
          <w:p w14:paraId="5D365CC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9321D5"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6C85976E" w14:textId="77777777" w:rsidR="00000000" w:rsidRDefault="007125B5">
            <w:pPr>
              <w:pStyle w:val="a3"/>
              <w:spacing w:before="0" w:beforeAutospacing="0" w:after="0" w:afterAutospacing="0"/>
              <w:jc w:val="right"/>
              <w:rPr>
                <w:color w:val="000000"/>
                <w:sz w:val="18"/>
                <w:szCs w:val="18"/>
              </w:rPr>
            </w:pPr>
            <w:r>
              <w:rPr>
                <w:color w:val="000000"/>
                <w:sz w:val="18"/>
                <w:szCs w:val="18"/>
              </w:rPr>
              <w:t>46,978</w:t>
            </w:r>
          </w:p>
        </w:tc>
        <w:tc>
          <w:tcPr>
            <w:tcW w:w="50" w:type="pct"/>
            <w:shd w:val="clear" w:color="auto" w:fill="FFFFFF"/>
            <w:noWrap/>
            <w:tcMar>
              <w:top w:w="15" w:type="dxa"/>
              <w:left w:w="0" w:type="dxa"/>
              <w:bottom w:w="0" w:type="dxa"/>
              <w:right w:w="15" w:type="dxa"/>
            </w:tcMar>
            <w:vAlign w:val="bottom"/>
            <w:hideMark/>
          </w:tcPr>
          <w:p w14:paraId="5C0F59D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53F7335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79C2C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332709C" w14:textId="77777777" w:rsidR="00000000" w:rsidRDefault="007125B5">
            <w:pPr>
              <w:pStyle w:val="a3"/>
              <w:spacing w:before="0" w:beforeAutospacing="0" w:after="0" w:afterAutospacing="0"/>
              <w:jc w:val="right"/>
              <w:rPr>
                <w:color w:val="000000"/>
                <w:sz w:val="18"/>
                <w:szCs w:val="18"/>
              </w:rPr>
            </w:pPr>
            <w:r>
              <w:rPr>
                <w:color w:val="000000"/>
                <w:sz w:val="18"/>
                <w:szCs w:val="18"/>
              </w:rPr>
              <w:t>16,878</w:t>
            </w:r>
          </w:p>
        </w:tc>
        <w:tc>
          <w:tcPr>
            <w:tcW w:w="50" w:type="pct"/>
            <w:shd w:val="clear" w:color="auto" w:fill="FFFFFF"/>
            <w:noWrap/>
            <w:tcMar>
              <w:top w:w="15" w:type="dxa"/>
              <w:left w:w="0" w:type="dxa"/>
              <w:bottom w:w="0" w:type="dxa"/>
              <w:right w:w="15" w:type="dxa"/>
            </w:tcMar>
            <w:vAlign w:val="bottom"/>
            <w:hideMark/>
          </w:tcPr>
          <w:p w14:paraId="5116F779"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7639ADD8" w14:textId="77777777">
        <w:trPr>
          <w:divId w:val="572467841"/>
          <w:jc w:val="center"/>
        </w:trPr>
        <w:tc>
          <w:tcPr>
            <w:tcW w:w="3349" w:type="pct"/>
            <w:shd w:val="clear" w:color="auto" w:fill="CFF0FC"/>
            <w:tcMar>
              <w:top w:w="15" w:type="dxa"/>
              <w:left w:w="0" w:type="dxa"/>
              <w:bottom w:w="0" w:type="dxa"/>
              <w:right w:w="15" w:type="dxa"/>
            </w:tcMar>
            <w:hideMark/>
          </w:tcPr>
          <w:p w14:paraId="7847F3D0" w14:textId="77777777" w:rsidR="00000000" w:rsidRDefault="007125B5">
            <w:pPr>
              <w:pStyle w:val="a3"/>
              <w:spacing w:before="0" w:beforeAutospacing="0" w:after="0" w:afterAutospacing="0"/>
              <w:ind w:left="274"/>
              <w:rPr>
                <w:color w:val="000000"/>
                <w:sz w:val="18"/>
                <w:szCs w:val="18"/>
              </w:rPr>
            </w:pPr>
            <w:r>
              <w:rPr>
                <w:color w:val="000000"/>
                <w:sz w:val="18"/>
                <w:szCs w:val="18"/>
              </w:rPr>
              <w:t>Business acquisitions contingent consideration</w:t>
            </w:r>
          </w:p>
        </w:tc>
        <w:tc>
          <w:tcPr>
            <w:tcW w:w="81" w:type="pct"/>
            <w:shd w:val="clear" w:color="auto" w:fill="CFF0FC"/>
            <w:tcMar>
              <w:top w:w="15" w:type="dxa"/>
              <w:left w:w="0" w:type="dxa"/>
              <w:bottom w:w="0" w:type="dxa"/>
              <w:right w:w="15" w:type="dxa"/>
            </w:tcMar>
            <w:vAlign w:val="bottom"/>
            <w:hideMark/>
          </w:tcPr>
          <w:p w14:paraId="7B615B6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FBC34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5802ED3" w14:textId="77777777" w:rsidR="00000000" w:rsidRDefault="007125B5">
            <w:pPr>
              <w:pStyle w:val="a3"/>
              <w:spacing w:before="0" w:beforeAutospacing="0" w:after="0" w:afterAutospacing="0"/>
              <w:jc w:val="right"/>
              <w:rPr>
                <w:color w:val="000000"/>
                <w:sz w:val="18"/>
                <w:szCs w:val="18"/>
              </w:rPr>
            </w:pPr>
            <w:r>
              <w:rPr>
                <w:color w:val="000000"/>
                <w:sz w:val="18"/>
                <w:szCs w:val="18"/>
              </w:rPr>
              <w:t>36,395</w:t>
            </w:r>
          </w:p>
        </w:tc>
        <w:tc>
          <w:tcPr>
            <w:tcW w:w="50" w:type="pct"/>
            <w:shd w:val="clear" w:color="auto" w:fill="CFF0FC"/>
            <w:noWrap/>
            <w:tcMar>
              <w:top w:w="15" w:type="dxa"/>
              <w:left w:w="0" w:type="dxa"/>
              <w:bottom w:w="0" w:type="dxa"/>
              <w:right w:w="15" w:type="dxa"/>
            </w:tcMar>
            <w:vAlign w:val="bottom"/>
            <w:hideMark/>
          </w:tcPr>
          <w:p w14:paraId="119123E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81C1BA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95EC13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0327677A" w14:textId="77777777" w:rsidR="00000000" w:rsidRDefault="007125B5">
            <w:pPr>
              <w:pStyle w:val="a3"/>
              <w:spacing w:before="0" w:beforeAutospacing="0" w:after="0" w:afterAutospacing="0"/>
              <w:jc w:val="right"/>
              <w:rPr>
                <w:color w:val="000000"/>
                <w:sz w:val="18"/>
                <w:szCs w:val="18"/>
              </w:rPr>
            </w:pPr>
            <w:r>
              <w:rPr>
                <w:color w:val="000000"/>
                <w:sz w:val="18"/>
                <w:szCs w:val="18"/>
              </w:rPr>
              <w:t>8,614</w:t>
            </w:r>
          </w:p>
        </w:tc>
        <w:tc>
          <w:tcPr>
            <w:tcW w:w="50" w:type="pct"/>
            <w:shd w:val="clear" w:color="auto" w:fill="CFF0FC"/>
            <w:noWrap/>
            <w:tcMar>
              <w:top w:w="15" w:type="dxa"/>
              <w:left w:w="0" w:type="dxa"/>
              <w:bottom w:w="0" w:type="dxa"/>
              <w:right w:w="15" w:type="dxa"/>
            </w:tcMar>
            <w:vAlign w:val="bottom"/>
            <w:hideMark/>
          </w:tcPr>
          <w:p w14:paraId="19B9568A"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7808BAD4" w14:textId="77777777">
        <w:trPr>
          <w:divId w:val="572467841"/>
          <w:jc w:val="center"/>
        </w:trPr>
        <w:tc>
          <w:tcPr>
            <w:tcW w:w="3349" w:type="pct"/>
            <w:shd w:val="clear" w:color="auto" w:fill="FFFFFF"/>
            <w:tcMar>
              <w:top w:w="15" w:type="dxa"/>
              <w:left w:w="0" w:type="dxa"/>
              <w:bottom w:w="0" w:type="dxa"/>
              <w:right w:w="15" w:type="dxa"/>
            </w:tcMar>
            <w:hideMark/>
          </w:tcPr>
          <w:p w14:paraId="1DCF33C7" w14:textId="77777777" w:rsidR="00000000" w:rsidRDefault="007125B5">
            <w:pPr>
              <w:pStyle w:val="a3"/>
              <w:spacing w:before="0" w:beforeAutospacing="0" w:after="0" w:afterAutospacing="0"/>
              <w:ind w:left="274"/>
              <w:rPr>
                <w:color w:val="000000"/>
                <w:sz w:val="18"/>
                <w:szCs w:val="18"/>
              </w:rPr>
            </w:pPr>
            <w:r>
              <w:rPr>
                <w:color w:val="000000"/>
                <w:sz w:val="18"/>
                <w:szCs w:val="18"/>
              </w:rPr>
              <w:t>Current portion of long term debt</w:t>
            </w:r>
          </w:p>
        </w:tc>
        <w:tc>
          <w:tcPr>
            <w:tcW w:w="81" w:type="pct"/>
            <w:shd w:val="clear" w:color="auto" w:fill="FFFFFF"/>
            <w:tcMar>
              <w:top w:w="15" w:type="dxa"/>
              <w:left w:w="0" w:type="dxa"/>
              <w:bottom w:w="0" w:type="dxa"/>
              <w:right w:w="15" w:type="dxa"/>
            </w:tcMar>
            <w:vAlign w:val="bottom"/>
            <w:hideMark/>
          </w:tcPr>
          <w:p w14:paraId="310219F5"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8AA9C7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441D14F" w14:textId="77777777" w:rsidR="00000000" w:rsidRDefault="007125B5">
            <w:pPr>
              <w:pStyle w:val="a3"/>
              <w:spacing w:before="0" w:beforeAutospacing="0" w:after="0" w:afterAutospacing="0"/>
              <w:jc w:val="right"/>
              <w:rPr>
                <w:color w:val="000000"/>
                <w:sz w:val="18"/>
                <w:szCs w:val="18"/>
              </w:rPr>
            </w:pPr>
            <w:r>
              <w:rPr>
                <w:color w:val="000000"/>
                <w:sz w:val="18"/>
                <w:szCs w:val="18"/>
              </w:rPr>
              <w:t>4,653</w:t>
            </w:r>
          </w:p>
        </w:tc>
        <w:tc>
          <w:tcPr>
            <w:tcW w:w="50" w:type="pct"/>
            <w:shd w:val="clear" w:color="auto" w:fill="FFFFFF"/>
            <w:noWrap/>
            <w:tcMar>
              <w:top w:w="15" w:type="dxa"/>
              <w:left w:w="0" w:type="dxa"/>
              <w:bottom w:w="0" w:type="dxa"/>
              <w:right w:w="15" w:type="dxa"/>
            </w:tcMar>
            <w:vAlign w:val="bottom"/>
            <w:hideMark/>
          </w:tcPr>
          <w:p w14:paraId="6C07872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77D80F7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D672F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C06529D" w14:textId="77777777" w:rsidR="00000000" w:rsidRDefault="007125B5">
            <w:pPr>
              <w:pStyle w:val="a3"/>
              <w:spacing w:before="0" w:beforeAutospacing="0" w:after="0" w:afterAutospacing="0"/>
              <w:jc w:val="right"/>
              <w:rPr>
                <w:color w:val="000000"/>
                <w:sz w:val="18"/>
                <w:szCs w:val="18"/>
              </w:rPr>
            </w:pPr>
            <w:r>
              <w:rPr>
                <w:color w:val="000000"/>
                <w:sz w:val="18"/>
                <w:szCs w:val="18"/>
              </w:rPr>
              <w:t>7,143</w:t>
            </w:r>
          </w:p>
        </w:tc>
        <w:tc>
          <w:tcPr>
            <w:tcW w:w="50" w:type="pct"/>
            <w:shd w:val="clear" w:color="auto" w:fill="FFFFFF"/>
            <w:noWrap/>
            <w:tcMar>
              <w:top w:w="15" w:type="dxa"/>
              <w:left w:w="0" w:type="dxa"/>
              <w:bottom w:w="0" w:type="dxa"/>
              <w:right w:w="15" w:type="dxa"/>
            </w:tcMar>
            <w:vAlign w:val="bottom"/>
            <w:hideMark/>
          </w:tcPr>
          <w:p w14:paraId="799C30CA"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7C6C56B8" w14:textId="77777777">
        <w:trPr>
          <w:divId w:val="572467841"/>
          <w:jc w:val="center"/>
        </w:trPr>
        <w:tc>
          <w:tcPr>
            <w:tcW w:w="3349" w:type="pct"/>
            <w:shd w:val="clear" w:color="auto" w:fill="CFF0FC"/>
            <w:tcMar>
              <w:top w:w="15" w:type="dxa"/>
              <w:left w:w="0" w:type="dxa"/>
              <w:bottom w:w="0" w:type="dxa"/>
              <w:right w:w="15" w:type="dxa"/>
            </w:tcMar>
            <w:hideMark/>
          </w:tcPr>
          <w:p w14:paraId="01F44431" w14:textId="77777777" w:rsidR="00000000" w:rsidRDefault="007125B5">
            <w:pPr>
              <w:pStyle w:val="a3"/>
              <w:spacing w:before="0" w:beforeAutospacing="0" w:after="0" w:afterAutospacing="0"/>
              <w:ind w:left="547"/>
              <w:rPr>
                <w:color w:val="000000"/>
                <w:sz w:val="18"/>
                <w:szCs w:val="18"/>
              </w:rPr>
            </w:pPr>
            <w:r>
              <w:rPr>
                <w:color w:val="000000"/>
                <w:sz w:val="18"/>
                <w:szCs w:val="18"/>
              </w:rPr>
              <w:t>Total current liabilities</w:t>
            </w:r>
          </w:p>
        </w:tc>
        <w:tc>
          <w:tcPr>
            <w:tcW w:w="81" w:type="pct"/>
            <w:shd w:val="clear" w:color="auto" w:fill="CFF0FC"/>
            <w:tcMar>
              <w:top w:w="15" w:type="dxa"/>
              <w:left w:w="0" w:type="dxa"/>
              <w:bottom w:w="0" w:type="dxa"/>
              <w:right w:w="15" w:type="dxa"/>
            </w:tcMar>
            <w:vAlign w:val="bottom"/>
            <w:hideMark/>
          </w:tcPr>
          <w:p w14:paraId="12E8B1F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FF2F7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FCD9D15" w14:textId="77777777" w:rsidR="00000000" w:rsidRDefault="007125B5">
            <w:pPr>
              <w:pStyle w:val="a3"/>
              <w:spacing w:before="0" w:beforeAutospacing="0" w:after="0" w:afterAutospacing="0"/>
              <w:jc w:val="right"/>
              <w:rPr>
                <w:color w:val="000000"/>
                <w:sz w:val="18"/>
                <w:szCs w:val="18"/>
              </w:rPr>
            </w:pPr>
            <w:r>
              <w:rPr>
                <w:color w:val="000000"/>
                <w:sz w:val="18"/>
                <w:szCs w:val="18"/>
              </w:rPr>
              <w:t>133,481</w:t>
            </w:r>
          </w:p>
        </w:tc>
        <w:tc>
          <w:tcPr>
            <w:tcW w:w="50" w:type="pct"/>
            <w:shd w:val="clear" w:color="auto" w:fill="CFF0FC"/>
            <w:noWrap/>
            <w:tcMar>
              <w:top w:w="15" w:type="dxa"/>
              <w:left w:w="0" w:type="dxa"/>
              <w:bottom w:w="0" w:type="dxa"/>
              <w:right w:w="15" w:type="dxa"/>
            </w:tcMar>
            <w:vAlign w:val="bottom"/>
            <w:hideMark/>
          </w:tcPr>
          <w:p w14:paraId="3E10243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C49457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1FBB68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0957ADB" w14:textId="77777777" w:rsidR="00000000" w:rsidRDefault="007125B5">
            <w:pPr>
              <w:pStyle w:val="a3"/>
              <w:spacing w:before="0" w:beforeAutospacing="0" w:after="0" w:afterAutospacing="0"/>
              <w:jc w:val="right"/>
              <w:rPr>
                <w:color w:val="000000"/>
                <w:sz w:val="18"/>
                <w:szCs w:val="18"/>
              </w:rPr>
            </w:pPr>
            <w:r>
              <w:rPr>
                <w:color w:val="000000"/>
                <w:sz w:val="18"/>
                <w:szCs w:val="18"/>
              </w:rPr>
              <w:t>73,252</w:t>
            </w:r>
          </w:p>
        </w:tc>
        <w:tc>
          <w:tcPr>
            <w:tcW w:w="50" w:type="pct"/>
            <w:shd w:val="clear" w:color="auto" w:fill="CFF0FC"/>
            <w:noWrap/>
            <w:tcMar>
              <w:top w:w="15" w:type="dxa"/>
              <w:left w:w="0" w:type="dxa"/>
              <w:bottom w:w="0" w:type="dxa"/>
              <w:right w:w="15" w:type="dxa"/>
            </w:tcMar>
            <w:vAlign w:val="bottom"/>
            <w:hideMark/>
          </w:tcPr>
          <w:p w14:paraId="61971779"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52265835" w14:textId="77777777">
        <w:trPr>
          <w:divId w:val="572467841"/>
          <w:jc w:val="center"/>
        </w:trPr>
        <w:tc>
          <w:tcPr>
            <w:tcW w:w="3349" w:type="pct"/>
            <w:shd w:val="clear" w:color="auto" w:fill="FFFFFF"/>
            <w:tcMar>
              <w:top w:w="15" w:type="dxa"/>
              <w:left w:w="0" w:type="dxa"/>
              <w:bottom w:w="0" w:type="dxa"/>
              <w:right w:w="15" w:type="dxa"/>
            </w:tcMar>
            <w:hideMark/>
          </w:tcPr>
          <w:p w14:paraId="6347C1E9" w14:textId="77777777" w:rsidR="00000000" w:rsidRDefault="007125B5">
            <w:pPr>
              <w:pStyle w:val="a3"/>
              <w:spacing w:before="0" w:beforeAutospacing="0" w:after="0" w:afterAutospacing="0"/>
              <w:rPr>
                <w:color w:val="000000"/>
                <w:sz w:val="18"/>
                <w:szCs w:val="18"/>
              </w:rPr>
            </w:pPr>
            <w:r>
              <w:rPr>
                <w:color w:val="000000"/>
                <w:sz w:val="18"/>
                <w:szCs w:val="18"/>
              </w:rPr>
              <w:t>NON-CURRENT LIABILITIES:</w:t>
            </w:r>
          </w:p>
        </w:tc>
        <w:tc>
          <w:tcPr>
            <w:tcW w:w="81" w:type="pct"/>
            <w:shd w:val="clear" w:color="auto" w:fill="FFFFFF"/>
            <w:tcMar>
              <w:top w:w="15" w:type="dxa"/>
              <w:left w:w="0" w:type="dxa"/>
              <w:bottom w:w="0" w:type="dxa"/>
              <w:right w:w="15" w:type="dxa"/>
            </w:tcMar>
            <w:vAlign w:val="bottom"/>
            <w:hideMark/>
          </w:tcPr>
          <w:p w14:paraId="52E6E53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F4DD4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12D8D1C5"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F42D3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C78394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B39400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E59A547"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268E1A"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39B7C758" w14:textId="77777777">
        <w:trPr>
          <w:divId w:val="572467841"/>
          <w:jc w:val="center"/>
        </w:trPr>
        <w:tc>
          <w:tcPr>
            <w:tcW w:w="3349" w:type="pct"/>
            <w:shd w:val="clear" w:color="auto" w:fill="CFF0FC"/>
            <w:tcMar>
              <w:top w:w="15" w:type="dxa"/>
              <w:left w:w="0" w:type="dxa"/>
              <w:bottom w:w="0" w:type="dxa"/>
              <w:right w:w="15" w:type="dxa"/>
            </w:tcMar>
            <w:hideMark/>
          </w:tcPr>
          <w:p w14:paraId="2412BE26" w14:textId="77777777" w:rsidR="00000000" w:rsidRDefault="007125B5">
            <w:pPr>
              <w:pStyle w:val="a3"/>
              <w:spacing w:before="0" w:beforeAutospacing="0" w:after="0" w:afterAutospacing="0"/>
              <w:ind w:left="274"/>
              <w:rPr>
                <w:color w:val="000000"/>
                <w:sz w:val="18"/>
                <w:szCs w:val="18"/>
              </w:rPr>
            </w:pPr>
            <w:r>
              <w:rPr>
                <w:color w:val="000000"/>
                <w:sz w:val="18"/>
                <w:szCs w:val="18"/>
              </w:rPr>
              <w:t>Other non-current liabilities</w:t>
            </w:r>
          </w:p>
        </w:tc>
        <w:tc>
          <w:tcPr>
            <w:tcW w:w="81" w:type="pct"/>
            <w:shd w:val="clear" w:color="auto" w:fill="CFF0FC"/>
            <w:tcMar>
              <w:top w:w="15" w:type="dxa"/>
              <w:left w:w="0" w:type="dxa"/>
              <w:bottom w:w="0" w:type="dxa"/>
              <w:right w:w="15" w:type="dxa"/>
            </w:tcMar>
            <w:vAlign w:val="bottom"/>
            <w:hideMark/>
          </w:tcPr>
          <w:p w14:paraId="7E1589E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B5925F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46111DC3" w14:textId="77777777" w:rsidR="00000000" w:rsidRDefault="007125B5">
            <w:pPr>
              <w:pStyle w:val="a3"/>
              <w:spacing w:before="0" w:beforeAutospacing="0" w:after="0" w:afterAutospacing="0"/>
              <w:jc w:val="right"/>
              <w:rPr>
                <w:color w:val="000000"/>
                <w:sz w:val="18"/>
                <w:szCs w:val="18"/>
              </w:rPr>
            </w:pPr>
            <w:r>
              <w:rPr>
                <w:color w:val="000000"/>
                <w:sz w:val="18"/>
                <w:szCs w:val="18"/>
              </w:rPr>
              <w:t>10,993</w:t>
            </w:r>
          </w:p>
        </w:tc>
        <w:tc>
          <w:tcPr>
            <w:tcW w:w="50" w:type="pct"/>
            <w:shd w:val="clear" w:color="auto" w:fill="CFF0FC"/>
            <w:noWrap/>
            <w:tcMar>
              <w:top w:w="15" w:type="dxa"/>
              <w:left w:w="0" w:type="dxa"/>
              <w:bottom w:w="0" w:type="dxa"/>
              <w:right w:w="15" w:type="dxa"/>
            </w:tcMar>
            <w:vAlign w:val="bottom"/>
            <w:hideMark/>
          </w:tcPr>
          <w:p w14:paraId="19AF96D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0395C4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3965B9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2A44D8D2" w14:textId="77777777" w:rsidR="00000000" w:rsidRDefault="007125B5">
            <w:pPr>
              <w:pStyle w:val="a3"/>
              <w:spacing w:before="0" w:beforeAutospacing="0" w:after="0" w:afterAutospacing="0"/>
              <w:jc w:val="right"/>
              <w:rPr>
                <w:color w:val="000000"/>
                <w:sz w:val="18"/>
                <w:szCs w:val="18"/>
              </w:rPr>
            </w:pPr>
            <w:r>
              <w:rPr>
                <w:color w:val="000000"/>
                <w:sz w:val="18"/>
                <w:szCs w:val="18"/>
              </w:rPr>
              <w:t>379</w:t>
            </w:r>
          </w:p>
        </w:tc>
        <w:tc>
          <w:tcPr>
            <w:tcW w:w="50" w:type="pct"/>
            <w:shd w:val="clear" w:color="auto" w:fill="CFF0FC"/>
            <w:noWrap/>
            <w:tcMar>
              <w:top w:w="15" w:type="dxa"/>
              <w:left w:w="0" w:type="dxa"/>
              <w:bottom w:w="0" w:type="dxa"/>
              <w:right w:w="15" w:type="dxa"/>
            </w:tcMar>
            <w:vAlign w:val="bottom"/>
            <w:hideMark/>
          </w:tcPr>
          <w:p w14:paraId="2E3EC928"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649E0BFE" w14:textId="77777777">
        <w:trPr>
          <w:divId w:val="572467841"/>
          <w:jc w:val="center"/>
        </w:trPr>
        <w:tc>
          <w:tcPr>
            <w:tcW w:w="3349" w:type="pct"/>
            <w:shd w:val="clear" w:color="auto" w:fill="FFFFFF"/>
            <w:tcMar>
              <w:top w:w="15" w:type="dxa"/>
              <w:left w:w="0" w:type="dxa"/>
              <w:bottom w:w="0" w:type="dxa"/>
              <w:right w:w="15" w:type="dxa"/>
            </w:tcMar>
            <w:hideMark/>
          </w:tcPr>
          <w:p w14:paraId="5A673D34" w14:textId="77777777" w:rsidR="00000000" w:rsidRDefault="007125B5">
            <w:pPr>
              <w:pStyle w:val="a3"/>
              <w:spacing w:before="0" w:beforeAutospacing="0" w:after="0" w:afterAutospacing="0"/>
              <w:ind w:left="274"/>
              <w:rPr>
                <w:color w:val="000000"/>
                <w:sz w:val="18"/>
                <w:szCs w:val="18"/>
              </w:rPr>
            </w:pPr>
            <w:r>
              <w:rPr>
                <w:color w:val="000000"/>
                <w:sz w:val="18"/>
                <w:szCs w:val="18"/>
              </w:rPr>
              <w:t>Deferred tax liabilities—net</w:t>
            </w:r>
          </w:p>
        </w:tc>
        <w:tc>
          <w:tcPr>
            <w:tcW w:w="81" w:type="pct"/>
            <w:shd w:val="clear" w:color="auto" w:fill="FFFFFF"/>
            <w:tcMar>
              <w:top w:w="15" w:type="dxa"/>
              <w:left w:w="0" w:type="dxa"/>
              <w:bottom w:w="0" w:type="dxa"/>
              <w:right w:w="15" w:type="dxa"/>
            </w:tcMar>
            <w:vAlign w:val="bottom"/>
            <w:hideMark/>
          </w:tcPr>
          <w:p w14:paraId="45A3E39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B5FAAD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6029EBC5" w14:textId="77777777" w:rsidR="00000000" w:rsidRDefault="007125B5">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346D37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F2B291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D50FC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9CC3C9C" w14:textId="77777777" w:rsidR="00000000" w:rsidRDefault="007125B5">
            <w:pPr>
              <w:pStyle w:val="a3"/>
              <w:spacing w:before="0" w:beforeAutospacing="0" w:after="0" w:afterAutospacing="0"/>
              <w:jc w:val="right"/>
              <w:rPr>
                <w:color w:val="000000"/>
                <w:sz w:val="18"/>
                <w:szCs w:val="18"/>
              </w:rPr>
            </w:pPr>
            <w:r>
              <w:rPr>
                <w:color w:val="000000"/>
                <w:sz w:val="18"/>
                <w:szCs w:val="18"/>
              </w:rPr>
              <w:t>3,530</w:t>
            </w:r>
          </w:p>
        </w:tc>
        <w:tc>
          <w:tcPr>
            <w:tcW w:w="50" w:type="pct"/>
            <w:shd w:val="clear" w:color="auto" w:fill="FFFFFF"/>
            <w:noWrap/>
            <w:tcMar>
              <w:top w:w="15" w:type="dxa"/>
              <w:left w:w="0" w:type="dxa"/>
              <w:bottom w:w="0" w:type="dxa"/>
              <w:right w:w="15" w:type="dxa"/>
            </w:tcMar>
            <w:vAlign w:val="bottom"/>
            <w:hideMark/>
          </w:tcPr>
          <w:p w14:paraId="0B3E004C"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3F2B72DC" w14:textId="77777777">
        <w:trPr>
          <w:divId w:val="572467841"/>
          <w:jc w:val="center"/>
        </w:trPr>
        <w:tc>
          <w:tcPr>
            <w:tcW w:w="3349" w:type="pct"/>
            <w:shd w:val="clear" w:color="auto" w:fill="CFF0FC"/>
            <w:tcMar>
              <w:top w:w="15" w:type="dxa"/>
              <w:left w:w="0" w:type="dxa"/>
              <w:bottom w:w="0" w:type="dxa"/>
              <w:right w:w="15" w:type="dxa"/>
            </w:tcMar>
            <w:hideMark/>
          </w:tcPr>
          <w:p w14:paraId="1E3F0BCF" w14:textId="77777777" w:rsidR="00000000" w:rsidRDefault="007125B5">
            <w:pPr>
              <w:pStyle w:val="a3"/>
              <w:spacing w:before="0" w:beforeAutospacing="0" w:after="0" w:afterAutospacing="0"/>
              <w:ind w:left="274"/>
              <w:rPr>
                <w:color w:val="000000"/>
                <w:sz w:val="18"/>
                <w:szCs w:val="18"/>
              </w:rPr>
            </w:pPr>
            <w:r>
              <w:rPr>
                <w:color w:val="000000"/>
                <w:sz w:val="18"/>
                <w:szCs w:val="18"/>
              </w:rPr>
              <w:t>Contingent put option</w:t>
            </w:r>
          </w:p>
        </w:tc>
        <w:tc>
          <w:tcPr>
            <w:tcW w:w="81" w:type="pct"/>
            <w:shd w:val="clear" w:color="auto" w:fill="CFF0FC"/>
            <w:tcMar>
              <w:top w:w="15" w:type="dxa"/>
              <w:left w:w="0" w:type="dxa"/>
              <w:bottom w:w="0" w:type="dxa"/>
              <w:right w:w="15" w:type="dxa"/>
            </w:tcMar>
            <w:vAlign w:val="bottom"/>
            <w:hideMark/>
          </w:tcPr>
          <w:p w14:paraId="73B4B35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650810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09727F0D" w14:textId="77777777" w:rsidR="00000000" w:rsidRDefault="007125B5">
            <w:pPr>
              <w:pStyle w:val="a3"/>
              <w:spacing w:before="0" w:beforeAutospacing="0" w:after="0" w:afterAutospacing="0"/>
              <w:jc w:val="right"/>
              <w:rPr>
                <w:color w:val="000000"/>
                <w:sz w:val="18"/>
                <w:szCs w:val="18"/>
              </w:rPr>
            </w:pPr>
            <w:r>
              <w:rPr>
                <w:color w:val="000000"/>
                <w:sz w:val="18"/>
                <w:szCs w:val="18"/>
              </w:rPr>
              <w:t>14,125</w:t>
            </w:r>
          </w:p>
        </w:tc>
        <w:tc>
          <w:tcPr>
            <w:tcW w:w="50" w:type="pct"/>
            <w:shd w:val="clear" w:color="auto" w:fill="CFF0FC"/>
            <w:noWrap/>
            <w:tcMar>
              <w:top w:w="15" w:type="dxa"/>
              <w:left w:w="0" w:type="dxa"/>
              <w:bottom w:w="0" w:type="dxa"/>
              <w:right w:w="15" w:type="dxa"/>
            </w:tcMar>
            <w:vAlign w:val="bottom"/>
            <w:hideMark/>
          </w:tcPr>
          <w:p w14:paraId="0880CE4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5076F26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E3E4D7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72F4F63" w14:textId="77777777" w:rsidR="00000000" w:rsidRDefault="007125B5">
            <w:pPr>
              <w:pStyle w:val="a3"/>
              <w:spacing w:before="0" w:beforeAutospacing="0" w:after="0" w:afterAutospacing="0"/>
              <w:jc w:val="right"/>
              <w:rPr>
                <w:color w:val="000000"/>
                <w:sz w:val="18"/>
                <w:szCs w:val="18"/>
              </w:rPr>
            </w:pPr>
            <w:r>
              <w:rPr>
                <w:color w:val="000000"/>
                <w:sz w:val="18"/>
                <w:szCs w:val="18"/>
              </w:rPr>
              <w:t>7,100</w:t>
            </w:r>
          </w:p>
        </w:tc>
        <w:tc>
          <w:tcPr>
            <w:tcW w:w="50" w:type="pct"/>
            <w:shd w:val="clear" w:color="auto" w:fill="CFF0FC"/>
            <w:noWrap/>
            <w:tcMar>
              <w:top w:w="15" w:type="dxa"/>
              <w:left w:w="0" w:type="dxa"/>
              <w:bottom w:w="0" w:type="dxa"/>
              <w:right w:w="15" w:type="dxa"/>
            </w:tcMar>
            <w:vAlign w:val="bottom"/>
            <w:hideMark/>
          </w:tcPr>
          <w:p w14:paraId="2D054B6D"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337A1248" w14:textId="77777777">
        <w:trPr>
          <w:divId w:val="572467841"/>
          <w:jc w:val="center"/>
        </w:trPr>
        <w:tc>
          <w:tcPr>
            <w:tcW w:w="3349" w:type="pct"/>
            <w:shd w:val="clear" w:color="auto" w:fill="FFFFFF"/>
            <w:tcMar>
              <w:top w:w="15" w:type="dxa"/>
              <w:left w:w="0" w:type="dxa"/>
              <w:bottom w:w="0" w:type="dxa"/>
              <w:right w:w="15" w:type="dxa"/>
            </w:tcMar>
            <w:hideMark/>
          </w:tcPr>
          <w:p w14:paraId="00E228BC" w14:textId="77777777" w:rsidR="00000000" w:rsidRDefault="007125B5">
            <w:pPr>
              <w:pStyle w:val="a3"/>
              <w:spacing w:before="0" w:beforeAutospacing="0" w:after="0" w:afterAutospacing="0"/>
              <w:ind w:left="274"/>
              <w:rPr>
                <w:color w:val="000000"/>
                <w:sz w:val="18"/>
                <w:szCs w:val="18"/>
              </w:rPr>
            </w:pPr>
            <w:r>
              <w:rPr>
                <w:color w:val="000000"/>
                <w:sz w:val="18"/>
                <w:szCs w:val="18"/>
              </w:rPr>
              <w:t>Long-term debt—net of deferred financing fees</w:t>
            </w:r>
          </w:p>
        </w:tc>
        <w:tc>
          <w:tcPr>
            <w:tcW w:w="81" w:type="pct"/>
            <w:shd w:val="clear" w:color="auto" w:fill="FFFFFF"/>
            <w:tcMar>
              <w:top w:w="15" w:type="dxa"/>
              <w:left w:w="0" w:type="dxa"/>
              <w:bottom w:w="0" w:type="dxa"/>
              <w:right w:w="15" w:type="dxa"/>
            </w:tcMar>
            <w:vAlign w:val="bottom"/>
            <w:hideMark/>
          </w:tcPr>
          <w:p w14:paraId="7F415A5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345FC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94A3685" w14:textId="77777777" w:rsidR="00000000" w:rsidRDefault="007125B5">
            <w:pPr>
              <w:pStyle w:val="a3"/>
              <w:spacing w:before="0" w:beforeAutospacing="0" w:after="0" w:afterAutospacing="0"/>
              <w:jc w:val="right"/>
              <w:rPr>
                <w:color w:val="000000"/>
                <w:sz w:val="18"/>
                <w:szCs w:val="18"/>
              </w:rPr>
            </w:pPr>
            <w:r>
              <w:rPr>
                <w:color w:val="000000"/>
                <w:sz w:val="18"/>
                <w:szCs w:val="18"/>
              </w:rPr>
              <w:t>198,089</w:t>
            </w:r>
          </w:p>
        </w:tc>
        <w:tc>
          <w:tcPr>
            <w:tcW w:w="50" w:type="pct"/>
            <w:shd w:val="clear" w:color="auto" w:fill="FFFFFF"/>
            <w:noWrap/>
            <w:tcMar>
              <w:top w:w="15" w:type="dxa"/>
              <w:left w:w="0" w:type="dxa"/>
              <w:bottom w:w="0" w:type="dxa"/>
              <w:right w:w="15" w:type="dxa"/>
            </w:tcMar>
            <w:vAlign w:val="bottom"/>
            <w:hideMark/>
          </w:tcPr>
          <w:p w14:paraId="6F1A6A2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6366375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66368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347F4FF" w14:textId="77777777" w:rsidR="00000000" w:rsidRDefault="007125B5">
            <w:pPr>
              <w:pStyle w:val="a3"/>
              <w:spacing w:before="0" w:beforeAutospacing="0" w:after="0" w:afterAutospacing="0"/>
              <w:jc w:val="right"/>
              <w:rPr>
                <w:color w:val="000000"/>
                <w:sz w:val="18"/>
                <w:szCs w:val="18"/>
              </w:rPr>
            </w:pPr>
            <w:r>
              <w:rPr>
                <w:color w:val="000000"/>
                <w:sz w:val="18"/>
                <w:szCs w:val="18"/>
              </w:rPr>
              <w:t>145,046</w:t>
            </w:r>
          </w:p>
        </w:tc>
        <w:tc>
          <w:tcPr>
            <w:tcW w:w="50" w:type="pct"/>
            <w:shd w:val="clear" w:color="auto" w:fill="FFFFFF"/>
            <w:noWrap/>
            <w:tcMar>
              <w:top w:w="15" w:type="dxa"/>
              <w:left w:w="0" w:type="dxa"/>
              <w:bottom w:w="0" w:type="dxa"/>
              <w:right w:w="15" w:type="dxa"/>
            </w:tcMar>
            <w:vAlign w:val="bottom"/>
            <w:hideMark/>
          </w:tcPr>
          <w:p w14:paraId="5A8ECDCD"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51309120" w14:textId="77777777">
        <w:trPr>
          <w:divId w:val="572467841"/>
          <w:jc w:val="center"/>
        </w:trPr>
        <w:tc>
          <w:tcPr>
            <w:tcW w:w="3349" w:type="pct"/>
            <w:shd w:val="clear" w:color="auto" w:fill="CFF0FC"/>
            <w:tcMar>
              <w:top w:w="15" w:type="dxa"/>
              <w:left w:w="0" w:type="dxa"/>
              <w:bottom w:w="0" w:type="dxa"/>
              <w:right w:w="15" w:type="dxa"/>
            </w:tcMar>
            <w:hideMark/>
          </w:tcPr>
          <w:p w14:paraId="6D1C21B4" w14:textId="77777777" w:rsidR="00000000" w:rsidRDefault="007125B5">
            <w:pPr>
              <w:pStyle w:val="a3"/>
              <w:spacing w:before="0" w:beforeAutospacing="0" w:after="0" w:afterAutospacing="0"/>
              <w:ind w:left="547"/>
              <w:rPr>
                <w:color w:val="000000"/>
                <w:sz w:val="18"/>
                <w:szCs w:val="18"/>
              </w:rPr>
            </w:pPr>
            <w:r>
              <w:rPr>
                <w:color w:val="000000"/>
                <w:sz w:val="18"/>
                <w:szCs w:val="18"/>
              </w:rPr>
              <w:t>Total liabilities</w:t>
            </w:r>
          </w:p>
        </w:tc>
        <w:tc>
          <w:tcPr>
            <w:tcW w:w="81" w:type="pct"/>
            <w:shd w:val="clear" w:color="auto" w:fill="CFF0FC"/>
            <w:tcMar>
              <w:top w:w="15" w:type="dxa"/>
              <w:left w:w="0" w:type="dxa"/>
              <w:bottom w:w="0" w:type="dxa"/>
              <w:right w:w="15" w:type="dxa"/>
            </w:tcMar>
            <w:vAlign w:val="bottom"/>
            <w:hideMark/>
          </w:tcPr>
          <w:p w14:paraId="6B45F68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0F172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BF8B825" w14:textId="77777777" w:rsidR="00000000" w:rsidRDefault="007125B5">
            <w:pPr>
              <w:pStyle w:val="a3"/>
              <w:spacing w:before="0" w:beforeAutospacing="0" w:after="0" w:afterAutospacing="0"/>
              <w:jc w:val="right"/>
              <w:rPr>
                <w:color w:val="000000"/>
                <w:sz w:val="18"/>
                <w:szCs w:val="18"/>
              </w:rPr>
            </w:pPr>
            <w:r>
              <w:rPr>
                <w:color w:val="000000"/>
                <w:sz w:val="18"/>
                <w:szCs w:val="18"/>
              </w:rPr>
              <w:t>356,688</w:t>
            </w:r>
          </w:p>
        </w:tc>
        <w:tc>
          <w:tcPr>
            <w:tcW w:w="50" w:type="pct"/>
            <w:shd w:val="clear" w:color="auto" w:fill="CFF0FC"/>
            <w:noWrap/>
            <w:tcMar>
              <w:top w:w="15" w:type="dxa"/>
              <w:left w:w="0" w:type="dxa"/>
              <w:bottom w:w="0" w:type="dxa"/>
              <w:right w:w="15" w:type="dxa"/>
            </w:tcMar>
            <w:vAlign w:val="bottom"/>
            <w:hideMark/>
          </w:tcPr>
          <w:p w14:paraId="4FBD301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7EADB9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F705A5"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AA08A51" w14:textId="77777777" w:rsidR="00000000" w:rsidRDefault="007125B5">
            <w:pPr>
              <w:pStyle w:val="a3"/>
              <w:spacing w:before="0" w:beforeAutospacing="0" w:after="0" w:afterAutospacing="0"/>
              <w:jc w:val="right"/>
              <w:rPr>
                <w:color w:val="000000"/>
                <w:sz w:val="18"/>
                <w:szCs w:val="18"/>
              </w:rPr>
            </w:pPr>
            <w:r>
              <w:rPr>
                <w:color w:val="000000"/>
                <w:sz w:val="18"/>
                <w:szCs w:val="18"/>
              </w:rPr>
              <w:t>229,307</w:t>
            </w:r>
          </w:p>
        </w:tc>
        <w:tc>
          <w:tcPr>
            <w:tcW w:w="50" w:type="pct"/>
            <w:shd w:val="clear" w:color="auto" w:fill="CFF0FC"/>
            <w:noWrap/>
            <w:tcMar>
              <w:top w:w="15" w:type="dxa"/>
              <w:left w:w="0" w:type="dxa"/>
              <w:bottom w:w="0" w:type="dxa"/>
              <w:right w:w="15" w:type="dxa"/>
            </w:tcMar>
            <w:vAlign w:val="bottom"/>
            <w:hideMark/>
          </w:tcPr>
          <w:p w14:paraId="5BE73D89"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66D24FB9" w14:textId="77777777">
        <w:trPr>
          <w:divId w:val="572467841"/>
          <w:jc w:val="center"/>
        </w:trPr>
        <w:tc>
          <w:tcPr>
            <w:tcW w:w="3349" w:type="pct"/>
            <w:shd w:val="clear" w:color="auto" w:fill="FFFFFF"/>
            <w:tcMar>
              <w:top w:w="15" w:type="dxa"/>
              <w:left w:w="0" w:type="dxa"/>
              <w:bottom w:w="0" w:type="dxa"/>
              <w:right w:w="15" w:type="dxa"/>
            </w:tcMar>
            <w:hideMark/>
          </w:tcPr>
          <w:p w14:paraId="4F3C6917" w14:textId="77777777" w:rsidR="00000000" w:rsidRDefault="007125B5">
            <w:pPr>
              <w:pStyle w:val="a3"/>
              <w:spacing w:before="0" w:beforeAutospacing="0" w:after="0" w:afterAutospacing="0"/>
              <w:rPr>
                <w:color w:val="000000"/>
                <w:sz w:val="18"/>
                <w:szCs w:val="18"/>
              </w:rPr>
            </w:pPr>
            <w:r>
              <w:rPr>
                <w:color w:val="000000"/>
                <w:sz w:val="18"/>
                <w:szCs w:val="18"/>
              </w:rPr>
              <w:t>COMMITMENTS AND CONTINGENCIES</w:t>
            </w:r>
          </w:p>
        </w:tc>
        <w:tc>
          <w:tcPr>
            <w:tcW w:w="81" w:type="pct"/>
            <w:shd w:val="clear" w:color="auto" w:fill="FFFFFF"/>
            <w:tcMar>
              <w:top w:w="15" w:type="dxa"/>
              <w:left w:w="0" w:type="dxa"/>
              <w:bottom w:w="0" w:type="dxa"/>
              <w:right w:w="15" w:type="dxa"/>
            </w:tcMar>
            <w:vAlign w:val="bottom"/>
            <w:hideMark/>
          </w:tcPr>
          <w:p w14:paraId="5B9889D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ED124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2E36D28"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DF944A"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31489EF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08546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3C9A12D6"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DD17068"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59F3F29F" w14:textId="77777777">
        <w:trPr>
          <w:divId w:val="572467841"/>
          <w:jc w:val="center"/>
        </w:trPr>
        <w:tc>
          <w:tcPr>
            <w:tcW w:w="3349" w:type="pct"/>
            <w:shd w:val="clear" w:color="auto" w:fill="CFF0FC"/>
            <w:tcMar>
              <w:top w:w="15" w:type="dxa"/>
              <w:left w:w="0" w:type="dxa"/>
              <w:bottom w:w="0" w:type="dxa"/>
              <w:right w:w="15" w:type="dxa"/>
            </w:tcMar>
            <w:hideMark/>
          </w:tcPr>
          <w:p w14:paraId="2D49557C" w14:textId="77777777" w:rsidR="00000000" w:rsidRDefault="007125B5">
            <w:pPr>
              <w:pStyle w:val="a3"/>
              <w:spacing w:before="0" w:beforeAutospacing="0" w:after="0" w:afterAutospacing="0"/>
              <w:rPr>
                <w:color w:val="000000"/>
                <w:sz w:val="18"/>
                <w:szCs w:val="18"/>
              </w:rPr>
            </w:pPr>
            <w:r>
              <w:rPr>
                <w:color w:val="000000"/>
                <w:sz w:val="18"/>
                <w:szCs w:val="18"/>
              </w:rPr>
              <w:t>REDEEMABLE SERIES A-1 PREFERRED STOCK $0.0001 PAR VALUE—</w:t>
            </w:r>
          </w:p>
        </w:tc>
        <w:tc>
          <w:tcPr>
            <w:tcW w:w="81" w:type="pct"/>
            <w:shd w:val="clear" w:color="auto" w:fill="CFF0FC"/>
            <w:tcMar>
              <w:top w:w="15" w:type="dxa"/>
              <w:left w:w="0" w:type="dxa"/>
              <w:bottom w:w="0" w:type="dxa"/>
              <w:right w:w="15" w:type="dxa"/>
            </w:tcMar>
            <w:vAlign w:val="bottom"/>
            <w:hideMark/>
          </w:tcPr>
          <w:p w14:paraId="7161316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8B09DC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6AA183AD"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145806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725ADEB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31F8F7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0CCE9DEC"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8D1F3A"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6E80C527" w14:textId="77777777">
        <w:trPr>
          <w:divId w:val="572467841"/>
          <w:jc w:val="center"/>
        </w:trPr>
        <w:tc>
          <w:tcPr>
            <w:tcW w:w="3349" w:type="pct"/>
            <w:shd w:val="clear" w:color="auto" w:fill="FFFFFF"/>
            <w:tcMar>
              <w:top w:w="15" w:type="dxa"/>
              <w:left w:w="0" w:type="dxa"/>
              <w:bottom w:w="0" w:type="dxa"/>
              <w:right w:w="15" w:type="dxa"/>
            </w:tcMar>
            <w:hideMark/>
          </w:tcPr>
          <w:p w14:paraId="7EAFB605" w14:textId="77777777" w:rsidR="00000000" w:rsidRDefault="007125B5">
            <w:pPr>
              <w:pStyle w:val="a3"/>
              <w:spacing w:before="0" w:beforeAutospacing="0" w:after="0" w:afterAutospacing="0"/>
              <w:ind w:left="274"/>
              <w:rPr>
                <w:color w:val="000000"/>
                <w:sz w:val="18"/>
                <w:szCs w:val="18"/>
              </w:rPr>
            </w:pPr>
            <w:r>
              <w:rPr>
                <w:color w:val="000000"/>
                <w:sz w:val="18"/>
                <w:szCs w:val="18"/>
              </w:rPr>
              <w:t>Authorized, issued and outstanding shares: 12,000 at June 30, 2020 and December 31,</w:t>
            </w:r>
          </w:p>
          <w:p w14:paraId="35E6CC1D" w14:textId="77777777" w:rsidR="00000000" w:rsidRDefault="007125B5">
            <w:pPr>
              <w:pStyle w:val="a3"/>
              <w:spacing w:before="0" w:beforeAutospacing="0" w:after="0" w:afterAutospacing="0"/>
              <w:ind w:left="274"/>
              <w:rPr>
                <w:color w:val="000000"/>
                <w:sz w:val="18"/>
                <w:szCs w:val="18"/>
              </w:rPr>
            </w:pPr>
            <w:r>
              <w:rPr>
                <w:color w:val="000000"/>
                <w:sz w:val="18"/>
                <w:szCs w:val="18"/>
              </w:rPr>
              <w:t xml:space="preserve">   </w:t>
            </w:r>
            <w:r>
              <w:rPr>
                <w:color w:val="000000"/>
                <w:sz w:val="18"/>
                <w:szCs w:val="18"/>
              </w:rPr>
              <w:t>2019; aggregate liquidation preference of $152,199 and $141,898 at June 30, 2020</w:t>
            </w:r>
          </w:p>
          <w:p w14:paraId="72313665" w14:textId="77777777" w:rsidR="00000000" w:rsidRDefault="007125B5">
            <w:pPr>
              <w:pStyle w:val="a3"/>
              <w:spacing w:before="0" w:beforeAutospacing="0" w:after="0" w:afterAutospacing="0"/>
              <w:ind w:left="274"/>
              <w:rPr>
                <w:color w:val="000000"/>
                <w:sz w:val="18"/>
                <w:szCs w:val="18"/>
              </w:rPr>
            </w:pPr>
            <w:r>
              <w:rPr>
                <w:color w:val="000000"/>
                <w:sz w:val="18"/>
                <w:szCs w:val="18"/>
              </w:rPr>
              <w:t>   and December 31, 2019, respectively</w:t>
            </w:r>
          </w:p>
        </w:tc>
        <w:tc>
          <w:tcPr>
            <w:tcW w:w="81" w:type="pct"/>
            <w:shd w:val="clear" w:color="auto" w:fill="FFFFFF"/>
            <w:tcMar>
              <w:top w:w="15" w:type="dxa"/>
              <w:left w:w="0" w:type="dxa"/>
              <w:bottom w:w="0" w:type="dxa"/>
              <w:right w:w="15" w:type="dxa"/>
            </w:tcMar>
            <w:vAlign w:val="bottom"/>
            <w:hideMark/>
          </w:tcPr>
          <w:p w14:paraId="6500B3E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039962"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10204256" w14:textId="77777777" w:rsidR="00000000" w:rsidRDefault="007125B5">
            <w:pPr>
              <w:pStyle w:val="a3"/>
              <w:spacing w:before="0" w:beforeAutospacing="0" w:after="0" w:afterAutospacing="0"/>
              <w:jc w:val="right"/>
              <w:rPr>
                <w:color w:val="000000"/>
                <w:sz w:val="18"/>
                <w:szCs w:val="18"/>
              </w:rPr>
            </w:pPr>
            <w:r>
              <w:rPr>
                <w:color w:val="000000"/>
                <w:sz w:val="18"/>
                <w:szCs w:val="18"/>
              </w:rPr>
              <w:t>139,881</w:t>
            </w:r>
          </w:p>
        </w:tc>
        <w:tc>
          <w:tcPr>
            <w:tcW w:w="50" w:type="pct"/>
            <w:shd w:val="clear" w:color="auto" w:fill="FFFFFF"/>
            <w:noWrap/>
            <w:tcMar>
              <w:top w:w="15" w:type="dxa"/>
              <w:left w:w="0" w:type="dxa"/>
              <w:bottom w:w="0" w:type="dxa"/>
              <w:right w:w="15" w:type="dxa"/>
            </w:tcMar>
            <w:vAlign w:val="bottom"/>
            <w:hideMark/>
          </w:tcPr>
          <w:p w14:paraId="409D88C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7695023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832CE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3C5F99C7" w14:textId="77777777" w:rsidR="00000000" w:rsidRDefault="007125B5">
            <w:pPr>
              <w:pStyle w:val="a3"/>
              <w:spacing w:before="0" w:beforeAutospacing="0" w:after="0" w:afterAutospacing="0"/>
              <w:jc w:val="right"/>
              <w:rPr>
                <w:color w:val="000000"/>
                <w:sz w:val="18"/>
                <w:szCs w:val="18"/>
              </w:rPr>
            </w:pPr>
            <w:r>
              <w:rPr>
                <w:color w:val="000000"/>
                <w:sz w:val="18"/>
                <w:szCs w:val="18"/>
              </w:rPr>
              <w:t>128,822</w:t>
            </w:r>
          </w:p>
        </w:tc>
        <w:tc>
          <w:tcPr>
            <w:tcW w:w="50" w:type="pct"/>
            <w:shd w:val="clear" w:color="auto" w:fill="FFFFFF"/>
            <w:noWrap/>
            <w:tcMar>
              <w:top w:w="15" w:type="dxa"/>
              <w:left w:w="0" w:type="dxa"/>
              <w:bottom w:w="0" w:type="dxa"/>
              <w:right w:w="15" w:type="dxa"/>
            </w:tcMar>
            <w:vAlign w:val="bottom"/>
            <w:hideMark/>
          </w:tcPr>
          <w:p w14:paraId="3A9B2FAD"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1882A83A" w14:textId="77777777">
        <w:trPr>
          <w:divId w:val="572467841"/>
          <w:jc w:val="center"/>
        </w:trPr>
        <w:tc>
          <w:tcPr>
            <w:tcW w:w="3349" w:type="pct"/>
            <w:shd w:val="clear" w:color="auto" w:fill="CFF0FC"/>
            <w:tcMar>
              <w:top w:w="15" w:type="dxa"/>
              <w:left w:w="0" w:type="dxa"/>
              <w:bottom w:w="0" w:type="dxa"/>
              <w:right w:w="15" w:type="dxa"/>
            </w:tcMar>
            <w:hideMark/>
          </w:tcPr>
          <w:p w14:paraId="5D186A0B" w14:textId="77777777" w:rsidR="00000000" w:rsidRDefault="007125B5">
            <w:pPr>
              <w:pStyle w:val="a3"/>
              <w:spacing w:before="0" w:beforeAutospacing="0" w:after="0" w:afterAutospacing="0"/>
              <w:rPr>
                <w:color w:val="000000"/>
                <w:sz w:val="18"/>
                <w:szCs w:val="18"/>
              </w:rPr>
            </w:pPr>
            <w:r>
              <w:rPr>
                <w:color w:val="000000"/>
                <w:sz w:val="18"/>
                <w:szCs w:val="18"/>
              </w:rPr>
              <w:t>CONVERTIBLE AND REDEEMABLE SERIES A-2 PREFERRED STOCK $0.0001</w:t>
            </w:r>
          </w:p>
          <w:p w14:paraId="0CA91206" w14:textId="77777777" w:rsidR="00000000" w:rsidRDefault="007125B5">
            <w:pPr>
              <w:pStyle w:val="a3"/>
              <w:spacing w:before="0" w:beforeAutospacing="0" w:after="0" w:afterAutospacing="0"/>
              <w:rPr>
                <w:color w:val="000000"/>
                <w:sz w:val="18"/>
                <w:szCs w:val="18"/>
              </w:rPr>
            </w:pPr>
            <w:r>
              <w:rPr>
                <w:color w:val="000000"/>
                <w:sz w:val="18"/>
                <w:szCs w:val="18"/>
              </w:rPr>
              <w:t>   PAR VALUE—</w:t>
            </w:r>
          </w:p>
        </w:tc>
        <w:tc>
          <w:tcPr>
            <w:tcW w:w="81" w:type="pct"/>
            <w:shd w:val="clear" w:color="auto" w:fill="CFF0FC"/>
            <w:tcMar>
              <w:top w:w="15" w:type="dxa"/>
              <w:left w:w="0" w:type="dxa"/>
              <w:bottom w:w="0" w:type="dxa"/>
              <w:right w:w="15" w:type="dxa"/>
            </w:tcMar>
            <w:vAlign w:val="bottom"/>
            <w:hideMark/>
          </w:tcPr>
          <w:p w14:paraId="4D25247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4F5544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2AF2093"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381A01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5EE843F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F85176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FDEAF3D"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F5B08C"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017D1AA4" w14:textId="77777777">
        <w:trPr>
          <w:divId w:val="572467841"/>
          <w:jc w:val="center"/>
        </w:trPr>
        <w:tc>
          <w:tcPr>
            <w:tcW w:w="3349" w:type="pct"/>
            <w:shd w:val="clear" w:color="auto" w:fill="FFFFFF"/>
            <w:tcMar>
              <w:top w:w="15" w:type="dxa"/>
              <w:left w:w="0" w:type="dxa"/>
              <w:bottom w:w="0" w:type="dxa"/>
              <w:right w:w="15" w:type="dxa"/>
            </w:tcMar>
            <w:hideMark/>
          </w:tcPr>
          <w:p w14:paraId="677C89D7" w14:textId="77777777" w:rsidR="00000000" w:rsidRDefault="007125B5">
            <w:pPr>
              <w:pStyle w:val="a3"/>
              <w:spacing w:before="0" w:beforeAutospacing="0" w:after="0" w:afterAutospacing="0"/>
              <w:ind w:left="274"/>
              <w:rPr>
                <w:color w:val="000000"/>
                <w:sz w:val="18"/>
                <w:szCs w:val="18"/>
              </w:rPr>
            </w:pPr>
            <w:r>
              <w:rPr>
                <w:color w:val="000000"/>
                <w:sz w:val="18"/>
                <w:szCs w:val="18"/>
              </w:rPr>
              <w:t>Authorized, issued and outstanding shares: 17,500 and 0 at June 30, 2020 and</w:t>
            </w:r>
          </w:p>
          <w:p w14:paraId="2FC0F5F7" w14:textId="77777777" w:rsidR="00000000" w:rsidRDefault="007125B5">
            <w:pPr>
              <w:pStyle w:val="a3"/>
              <w:spacing w:before="0" w:beforeAutospacing="0" w:after="0" w:afterAutospacing="0"/>
              <w:ind w:left="274"/>
              <w:rPr>
                <w:color w:val="000000"/>
                <w:sz w:val="18"/>
                <w:szCs w:val="18"/>
              </w:rPr>
            </w:pPr>
            <w:r>
              <w:rPr>
                <w:color w:val="000000"/>
                <w:sz w:val="18"/>
                <w:szCs w:val="18"/>
              </w:rPr>
              <w:t>   December 31, 2019, respectively; aggregate liquidation preference of $181,213 and</w:t>
            </w:r>
          </w:p>
          <w:p w14:paraId="18A8DE0C" w14:textId="77777777" w:rsidR="00000000" w:rsidRDefault="007125B5">
            <w:pPr>
              <w:pStyle w:val="a3"/>
              <w:spacing w:before="0" w:beforeAutospacing="0" w:after="0" w:afterAutospacing="0"/>
              <w:ind w:left="274"/>
              <w:rPr>
                <w:color w:val="000000"/>
                <w:sz w:val="18"/>
                <w:szCs w:val="18"/>
              </w:rPr>
            </w:pPr>
            <w:r>
              <w:rPr>
                <w:color w:val="000000"/>
                <w:sz w:val="18"/>
                <w:szCs w:val="18"/>
              </w:rPr>
              <w:t>   $0 at June 30, 2020 and December 31, 2019, respectively.</w:t>
            </w:r>
          </w:p>
        </w:tc>
        <w:tc>
          <w:tcPr>
            <w:tcW w:w="81" w:type="pct"/>
            <w:shd w:val="clear" w:color="auto" w:fill="FFFFFF"/>
            <w:tcMar>
              <w:top w:w="15" w:type="dxa"/>
              <w:left w:w="0" w:type="dxa"/>
              <w:bottom w:w="0" w:type="dxa"/>
              <w:right w:w="15" w:type="dxa"/>
            </w:tcMar>
            <w:vAlign w:val="bottom"/>
            <w:hideMark/>
          </w:tcPr>
          <w:p w14:paraId="215B399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BE324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29B7308" w14:textId="77777777" w:rsidR="00000000" w:rsidRDefault="007125B5">
            <w:pPr>
              <w:pStyle w:val="a3"/>
              <w:spacing w:before="0" w:beforeAutospacing="0" w:after="0" w:afterAutospacing="0"/>
              <w:jc w:val="right"/>
              <w:rPr>
                <w:color w:val="000000"/>
                <w:sz w:val="18"/>
                <w:szCs w:val="18"/>
              </w:rPr>
            </w:pPr>
            <w:r>
              <w:rPr>
                <w:color w:val="000000"/>
                <w:sz w:val="18"/>
                <w:szCs w:val="18"/>
              </w:rPr>
              <w:t>152,928</w:t>
            </w:r>
          </w:p>
        </w:tc>
        <w:tc>
          <w:tcPr>
            <w:tcW w:w="50" w:type="pct"/>
            <w:shd w:val="clear" w:color="auto" w:fill="FFFFFF"/>
            <w:noWrap/>
            <w:tcMar>
              <w:top w:w="15" w:type="dxa"/>
              <w:left w:w="0" w:type="dxa"/>
              <w:bottom w:w="0" w:type="dxa"/>
              <w:right w:w="15" w:type="dxa"/>
            </w:tcMar>
            <w:vAlign w:val="bottom"/>
            <w:hideMark/>
          </w:tcPr>
          <w:p w14:paraId="5098DE4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139565D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70236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1A0BC2EC" w14:textId="77777777" w:rsidR="00000000" w:rsidRDefault="007125B5">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041A5A9"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121A0E8B" w14:textId="77777777">
        <w:trPr>
          <w:divId w:val="572467841"/>
          <w:jc w:val="center"/>
        </w:trPr>
        <w:tc>
          <w:tcPr>
            <w:tcW w:w="3349" w:type="pct"/>
            <w:shd w:val="clear" w:color="auto" w:fill="CFF0FC"/>
            <w:tcMar>
              <w:top w:w="15" w:type="dxa"/>
              <w:left w:w="0" w:type="dxa"/>
              <w:bottom w:w="0" w:type="dxa"/>
              <w:right w:w="15" w:type="dxa"/>
            </w:tcMar>
            <w:hideMark/>
          </w:tcPr>
          <w:p w14:paraId="3773BBAD" w14:textId="77777777" w:rsidR="00000000" w:rsidRDefault="007125B5">
            <w:pPr>
              <w:pStyle w:val="a3"/>
              <w:spacing w:before="0" w:beforeAutospacing="0" w:after="0" w:afterAutospacing="0"/>
              <w:rPr>
                <w:color w:val="000000"/>
                <w:sz w:val="18"/>
                <w:szCs w:val="18"/>
              </w:rPr>
            </w:pPr>
            <w:r>
              <w:rPr>
                <w:color w:val="000000"/>
                <w:sz w:val="18"/>
                <w:szCs w:val="18"/>
              </w:rPr>
              <w:t>STOCKHOLDER</w:t>
            </w:r>
            <w:r>
              <w:rPr>
                <w:color w:val="000000"/>
                <w:sz w:val="18"/>
                <w:szCs w:val="18"/>
              </w:rPr>
              <w:t>S’ DEFICIT:</w:t>
            </w:r>
          </w:p>
        </w:tc>
        <w:tc>
          <w:tcPr>
            <w:tcW w:w="81" w:type="pct"/>
            <w:shd w:val="clear" w:color="auto" w:fill="CFF0FC"/>
            <w:tcMar>
              <w:top w:w="15" w:type="dxa"/>
              <w:left w:w="0" w:type="dxa"/>
              <w:bottom w:w="0" w:type="dxa"/>
              <w:right w:w="15" w:type="dxa"/>
            </w:tcMar>
            <w:vAlign w:val="bottom"/>
            <w:hideMark/>
          </w:tcPr>
          <w:p w14:paraId="6DF3BB3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A62B48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7B38C41"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18A02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51C60D9B"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604C7A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06D25EA" w14:textId="77777777" w:rsidR="00000000" w:rsidRDefault="007125B5">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6547BB1"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37CFE780" w14:textId="77777777">
        <w:trPr>
          <w:divId w:val="572467841"/>
          <w:jc w:val="center"/>
        </w:trPr>
        <w:tc>
          <w:tcPr>
            <w:tcW w:w="3349" w:type="pct"/>
            <w:shd w:val="clear" w:color="auto" w:fill="FFFFFF"/>
            <w:tcMar>
              <w:top w:w="15" w:type="dxa"/>
              <w:left w:w="0" w:type="dxa"/>
              <w:bottom w:w="0" w:type="dxa"/>
              <w:right w:w="15" w:type="dxa"/>
            </w:tcMar>
            <w:hideMark/>
          </w:tcPr>
          <w:p w14:paraId="0CACAACA" w14:textId="77777777" w:rsidR="00000000" w:rsidRDefault="007125B5">
            <w:pPr>
              <w:pStyle w:val="a3"/>
              <w:spacing w:before="0" w:beforeAutospacing="0" w:after="0" w:afterAutospacing="0"/>
              <w:ind w:left="274"/>
              <w:rPr>
                <w:color w:val="000000"/>
                <w:sz w:val="18"/>
                <w:szCs w:val="18"/>
              </w:rPr>
            </w:pPr>
            <w:r>
              <w:rPr>
                <w:color w:val="000000"/>
                <w:sz w:val="18"/>
                <w:szCs w:val="18"/>
              </w:rPr>
              <w:t>Common stock, $0.000004 par value; authorized shares: 25,000,000; issued and</w:t>
            </w:r>
          </w:p>
          <w:p w14:paraId="5720B503" w14:textId="77777777" w:rsidR="00000000" w:rsidRDefault="007125B5">
            <w:pPr>
              <w:pStyle w:val="a3"/>
              <w:spacing w:before="0" w:beforeAutospacing="0" w:after="0" w:afterAutospacing="0"/>
              <w:ind w:left="274"/>
              <w:rPr>
                <w:color w:val="000000"/>
                <w:sz w:val="18"/>
                <w:szCs w:val="18"/>
              </w:rPr>
            </w:pPr>
            <w:r>
              <w:rPr>
                <w:color w:val="000000"/>
                <w:sz w:val="18"/>
                <w:szCs w:val="18"/>
              </w:rPr>
              <w:t>   outstanding shares: 9,164,746 and 8,370,107 at June 30, 2020 and</w:t>
            </w:r>
          </w:p>
          <w:p w14:paraId="1CCD25AF" w14:textId="77777777" w:rsidR="00000000" w:rsidRDefault="007125B5">
            <w:pPr>
              <w:pStyle w:val="a3"/>
              <w:spacing w:before="0" w:beforeAutospacing="0" w:after="0" w:afterAutospacing="0"/>
              <w:ind w:left="274"/>
              <w:rPr>
                <w:color w:val="000000"/>
                <w:sz w:val="18"/>
                <w:szCs w:val="18"/>
              </w:rPr>
            </w:pPr>
            <w:r>
              <w:rPr>
                <w:color w:val="000000"/>
                <w:sz w:val="18"/>
                <w:szCs w:val="18"/>
              </w:rPr>
              <w:t>   December 31, 2019, respectively</w:t>
            </w:r>
          </w:p>
        </w:tc>
        <w:tc>
          <w:tcPr>
            <w:tcW w:w="81" w:type="pct"/>
            <w:shd w:val="clear" w:color="auto" w:fill="FFFFFF"/>
            <w:tcMar>
              <w:top w:w="15" w:type="dxa"/>
              <w:left w:w="0" w:type="dxa"/>
              <w:bottom w:w="0" w:type="dxa"/>
              <w:right w:w="15" w:type="dxa"/>
            </w:tcMar>
            <w:vAlign w:val="bottom"/>
            <w:hideMark/>
          </w:tcPr>
          <w:p w14:paraId="052B6C2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E0521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1B9C186" w14:textId="77777777" w:rsidR="00000000" w:rsidRDefault="007125B5">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E42200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29D45B8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2C91F5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08C434C2" w14:textId="77777777" w:rsidR="00000000" w:rsidRDefault="007125B5">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A28BC62"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71EAE3A9" w14:textId="77777777">
        <w:trPr>
          <w:divId w:val="572467841"/>
          <w:jc w:val="center"/>
        </w:trPr>
        <w:tc>
          <w:tcPr>
            <w:tcW w:w="3349" w:type="pct"/>
            <w:shd w:val="clear" w:color="auto" w:fill="CFF0FC"/>
            <w:tcMar>
              <w:top w:w="15" w:type="dxa"/>
              <w:left w:w="0" w:type="dxa"/>
              <w:bottom w:w="0" w:type="dxa"/>
              <w:right w:w="15" w:type="dxa"/>
            </w:tcMar>
            <w:hideMark/>
          </w:tcPr>
          <w:p w14:paraId="3DF0E28E" w14:textId="77777777" w:rsidR="00000000" w:rsidRDefault="007125B5">
            <w:pPr>
              <w:pStyle w:val="a3"/>
              <w:spacing w:before="0" w:beforeAutospacing="0" w:after="0" w:afterAutospacing="0"/>
              <w:ind w:left="274"/>
              <w:rPr>
                <w:color w:val="000000"/>
                <w:sz w:val="18"/>
                <w:szCs w:val="18"/>
              </w:rPr>
            </w:pPr>
            <w:r>
              <w:rPr>
                <w:color w:val="000000"/>
                <w:sz w:val="18"/>
                <w:szCs w:val="18"/>
              </w:rPr>
              <w:t>Additional paid-in-capital</w:t>
            </w:r>
          </w:p>
        </w:tc>
        <w:tc>
          <w:tcPr>
            <w:tcW w:w="81" w:type="pct"/>
            <w:shd w:val="clear" w:color="auto" w:fill="CFF0FC"/>
            <w:tcMar>
              <w:top w:w="15" w:type="dxa"/>
              <w:left w:w="0" w:type="dxa"/>
              <w:bottom w:w="0" w:type="dxa"/>
              <w:right w:w="15" w:type="dxa"/>
            </w:tcMar>
            <w:vAlign w:val="bottom"/>
            <w:hideMark/>
          </w:tcPr>
          <w:p w14:paraId="5D303F3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EF72FA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0BECC6E2" w14:textId="77777777" w:rsidR="00000000" w:rsidRDefault="007125B5">
            <w:pPr>
              <w:pStyle w:val="a3"/>
              <w:spacing w:before="0" w:beforeAutospacing="0" w:after="0" w:afterAutospacing="0"/>
              <w:jc w:val="right"/>
              <w:rPr>
                <w:color w:val="000000"/>
                <w:sz w:val="18"/>
                <w:szCs w:val="18"/>
              </w:rPr>
            </w:pPr>
            <w:r>
              <w:rPr>
                <w:color w:val="000000"/>
                <w:sz w:val="18"/>
                <w:szCs w:val="18"/>
              </w:rPr>
              <w:t>54,405</w:t>
            </w:r>
          </w:p>
        </w:tc>
        <w:tc>
          <w:tcPr>
            <w:tcW w:w="50" w:type="pct"/>
            <w:shd w:val="clear" w:color="auto" w:fill="CFF0FC"/>
            <w:noWrap/>
            <w:tcMar>
              <w:top w:w="15" w:type="dxa"/>
              <w:left w:w="0" w:type="dxa"/>
              <w:bottom w:w="0" w:type="dxa"/>
              <w:right w:w="15" w:type="dxa"/>
            </w:tcMar>
            <w:vAlign w:val="bottom"/>
            <w:hideMark/>
          </w:tcPr>
          <w:p w14:paraId="1596871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4AC8958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1C5926"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694ADC5" w14:textId="77777777" w:rsidR="00000000" w:rsidRDefault="007125B5">
            <w:pPr>
              <w:pStyle w:val="a3"/>
              <w:spacing w:before="0" w:beforeAutospacing="0" w:after="0" w:afterAutospacing="0"/>
              <w:jc w:val="right"/>
              <w:rPr>
                <w:color w:val="000000"/>
                <w:sz w:val="18"/>
                <w:szCs w:val="18"/>
              </w:rPr>
            </w:pPr>
            <w:r>
              <w:rPr>
                <w:color w:val="000000"/>
                <w:sz w:val="18"/>
                <w:szCs w:val="18"/>
              </w:rPr>
              <w:t>38,153</w:t>
            </w:r>
          </w:p>
        </w:tc>
        <w:tc>
          <w:tcPr>
            <w:tcW w:w="50" w:type="pct"/>
            <w:shd w:val="clear" w:color="auto" w:fill="CFF0FC"/>
            <w:noWrap/>
            <w:tcMar>
              <w:top w:w="15" w:type="dxa"/>
              <w:left w:w="0" w:type="dxa"/>
              <w:bottom w:w="0" w:type="dxa"/>
              <w:right w:w="15" w:type="dxa"/>
            </w:tcMar>
            <w:vAlign w:val="bottom"/>
            <w:hideMark/>
          </w:tcPr>
          <w:p w14:paraId="00DB236E" w14:textId="77777777" w:rsidR="00000000" w:rsidRDefault="007125B5">
            <w:pPr>
              <w:pStyle w:val="a3"/>
              <w:spacing w:before="0" w:beforeAutospacing="0" w:after="0" w:afterAutospacing="0"/>
              <w:rPr>
                <w:color w:val="000000"/>
                <w:sz w:val="18"/>
                <w:szCs w:val="18"/>
              </w:rPr>
            </w:pPr>
            <w:r>
              <w:rPr>
                <w:color w:val="000000"/>
                <w:sz w:val="18"/>
                <w:szCs w:val="18"/>
              </w:rPr>
              <w:t> </w:t>
            </w:r>
          </w:p>
        </w:tc>
      </w:tr>
      <w:tr w:rsidR="00000000" w14:paraId="0A57B47E" w14:textId="77777777">
        <w:trPr>
          <w:divId w:val="572467841"/>
          <w:jc w:val="center"/>
        </w:trPr>
        <w:tc>
          <w:tcPr>
            <w:tcW w:w="3349" w:type="pct"/>
            <w:shd w:val="clear" w:color="auto" w:fill="FFFFFF"/>
            <w:tcMar>
              <w:top w:w="15" w:type="dxa"/>
              <w:left w:w="0" w:type="dxa"/>
              <w:bottom w:w="0" w:type="dxa"/>
              <w:right w:w="15" w:type="dxa"/>
            </w:tcMar>
            <w:hideMark/>
          </w:tcPr>
          <w:p w14:paraId="5B2CCD25" w14:textId="77777777" w:rsidR="00000000" w:rsidRDefault="007125B5">
            <w:pPr>
              <w:pStyle w:val="a3"/>
              <w:spacing w:before="0" w:beforeAutospacing="0" w:after="0" w:afterAutospacing="0"/>
              <w:ind w:left="274"/>
              <w:rPr>
                <w:color w:val="000000"/>
                <w:sz w:val="18"/>
                <w:szCs w:val="18"/>
              </w:rPr>
            </w:pPr>
            <w:r>
              <w:rPr>
                <w:color w:val="000000"/>
                <w:sz w:val="18"/>
                <w:szCs w:val="18"/>
              </w:rPr>
              <w:t>Accumulated deficit</w:t>
            </w:r>
          </w:p>
        </w:tc>
        <w:tc>
          <w:tcPr>
            <w:tcW w:w="81" w:type="pct"/>
            <w:shd w:val="clear" w:color="auto" w:fill="FFFFFF"/>
            <w:tcMar>
              <w:top w:w="15" w:type="dxa"/>
              <w:left w:w="0" w:type="dxa"/>
              <w:bottom w:w="0" w:type="dxa"/>
              <w:right w:w="15" w:type="dxa"/>
            </w:tcMar>
            <w:vAlign w:val="bottom"/>
            <w:hideMark/>
          </w:tcPr>
          <w:p w14:paraId="60C6E878"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D1303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9347C88" w14:textId="77777777" w:rsidR="00000000" w:rsidRDefault="007125B5">
            <w:pPr>
              <w:pStyle w:val="a3"/>
              <w:spacing w:before="0" w:beforeAutospacing="0" w:after="0" w:afterAutospacing="0"/>
              <w:jc w:val="right"/>
              <w:rPr>
                <w:color w:val="000000"/>
                <w:sz w:val="18"/>
                <w:szCs w:val="18"/>
              </w:rPr>
            </w:pPr>
            <w:r>
              <w:rPr>
                <w:color w:val="000000"/>
                <w:sz w:val="18"/>
                <w:szCs w:val="18"/>
              </w:rPr>
              <w:t>(92,428</w:t>
            </w:r>
          </w:p>
        </w:tc>
        <w:tc>
          <w:tcPr>
            <w:tcW w:w="50" w:type="pct"/>
            <w:shd w:val="clear" w:color="auto" w:fill="FFFFFF"/>
            <w:noWrap/>
            <w:tcMar>
              <w:top w:w="15" w:type="dxa"/>
              <w:left w:w="0" w:type="dxa"/>
              <w:bottom w:w="0" w:type="dxa"/>
              <w:right w:w="15" w:type="dxa"/>
            </w:tcMar>
            <w:vAlign w:val="bottom"/>
            <w:hideMark/>
          </w:tcPr>
          <w:p w14:paraId="6D9A6E95"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14:paraId="589129A9"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F8290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24A3227" w14:textId="77777777" w:rsidR="00000000" w:rsidRDefault="007125B5">
            <w:pPr>
              <w:pStyle w:val="a3"/>
              <w:spacing w:before="0" w:beforeAutospacing="0" w:after="0" w:afterAutospacing="0"/>
              <w:jc w:val="right"/>
              <w:rPr>
                <w:color w:val="000000"/>
                <w:sz w:val="18"/>
                <w:szCs w:val="18"/>
              </w:rPr>
            </w:pPr>
            <w:r>
              <w:rPr>
                <w:color w:val="000000"/>
                <w:sz w:val="18"/>
                <w:szCs w:val="18"/>
              </w:rPr>
              <w:t>(64,404</w:t>
            </w:r>
          </w:p>
        </w:tc>
        <w:tc>
          <w:tcPr>
            <w:tcW w:w="50" w:type="pct"/>
            <w:shd w:val="clear" w:color="auto" w:fill="FFFFFF"/>
            <w:noWrap/>
            <w:tcMar>
              <w:top w:w="15" w:type="dxa"/>
              <w:left w:w="0" w:type="dxa"/>
              <w:bottom w:w="0" w:type="dxa"/>
              <w:right w:w="15" w:type="dxa"/>
            </w:tcMar>
            <w:vAlign w:val="bottom"/>
            <w:hideMark/>
          </w:tcPr>
          <w:p w14:paraId="2372E8BF" w14:textId="77777777" w:rsidR="00000000" w:rsidRDefault="007125B5">
            <w:pPr>
              <w:pStyle w:val="a3"/>
              <w:spacing w:before="0" w:beforeAutospacing="0" w:after="0" w:afterAutospacing="0"/>
              <w:rPr>
                <w:color w:val="000000"/>
                <w:sz w:val="18"/>
                <w:szCs w:val="18"/>
              </w:rPr>
            </w:pPr>
            <w:r>
              <w:rPr>
                <w:color w:val="000000"/>
                <w:sz w:val="18"/>
                <w:szCs w:val="18"/>
              </w:rPr>
              <w:t>)</w:t>
            </w:r>
          </w:p>
        </w:tc>
      </w:tr>
      <w:tr w:rsidR="00000000" w14:paraId="0F627E96" w14:textId="77777777">
        <w:trPr>
          <w:divId w:val="572467841"/>
          <w:jc w:val="center"/>
        </w:trPr>
        <w:tc>
          <w:tcPr>
            <w:tcW w:w="3349" w:type="pct"/>
            <w:shd w:val="clear" w:color="auto" w:fill="CFF0FC"/>
            <w:tcMar>
              <w:top w:w="15" w:type="dxa"/>
              <w:left w:w="0" w:type="dxa"/>
              <w:bottom w:w="0" w:type="dxa"/>
              <w:right w:w="15" w:type="dxa"/>
            </w:tcMar>
            <w:hideMark/>
          </w:tcPr>
          <w:p w14:paraId="61B3F5BA" w14:textId="77777777" w:rsidR="00000000" w:rsidRDefault="007125B5">
            <w:pPr>
              <w:pStyle w:val="a3"/>
              <w:spacing w:before="0" w:beforeAutospacing="0" w:after="0" w:afterAutospacing="0"/>
              <w:ind w:left="274"/>
              <w:rPr>
                <w:color w:val="000000"/>
                <w:sz w:val="18"/>
                <w:szCs w:val="18"/>
              </w:rPr>
            </w:pPr>
            <w:r>
              <w:rPr>
                <w:color w:val="000000"/>
                <w:sz w:val="18"/>
                <w:szCs w:val="18"/>
              </w:rPr>
              <w:t>Accumulated other comprehensive loss</w:t>
            </w:r>
          </w:p>
        </w:tc>
        <w:tc>
          <w:tcPr>
            <w:tcW w:w="81" w:type="pct"/>
            <w:shd w:val="clear" w:color="auto" w:fill="CFF0FC"/>
            <w:tcMar>
              <w:top w:w="15" w:type="dxa"/>
              <w:left w:w="0" w:type="dxa"/>
              <w:bottom w:w="0" w:type="dxa"/>
              <w:right w:w="15" w:type="dxa"/>
            </w:tcMar>
            <w:vAlign w:val="bottom"/>
            <w:hideMark/>
          </w:tcPr>
          <w:p w14:paraId="4FE6C40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FA0F43"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2E286052" w14:textId="77777777" w:rsidR="00000000" w:rsidRDefault="007125B5">
            <w:pPr>
              <w:pStyle w:val="a3"/>
              <w:spacing w:before="0" w:beforeAutospacing="0" w:after="0" w:afterAutospacing="0"/>
              <w:jc w:val="right"/>
              <w:rPr>
                <w:color w:val="000000"/>
                <w:sz w:val="18"/>
                <w:szCs w:val="18"/>
              </w:rPr>
            </w:pPr>
            <w:r>
              <w:rPr>
                <w:color w:val="000000"/>
                <w:sz w:val="18"/>
                <w:szCs w:val="18"/>
              </w:rPr>
              <w:t>(93</w:t>
            </w:r>
          </w:p>
        </w:tc>
        <w:tc>
          <w:tcPr>
            <w:tcW w:w="50" w:type="pct"/>
            <w:shd w:val="clear" w:color="auto" w:fill="CFF0FC"/>
            <w:noWrap/>
            <w:tcMar>
              <w:top w:w="15" w:type="dxa"/>
              <w:left w:w="0" w:type="dxa"/>
              <w:bottom w:w="0" w:type="dxa"/>
              <w:right w:w="15" w:type="dxa"/>
            </w:tcMar>
            <w:vAlign w:val="bottom"/>
            <w:hideMark/>
          </w:tcPr>
          <w:p w14:paraId="5E04019A"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81" w:type="pct"/>
            <w:shd w:val="clear" w:color="auto" w:fill="CFF0FC"/>
            <w:tcMar>
              <w:top w:w="15" w:type="dxa"/>
              <w:left w:w="0" w:type="dxa"/>
              <w:bottom w:w="0" w:type="dxa"/>
              <w:right w:w="15" w:type="dxa"/>
            </w:tcMar>
            <w:vAlign w:val="bottom"/>
            <w:hideMark/>
          </w:tcPr>
          <w:p w14:paraId="5ABE6CA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5B183C"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FBDA044" w14:textId="77777777" w:rsidR="00000000" w:rsidRDefault="007125B5">
            <w:pPr>
              <w:pStyle w:val="a3"/>
              <w:spacing w:before="0" w:beforeAutospacing="0" w:after="0" w:afterAutospacing="0"/>
              <w:jc w:val="right"/>
              <w:rPr>
                <w:color w:val="000000"/>
                <w:sz w:val="18"/>
                <w:szCs w:val="18"/>
              </w:rPr>
            </w:pPr>
            <w:r>
              <w:rPr>
                <w:color w:val="000000"/>
                <w:sz w:val="18"/>
                <w:szCs w:val="18"/>
              </w:rPr>
              <w:t>(40</w:t>
            </w:r>
          </w:p>
        </w:tc>
        <w:tc>
          <w:tcPr>
            <w:tcW w:w="50" w:type="pct"/>
            <w:shd w:val="clear" w:color="auto" w:fill="CFF0FC"/>
            <w:noWrap/>
            <w:tcMar>
              <w:top w:w="15" w:type="dxa"/>
              <w:left w:w="0" w:type="dxa"/>
              <w:bottom w:w="0" w:type="dxa"/>
              <w:right w:w="15" w:type="dxa"/>
            </w:tcMar>
            <w:vAlign w:val="bottom"/>
            <w:hideMark/>
          </w:tcPr>
          <w:p w14:paraId="28BA552E" w14:textId="77777777" w:rsidR="00000000" w:rsidRDefault="007125B5">
            <w:pPr>
              <w:pStyle w:val="a3"/>
              <w:spacing w:before="0" w:beforeAutospacing="0" w:after="0" w:afterAutospacing="0"/>
              <w:rPr>
                <w:color w:val="000000"/>
                <w:sz w:val="18"/>
                <w:szCs w:val="18"/>
              </w:rPr>
            </w:pPr>
            <w:r>
              <w:rPr>
                <w:color w:val="000000"/>
                <w:sz w:val="18"/>
                <w:szCs w:val="18"/>
              </w:rPr>
              <w:t>)</w:t>
            </w:r>
          </w:p>
        </w:tc>
      </w:tr>
      <w:tr w:rsidR="00000000" w14:paraId="73731056" w14:textId="77777777">
        <w:trPr>
          <w:divId w:val="572467841"/>
          <w:jc w:val="center"/>
        </w:trPr>
        <w:tc>
          <w:tcPr>
            <w:tcW w:w="3349" w:type="pct"/>
            <w:shd w:val="clear" w:color="auto" w:fill="FFFFFF"/>
            <w:tcMar>
              <w:top w:w="15" w:type="dxa"/>
              <w:left w:w="0" w:type="dxa"/>
              <w:bottom w:w="0" w:type="dxa"/>
              <w:right w:w="15" w:type="dxa"/>
            </w:tcMar>
            <w:hideMark/>
          </w:tcPr>
          <w:p w14:paraId="509EEECC" w14:textId="77777777" w:rsidR="00000000" w:rsidRDefault="007125B5">
            <w:pPr>
              <w:pStyle w:val="a3"/>
              <w:spacing w:before="0" w:beforeAutospacing="0" w:after="0" w:afterAutospacing="0"/>
              <w:ind w:left="547"/>
              <w:rPr>
                <w:color w:val="000000"/>
                <w:sz w:val="18"/>
                <w:szCs w:val="18"/>
              </w:rPr>
            </w:pPr>
            <w:r>
              <w:rPr>
                <w:color w:val="000000"/>
                <w:sz w:val="18"/>
                <w:szCs w:val="18"/>
              </w:rPr>
              <w:t>Total stockholders’ deficit</w:t>
            </w:r>
          </w:p>
        </w:tc>
        <w:tc>
          <w:tcPr>
            <w:tcW w:w="81" w:type="pct"/>
            <w:shd w:val="clear" w:color="auto" w:fill="FFFFFF"/>
            <w:tcMar>
              <w:top w:w="15" w:type="dxa"/>
              <w:left w:w="0" w:type="dxa"/>
              <w:bottom w:w="0" w:type="dxa"/>
              <w:right w:w="15" w:type="dxa"/>
            </w:tcMar>
            <w:vAlign w:val="bottom"/>
            <w:hideMark/>
          </w:tcPr>
          <w:p w14:paraId="7C3BEBB0"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1CDA824"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B82173" w14:textId="77777777" w:rsidR="00000000" w:rsidRDefault="007125B5">
            <w:pPr>
              <w:pStyle w:val="a3"/>
              <w:spacing w:before="0" w:beforeAutospacing="0" w:after="0" w:afterAutospacing="0"/>
              <w:jc w:val="right"/>
              <w:rPr>
                <w:color w:val="000000"/>
                <w:sz w:val="18"/>
                <w:szCs w:val="18"/>
              </w:rPr>
            </w:pPr>
            <w:r>
              <w:rPr>
                <w:color w:val="000000"/>
                <w:sz w:val="18"/>
                <w:szCs w:val="18"/>
              </w:rPr>
              <w:t>(38,116</w:t>
            </w:r>
          </w:p>
        </w:tc>
        <w:tc>
          <w:tcPr>
            <w:tcW w:w="50" w:type="pct"/>
            <w:shd w:val="clear" w:color="auto" w:fill="FFFFFF"/>
            <w:noWrap/>
            <w:tcMar>
              <w:top w:w="15" w:type="dxa"/>
              <w:left w:w="0" w:type="dxa"/>
              <w:bottom w:w="0" w:type="dxa"/>
              <w:right w:w="15" w:type="dxa"/>
            </w:tcMar>
            <w:vAlign w:val="bottom"/>
            <w:hideMark/>
          </w:tcPr>
          <w:p w14:paraId="57E837B4"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14:paraId="02ADE90F"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D290CE"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D0A1D0E" w14:textId="77777777" w:rsidR="00000000" w:rsidRDefault="007125B5">
            <w:pPr>
              <w:pStyle w:val="a3"/>
              <w:spacing w:before="0" w:beforeAutospacing="0" w:after="0" w:afterAutospacing="0"/>
              <w:jc w:val="right"/>
              <w:rPr>
                <w:color w:val="000000"/>
                <w:sz w:val="18"/>
                <w:szCs w:val="18"/>
              </w:rPr>
            </w:pPr>
            <w:r>
              <w:rPr>
                <w:color w:val="000000"/>
                <w:sz w:val="18"/>
                <w:szCs w:val="18"/>
              </w:rPr>
              <w:t>(26,291</w:t>
            </w:r>
          </w:p>
        </w:tc>
        <w:tc>
          <w:tcPr>
            <w:tcW w:w="50" w:type="pct"/>
            <w:shd w:val="clear" w:color="auto" w:fill="FFFFFF"/>
            <w:noWrap/>
            <w:tcMar>
              <w:top w:w="15" w:type="dxa"/>
              <w:left w:w="0" w:type="dxa"/>
              <w:bottom w:w="0" w:type="dxa"/>
              <w:right w:w="15" w:type="dxa"/>
            </w:tcMar>
            <w:vAlign w:val="bottom"/>
            <w:hideMark/>
          </w:tcPr>
          <w:p w14:paraId="08099A59" w14:textId="77777777" w:rsidR="00000000" w:rsidRDefault="007125B5">
            <w:pPr>
              <w:pStyle w:val="a3"/>
              <w:spacing w:before="0" w:beforeAutospacing="0" w:after="0" w:afterAutospacing="0"/>
              <w:rPr>
                <w:color w:val="000000"/>
                <w:sz w:val="18"/>
                <w:szCs w:val="18"/>
              </w:rPr>
            </w:pPr>
            <w:r>
              <w:rPr>
                <w:color w:val="000000"/>
                <w:sz w:val="18"/>
                <w:szCs w:val="18"/>
              </w:rPr>
              <w:t>)</w:t>
            </w:r>
          </w:p>
        </w:tc>
      </w:tr>
      <w:tr w:rsidR="00000000" w14:paraId="569C1DAD" w14:textId="77777777">
        <w:trPr>
          <w:divId w:val="572467841"/>
          <w:jc w:val="center"/>
        </w:trPr>
        <w:tc>
          <w:tcPr>
            <w:tcW w:w="3349" w:type="pct"/>
            <w:shd w:val="clear" w:color="auto" w:fill="CFF0FC"/>
            <w:tcMar>
              <w:top w:w="15" w:type="dxa"/>
              <w:left w:w="0" w:type="dxa"/>
              <w:bottom w:w="0" w:type="dxa"/>
              <w:right w:w="15" w:type="dxa"/>
            </w:tcMar>
            <w:hideMark/>
          </w:tcPr>
          <w:p w14:paraId="2046A270" w14:textId="77777777" w:rsidR="00000000" w:rsidRDefault="007125B5">
            <w:pPr>
              <w:pStyle w:val="a3"/>
              <w:spacing w:before="0" w:beforeAutospacing="0" w:after="0" w:afterAutospacing="0"/>
              <w:rPr>
                <w:color w:val="000000"/>
                <w:sz w:val="18"/>
                <w:szCs w:val="18"/>
              </w:rPr>
            </w:pPr>
            <w:r>
              <w:rPr>
                <w:color w:val="000000"/>
                <w:sz w:val="18"/>
                <w:szCs w:val="18"/>
              </w:rPr>
              <w:t>TOTAL LIABILITIES, REDEEMABLE SERIES A-1 PREFERRED STOCK,</w:t>
            </w:r>
          </w:p>
          <w:p w14:paraId="50D26B71" w14:textId="77777777" w:rsidR="00000000" w:rsidRDefault="007125B5">
            <w:pPr>
              <w:pStyle w:val="a3"/>
              <w:spacing w:before="0" w:beforeAutospacing="0" w:after="0" w:afterAutospacing="0"/>
              <w:rPr>
                <w:color w:val="000000"/>
                <w:sz w:val="18"/>
                <w:szCs w:val="18"/>
              </w:rPr>
            </w:pPr>
            <w:r>
              <w:rPr>
                <w:color w:val="000000"/>
                <w:sz w:val="18"/>
                <w:szCs w:val="18"/>
              </w:rPr>
              <w:t>   CONVERTIBLE AND REDEEMABLE SERIES A-2 PREFERRED STOCK</w:t>
            </w:r>
          </w:p>
          <w:p w14:paraId="3370B634" w14:textId="77777777" w:rsidR="00000000" w:rsidRDefault="007125B5">
            <w:pPr>
              <w:pStyle w:val="a3"/>
              <w:spacing w:before="0" w:beforeAutospacing="0" w:after="0" w:afterAutospacing="0"/>
              <w:rPr>
                <w:color w:val="000000"/>
                <w:sz w:val="18"/>
                <w:szCs w:val="18"/>
              </w:rPr>
            </w:pPr>
            <w:r>
              <w:rPr>
                <w:color w:val="000000"/>
                <w:sz w:val="18"/>
                <w:szCs w:val="18"/>
              </w:rPr>
              <w:t>   AND STOCKHOLDERS’ DEFICIT</w:t>
            </w:r>
          </w:p>
        </w:tc>
        <w:tc>
          <w:tcPr>
            <w:tcW w:w="81" w:type="pct"/>
            <w:shd w:val="clear" w:color="auto" w:fill="CFF0FC"/>
            <w:tcMar>
              <w:top w:w="15" w:type="dxa"/>
              <w:left w:w="0" w:type="dxa"/>
              <w:bottom w:w="0" w:type="dxa"/>
              <w:right w:w="15" w:type="dxa"/>
            </w:tcMar>
            <w:vAlign w:val="bottom"/>
            <w:hideMark/>
          </w:tcPr>
          <w:p w14:paraId="060AAECD"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E0B401"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6679C8" w14:textId="77777777" w:rsidR="00000000" w:rsidRDefault="007125B5">
            <w:pPr>
              <w:pStyle w:val="a3"/>
              <w:spacing w:before="0" w:beforeAutospacing="0" w:after="0" w:afterAutospacing="0"/>
              <w:jc w:val="right"/>
              <w:rPr>
                <w:color w:val="000000"/>
                <w:sz w:val="18"/>
                <w:szCs w:val="18"/>
              </w:rPr>
            </w:pPr>
            <w:r>
              <w:rPr>
                <w:color w:val="000000"/>
                <w:sz w:val="18"/>
                <w:szCs w:val="18"/>
              </w:rPr>
              <w:t>611,381</w:t>
            </w:r>
          </w:p>
        </w:tc>
        <w:tc>
          <w:tcPr>
            <w:tcW w:w="50" w:type="pct"/>
            <w:shd w:val="clear" w:color="auto" w:fill="CFF0FC"/>
            <w:noWrap/>
            <w:tcMar>
              <w:top w:w="15" w:type="dxa"/>
              <w:left w:w="0" w:type="dxa"/>
              <w:bottom w:w="0" w:type="dxa"/>
              <w:right w:w="15" w:type="dxa"/>
            </w:tcMar>
            <w:vAlign w:val="bottom"/>
            <w:hideMark/>
          </w:tcPr>
          <w:p w14:paraId="335ACB51"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3D36BE37" w14:textId="77777777" w:rsidR="00000000" w:rsidRDefault="007125B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2C0B02" w14:textId="77777777" w:rsidR="00000000" w:rsidRDefault="007125B5">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AF536C" w14:textId="77777777" w:rsidR="00000000" w:rsidRDefault="007125B5">
            <w:pPr>
              <w:pStyle w:val="a3"/>
              <w:spacing w:before="0" w:beforeAutospacing="0" w:after="0" w:afterAutospacing="0"/>
              <w:jc w:val="right"/>
              <w:rPr>
                <w:color w:val="000000"/>
                <w:sz w:val="18"/>
                <w:szCs w:val="18"/>
              </w:rPr>
            </w:pPr>
            <w:r>
              <w:rPr>
                <w:color w:val="000000"/>
                <w:sz w:val="18"/>
                <w:szCs w:val="18"/>
              </w:rPr>
              <w:t>331,838</w:t>
            </w:r>
          </w:p>
        </w:tc>
        <w:tc>
          <w:tcPr>
            <w:tcW w:w="50" w:type="pct"/>
            <w:shd w:val="clear" w:color="auto" w:fill="CFF0FC"/>
            <w:noWrap/>
            <w:tcMar>
              <w:top w:w="15" w:type="dxa"/>
              <w:left w:w="0" w:type="dxa"/>
              <w:bottom w:w="0" w:type="dxa"/>
              <w:right w:w="15" w:type="dxa"/>
            </w:tcMar>
            <w:vAlign w:val="bottom"/>
            <w:hideMark/>
          </w:tcPr>
          <w:p w14:paraId="7D202E46"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3E2B6591" w14:textId="77777777" w:rsidR="00000000" w:rsidRDefault="007125B5">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p>
    <w:p w14:paraId="21E43ED9" w14:textId="77777777" w:rsidR="00000000" w:rsidRDefault="007125B5">
      <w:pPr>
        <w:pStyle w:val="a3"/>
        <w:spacing w:before="240" w:beforeAutospacing="0" w:after="0" w:afterAutospacing="0"/>
        <w:jc w:val="center"/>
        <w:rPr>
          <w:sz w:val="20"/>
          <w:szCs w:val="20"/>
        </w:rPr>
      </w:pPr>
      <w:r>
        <w:rPr>
          <w:sz w:val="20"/>
          <w:szCs w:val="20"/>
        </w:rPr>
        <w:t>1</w:t>
      </w:r>
    </w:p>
    <w:p w14:paraId="4C4BD622" w14:textId="77777777" w:rsidR="00000000" w:rsidRDefault="007125B5">
      <w:pPr>
        <w:rPr>
          <w:rFonts w:eastAsia="Times New Roman"/>
        </w:rPr>
      </w:pPr>
      <w:r>
        <w:rPr>
          <w:rFonts w:eastAsia="Times New Roman"/>
        </w:rPr>
        <w:pict w14:anchorId="53DF6AEA">
          <v:rect id="_x0000_i1027" style="width:415.3pt;height:1.5pt" o:hralign="center" o:hrstd="t" o:hr="t" fillcolor="#a0a0a0" stroked="f"/>
        </w:pict>
      </w:r>
    </w:p>
    <w:p w14:paraId="1462C540" w14:textId="77777777" w:rsidR="00000000" w:rsidRDefault="007125B5">
      <w:pPr>
        <w:pStyle w:val="a3"/>
        <w:spacing w:before="0" w:beforeAutospacing="0" w:after="0" w:afterAutospacing="0"/>
        <w:rPr>
          <w:sz w:val="20"/>
          <w:szCs w:val="20"/>
        </w:rPr>
      </w:pPr>
      <w:r>
        <w:rPr>
          <w:sz w:val="20"/>
          <w:szCs w:val="20"/>
        </w:rPr>
        <w:t> </w:t>
      </w:r>
    </w:p>
    <w:p w14:paraId="2C35D522" w14:textId="77777777" w:rsidR="00000000" w:rsidRDefault="007125B5">
      <w:pPr>
        <w:pStyle w:val="a3"/>
        <w:spacing w:before="0" w:beforeAutospacing="0" w:after="0" w:afterAutospacing="0"/>
        <w:jc w:val="center"/>
        <w:rPr>
          <w:b/>
          <w:bCs/>
          <w:color w:val="000000"/>
          <w:sz w:val="20"/>
          <w:szCs w:val="20"/>
        </w:rPr>
      </w:pPr>
      <w:bookmarkStart w:id="5" w:name="_AEIOULastRenderedPageBreakAEIOU4"/>
      <w:bookmarkEnd w:id="5"/>
      <w:r>
        <w:rPr>
          <w:b/>
          <w:bCs/>
          <w:color w:val="000000"/>
          <w:sz w:val="20"/>
          <w:szCs w:val="20"/>
        </w:rPr>
        <w:lastRenderedPageBreak/>
        <w:t xml:space="preserve">MONTROSE ENVIRONMENTAL GROUP, INC. </w:t>
      </w:r>
    </w:p>
    <w:p w14:paraId="283E4BA0" w14:textId="77777777" w:rsidR="00000000" w:rsidRDefault="007125B5">
      <w:pPr>
        <w:pStyle w:val="a3"/>
        <w:spacing w:before="0" w:beforeAutospacing="0" w:after="0" w:afterAutospacing="0"/>
        <w:jc w:val="center"/>
        <w:rPr>
          <w:b/>
          <w:bCs/>
          <w:color w:val="000000"/>
          <w:sz w:val="20"/>
          <w:szCs w:val="20"/>
        </w:rPr>
      </w:pPr>
      <w:bookmarkStart w:id="6" w:name="UNAUDITED_CONDENSED_CONSOLIDATED_STATE"/>
      <w:bookmarkEnd w:id="6"/>
      <w:r>
        <w:rPr>
          <w:b/>
          <w:bCs/>
          <w:color w:val="000000"/>
          <w:sz w:val="20"/>
          <w:szCs w:val="20"/>
        </w:rPr>
        <w:t>UNAUDITED CONDENSED CONSOLIDATED STATEMENTS OF OPERATIONS AND</w:t>
      </w:r>
    </w:p>
    <w:p w14:paraId="78E7FD88" w14:textId="77777777" w:rsidR="00000000" w:rsidRDefault="007125B5">
      <w:pPr>
        <w:pStyle w:val="a3"/>
        <w:spacing w:before="0" w:beforeAutospacing="0" w:after="0" w:afterAutospacing="0"/>
        <w:jc w:val="center"/>
        <w:rPr>
          <w:b/>
          <w:bCs/>
          <w:color w:val="000000"/>
          <w:sz w:val="20"/>
          <w:szCs w:val="20"/>
        </w:rPr>
      </w:pPr>
      <w:r>
        <w:rPr>
          <w:b/>
          <w:bCs/>
          <w:color w:val="000000"/>
          <w:sz w:val="20"/>
          <w:szCs w:val="20"/>
        </w:rPr>
        <w:t>COMPREHENSIVE LOSS</w:t>
      </w:r>
    </w:p>
    <w:p w14:paraId="76F64463" w14:textId="77777777" w:rsidR="00000000" w:rsidRDefault="007125B5">
      <w:pPr>
        <w:pStyle w:val="a3"/>
        <w:spacing w:before="0" w:beforeAutospacing="0" w:after="0" w:afterAutospacing="0"/>
        <w:jc w:val="center"/>
        <w:rPr>
          <w:b/>
          <w:bCs/>
          <w:color w:val="000000"/>
          <w:sz w:val="20"/>
          <w:szCs w:val="20"/>
        </w:rPr>
      </w:pPr>
      <w:r>
        <w:rPr>
          <w:b/>
          <w:bCs/>
          <w:color w:val="000000"/>
          <w:sz w:val="20"/>
          <w:szCs w:val="20"/>
        </w:rPr>
        <w:t>(In thousands, except per share data)</w:t>
      </w:r>
    </w:p>
    <w:p w14:paraId="60AA7F13"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72"/>
        <w:gridCol w:w="90"/>
        <w:gridCol w:w="115"/>
        <w:gridCol w:w="751"/>
        <w:gridCol w:w="82"/>
        <w:gridCol w:w="81"/>
        <w:gridCol w:w="115"/>
        <w:gridCol w:w="753"/>
        <w:gridCol w:w="82"/>
        <w:gridCol w:w="81"/>
        <w:gridCol w:w="115"/>
        <w:gridCol w:w="752"/>
        <w:gridCol w:w="82"/>
        <w:gridCol w:w="83"/>
        <w:gridCol w:w="115"/>
        <w:gridCol w:w="755"/>
        <w:gridCol w:w="82"/>
      </w:tblGrid>
      <w:tr w:rsidR="00000000" w14:paraId="112DC451" w14:textId="77777777">
        <w:trPr>
          <w:divId w:val="993142887"/>
          <w:jc w:val="center"/>
        </w:trPr>
        <w:tc>
          <w:tcPr>
            <w:tcW w:w="2517" w:type="pct"/>
            <w:shd w:val="clear" w:color="auto" w:fill="FFFFFF"/>
            <w:tcMar>
              <w:top w:w="15" w:type="dxa"/>
              <w:left w:w="0" w:type="dxa"/>
              <w:bottom w:w="0" w:type="dxa"/>
              <w:right w:w="15" w:type="dxa"/>
            </w:tcMar>
            <w:vAlign w:val="bottom"/>
            <w:hideMark/>
          </w:tcPr>
          <w:p w14:paraId="07D9F883" w14:textId="77777777" w:rsidR="00000000" w:rsidRDefault="007125B5">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501F6FB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610C925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14:paraId="3A56366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8719C0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597BA27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14:paraId="77158F7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0951B5A" w14:textId="77777777">
        <w:trPr>
          <w:divId w:val="993142887"/>
          <w:jc w:val="center"/>
        </w:trPr>
        <w:tc>
          <w:tcPr>
            <w:tcW w:w="2517" w:type="pct"/>
            <w:shd w:val="clear" w:color="auto" w:fill="FFFFFF"/>
            <w:tcMar>
              <w:top w:w="15" w:type="dxa"/>
              <w:left w:w="0" w:type="dxa"/>
              <w:bottom w:w="0" w:type="dxa"/>
              <w:right w:w="15" w:type="dxa"/>
            </w:tcMar>
            <w:vAlign w:val="bottom"/>
            <w:hideMark/>
          </w:tcPr>
          <w:p w14:paraId="23D1031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4711F0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22C0A29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532B550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069A7E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305B829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41ADB8B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12B8942" w14:textId="77777777">
        <w:trPr>
          <w:divId w:val="993142887"/>
          <w:jc w:val="center"/>
        </w:trPr>
        <w:tc>
          <w:tcPr>
            <w:tcW w:w="2517" w:type="pct"/>
            <w:shd w:val="clear" w:color="auto" w:fill="FFFFFF"/>
            <w:tcMar>
              <w:top w:w="15" w:type="dxa"/>
              <w:left w:w="0" w:type="dxa"/>
              <w:bottom w:w="0" w:type="dxa"/>
              <w:right w:w="15" w:type="dxa"/>
            </w:tcMar>
            <w:vAlign w:val="bottom"/>
            <w:hideMark/>
          </w:tcPr>
          <w:p w14:paraId="33472CB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C8BBE0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05DFF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46D12B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6774D5F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4167D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03A117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5EBC614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EC242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D34AE3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90C1BC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92195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FE361C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1C42863" w14:textId="77777777">
        <w:trPr>
          <w:divId w:val="993142887"/>
          <w:jc w:val="center"/>
        </w:trPr>
        <w:tc>
          <w:tcPr>
            <w:tcW w:w="2517" w:type="pct"/>
            <w:shd w:val="clear" w:color="auto" w:fill="CFF0FC"/>
            <w:tcMar>
              <w:top w:w="15" w:type="dxa"/>
              <w:left w:w="0" w:type="dxa"/>
              <w:bottom w:w="0" w:type="dxa"/>
              <w:right w:w="15" w:type="dxa"/>
            </w:tcMar>
            <w:hideMark/>
          </w:tcPr>
          <w:p w14:paraId="4E3D5AA7" w14:textId="77777777" w:rsidR="00000000" w:rsidRDefault="007125B5">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vAlign w:val="bottom"/>
            <w:hideMark/>
          </w:tcPr>
          <w:p w14:paraId="22CBA2E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35DA9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20F2500" w14:textId="77777777" w:rsidR="00000000" w:rsidRDefault="007125B5">
            <w:pPr>
              <w:pStyle w:val="a3"/>
              <w:spacing w:before="0" w:beforeAutospacing="0" w:after="0" w:afterAutospacing="0"/>
              <w:jc w:val="right"/>
              <w:rPr>
                <w:color w:val="000000"/>
                <w:sz w:val="20"/>
                <w:szCs w:val="20"/>
              </w:rPr>
            </w:pPr>
            <w:r>
              <w:rPr>
                <w:color w:val="000000"/>
                <w:sz w:val="20"/>
                <w:szCs w:val="20"/>
              </w:rPr>
              <w:t>73,766</w:t>
            </w:r>
          </w:p>
        </w:tc>
        <w:tc>
          <w:tcPr>
            <w:tcW w:w="50" w:type="pct"/>
            <w:shd w:val="clear" w:color="auto" w:fill="CFF0FC"/>
            <w:noWrap/>
            <w:tcMar>
              <w:top w:w="15" w:type="dxa"/>
              <w:left w:w="0" w:type="dxa"/>
              <w:bottom w:w="0" w:type="dxa"/>
              <w:right w:w="15" w:type="dxa"/>
            </w:tcMar>
            <w:vAlign w:val="bottom"/>
            <w:hideMark/>
          </w:tcPr>
          <w:p w14:paraId="3A0B44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D5176A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414BD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90858C4" w14:textId="77777777" w:rsidR="00000000" w:rsidRDefault="007125B5">
            <w:pPr>
              <w:pStyle w:val="a3"/>
              <w:spacing w:before="0" w:beforeAutospacing="0" w:after="0" w:afterAutospacing="0"/>
              <w:jc w:val="right"/>
              <w:rPr>
                <w:color w:val="000000"/>
                <w:sz w:val="20"/>
                <w:szCs w:val="20"/>
              </w:rPr>
            </w:pPr>
            <w:r>
              <w:rPr>
                <w:color w:val="000000"/>
                <w:sz w:val="20"/>
                <w:szCs w:val="20"/>
              </w:rPr>
              <w:t>57,401</w:t>
            </w:r>
          </w:p>
        </w:tc>
        <w:tc>
          <w:tcPr>
            <w:tcW w:w="50" w:type="pct"/>
            <w:shd w:val="clear" w:color="auto" w:fill="CFF0FC"/>
            <w:noWrap/>
            <w:tcMar>
              <w:top w:w="15" w:type="dxa"/>
              <w:left w:w="0" w:type="dxa"/>
              <w:bottom w:w="0" w:type="dxa"/>
              <w:right w:w="15" w:type="dxa"/>
            </w:tcMar>
            <w:vAlign w:val="bottom"/>
            <w:hideMark/>
          </w:tcPr>
          <w:p w14:paraId="50423E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85A2D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A2DA2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0975665" w14:textId="77777777" w:rsidR="00000000" w:rsidRDefault="007125B5">
            <w:pPr>
              <w:pStyle w:val="a3"/>
              <w:spacing w:before="0" w:beforeAutospacing="0" w:after="0" w:afterAutospacing="0"/>
              <w:jc w:val="right"/>
              <w:rPr>
                <w:color w:val="000000"/>
                <w:sz w:val="20"/>
                <w:szCs w:val="20"/>
              </w:rPr>
            </w:pPr>
            <w:r>
              <w:rPr>
                <w:color w:val="000000"/>
                <w:sz w:val="20"/>
                <w:szCs w:val="20"/>
              </w:rPr>
              <w:t>134,797</w:t>
            </w:r>
          </w:p>
        </w:tc>
        <w:tc>
          <w:tcPr>
            <w:tcW w:w="50" w:type="pct"/>
            <w:shd w:val="clear" w:color="auto" w:fill="CFF0FC"/>
            <w:noWrap/>
            <w:tcMar>
              <w:top w:w="15" w:type="dxa"/>
              <w:left w:w="0" w:type="dxa"/>
              <w:bottom w:w="0" w:type="dxa"/>
              <w:right w:w="15" w:type="dxa"/>
            </w:tcMar>
            <w:vAlign w:val="bottom"/>
            <w:hideMark/>
          </w:tcPr>
          <w:p w14:paraId="08DA26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41047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84206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ADC3AEE" w14:textId="77777777" w:rsidR="00000000" w:rsidRDefault="007125B5">
            <w:pPr>
              <w:pStyle w:val="a3"/>
              <w:spacing w:before="0" w:beforeAutospacing="0" w:after="0" w:afterAutospacing="0"/>
              <w:jc w:val="right"/>
              <w:rPr>
                <w:color w:val="000000"/>
                <w:sz w:val="20"/>
                <w:szCs w:val="20"/>
              </w:rPr>
            </w:pPr>
            <w:r>
              <w:rPr>
                <w:color w:val="000000"/>
                <w:sz w:val="20"/>
                <w:szCs w:val="20"/>
              </w:rPr>
              <w:t>108,355</w:t>
            </w:r>
          </w:p>
        </w:tc>
        <w:tc>
          <w:tcPr>
            <w:tcW w:w="50" w:type="pct"/>
            <w:shd w:val="clear" w:color="auto" w:fill="CFF0FC"/>
            <w:noWrap/>
            <w:tcMar>
              <w:top w:w="15" w:type="dxa"/>
              <w:left w:w="0" w:type="dxa"/>
              <w:bottom w:w="0" w:type="dxa"/>
              <w:right w:w="15" w:type="dxa"/>
            </w:tcMar>
            <w:vAlign w:val="bottom"/>
            <w:hideMark/>
          </w:tcPr>
          <w:p w14:paraId="2DCD8DC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EB9ABA9" w14:textId="77777777">
        <w:trPr>
          <w:divId w:val="993142887"/>
          <w:jc w:val="center"/>
        </w:trPr>
        <w:tc>
          <w:tcPr>
            <w:tcW w:w="2517" w:type="pct"/>
            <w:shd w:val="clear" w:color="auto" w:fill="FFFFFF"/>
            <w:tcMar>
              <w:top w:w="15" w:type="dxa"/>
              <w:left w:w="0" w:type="dxa"/>
              <w:bottom w:w="0" w:type="dxa"/>
              <w:right w:w="15" w:type="dxa"/>
            </w:tcMar>
            <w:hideMark/>
          </w:tcPr>
          <w:p w14:paraId="1D4E40CC" w14:textId="77777777" w:rsidR="00000000" w:rsidRDefault="007125B5">
            <w:pPr>
              <w:pStyle w:val="a3"/>
              <w:spacing w:before="0" w:beforeAutospacing="0" w:after="0" w:afterAutospacing="0"/>
              <w:rPr>
                <w:color w:val="000000"/>
                <w:sz w:val="20"/>
                <w:szCs w:val="20"/>
              </w:rPr>
            </w:pPr>
            <w:r>
              <w:rPr>
                <w:color w:val="000000"/>
                <w:sz w:val="20"/>
                <w:szCs w:val="20"/>
              </w:rPr>
              <w:t>COST OF REVENUES (exclusive of depreciation and</w:t>
            </w:r>
          </w:p>
          <w:p w14:paraId="5E189BFD" w14:textId="77777777" w:rsidR="00000000" w:rsidRDefault="007125B5">
            <w:pPr>
              <w:pStyle w:val="a3"/>
              <w:spacing w:before="0" w:beforeAutospacing="0" w:after="0" w:afterAutospacing="0"/>
              <w:rPr>
                <w:color w:val="000000"/>
                <w:sz w:val="20"/>
                <w:szCs w:val="20"/>
              </w:rPr>
            </w:pPr>
            <w:r>
              <w:rPr>
                <w:color w:val="000000"/>
                <w:sz w:val="20"/>
                <w:szCs w:val="20"/>
              </w:rPr>
              <w:t>   amortization shown below)</w:t>
            </w:r>
          </w:p>
        </w:tc>
        <w:tc>
          <w:tcPr>
            <w:tcW w:w="61" w:type="pct"/>
            <w:shd w:val="clear" w:color="auto" w:fill="FFFFFF"/>
            <w:tcMar>
              <w:top w:w="15" w:type="dxa"/>
              <w:left w:w="0" w:type="dxa"/>
              <w:bottom w:w="0" w:type="dxa"/>
              <w:right w:w="15" w:type="dxa"/>
            </w:tcMar>
            <w:vAlign w:val="bottom"/>
            <w:hideMark/>
          </w:tcPr>
          <w:p w14:paraId="712516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DCDA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1C8B428" w14:textId="77777777" w:rsidR="00000000" w:rsidRDefault="007125B5">
            <w:pPr>
              <w:pStyle w:val="a3"/>
              <w:spacing w:before="0" w:beforeAutospacing="0" w:after="0" w:afterAutospacing="0"/>
              <w:jc w:val="right"/>
              <w:rPr>
                <w:color w:val="000000"/>
                <w:sz w:val="20"/>
                <w:szCs w:val="20"/>
              </w:rPr>
            </w:pPr>
            <w:r>
              <w:rPr>
                <w:color w:val="000000"/>
                <w:sz w:val="20"/>
                <w:szCs w:val="20"/>
              </w:rPr>
              <w:t>45,889</w:t>
            </w:r>
          </w:p>
        </w:tc>
        <w:tc>
          <w:tcPr>
            <w:tcW w:w="50" w:type="pct"/>
            <w:shd w:val="clear" w:color="auto" w:fill="FFFFFF"/>
            <w:noWrap/>
            <w:tcMar>
              <w:top w:w="15" w:type="dxa"/>
              <w:left w:w="0" w:type="dxa"/>
              <w:bottom w:w="0" w:type="dxa"/>
              <w:right w:w="15" w:type="dxa"/>
            </w:tcMar>
            <w:vAlign w:val="bottom"/>
            <w:hideMark/>
          </w:tcPr>
          <w:p w14:paraId="1BB443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D8DED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EC62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F7B64B9" w14:textId="77777777" w:rsidR="00000000" w:rsidRDefault="007125B5">
            <w:pPr>
              <w:pStyle w:val="a3"/>
              <w:spacing w:before="0" w:beforeAutospacing="0" w:after="0" w:afterAutospacing="0"/>
              <w:jc w:val="right"/>
              <w:rPr>
                <w:color w:val="000000"/>
                <w:sz w:val="20"/>
                <w:szCs w:val="20"/>
              </w:rPr>
            </w:pPr>
            <w:r>
              <w:rPr>
                <w:color w:val="000000"/>
                <w:sz w:val="20"/>
                <w:szCs w:val="20"/>
              </w:rPr>
              <w:t>39,349</w:t>
            </w:r>
          </w:p>
        </w:tc>
        <w:tc>
          <w:tcPr>
            <w:tcW w:w="50" w:type="pct"/>
            <w:shd w:val="clear" w:color="auto" w:fill="FFFFFF"/>
            <w:noWrap/>
            <w:tcMar>
              <w:top w:w="15" w:type="dxa"/>
              <w:left w:w="0" w:type="dxa"/>
              <w:bottom w:w="0" w:type="dxa"/>
              <w:right w:w="15" w:type="dxa"/>
            </w:tcMar>
            <w:vAlign w:val="bottom"/>
            <w:hideMark/>
          </w:tcPr>
          <w:p w14:paraId="5BD3BD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51550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CED6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2F7EE1A" w14:textId="77777777" w:rsidR="00000000" w:rsidRDefault="007125B5">
            <w:pPr>
              <w:pStyle w:val="a3"/>
              <w:spacing w:before="0" w:beforeAutospacing="0" w:after="0" w:afterAutospacing="0"/>
              <w:jc w:val="right"/>
              <w:rPr>
                <w:color w:val="000000"/>
                <w:sz w:val="20"/>
                <w:szCs w:val="20"/>
              </w:rPr>
            </w:pPr>
            <w:r>
              <w:rPr>
                <w:color w:val="000000"/>
                <w:sz w:val="20"/>
                <w:szCs w:val="20"/>
              </w:rPr>
              <w:t>90,287</w:t>
            </w:r>
          </w:p>
        </w:tc>
        <w:tc>
          <w:tcPr>
            <w:tcW w:w="50" w:type="pct"/>
            <w:shd w:val="clear" w:color="auto" w:fill="FFFFFF"/>
            <w:noWrap/>
            <w:tcMar>
              <w:top w:w="15" w:type="dxa"/>
              <w:left w:w="0" w:type="dxa"/>
              <w:bottom w:w="0" w:type="dxa"/>
              <w:right w:w="15" w:type="dxa"/>
            </w:tcMar>
            <w:vAlign w:val="bottom"/>
            <w:hideMark/>
          </w:tcPr>
          <w:p w14:paraId="7C7602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6445B2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69199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6089C50" w14:textId="77777777" w:rsidR="00000000" w:rsidRDefault="007125B5">
            <w:pPr>
              <w:pStyle w:val="a3"/>
              <w:spacing w:before="0" w:beforeAutospacing="0" w:after="0" w:afterAutospacing="0"/>
              <w:jc w:val="right"/>
              <w:rPr>
                <w:color w:val="000000"/>
                <w:sz w:val="20"/>
                <w:szCs w:val="20"/>
              </w:rPr>
            </w:pPr>
            <w:r>
              <w:rPr>
                <w:color w:val="000000"/>
                <w:sz w:val="20"/>
                <w:szCs w:val="20"/>
              </w:rPr>
              <w:t>76,444</w:t>
            </w:r>
          </w:p>
        </w:tc>
        <w:tc>
          <w:tcPr>
            <w:tcW w:w="50" w:type="pct"/>
            <w:shd w:val="clear" w:color="auto" w:fill="FFFFFF"/>
            <w:noWrap/>
            <w:tcMar>
              <w:top w:w="15" w:type="dxa"/>
              <w:left w:w="0" w:type="dxa"/>
              <w:bottom w:w="0" w:type="dxa"/>
              <w:right w:w="15" w:type="dxa"/>
            </w:tcMar>
            <w:vAlign w:val="bottom"/>
            <w:hideMark/>
          </w:tcPr>
          <w:p w14:paraId="036181B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CA3E3B4" w14:textId="77777777">
        <w:trPr>
          <w:divId w:val="993142887"/>
          <w:jc w:val="center"/>
        </w:trPr>
        <w:tc>
          <w:tcPr>
            <w:tcW w:w="2517" w:type="pct"/>
            <w:shd w:val="clear" w:color="auto" w:fill="CFF0FC"/>
            <w:tcMar>
              <w:top w:w="15" w:type="dxa"/>
              <w:left w:w="0" w:type="dxa"/>
              <w:bottom w:w="0" w:type="dxa"/>
              <w:right w:w="15" w:type="dxa"/>
            </w:tcMar>
            <w:hideMark/>
          </w:tcPr>
          <w:p w14:paraId="43FB40FF" w14:textId="77777777" w:rsidR="00000000" w:rsidRDefault="007125B5">
            <w:pPr>
              <w:pStyle w:val="a3"/>
              <w:spacing w:before="0" w:beforeAutospacing="0" w:after="0" w:afterAutospacing="0"/>
              <w:rPr>
                <w:color w:val="000000"/>
                <w:sz w:val="20"/>
                <w:szCs w:val="20"/>
              </w:rPr>
            </w:pPr>
            <w:r>
              <w:rPr>
                <w:color w:val="000000"/>
                <w:sz w:val="20"/>
                <w:szCs w:val="20"/>
              </w:rPr>
              <w:t>SELLING, GENERAL AND ADMINISTRATIVE EXPENSE</w:t>
            </w:r>
          </w:p>
        </w:tc>
        <w:tc>
          <w:tcPr>
            <w:tcW w:w="61" w:type="pct"/>
            <w:shd w:val="clear" w:color="auto" w:fill="CFF0FC"/>
            <w:tcMar>
              <w:top w:w="15" w:type="dxa"/>
              <w:left w:w="0" w:type="dxa"/>
              <w:bottom w:w="0" w:type="dxa"/>
              <w:right w:w="15" w:type="dxa"/>
            </w:tcMar>
            <w:vAlign w:val="bottom"/>
            <w:hideMark/>
          </w:tcPr>
          <w:p w14:paraId="18F93E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EDA8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4619A5C" w14:textId="77777777" w:rsidR="00000000" w:rsidRDefault="007125B5">
            <w:pPr>
              <w:pStyle w:val="a3"/>
              <w:spacing w:before="0" w:beforeAutospacing="0" w:after="0" w:afterAutospacing="0"/>
              <w:jc w:val="right"/>
              <w:rPr>
                <w:color w:val="000000"/>
                <w:sz w:val="20"/>
                <w:szCs w:val="20"/>
              </w:rPr>
            </w:pPr>
            <w:r>
              <w:rPr>
                <w:color w:val="000000"/>
                <w:sz w:val="20"/>
                <w:szCs w:val="20"/>
              </w:rPr>
              <w:t>23,301</w:t>
            </w:r>
          </w:p>
        </w:tc>
        <w:tc>
          <w:tcPr>
            <w:tcW w:w="50" w:type="pct"/>
            <w:shd w:val="clear" w:color="auto" w:fill="CFF0FC"/>
            <w:noWrap/>
            <w:tcMar>
              <w:top w:w="15" w:type="dxa"/>
              <w:left w:w="0" w:type="dxa"/>
              <w:bottom w:w="0" w:type="dxa"/>
              <w:right w:w="15" w:type="dxa"/>
            </w:tcMar>
            <w:vAlign w:val="bottom"/>
            <w:hideMark/>
          </w:tcPr>
          <w:p w14:paraId="1F6B7E5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9DA64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51A2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8E49FF0" w14:textId="77777777" w:rsidR="00000000" w:rsidRDefault="007125B5">
            <w:pPr>
              <w:pStyle w:val="a3"/>
              <w:spacing w:before="0" w:beforeAutospacing="0" w:after="0" w:afterAutospacing="0"/>
              <w:jc w:val="right"/>
              <w:rPr>
                <w:color w:val="000000"/>
                <w:sz w:val="20"/>
                <w:szCs w:val="20"/>
              </w:rPr>
            </w:pPr>
            <w:r>
              <w:rPr>
                <w:color w:val="000000"/>
                <w:sz w:val="20"/>
                <w:szCs w:val="20"/>
              </w:rPr>
              <w:t>11,156</w:t>
            </w:r>
          </w:p>
        </w:tc>
        <w:tc>
          <w:tcPr>
            <w:tcW w:w="50" w:type="pct"/>
            <w:shd w:val="clear" w:color="auto" w:fill="CFF0FC"/>
            <w:noWrap/>
            <w:tcMar>
              <w:top w:w="15" w:type="dxa"/>
              <w:left w:w="0" w:type="dxa"/>
              <w:bottom w:w="0" w:type="dxa"/>
              <w:right w:w="15" w:type="dxa"/>
            </w:tcMar>
            <w:vAlign w:val="bottom"/>
            <w:hideMark/>
          </w:tcPr>
          <w:p w14:paraId="35D890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026C8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E8AC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B373DCD" w14:textId="77777777" w:rsidR="00000000" w:rsidRDefault="007125B5">
            <w:pPr>
              <w:pStyle w:val="a3"/>
              <w:spacing w:before="0" w:beforeAutospacing="0" w:after="0" w:afterAutospacing="0"/>
              <w:jc w:val="right"/>
              <w:rPr>
                <w:color w:val="000000"/>
                <w:sz w:val="20"/>
                <w:szCs w:val="20"/>
              </w:rPr>
            </w:pPr>
            <w:r>
              <w:rPr>
                <w:color w:val="000000"/>
                <w:sz w:val="20"/>
                <w:szCs w:val="20"/>
              </w:rPr>
              <w:t>44,232</w:t>
            </w:r>
          </w:p>
        </w:tc>
        <w:tc>
          <w:tcPr>
            <w:tcW w:w="50" w:type="pct"/>
            <w:shd w:val="clear" w:color="auto" w:fill="CFF0FC"/>
            <w:noWrap/>
            <w:tcMar>
              <w:top w:w="15" w:type="dxa"/>
              <w:left w:w="0" w:type="dxa"/>
              <w:bottom w:w="0" w:type="dxa"/>
              <w:right w:w="15" w:type="dxa"/>
            </w:tcMar>
            <w:vAlign w:val="bottom"/>
            <w:hideMark/>
          </w:tcPr>
          <w:p w14:paraId="214AC0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BC434F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2FCF4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22EB1F3" w14:textId="77777777" w:rsidR="00000000" w:rsidRDefault="007125B5">
            <w:pPr>
              <w:pStyle w:val="a3"/>
              <w:spacing w:before="0" w:beforeAutospacing="0" w:after="0" w:afterAutospacing="0"/>
              <w:jc w:val="right"/>
              <w:rPr>
                <w:color w:val="000000"/>
                <w:sz w:val="20"/>
                <w:szCs w:val="20"/>
              </w:rPr>
            </w:pPr>
            <w:r>
              <w:rPr>
                <w:color w:val="000000"/>
                <w:sz w:val="20"/>
                <w:szCs w:val="20"/>
              </w:rPr>
              <w:t>21,603</w:t>
            </w:r>
          </w:p>
        </w:tc>
        <w:tc>
          <w:tcPr>
            <w:tcW w:w="50" w:type="pct"/>
            <w:shd w:val="clear" w:color="auto" w:fill="CFF0FC"/>
            <w:noWrap/>
            <w:tcMar>
              <w:top w:w="15" w:type="dxa"/>
              <w:left w:w="0" w:type="dxa"/>
              <w:bottom w:w="0" w:type="dxa"/>
              <w:right w:w="15" w:type="dxa"/>
            </w:tcMar>
            <w:vAlign w:val="bottom"/>
            <w:hideMark/>
          </w:tcPr>
          <w:p w14:paraId="346DA01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7835D35" w14:textId="77777777">
        <w:trPr>
          <w:divId w:val="993142887"/>
          <w:jc w:val="center"/>
        </w:trPr>
        <w:tc>
          <w:tcPr>
            <w:tcW w:w="2517" w:type="pct"/>
            <w:shd w:val="clear" w:color="auto" w:fill="FFFFFF"/>
            <w:tcMar>
              <w:top w:w="15" w:type="dxa"/>
              <w:left w:w="0" w:type="dxa"/>
              <w:bottom w:w="0" w:type="dxa"/>
              <w:right w:w="15" w:type="dxa"/>
            </w:tcMar>
            <w:hideMark/>
          </w:tcPr>
          <w:p w14:paraId="66635D8F" w14:textId="77777777" w:rsidR="00000000" w:rsidRDefault="007125B5">
            <w:pPr>
              <w:pStyle w:val="a3"/>
              <w:spacing w:before="0" w:beforeAutospacing="0" w:after="0" w:afterAutospacing="0"/>
              <w:rPr>
                <w:color w:val="000000"/>
                <w:sz w:val="20"/>
                <w:szCs w:val="20"/>
              </w:rPr>
            </w:pPr>
            <w:r>
              <w:rPr>
                <w:color w:val="000000"/>
                <w:sz w:val="20"/>
                <w:szCs w:val="20"/>
              </w:rPr>
              <w:t>RELATED-PARTY EXPENSE</w:t>
            </w:r>
          </w:p>
        </w:tc>
        <w:tc>
          <w:tcPr>
            <w:tcW w:w="61" w:type="pct"/>
            <w:shd w:val="clear" w:color="auto" w:fill="FFFFFF"/>
            <w:tcMar>
              <w:top w:w="15" w:type="dxa"/>
              <w:left w:w="0" w:type="dxa"/>
              <w:bottom w:w="0" w:type="dxa"/>
              <w:right w:w="15" w:type="dxa"/>
            </w:tcMar>
            <w:vAlign w:val="bottom"/>
            <w:hideMark/>
          </w:tcPr>
          <w:p w14:paraId="0D0929D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95FB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BEC04F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88703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E9546D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CC22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55E7F90" w14:textId="77777777" w:rsidR="00000000" w:rsidRDefault="007125B5">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FFFFFF"/>
            <w:noWrap/>
            <w:tcMar>
              <w:top w:w="15" w:type="dxa"/>
              <w:left w:w="0" w:type="dxa"/>
              <w:bottom w:w="0" w:type="dxa"/>
              <w:right w:w="15" w:type="dxa"/>
            </w:tcMar>
            <w:vAlign w:val="bottom"/>
            <w:hideMark/>
          </w:tcPr>
          <w:p w14:paraId="6550804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C5693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763E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3390BBD" w14:textId="77777777" w:rsidR="00000000" w:rsidRDefault="007125B5">
            <w:pPr>
              <w:pStyle w:val="a3"/>
              <w:spacing w:before="0" w:beforeAutospacing="0" w:after="0" w:afterAutospacing="0"/>
              <w:jc w:val="right"/>
              <w:rPr>
                <w:color w:val="000000"/>
                <w:sz w:val="20"/>
                <w:szCs w:val="20"/>
              </w:rPr>
            </w:pPr>
            <w:r>
              <w:rPr>
                <w:color w:val="000000"/>
                <w:sz w:val="20"/>
                <w:szCs w:val="20"/>
              </w:rPr>
              <w:t>119</w:t>
            </w:r>
          </w:p>
        </w:tc>
        <w:tc>
          <w:tcPr>
            <w:tcW w:w="50" w:type="pct"/>
            <w:shd w:val="clear" w:color="auto" w:fill="FFFFFF"/>
            <w:noWrap/>
            <w:tcMar>
              <w:top w:w="15" w:type="dxa"/>
              <w:left w:w="0" w:type="dxa"/>
              <w:bottom w:w="0" w:type="dxa"/>
              <w:right w:w="15" w:type="dxa"/>
            </w:tcMar>
            <w:vAlign w:val="bottom"/>
            <w:hideMark/>
          </w:tcPr>
          <w:p w14:paraId="4E8436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12C37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5ECE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8256C2E" w14:textId="77777777" w:rsidR="00000000" w:rsidRDefault="007125B5">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14:paraId="5EB3EC7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35B34AF" w14:textId="77777777">
        <w:trPr>
          <w:divId w:val="993142887"/>
          <w:jc w:val="center"/>
        </w:trPr>
        <w:tc>
          <w:tcPr>
            <w:tcW w:w="2517" w:type="pct"/>
            <w:shd w:val="clear" w:color="auto" w:fill="CFF0FC"/>
            <w:tcMar>
              <w:top w:w="15" w:type="dxa"/>
              <w:left w:w="0" w:type="dxa"/>
              <w:bottom w:w="0" w:type="dxa"/>
              <w:right w:w="15" w:type="dxa"/>
            </w:tcMar>
            <w:hideMark/>
          </w:tcPr>
          <w:p w14:paraId="459B9B23" w14:textId="77777777" w:rsidR="00000000" w:rsidRDefault="007125B5">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vAlign w:val="bottom"/>
            <w:hideMark/>
          </w:tcPr>
          <w:p w14:paraId="7D9B62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146D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3B75335" w14:textId="77777777" w:rsidR="00000000" w:rsidRDefault="007125B5">
            <w:pPr>
              <w:pStyle w:val="a3"/>
              <w:spacing w:before="0" w:beforeAutospacing="0" w:after="0" w:afterAutospacing="0"/>
              <w:jc w:val="right"/>
              <w:rPr>
                <w:color w:val="000000"/>
                <w:sz w:val="20"/>
                <w:szCs w:val="20"/>
              </w:rPr>
            </w:pPr>
            <w:r>
              <w:rPr>
                <w:color w:val="000000"/>
                <w:sz w:val="20"/>
                <w:szCs w:val="20"/>
              </w:rPr>
              <w:t>9,784</w:t>
            </w:r>
          </w:p>
        </w:tc>
        <w:tc>
          <w:tcPr>
            <w:tcW w:w="50" w:type="pct"/>
            <w:shd w:val="clear" w:color="auto" w:fill="CFF0FC"/>
            <w:noWrap/>
            <w:tcMar>
              <w:top w:w="15" w:type="dxa"/>
              <w:left w:w="0" w:type="dxa"/>
              <w:bottom w:w="0" w:type="dxa"/>
              <w:right w:w="15" w:type="dxa"/>
            </w:tcMar>
            <w:vAlign w:val="bottom"/>
            <w:hideMark/>
          </w:tcPr>
          <w:p w14:paraId="4AFFD2D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348AA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BADD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CC91185" w14:textId="77777777" w:rsidR="00000000" w:rsidRDefault="007125B5">
            <w:pPr>
              <w:pStyle w:val="a3"/>
              <w:spacing w:before="0" w:beforeAutospacing="0" w:after="0" w:afterAutospacing="0"/>
              <w:jc w:val="right"/>
              <w:rPr>
                <w:color w:val="000000"/>
                <w:sz w:val="20"/>
                <w:szCs w:val="20"/>
              </w:rPr>
            </w:pPr>
            <w:r>
              <w:rPr>
                <w:color w:val="000000"/>
                <w:sz w:val="20"/>
                <w:szCs w:val="20"/>
              </w:rPr>
              <w:t>6,401</w:t>
            </w:r>
          </w:p>
        </w:tc>
        <w:tc>
          <w:tcPr>
            <w:tcW w:w="50" w:type="pct"/>
            <w:shd w:val="clear" w:color="auto" w:fill="CFF0FC"/>
            <w:noWrap/>
            <w:tcMar>
              <w:top w:w="15" w:type="dxa"/>
              <w:left w:w="0" w:type="dxa"/>
              <w:bottom w:w="0" w:type="dxa"/>
              <w:right w:w="15" w:type="dxa"/>
            </w:tcMar>
            <w:vAlign w:val="bottom"/>
            <w:hideMark/>
          </w:tcPr>
          <w:p w14:paraId="18B1CB6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7D5B93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302C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C1BC471" w14:textId="77777777" w:rsidR="00000000" w:rsidRDefault="007125B5">
            <w:pPr>
              <w:pStyle w:val="a3"/>
              <w:spacing w:before="0" w:beforeAutospacing="0" w:after="0" w:afterAutospacing="0"/>
              <w:jc w:val="right"/>
              <w:rPr>
                <w:color w:val="000000"/>
                <w:sz w:val="20"/>
                <w:szCs w:val="20"/>
              </w:rPr>
            </w:pPr>
            <w:r>
              <w:rPr>
                <w:color w:val="000000"/>
                <w:sz w:val="20"/>
                <w:szCs w:val="20"/>
              </w:rPr>
              <w:t>17,344</w:t>
            </w:r>
          </w:p>
        </w:tc>
        <w:tc>
          <w:tcPr>
            <w:tcW w:w="50" w:type="pct"/>
            <w:shd w:val="clear" w:color="auto" w:fill="CFF0FC"/>
            <w:noWrap/>
            <w:tcMar>
              <w:top w:w="15" w:type="dxa"/>
              <w:left w:w="0" w:type="dxa"/>
              <w:bottom w:w="0" w:type="dxa"/>
              <w:right w:w="15" w:type="dxa"/>
            </w:tcMar>
            <w:vAlign w:val="bottom"/>
            <w:hideMark/>
          </w:tcPr>
          <w:p w14:paraId="704BF3D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CD5B82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0663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6184363" w14:textId="77777777" w:rsidR="00000000" w:rsidRDefault="007125B5">
            <w:pPr>
              <w:pStyle w:val="a3"/>
              <w:spacing w:before="0" w:beforeAutospacing="0" w:after="0" w:afterAutospacing="0"/>
              <w:jc w:val="right"/>
              <w:rPr>
                <w:color w:val="000000"/>
                <w:sz w:val="20"/>
                <w:szCs w:val="20"/>
              </w:rPr>
            </w:pPr>
            <w:r>
              <w:rPr>
                <w:color w:val="000000"/>
                <w:sz w:val="20"/>
                <w:szCs w:val="20"/>
              </w:rPr>
              <w:t>12,850</w:t>
            </w:r>
          </w:p>
        </w:tc>
        <w:tc>
          <w:tcPr>
            <w:tcW w:w="50" w:type="pct"/>
            <w:shd w:val="clear" w:color="auto" w:fill="CFF0FC"/>
            <w:noWrap/>
            <w:tcMar>
              <w:top w:w="15" w:type="dxa"/>
              <w:left w:w="0" w:type="dxa"/>
              <w:bottom w:w="0" w:type="dxa"/>
              <w:right w:w="15" w:type="dxa"/>
            </w:tcMar>
            <w:vAlign w:val="bottom"/>
            <w:hideMark/>
          </w:tcPr>
          <w:p w14:paraId="1BDE1F1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DE0731D" w14:textId="77777777">
        <w:trPr>
          <w:divId w:val="993142887"/>
          <w:jc w:val="center"/>
        </w:trPr>
        <w:tc>
          <w:tcPr>
            <w:tcW w:w="2517" w:type="pct"/>
            <w:shd w:val="clear" w:color="auto" w:fill="FFFFFF"/>
            <w:tcMar>
              <w:top w:w="15" w:type="dxa"/>
              <w:left w:w="0" w:type="dxa"/>
              <w:bottom w:w="0" w:type="dxa"/>
              <w:right w:w="15" w:type="dxa"/>
            </w:tcMar>
            <w:hideMark/>
          </w:tcPr>
          <w:p w14:paraId="4D00DF10" w14:textId="77777777" w:rsidR="00000000" w:rsidRDefault="007125B5">
            <w:pPr>
              <w:pStyle w:val="a3"/>
              <w:spacing w:before="0" w:beforeAutospacing="0" w:after="0" w:afterAutospacing="0"/>
              <w:rPr>
                <w:color w:val="000000"/>
                <w:sz w:val="20"/>
                <w:szCs w:val="20"/>
              </w:rPr>
            </w:pPr>
            <w:r>
              <w:rPr>
                <w:color w:val="000000"/>
                <w:sz w:val="20"/>
                <w:szCs w:val="20"/>
              </w:rPr>
              <w:t>(LOSS) INCOME FROM OPERATIONS</w:t>
            </w:r>
          </w:p>
        </w:tc>
        <w:tc>
          <w:tcPr>
            <w:tcW w:w="61" w:type="pct"/>
            <w:shd w:val="clear" w:color="auto" w:fill="FFFFFF"/>
            <w:tcMar>
              <w:top w:w="15" w:type="dxa"/>
              <w:left w:w="0" w:type="dxa"/>
              <w:bottom w:w="0" w:type="dxa"/>
              <w:right w:w="15" w:type="dxa"/>
            </w:tcMar>
            <w:vAlign w:val="bottom"/>
            <w:hideMark/>
          </w:tcPr>
          <w:p w14:paraId="357A39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CF1A2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4CF90EC5" w14:textId="77777777" w:rsidR="00000000" w:rsidRDefault="007125B5">
            <w:pPr>
              <w:pStyle w:val="a3"/>
              <w:spacing w:before="0" w:beforeAutospacing="0" w:after="0" w:afterAutospacing="0"/>
              <w:jc w:val="right"/>
              <w:rPr>
                <w:color w:val="000000"/>
                <w:sz w:val="20"/>
                <w:szCs w:val="20"/>
              </w:rPr>
            </w:pPr>
            <w:r>
              <w:rPr>
                <w:color w:val="000000"/>
                <w:sz w:val="20"/>
                <w:szCs w:val="20"/>
              </w:rPr>
              <w:t>(5,208</w:t>
            </w:r>
          </w:p>
        </w:tc>
        <w:tc>
          <w:tcPr>
            <w:tcW w:w="50" w:type="pct"/>
            <w:shd w:val="clear" w:color="auto" w:fill="FFFFFF"/>
            <w:noWrap/>
            <w:tcMar>
              <w:top w:w="15" w:type="dxa"/>
              <w:left w:w="0" w:type="dxa"/>
              <w:bottom w:w="0" w:type="dxa"/>
              <w:right w:w="15" w:type="dxa"/>
            </w:tcMar>
            <w:vAlign w:val="bottom"/>
            <w:hideMark/>
          </w:tcPr>
          <w:p w14:paraId="09B8875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72BE9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AB5F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B77A717" w14:textId="77777777" w:rsidR="00000000" w:rsidRDefault="007125B5">
            <w:pPr>
              <w:pStyle w:val="a3"/>
              <w:spacing w:before="0" w:beforeAutospacing="0" w:after="0" w:afterAutospacing="0"/>
              <w:jc w:val="right"/>
              <w:rPr>
                <w:color w:val="000000"/>
                <w:sz w:val="20"/>
                <w:szCs w:val="20"/>
              </w:rPr>
            </w:pPr>
            <w:r>
              <w:rPr>
                <w:color w:val="000000"/>
                <w:sz w:val="20"/>
                <w:szCs w:val="20"/>
              </w:rPr>
              <w:t>375</w:t>
            </w:r>
          </w:p>
        </w:tc>
        <w:tc>
          <w:tcPr>
            <w:tcW w:w="50" w:type="pct"/>
            <w:shd w:val="clear" w:color="auto" w:fill="FFFFFF"/>
            <w:noWrap/>
            <w:tcMar>
              <w:top w:w="15" w:type="dxa"/>
              <w:left w:w="0" w:type="dxa"/>
              <w:bottom w:w="0" w:type="dxa"/>
              <w:right w:w="15" w:type="dxa"/>
            </w:tcMar>
            <w:vAlign w:val="bottom"/>
            <w:hideMark/>
          </w:tcPr>
          <w:p w14:paraId="185211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F817CE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5A264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01EF5790" w14:textId="77777777" w:rsidR="00000000" w:rsidRDefault="007125B5">
            <w:pPr>
              <w:pStyle w:val="a3"/>
              <w:spacing w:before="0" w:beforeAutospacing="0" w:after="0" w:afterAutospacing="0"/>
              <w:jc w:val="right"/>
              <w:rPr>
                <w:color w:val="000000"/>
                <w:sz w:val="20"/>
                <w:szCs w:val="20"/>
              </w:rPr>
            </w:pPr>
            <w:r>
              <w:rPr>
                <w:color w:val="000000"/>
                <w:sz w:val="20"/>
                <w:szCs w:val="20"/>
              </w:rPr>
              <w:t>(17,185</w:t>
            </w:r>
          </w:p>
        </w:tc>
        <w:tc>
          <w:tcPr>
            <w:tcW w:w="50" w:type="pct"/>
            <w:shd w:val="clear" w:color="auto" w:fill="FFFFFF"/>
            <w:noWrap/>
            <w:tcMar>
              <w:top w:w="15" w:type="dxa"/>
              <w:left w:w="0" w:type="dxa"/>
              <w:bottom w:w="0" w:type="dxa"/>
              <w:right w:w="15" w:type="dxa"/>
            </w:tcMar>
            <w:vAlign w:val="bottom"/>
            <w:hideMark/>
          </w:tcPr>
          <w:p w14:paraId="55FEE48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E914E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76D59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9212681" w14:textId="77777777" w:rsidR="00000000" w:rsidRDefault="007125B5">
            <w:pPr>
              <w:pStyle w:val="a3"/>
              <w:spacing w:before="0" w:beforeAutospacing="0" w:after="0" w:afterAutospacing="0"/>
              <w:jc w:val="right"/>
              <w:rPr>
                <w:color w:val="000000"/>
                <w:sz w:val="20"/>
                <w:szCs w:val="20"/>
              </w:rPr>
            </w:pPr>
            <w:r>
              <w:rPr>
                <w:color w:val="000000"/>
                <w:sz w:val="20"/>
                <w:szCs w:val="20"/>
              </w:rPr>
              <w:t>(2,821</w:t>
            </w:r>
          </w:p>
        </w:tc>
        <w:tc>
          <w:tcPr>
            <w:tcW w:w="50" w:type="pct"/>
            <w:shd w:val="clear" w:color="auto" w:fill="FFFFFF"/>
            <w:noWrap/>
            <w:tcMar>
              <w:top w:w="15" w:type="dxa"/>
              <w:left w:w="0" w:type="dxa"/>
              <w:bottom w:w="0" w:type="dxa"/>
              <w:right w:w="15" w:type="dxa"/>
            </w:tcMar>
            <w:vAlign w:val="bottom"/>
            <w:hideMark/>
          </w:tcPr>
          <w:p w14:paraId="67CF1188"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4624B1F" w14:textId="77777777">
        <w:trPr>
          <w:divId w:val="993142887"/>
          <w:jc w:val="center"/>
        </w:trPr>
        <w:tc>
          <w:tcPr>
            <w:tcW w:w="2517" w:type="pct"/>
            <w:shd w:val="clear" w:color="auto" w:fill="CFF0FC"/>
            <w:tcMar>
              <w:top w:w="15" w:type="dxa"/>
              <w:left w:w="0" w:type="dxa"/>
              <w:bottom w:w="0" w:type="dxa"/>
              <w:right w:w="15" w:type="dxa"/>
            </w:tcMar>
            <w:hideMark/>
          </w:tcPr>
          <w:p w14:paraId="76ACD7CE" w14:textId="77777777" w:rsidR="00000000" w:rsidRDefault="007125B5">
            <w:pPr>
              <w:pStyle w:val="a3"/>
              <w:spacing w:before="0" w:beforeAutospacing="0" w:after="0" w:afterAutospacing="0"/>
              <w:rPr>
                <w:color w:val="000000"/>
                <w:sz w:val="20"/>
                <w:szCs w:val="20"/>
              </w:rPr>
            </w:pPr>
            <w:r>
              <w:rPr>
                <w:color w:val="000000"/>
                <w:sz w:val="20"/>
                <w:szCs w:val="20"/>
              </w:rPr>
              <w:t>OTHER EXPENSE</w:t>
            </w:r>
          </w:p>
        </w:tc>
        <w:tc>
          <w:tcPr>
            <w:tcW w:w="61" w:type="pct"/>
            <w:shd w:val="clear" w:color="auto" w:fill="CFF0FC"/>
            <w:tcMar>
              <w:top w:w="15" w:type="dxa"/>
              <w:left w:w="0" w:type="dxa"/>
              <w:bottom w:w="0" w:type="dxa"/>
              <w:right w:w="15" w:type="dxa"/>
            </w:tcMar>
            <w:vAlign w:val="bottom"/>
            <w:hideMark/>
          </w:tcPr>
          <w:p w14:paraId="5FDFE3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26EA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EFA7F6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F574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584DD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26CC2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C732A9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36D4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785074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760C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CC1206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052D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9A485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9C968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D4781C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4B575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FAB5A68" w14:textId="77777777">
        <w:trPr>
          <w:divId w:val="993142887"/>
          <w:jc w:val="center"/>
        </w:trPr>
        <w:tc>
          <w:tcPr>
            <w:tcW w:w="2517" w:type="pct"/>
            <w:shd w:val="clear" w:color="auto" w:fill="FFFFFF"/>
            <w:tcMar>
              <w:top w:w="15" w:type="dxa"/>
              <w:left w:w="0" w:type="dxa"/>
              <w:bottom w:w="0" w:type="dxa"/>
              <w:right w:w="15" w:type="dxa"/>
            </w:tcMar>
            <w:hideMark/>
          </w:tcPr>
          <w:p w14:paraId="69E8A5AC" w14:textId="77777777" w:rsidR="00000000" w:rsidRDefault="007125B5">
            <w:pPr>
              <w:pStyle w:val="a3"/>
              <w:spacing w:before="0" w:beforeAutospacing="0" w:after="0" w:afterAutospacing="0"/>
              <w:ind w:left="274"/>
              <w:rPr>
                <w:color w:val="000000"/>
                <w:sz w:val="20"/>
                <w:szCs w:val="20"/>
              </w:rPr>
            </w:pPr>
            <w:r>
              <w:rPr>
                <w:color w:val="000000"/>
                <w:sz w:val="20"/>
                <w:szCs w:val="20"/>
              </w:rPr>
              <w:t>Other income (expense)</w:t>
            </w:r>
          </w:p>
        </w:tc>
        <w:tc>
          <w:tcPr>
            <w:tcW w:w="61" w:type="pct"/>
            <w:shd w:val="clear" w:color="auto" w:fill="FFFFFF"/>
            <w:tcMar>
              <w:top w:w="15" w:type="dxa"/>
              <w:left w:w="0" w:type="dxa"/>
              <w:bottom w:w="0" w:type="dxa"/>
              <w:right w:w="15" w:type="dxa"/>
            </w:tcMar>
            <w:vAlign w:val="bottom"/>
            <w:hideMark/>
          </w:tcPr>
          <w:p w14:paraId="1D28A74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A628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07D2001" w14:textId="77777777" w:rsidR="00000000" w:rsidRDefault="007125B5">
            <w:pPr>
              <w:pStyle w:val="a3"/>
              <w:spacing w:before="0" w:beforeAutospacing="0" w:after="0" w:afterAutospacing="0"/>
              <w:jc w:val="right"/>
              <w:rPr>
                <w:color w:val="000000"/>
                <w:sz w:val="20"/>
                <w:szCs w:val="20"/>
              </w:rPr>
            </w:pPr>
            <w:r>
              <w:rPr>
                <w:color w:val="000000"/>
                <w:sz w:val="20"/>
                <w:szCs w:val="20"/>
              </w:rPr>
              <w:t>21,933</w:t>
            </w:r>
          </w:p>
        </w:tc>
        <w:tc>
          <w:tcPr>
            <w:tcW w:w="50" w:type="pct"/>
            <w:shd w:val="clear" w:color="auto" w:fill="FFFFFF"/>
            <w:noWrap/>
            <w:tcMar>
              <w:top w:w="15" w:type="dxa"/>
              <w:left w:w="0" w:type="dxa"/>
              <w:bottom w:w="0" w:type="dxa"/>
              <w:right w:w="15" w:type="dxa"/>
            </w:tcMar>
            <w:vAlign w:val="bottom"/>
            <w:hideMark/>
          </w:tcPr>
          <w:p w14:paraId="0B41B5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2E1D7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1AE6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C02007F" w14:textId="77777777" w:rsidR="00000000" w:rsidRDefault="007125B5">
            <w:pPr>
              <w:pStyle w:val="a3"/>
              <w:spacing w:before="0" w:beforeAutospacing="0" w:after="0" w:afterAutospacing="0"/>
              <w:jc w:val="right"/>
              <w:rPr>
                <w:color w:val="000000"/>
                <w:sz w:val="20"/>
                <w:szCs w:val="20"/>
              </w:rPr>
            </w:pPr>
            <w:r>
              <w:rPr>
                <w:color w:val="000000"/>
                <w:sz w:val="20"/>
                <w:szCs w:val="20"/>
              </w:rPr>
              <w:t>(1,228</w:t>
            </w:r>
          </w:p>
        </w:tc>
        <w:tc>
          <w:tcPr>
            <w:tcW w:w="50" w:type="pct"/>
            <w:shd w:val="clear" w:color="auto" w:fill="FFFFFF"/>
            <w:noWrap/>
            <w:tcMar>
              <w:top w:w="15" w:type="dxa"/>
              <w:left w:w="0" w:type="dxa"/>
              <w:bottom w:w="0" w:type="dxa"/>
              <w:right w:w="15" w:type="dxa"/>
            </w:tcMar>
            <w:vAlign w:val="bottom"/>
            <w:hideMark/>
          </w:tcPr>
          <w:p w14:paraId="23D9F0E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AFB0B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049C2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7E721C4" w14:textId="77777777" w:rsidR="00000000" w:rsidRDefault="007125B5">
            <w:pPr>
              <w:pStyle w:val="a3"/>
              <w:spacing w:before="0" w:beforeAutospacing="0" w:after="0" w:afterAutospacing="0"/>
              <w:jc w:val="right"/>
              <w:rPr>
                <w:color w:val="000000"/>
                <w:sz w:val="20"/>
                <w:szCs w:val="20"/>
              </w:rPr>
            </w:pPr>
            <w:r>
              <w:rPr>
                <w:color w:val="000000"/>
                <w:sz w:val="20"/>
                <w:szCs w:val="20"/>
              </w:rPr>
              <w:t>(7,897</w:t>
            </w:r>
          </w:p>
        </w:tc>
        <w:tc>
          <w:tcPr>
            <w:tcW w:w="50" w:type="pct"/>
            <w:shd w:val="clear" w:color="auto" w:fill="FFFFFF"/>
            <w:noWrap/>
            <w:tcMar>
              <w:top w:w="15" w:type="dxa"/>
              <w:left w:w="0" w:type="dxa"/>
              <w:bottom w:w="0" w:type="dxa"/>
              <w:right w:w="15" w:type="dxa"/>
            </w:tcMar>
            <w:vAlign w:val="bottom"/>
            <w:hideMark/>
          </w:tcPr>
          <w:p w14:paraId="69072C6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33E46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1DBE9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B2677A8" w14:textId="77777777" w:rsidR="00000000" w:rsidRDefault="007125B5">
            <w:pPr>
              <w:pStyle w:val="a3"/>
              <w:spacing w:before="0" w:beforeAutospacing="0" w:after="0" w:afterAutospacing="0"/>
              <w:jc w:val="right"/>
              <w:rPr>
                <w:color w:val="000000"/>
                <w:sz w:val="20"/>
                <w:szCs w:val="20"/>
              </w:rPr>
            </w:pPr>
            <w:r>
              <w:rPr>
                <w:color w:val="000000"/>
                <w:sz w:val="20"/>
                <w:szCs w:val="20"/>
              </w:rPr>
              <w:t>(1,179</w:t>
            </w:r>
          </w:p>
        </w:tc>
        <w:tc>
          <w:tcPr>
            <w:tcW w:w="50" w:type="pct"/>
            <w:shd w:val="clear" w:color="auto" w:fill="FFFFFF"/>
            <w:noWrap/>
            <w:tcMar>
              <w:top w:w="15" w:type="dxa"/>
              <w:left w:w="0" w:type="dxa"/>
              <w:bottom w:w="0" w:type="dxa"/>
              <w:right w:w="15" w:type="dxa"/>
            </w:tcMar>
            <w:vAlign w:val="bottom"/>
            <w:hideMark/>
          </w:tcPr>
          <w:p w14:paraId="3DC95414"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549F2DC" w14:textId="77777777">
        <w:trPr>
          <w:divId w:val="993142887"/>
          <w:jc w:val="center"/>
        </w:trPr>
        <w:tc>
          <w:tcPr>
            <w:tcW w:w="2517" w:type="pct"/>
            <w:shd w:val="clear" w:color="auto" w:fill="CFF0FC"/>
            <w:tcMar>
              <w:top w:w="15" w:type="dxa"/>
              <w:left w:w="0" w:type="dxa"/>
              <w:bottom w:w="0" w:type="dxa"/>
              <w:right w:w="15" w:type="dxa"/>
            </w:tcMar>
            <w:hideMark/>
          </w:tcPr>
          <w:p w14:paraId="1BB82B24" w14:textId="77777777" w:rsidR="00000000" w:rsidRDefault="007125B5">
            <w:pPr>
              <w:pStyle w:val="a3"/>
              <w:spacing w:before="0" w:beforeAutospacing="0" w:after="0" w:afterAutospacing="0"/>
              <w:ind w:left="274"/>
              <w:rPr>
                <w:color w:val="000000"/>
                <w:sz w:val="20"/>
                <w:szCs w:val="20"/>
              </w:rPr>
            </w:pPr>
            <w:r>
              <w:rPr>
                <w:color w:val="000000"/>
                <w:sz w:val="20"/>
                <w:szCs w:val="20"/>
              </w:rPr>
              <w:t>Interest expense—net</w:t>
            </w:r>
          </w:p>
        </w:tc>
        <w:tc>
          <w:tcPr>
            <w:tcW w:w="61" w:type="pct"/>
            <w:shd w:val="clear" w:color="auto" w:fill="CFF0FC"/>
            <w:tcMar>
              <w:top w:w="15" w:type="dxa"/>
              <w:left w:w="0" w:type="dxa"/>
              <w:bottom w:w="0" w:type="dxa"/>
              <w:right w:w="15" w:type="dxa"/>
            </w:tcMar>
            <w:vAlign w:val="bottom"/>
            <w:hideMark/>
          </w:tcPr>
          <w:p w14:paraId="035BB22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CE9D9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47FB93D" w14:textId="77777777" w:rsidR="00000000" w:rsidRDefault="007125B5">
            <w:pPr>
              <w:pStyle w:val="a3"/>
              <w:spacing w:before="0" w:beforeAutospacing="0" w:after="0" w:afterAutospacing="0"/>
              <w:jc w:val="right"/>
              <w:rPr>
                <w:color w:val="000000"/>
                <w:sz w:val="20"/>
                <w:szCs w:val="20"/>
              </w:rPr>
            </w:pPr>
            <w:r>
              <w:rPr>
                <w:color w:val="000000"/>
                <w:sz w:val="20"/>
                <w:szCs w:val="20"/>
              </w:rPr>
              <w:t>(5,260</w:t>
            </w:r>
          </w:p>
        </w:tc>
        <w:tc>
          <w:tcPr>
            <w:tcW w:w="50" w:type="pct"/>
            <w:shd w:val="clear" w:color="auto" w:fill="CFF0FC"/>
            <w:noWrap/>
            <w:tcMar>
              <w:top w:w="15" w:type="dxa"/>
              <w:left w:w="0" w:type="dxa"/>
              <w:bottom w:w="0" w:type="dxa"/>
              <w:right w:w="15" w:type="dxa"/>
            </w:tcMar>
            <w:vAlign w:val="bottom"/>
            <w:hideMark/>
          </w:tcPr>
          <w:p w14:paraId="12F232D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09598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618C4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F279A44" w14:textId="77777777" w:rsidR="00000000" w:rsidRDefault="007125B5">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14:paraId="5D5622D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C8310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1292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299ADB5" w14:textId="77777777" w:rsidR="00000000" w:rsidRDefault="007125B5">
            <w:pPr>
              <w:pStyle w:val="a3"/>
              <w:spacing w:before="0" w:beforeAutospacing="0" w:after="0" w:afterAutospacing="0"/>
              <w:jc w:val="right"/>
              <w:rPr>
                <w:color w:val="000000"/>
                <w:sz w:val="20"/>
                <w:szCs w:val="20"/>
              </w:rPr>
            </w:pPr>
            <w:r>
              <w:rPr>
                <w:color w:val="000000"/>
                <w:sz w:val="20"/>
                <w:szCs w:val="20"/>
              </w:rPr>
              <w:t>(7,853</w:t>
            </w:r>
          </w:p>
        </w:tc>
        <w:tc>
          <w:tcPr>
            <w:tcW w:w="50" w:type="pct"/>
            <w:shd w:val="clear" w:color="auto" w:fill="CFF0FC"/>
            <w:noWrap/>
            <w:tcMar>
              <w:top w:w="15" w:type="dxa"/>
              <w:left w:w="0" w:type="dxa"/>
              <w:bottom w:w="0" w:type="dxa"/>
              <w:right w:w="15" w:type="dxa"/>
            </w:tcMar>
            <w:vAlign w:val="bottom"/>
            <w:hideMark/>
          </w:tcPr>
          <w:p w14:paraId="0CA9EF2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E4811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D8B6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DE075F9" w14:textId="77777777" w:rsidR="00000000" w:rsidRDefault="007125B5">
            <w:pPr>
              <w:pStyle w:val="a3"/>
              <w:spacing w:before="0" w:beforeAutospacing="0" w:after="0" w:afterAutospacing="0"/>
              <w:jc w:val="right"/>
              <w:rPr>
                <w:color w:val="000000"/>
                <w:sz w:val="20"/>
                <w:szCs w:val="20"/>
              </w:rPr>
            </w:pPr>
            <w:r>
              <w:rPr>
                <w:color w:val="000000"/>
                <w:sz w:val="20"/>
                <w:szCs w:val="20"/>
              </w:rPr>
              <w:t>(2,460</w:t>
            </w:r>
          </w:p>
        </w:tc>
        <w:tc>
          <w:tcPr>
            <w:tcW w:w="50" w:type="pct"/>
            <w:shd w:val="clear" w:color="auto" w:fill="CFF0FC"/>
            <w:noWrap/>
            <w:tcMar>
              <w:top w:w="15" w:type="dxa"/>
              <w:left w:w="0" w:type="dxa"/>
              <w:bottom w:w="0" w:type="dxa"/>
              <w:right w:w="15" w:type="dxa"/>
            </w:tcMar>
            <w:vAlign w:val="bottom"/>
            <w:hideMark/>
          </w:tcPr>
          <w:p w14:paraId="071AAC20"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F229BD2" w14:textId="77777777">
        <w:trPr>
          <w:divId w:val="993142887"/>
          <w:jc w:val="center"/>
        </w:trPr>
        <w:tc>
          <w:tcPr>
            <w:tcW w:w="2517" w:type="pct"/>
            <w:shd w:val="clear" w:color="auto" w:fill="FFFFFF"/>
            <w:tcMar>
              <w:top w:w="15" w:type="dxa"/>
              <w:left w:w="0" w:type="dxa"/>
              <w:bottom w:w="0" w:type="dxa"/>
              <w:right w:w="15" w:type="dxa"/>
            </w:tcMar>
            <w:hideMark/>
          </w:tcPr>
          <w:p w14:paraId="20F6B458" w14:textId="77777777" w:rsidR="00000000" w:rsidRDefault="007125B5">
            <w:pPr>
              <w:pStyle w:val="a3"/>
              <w:spacing w:before="0" w:beforeAutospacing="0" w:after="0" w:afterAutospacing="0"/>
              <w:ind w:left="547"/>
              <w:rPr>
                <w:color w:val="000000"/>
                <w:sz w:val="20"/>
                <w:szCs w:val="20"/>
              </w:rPr>
            </w:pPr>
            <w:r>
              <w:rPr>
                <w:color w:val="000000"/>
                <w:sz w:val="20"/>
                <w:szCs w:val="20"/>
              </w:rPr>
              <w:t>Total other expenses—net</w:t>
            </w:r>
          </w:p>
        </w:tc>
        <w:tc>
          <w:tcPr>
            <w:tcW w:w="61" w:type="pct"/>
            <w:shd w:val="clear" w:color="auto" w:fill="FFFFFF"/>
            <w:tcMar>
              <w:top w:w="15" w:type="dxa"/>
              <w:left w:w="0" w:type="dxa"/>
              <w:bottom w:w="0" w:type="dxa"/>
              <w:right w:w="15" w:type="dxa"/>
            </w:tcMar>
            <w:vAlign w:val="bottom"/>
            <w:hideMark/>
          </w:tcPr>
          <w:p w14:paraId="337166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06EFC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CE53A55" w14:textId="77777777" w:rsidR="00000000" w:rsidRDefault="007125B5">
            <w:pPr>
              <w:pStyle w:val="a3"/>
              <w:spacing w:before="0" w:beforeAutospacing="0" w:after="0" w:afterAutospacing="0"/>
              <w:jc w:val="right"/>
              <w:rPr>
                <w:color w:val="000000"/>
                <w:sz w:val="20"/>
                <w:szCs w:val="20"/>
              </w:rPr>
            </w:pPr>
            <w:r>
              <w:rPr>
                <w:color w:val="000000"/>
                <w:sz w:val="20"/>
                <w:szCs w:val="20"/>
              </w:rPr>
              <w:t>16,673</w:t>
            </w:r>
          </w:p>
        </w:tc>
        <w:tc>
          <w:tcPr>
            <w:tcW w:w="50" w:type="pct"/>
            <w:shd w:val="clear" w:color="auto" w:fill="FFFFFF"/>
            <w:noWrap/>
            <w:tcMar>
              <w:top w:w="15" w:type="dxa"/>
              <w:left w:w="0" w:type="dxa"/>
              <w:bottom w:w="0" w:type="dxa"/>
              <w:right w:w="15" w:type="dxa"/>
            </w:tcMar>
            <w:vAlign w:val="bottom"/>
            <w:hideMark/>
          </w:tcPr>
          <w:p w14:paraId="60FBC4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5A91C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C27F0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8EE204" w14:textId="77777777" w:rsidR="00000000" w:rsidRDefault="007125B5">
            <w:pPr>
              <w:pStyle w:val="a3"/>
              <w:spacing w:before="0" w:beforeAutospacing="0" w:after="0" w:afterAutospacing="0"/>
              <w:jc w:val="right"/>
              <w:rPr>
                <w:color w:val="000000"/>
                <w:sz w:val="20"/>
                <w:szCs w:val="20"/>
              </w:rPr>
            </w:pPr>
            <w:r>
              <w:rPr>
                <w:color w:val="000000"/>
                <w:sz w:val="20"/>
                <w:szCs w:val="20"/>
              </w:rPr>
              <w:t>(2,409</w:t>
            </w:r>
          </w:p>
        </w:tc>
        <w:tc>
          <w:tcPr>
            <w:tcW w:w="50" w:type="pct"/>
            <w:shd w:val="clear" w:color="auto" w:fill="FFFFFF"/>
            <w:noWrap/>
            <w:tcMar>
              <w:top w:w="15" w:type="dxa"/>
              <w:left w:w="0" w:type="dxa"/>
              <w:bottom w:w="0" w:type="dxa"/>
              <w:right w:w="15" w:type="dxa"/>
            </w:tcMar>
            <w:vAlign w:val="bottom"/>
            <w:hideMark/>
          </w:tcPr>
          <w:p w14:paraId="4F81841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6B4B7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FCFB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D3E0D1F" w14:textId="77777777" w:rsidR="00000000" w:rsidRDefault="007125B5">
            <w:pPr>
              <w:pStyle w:val="a3"/>
              <w:spacing w:before="0" w:beforeAutospacing="0" w:after="0" w:afterAutospacing="0"/>
              <w:jc w:val="right"/>
              <w:rPr>
                <w:color w:val="000000"/>
                <w:sz w:val="20"/>
                <w:szCs w:val="20"/>
              </w:rPr>
            </w:pPr>
            <w:r>
              <w:rPr>
                <w:color w:val="000000"/>
                <w:sz w:val="20"/>
                <w:szCs w:val="20"/>
              </w:rPr>
              <w:t>(15,750</w:t>
            </w:r>
          </w:p>
        </w:tc>
        <w:tc>
          <w:tcPr>
            <w:tcW w:w="50" w:type="pct"/>
            <w:shd w:val="clear" w:color="auto" w:fill="FFFFFF"/>
            <w:noWrap/>
            <w:tcMar>
              <w:top w:w="15" w:type="dxa"/>
              <w:left w:w="0" w:type="dxa"/>
              <w:bottom w:w="0" w:type="dxa"/>
              <w:right w:w="15" w:type="dxa"/>
            </w:tcMar>
            <w:vAlign w:val="bottom"/>
            <w:hideMark/>
          </w:tcPr>
          <w:p w14:paraId="508A5B8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6E6B1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B4571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222D404" w14:textId="77777777" w:rsidR="00000000" w:rsidRDefault="007125B5">
            <w:pPr>
              <w:pStyle w:val="a3"/>
              <w:spacing w:before="0" w:beforeAutospacing="0" w:after="0" w:afterAutospacing="0"/>
              <w:jc w:val="right"/>
              <w:rPr>
                <w:color w:val="000000"/>
                <w:sz w:val="20"/>
                <w:szCs w:val="20"/>
              </w:rPr>
            </w:pPr>
            <w:r>
              <w:rPr>
                <w:color w:val="000000"/>
                <w:sz w:val="20"/>
                <w:szCs w:val="20"/>
              </w:rPr>
              <w:t>(3,639</w:t>
            </w:r>
          </w:p>
        </w:tc>
        <w:tc>
          <w:tcPr>
            <w:tcW w:w="50" w:type="pct"/>
            <w:shd w:val="clear" w:color="auto" w:fill="FFFFFF"/>
            <w:noWrap/>
            <w:tcMar>
              <w:top w:w="15" w:type="dxa"/>
              <w:left w:w="0" w:type="dxa"/>
              <w:bottom w:w="0" w:type="dxa"/>
              <w:right w:w="15" w:type="dxa"/>
            </w:tcMar>
            <w:vAlign w:val="bottom"/>
            <w:hideMark/>
          </w:tcPr>
          <w:p w14:paraId="3D2C7F76"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EC93EBE" w14:textId="77777777">
        <w:trPr>
          <w:divId w:val="993142887"/>
          <w:jc w:val="center"/>
        </w:trPr>
        <w:tc>
          <w:tcPr>
            <w:tcW w:w="2517" w:type="pct"/>
            <w:shd w:val="clear" w:color="auto" w:fill="CFF0FC"/>
            <w:tcMar>
              <w:top w:w="15" w:type="dxa"/>
              <w:left w:w="0" w:type="dxa"/>
              <w:bottom w:w="0" w:type="dxa"/>
              <w:right w:w="15" w:type="dxa"/>
            </w:tcMar>
            <w:hideMark/>
          </w:tcPr>
          <w:p w14:paraId="1DC0ABD8" w14:textId="77777777" w:rsidR="00000000" w:rsidRDefault="007125B5">
            <w:pPr>
              <w:pStyle w:val="a3"/>
              <w:spacing w:before="0" w:beforeAutospacing="0" w:after="0" w:afterAutospacing="0"/>
              <w:rPr>
                <w:color w:val="000000"/>
                <w:sz w:val="20"/>
                <w:szCs w:val="20"/>
              </w:rPr>
            </w:pPr>
            <w:r>
              <w:rPr>
                <w:color w:val="000000"/>
                <w:sz w:val="20"/>
                <w:szCs w:val="20"/>
              </w:rPr>
              <w:t>INCOME (LOSS) BEFORE BENEFIT FROM INCOME TAXES</w:t>
            </w:r>
          </w:p>
        </w:tc>
        <w:tc>
          <w:tcPr>
            <w:tcW w:w="61" w:type="pct"/>
            <w:shd w:val="clear" w:color="auto" w:fill="CFF0FC"/>
            <w:tcMar>
              <w:top w:w="15" w:type="dxa"/>
              <w:left w:w="0" w:type="dxa"/>
              <w:bottom w:w="0" w:type="dxa"/>
              <w:right w:w="15" w:type="dxa"/>
            </w:tcMar>
            <w:vAlign w:val="bottom"/>
            <w:hideMark/>
          </w:tcPr>
          <w:p w14:paraId="038D4E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0252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732CA05" w14:textId="77777777" w:rsidR="00000000" w:rsidRDefault="007125B5">
            <w:pPr>
              <w:pStyle w:val="a3"/>
              <w:spacing w:before="0" w:beforeAutospacing="0" w:after="0" w:afterAutospacing="0"/>
              <w:jc w:val="right"/>
              <w:rPr>
                <w:color w:val="000000"/>
                <w:sz w:val="20"/>
                <w:szCs w:val="20"/>
              </w:rPr>
            </w:pPr>
            <w:r>
              <w:rPr>
                <w:color w:val="000000"/>
                <w:sz w:val="20"/>
                <w:szCs w:val="20"/>
              </w:rPr>
              <w:t>11,465</w:t>
            </w:r>
          </w:p>
        </w:tc>
        <w:tc>
          <w:tcPr>
            <w:tcW w:w="50" w:type="pct"/>
            <w:shd w:val="clear" w:color="auto" w:fill="CFF0FC"/>
            <w:noWrap/>
            <w:tcMar>
              <w:top w:w="15" w:type="dxa"/>
              <w:left w:w="0" w:type="dxa"/>
              <w:bottom w:w="0" w:type="dxa"/>
              <w:right w:w="15" w:type="dxa"/>
            </w:tcMar>
            <w:vAlign w:val="bottom"/>
            <w:hideMark/>
          </w:tcPr>
          <w:p w14:paraId="727D0FC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2D46AE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16707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9E48C4B" w14:textId="77777777" w:rsidR="00000000" w:rsidRDefault="007125B5">
            <w:pPr>
              <w:pStyle w:val="a3"/>
              <w:spacing w:before="0" w:beforeAutospacing="0" w:after="0" w:afterAutospacing="0"/>
              <w:jc w:val="right"/>
              <w:rPr>
                <w:color w:val="000000"/>
                <w:sz w:val="20"/>
                <w:szCs w:val="20"/>
              </w:rPr>
            </w:pPr>
            <w:r>
              <w:rPr>
                <w:color w:val="000000"/>
                <w:sz w:val="20"/>
                <w:szCs w:val="20"/>
              </w:rPr>
              <w:t>(2,034</w:t>
            </w:r>
          </w:p>
        </w:tc>
        <w:tc>
          <w:tcPr>
            <w:tcW w:w="50" w:type="pct"/>
            <w:shd w:val="clear" w:color="auto" w:fill="CFF0FC"/>
            <w:noWrap/>
            <w:tcMar>
              <w:top w:w="15" w:type="dxa"/>
              <w:left w:w="0" w:type="dxa"/>
              <w:bottom w:w="0" w:type="dxa"/>
              <w:right w:w="15" w:type="dxa"/>
            </w:tcMar>
            <w:vAlign w:val="bottom"/>
            <w:hideMark/>
          </w:tcPr>
          <w:p w14:paraId="4FE7130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ED0ED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39BC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1FF0B4D" w14:textId="77777777" w:rsidR="00000000" w:rsidRDefault="007125B5">
            <w:pPr>
              <w:pStyle w:val="a3"/>
              <w:spacing w:before="0" w:beforeAutospacing="0" w:after="0" w:afterAutospacing="0"/>
              <w:jc w:val="right"/>
              <w:rPr>
                <w:color w:val="000000"/>
                <w:sz w:val="20"/>
                <w:szCs w:val="20"/>
              </w:rPr>
            </w:pPr>
            <w:r>
              <w:rPr>
                <w:color w:val="000000"/>
                <w:sz w:val="20"/>
                <w:szCs w:val="20"/>
              </w:rPr>
              <w:t>(32,935</w:t>
            </w:r>
          </w:p>
        </w:tc>
        <w:tc>
          <w:tcPr>
            <w:tcW w:w="50" w:type="pct"/>
            <w:shd w:val="clear" w:color="auto" w:fill="CFF0FC"/>
            <w:noWrap/>
            <w:tcMar>
              <w:top w:w="15" w:type="dxa"/>
              <w:left w:w="0" w:type="dxa"/>
              <w:bottom w:w="0" w:type="dxa"/>
              <w:right w:w="15" w:type="dxa"/>
            </w:tcMar>
            <w:vAlign w:val="bottom"/>
            <w:hideMark/>
          </w:tcPr>
          <w:p w14:paraId="5061510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06F55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3EAA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110699C" w14:textId="77777777" w:rsidR="00000000" w:rsidRDefault="007125B5">
            <w:pPr>
              <w:pStyle w:val="a3"/>
              <w:spacing w:before="0" w:beforeAutospacing="0" w:after="0" w:afterAutospacing="0"/>
              <w:jc w:val="right"/>
              <w:rPr>
                <w:color w:val="000000"/>
                <w:sz w:val="20"/>
                <w:szCs w:val="20"/>
              </w:rPr>
            </w:pPr>
            <w:r>
              <w:rPr>
                <w:color w:val="000000"/>
                <w:sz w:val="20"/>
                <w:szCs w:val="20"/>
              </w:rPr>
              <w:t>(6,460</w:t>
            </w:r>
          </w:p>
        </w:tc>
        <w:tc>
          <w:tcPr>
            <w:tcW w:w="50" w:type="pct"/>
            <w:shd w:val="clear" w:color="auto" w:fill="CFF0FC"/>
            <w:noWrap/>
            <w:tcMar>
              <w:top w:w="15" w:type="dxa"/>
              <w:left w:w="0" w:type="dxa"/>
              <w:bottom w:w="0" w:type="dxa"/>
              <w:right w:w="15" w:type="dxa"/>
            </w:tcMar>
            <w:vAlign w:val="bottom"/>
            <w:hideMark/>
          </w:tcPr>
          <w:p w14:paraId="0DB04810"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766A5D9E" w14:textId="77777777">
        <w:trPr>
          <w:divId w:val="993142887"/>
          <w:jc w:val="center"/>
        </w:trPr>
        <w:tc>
          <w:tcPr>
            <w:tcW w:w="2517" w:type="pct"/>
            <w:shd w:val="clear" w:color="auto" w:fill="FFFFFF"/>
            <w:tcMar>
              <w:top w:w="15" w:type="dxa"/>
              <w:left w:w="0" w:type="dxa"/>
              <w:bottom w:w="0" w:type="dxa"/>
              <w:right w:w="15" w:type="dxa"/>
            </w:tcMar>
            <w:hideMark/>
          </w:tcPr>
          <w:p w14:paraId="4978C9F4" w14:textId="77777777" w:rsidR="00000000" w:rsidRDefault="007125B5">
            <w:pPr>
              <w:pStyle w:val="a3"/>
              <w:spacing w:before="0" w:beforeAutospacing="0" w:after="0" w:afterAutospacing="0"/>
              <w:rPr>
                <w:color w:val="000000"/>
                <w:sz w:val="20"/>
                <w:szCs w:val="20"/>
              </w:rPr>
            </w:pPr>
            <w:r>
              <w:rPr>
                <w:color w:val="000000"/>
                <w:sz w:val="20"/>
                <w:szCs w:val="20"/>
              </w:rPr>
              <w:t>INCOME TAXES BENEFIT</w:t>
            </w:r>
          </w:p>
        </w:tc>
        <w:tc>
          <w:tcPr>
            <w:tcW w:w="61" w:type="pct"/>
            <w:shd w:val="clear" w:color="auto" w:fill="FFFFFF"/>
            <w:tcMar>
              <w:top w:w="15" w:type="dxa"/>
              <w:left w:w="0" w:type="dxa"/>
              <w:bottom w:w="0" w:type="dxa"/>
              <w:right w:w="15" w:type="dxa"/>
            </w:tcMar>
            <w:vAlign w:val="bottom"/>
            <w:hideMark/>
          </w:tcPr>
          <w:p w14:paraId="39E861B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2F8AB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8CAC791" w14:textId="77777777" w:rsidR="00000000" w:rsidRDefault="007125B5">
            <w:pPr>
              <w:pStyle w:val="a3"/>
              <w:spacing w:before="0" w:beforeAutospacing="0" w:after="0" w:afterAutospacing="0"/>
              <w:jc w:val="right"/>
              <w:rPr>
                <w:color w:val="000000"/>
                <w:sz w:val="20"/>
                <w:szCs w:val="20"/>
              </w:rPr>
            </w:pPr>
            <w:r>
              <w:rPr>
                <w:color w:val="000000"/>
                <w:sz w:val="20"/>
                <w:szCs w:val="20"/>
              </w:rPr>
              <w:t>(1,759</w:t>
            </w:r>
          </w:p>
        </w:tc>
        <w:tc>
          <w:tcPr>
            <w:tcW w:w="50" w:type="pct"/>
            <w:shd w:val="clear" w:color="auto" w:fill="FFFFFF"/>
            <w:noWrap/>
            <w:tcMar>
              <w:top w:w="15" w:type="dxa"/>
              <w:left w:w="0" w:type="dxa"/>
              <w:bottom w:w="0" w:type="dxa"/>
              <w:right w:w="15" w:type="dxa"/>
            </w:tcMar>
            <w:vAlign w:val="bottom"/>
            <w:hideMark/>
          </w:tcPr>
          <w:p w14:paraId="5656DBB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D3703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28367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616BED7" w14:textId="77777777" w:rsidR="00000000" w:rsidRDefault="007125B5">
            <w:pPr>
              <w:pStyle w:val="a3"/>
              <w:spacing w:before="0" w:beforeAutospacing="0" w:after="0" w:afterAutospacing="0"/>
              <w:jc w:val="right"/>
              <w:rPr>
                <w:color w:val="000000"/>
                <w:sz w:val="20"/>
                <w:szCs w:val="20"/>
              </w:rPr>
            </w:pPr>
            <w:r>
              <w:rPr>
                <w:color w:val="000000"/>
                <w:sz w:val="20"/>
                <w:szCs w:val="20"/>
              </w:rPr>
              <w:t>(1,712</w:t>
            </w:r>
          </w:p>
        </w:tc>
        <w:tc>
          <w:tcPr>
            <w:tcW w:w="50" w:type="pct"/>
            <w:shd w:val="clear" w:color="auto" w:fill="FFFFFF"/>
            <w:noWrap/>
            <w:tcMar>
              <w:top w:w="15" w:type="dxa"/>
              <w:left w:w="0" w:type="dxa"/>
              <w:bottom w:w="0" w:type="dxa"/>
              <w:right w:w="15" w:type="dxa"/>
            </w:tcMar>
            <w:vAlign w:val="bottom"/>
            <w:hideMark/>
          </w:tcPr>
          <w:p w14:paraId="51A3FDA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B467D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5BD4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FEACC28" w14:textId="77777777" w:rsidR="00000000" w:rsidRDefault="007125B5">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FFFFFF"/>
            <w:noWrap/>
            <w:tcMar>
              <w:top w:w="15" w:type="dxa"/>
              <w:left w:w="0" w:type="dxa"/>
              <w:bottom w:w="0" w:type="dxa"/>
              <w:right w:w="15" w:type="dxa"/>
            </w:tcMar>
            <w:vAlign w:val="bottom"/>
            <w:hideMark/>
          </w:tcPr>
          <w:p w14:paraId="5DA6EED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824FB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DDAF2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3980A74" w14:textId="77777777" w:rsidR="00000000" w:rsidRDefault="007125B5">
            <w:pPr>
              <w:pStyle w:val="a3"/>
              <w:spacing w:before="0" w:beforeAutospacing="0" w:after="0" w:afterAutospacing="0"/>
              <w:jc w:val="right"/>
              <w:rPr>
                <w:color w:val="000000"/>
                <w:sz w:val="20"/>
                <w:szCs w:val="20"/>
              </w:rPr>
            </w:pPr>
            <w:r>
              <w:rPr>
                <w:color w:val="000000"/>
                <w:sz w:val="20"/>
                <w:szCs w:val="20"/>
              </w:rPr>
              <w:t>(896</w:t>
            </w:r>
          </w:p>
        </w:tc>
        <w:tc>
          <w:tcPr>
            <w:tcW w:w="50" w:type="pct"/>
            <w:shd w:val="clear" w:color="auto" w:fill="FFFFFF"/>
            <w:noWrap/>
            <w:tcMar>
              <w:top w:w="15" w:type="dxa"/>
              <w:left w:w="0" w:type="dxa"/>
              <w:bottom w:w="0" w:type="dxa"/>
              <w:right w:w="15" w:type="dxa"/>
            </w:tcMar>
            <w:vAlign w:val="bottom"/>
            <w:hideMark/>
          </w:tcPr>
          <w:p w14:paraId="7AD5C819"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3D2D540" w14:textId="77777777">
        <w:trPr>
          <w:divId w:val="993142887"/>
          <w:jc w:val="center"/>
        </w:trPr>
        <w:tc>
          <w:tcPr>
            <w:tcW w:w="2517" w:type="pct"/>
            <w:shd w:val="clear" w:color="auto" w:fill="CFF0FC"/>
            <w:tcMar>
              <w:top w:w="15" w:type="dxa"/>
              <w:left w:w="0" w:type="dxa"/>
              <w:bottom w:w="0" w:type="dxa"/>
              <w:right w:w="15" w:type="dxa"/>
            </w:tcMar>
            <w:hideMark/>
          </w:tcPr>
          <w:p w14:paraId="69965E06" w14:textId="77777777" w:rsidR="00000000" w:rsidRDefault="007125B5">
            <w:pPr>
              <w:pStyle w:val="a3"/>
              <w:spacing w:before="0" w:beforeAutospacing="0" w:after="0" w:afterAutospacing="0"/>
              <w:rPr>
                <w:color w:val="000000"/>
                <w:sz w:val="20"/>
                <w:szCs w:val="20"/>
              </w:rPr>
            </w:pPr>
            <w:r>
              <w:rPr>
                <w:color w:val="000000"/>
                <w:sz w:val="20"/>
                <w:szCs w:val="20"/>
              </w:rPr>
              <w:t>NET INCOME (LOSS)</w:t>
            </w:r>
          </w:p>
        </w:tc>
        <w:tc>
          <w:tcPr>
            <w:tcW w:w="61" w:type="pct"/>
            <w:shd w:val="clear" w:color="auto" w:fill="CFF0FC"/>
            <w:tcMar>
              <w:top w:w="15" w:type="dxa"/>
              <w:left w:w="0" w:type="dxa"/>
              <w:bottom w:w="0" w:type="dxa"/>
              <w:right w:w="15" w:type="dxa"/>
            </w:tcMar>
            <w:vAlign w:val="bottom"/>
            <w:hideMark/>
          </w:tcPr>
          <w:p w14:paraId="48A1EE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38918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3383FE" w14:textId="77777777" w:rsidR="00000000" w:rsidRDefault="007125B5">
            <w:pPr>
              <w:pStyle w:val="a3"/>
              <w:spacing w:before="0" w:beforeAutospacing="0" w:after="0" w:afterAutospacing="0"/>
              <w:jc w:val="right"/>
              <w:rPr>
                <w:color w:val="000000"/>
                <w:sz w:val="20"/>
                <w:szCs w:val="20"/>
              </w:rPr>
            </w:pPr>
            <w:r>
              <w:rPr>
                <w:color w:val="000000"/>
                <w:sz w:val="20"/>
                <w:szCs w:val="20"/>
              </w:rPr>
              <w:t>13,224</w:t>
            </w:r>
          </w:p>
        </w:tc>
        <w:tc>
          <w:tcPr>
            <w:tcW w:w="50" w:type="pct"/>
            <w:shd w:val="clear" w:color="auto" w:fill="CFF0FC"/>
            <w:noWrap/>
            <w:tcMar>
              <w:top w:w="15" w:type="dxa"/>
              <w:left w:w="0" w:type="dxa"/>
              <w:bottom w:w="0" w:type="dxa"/>
              <w:right w:w="15" w:type="dxa"/>
            </w:tcMar>
            <w:vAlign w:val="bottom"/>
            <w:hideMark/>
          </w:tcPr>
          <w:p w14:paraId="735B77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707F7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B3CD9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E37F49" w14:textId="77777777" w:rsidR="00000000" w:rsidRDefault="007125B5">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14:paraId="2D96F46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32AE7F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10B7D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693175" w14:textId="77777777" w:rsidR="00000000" w:rsidRDefault="007125B5">
            <w:pPr>
              <w:pStyle w:val="a3"/>
              <w:spacing w:before="0" w:beforeAutospacing="0" w:after="0" w:afterAutospacing="0"/>
              <w:jc w:val="right"/>
              <w:rPr>
                <w:color w:val="000000"/>
                <w:sz w:val="20"/>
                <w:szCs w:val="20"/>
              </w:rPr>
            </w:pPr>
            <w:r>
              <w:rPr>
                <w:color w:val="000000"/>
                <w:sz w:val="20"/>
                <w:szCs w:val="20"/>
              </w:rPr>
              <w:t>(28,024</w:t>
            </w:r>
          </w:p>
        </w:tc>
        <w:tc>
          <w:tcPr>
            <w:tcW w:w="50" w:type="pct"/>
            <w:shd w:val="clear" w:color="auto" w:fill="CFF0FC"/>
            <w:noWrap/>
            <w:tcMar>
              <w:top w:w="15" w:type="dxa"/>
              <w:left w:w="0" w:type="dxa"/>
              <w:bottom w:w="0" w:type="dxa"/>
              <w:right w:w="15" w:type="dxa"/>
            </w:tcMar>
            <w:vAlign w:val="bottom"/>
            <w:hideMark/>
          </w:tcPr>
          <w:p w14:paraId="7A9B2FA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E7F94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6258A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F0E8DF" w14:textId="77777777" w:rsidR="00000000" w:rsidRDefault="007125B5">
            <w:pPr>
              <w:pStyle w:val="a3"/>
              <w:spacing w:before="0" w:beforeAutospacing="0" w:after="0" w:afterAutospacing="0"/>
              <w:jc w:val="right"/>
              <w:rPr>
                <w:color w:val="000000"/>
                <w:sz w:val="20"/>
                <w:szCs w:val="20"/>
              </w:rPr>
            </w:pPr>
            <w:r>
              <w:rPr>
                <w:color w:val="000000"/>
                <w:sz w:val="20"/>
                <w:szCs w:val="20"/>
              </w:rPr>
              <w:t>(5,564</w:t>
            </w:r>
          </w:p>
        </w:tc>
        <w:tc>
          <w:tcPr>
            <w:tcW w:w="50" w:type="pct"/>
            <w:shd w:val="clear" w:color="auto" w:fill="CFF0FC"/>
            <w:noWrap/>
            <w:tcMar>
              <w:top w:w="15" w:type="dxa"/>
              <w:left w:w="0" w:type="dxa"/>
              <w:bottom w:w="0" w:type="dxa"/>
              <w:right w:w="15" w:type="dxa"/>
            </w:tcMar>
            <w:vAlign w:val="bottom"/>
            <w:hideMark/>
          </w:tcPr>
          <w:p w14:paraId="77228EF2"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73C38EED" w14:textId="77777777">
        <w:trPr>
          <w:divId w:val="993142887"/>
          <w:jc w:val="center"/>
        </w:trPr>
        <w:tc>
          <w:tcPr>
            <w:tcW w:w="2517" w:type="pct"/>
            <w:shd w:val="clear" w:color="auto" w:fill="FFFFFF"/>
            <w:tcMar>
              <w:top w:w="15" w:type="dxa"/>
              <w:left w:w="0" w:type="dxa"/>
              <w:bottom w:w="0" w:type="dxa"/>
              <w:right w:w="15" w:type="dxa"/>
            </w:tcMar>
            <w:hideMark/>
          </w:tcPr>
          <w:p w14:paraId="4A4BAB20" w14:textId="77777777" w:rsidR="00000000" w:rsidRDefault="007125B5">
            <w:pPr>
              <w:pStyle w:val="a3"/>
              <w:spacing w:before="0" w:beforeAutospacing="0" w:after="0" w:afterAutospacing="0"/>
              <w:rPr>
                <w:color w:val="000000"/>
                <w:sz w:val="20"/>
                <w:szCs w:val="20"/>
              </w:rPr>
            </w:pPr>
            <w:r>
              <w:rPr>
                <w:color w:val="000000"/>
                <w:sz w:val="20"/>
                <w:szCs w:val="20"/>
              </w:rPr>
              <w:t>EQUITY ADJUSTMENT FROM FOREIGN CURRENCY</w:t>
            </w:r>
          </w:p>
          <w:p w14:paraId="53F0D147" w14:textId="77777777" w:rsidR="00000000" w:rsidRDefault="007125B5">
            <w:pPr>
              <w:pStyle w:val="a3"/>
              <w:spacing w:before="0" w:beforeAutospacing="0" w:after="0" w:afterAutospacing="0"/>
              <w:rPr>
                <w:color w:val="000000"/>
                <w:sz w:val="20"/>
                <w:szCs w:val="20"/>
              </w:rPr>
            </w:pPr>
            <w:r>
              <w:rPr>
                <w:color w:val="000000"/>
                <w:sz w:val="20"/>
                <w:szCs w:val="20"/>
              </w:rPr>
              <w:t>   TRANSLATION</w:t>
            </w:r>
          </w:p>
        </w:tc>
        <w:tc>
          <w:tcPr>
            <w:tcW w:w="61" w:type="pct"/>
            <w:shd w:val="clear" w:color="auto" w:fill="FFFFFF"/>
            <w:tcMar>
              <w:top w:w="15" w:type="dxa"/>
              <w:left w:w="0" w:type="dxa"/>
              <w:bottom w:w="0" w:type="dxa"/>
              <w:right w:w="15" w:type="dxa"/>
            </w:tcMar>
            <w:vAlign w:val="bottom"/>
            <w:hideMark/>
          </w:tcPr>
          <w:p w14:paraId="589964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0FBC64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496C9C99" w14:textId="77777777" w:rsidR="00000000" w:rsidRDefault="007125B5">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FFFFFF"/>
            <w:noWrap/>
            <w:tcMar>
              <w:top w:w="15" w:type="dxa"/>
              <w:left w:w="0" w:type="dxa"/>
              <w:bottom w:w="0" w:type="dxa"/>
              <w:right w:w="15" w:type="dxa"/>
            </w:tcMar>
            <w:vAlign w:val="bottom"/>
            <w:hideMark/>
          </w:tcPr>
          <w:p w14:paraId="66C070F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FB9EC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1AA6424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77498604" w14:textId="77777777" w:rsidR="00000000" w:rsidRDefault="007125B5">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5AA73A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C83803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3BDB08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5CDF8295" w14:textId="77777777" w:rsidR="00000000" w:rsidRDefault="007125B5">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05A17C6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F2F237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6E7032B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61578ACC" w14:textId="77777777" w:rsidR="00000000" w:rsidRDefault="007125B5">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7674A3F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BB4A323" w14:textId="77777777">
        <w:trPr>
          <w:divId w:val="993142887"/>
          <w:jc w:val="center"/>
        </w:trPr>
        <w:tc>
          <w:tcPr>
            <w:tcW w:w="2517" w:type="pct"/>
            <w:shd w:val="clear" w:color="auto" w:fill="CFF0FC"/>
            <w:tcMar>
              <w:top w:w="15" w:type="dxa"/>
              <w:left w:w="0" w:type="dxa"/>
              <w:bottom w:w="0" w:type="dxa"/>
              <w:right w:w="15" w:type="dxa"/>
            </w:tcMar>
            <w:hideMark/>
          </w:tcPr>
          <w:p w14:paraId="304F0386" w14:textId="77777777" w:rsidR="00000000" w:rsidRDefault="007125B5">
            <w:pPr>
              <w:pStyle w:val="a3"/>
              <w:spacing w:before="0" w:beforeAutospacing="0" w:after="0" w:afterAutospacing="0"/>
              <w:rPr>
                <w:color w:val="000000"/>
                <w:sz w:val="20"/>
                <w:szCs w:val="20"/>
              </w:rPr>
            </w:pPr>
            <w:r>
              <w:rPr>
                <w:color w:val="000000"/>
                <w:sz w:val="20"/>
                <w:szCs w:val="20"/>
              </w:rPr>
              <w:t>COMPREHENSIVE LOSS</w:t>
            </w:r>
          </w:p>
        </w:tc>
        <w:tc>
          <w:tcPr>
            <w:tcW w:w="61" w:type="pct"/>
            <w:shd w:val="clear" w:color="auto" w:fill="CFF0FC"/>
            <w:tcMar>
              <w:top w:w="15" w:type="dxa"/>
              <w:left w:w="0" w:type="dxa"/>
              <w:bottom w:w="0" w:type="dxa"/>
              <w:right w:w="15" w:type="dxa"/>
            </w:tcMar>
            <w:vAlign w:val="bottom"/>
            <w:hideMark/>
          </w:tcPr>
          <w:p w14:paraId="6246F5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332D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163135A" w14:textId="77777777" w:rsidR="00000000" w:rsidRDefault="007125B5">
            <w:pPr>
              <w:pStyle w:val="a3"/>
              <w:spacing w:before="0" w:beforeAutospacing="0" w:after="0" w:afterAutospacing="0"/>
              <w:jc w:val="right"/>
              <w:rPr>
                <w:color w:val="000000"/>
                <w:sz w:val="20"/>
                <w:szCs w:val="20"/>
              </w:rPr>
            </w:pPr>
            <w:r>
              <w:rPr>
                <w:color w:val="000000"/>
                <w:sz w:val="20"/>
                <w:szCs w:val="20"/>
              </w:rPr>
              <w:t>13,134</w:t>
            </w:r>
          </w:p>
        </w:tc>
        <w:tc>
          <w:tcPr>
            <w:tcW w:w="50" w:type="pct"/>
            <w:shd w:val="clear" w:color="auto" w:fill="CFF0FC"/>
            <w:noWrap/>
            <w:tcMar>
              <w:top w:w="15" w:type="dxa"/>
              <w:left w:w="0" w:type="dxa"/>
              <w:bottom w:w="0" w:type="dxa"/>
              <w:right w:w="15" w:type="dxa"/>
            </w:tcMar>
            <w:vAlign w:val="bottom"/>
            <w:hideMark/>
          </w:tcPr>
          <w:p w14:paraId="30EA52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86F3E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AE3D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D828042" w14:textId="77777777" w:rsidR="00000000" w:rsidRDefault="007125B5">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CFF0FC"/>
            <w:noWrap/>
            <w:tcMar>
              <w:top w:w="15" w:type="dxa"/>
              <w:left w:w="0" w:type="dxa"/>
              <w:bottom w:w="0" w:type="dxa"/>
              <w:right w:w="15" w:type="dxa"/>
            </w:tcMar>
            <w:vAlign w:val="bottom"/>
            <w:hideMark/>
          </w:tcPr>
          <w:p w14:paraId="627F113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FC4F9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A646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FD95009" w14:textId="77777777" w:rsidR="00000000" w:rsidRDefault="007125B5">
            <w:pPr>
              <w:pStyle w:val="a3"/>
              <w:spacing w:before="0" w:beforeAutospacing="0" w:after="0" w:afterAutospacing="0"/>
              <w:jc w:val="right"/>
              <w:rPr>
                <w:color w:val="000000"/>
                <w:sz w:val="20"/>
                <w:szCs w:val="20"/>
              </w:rPr>
            </w:pPr>
            <w:r>
              <w:rPr>
                <w:color w:val="000000"/>
                <w:sz w:val="20"/>
                <w:szCs w:val="20"/>
              </w:rPr>
              <w:t>(28,077</w:t>
            </w:r>
          </w:p>
        </w:tc>
        <w:tc>
          <w:tcPr>
            <w:tcW w:w="50" w:type="pct"/>
            <w:shd w:val="clear" w:color="auto" w:fill="CFF0FC"/>
            <w:noWrap/>
            <w:tcMar>
              <w:top w:w="15" w:type="dxa"/>
              <w:left w:w="0" w:type="dxa"/>
              <w:bottom w:w="0" w:type="dxa"/>
              <w:right w:w="15" w:type="dxa"/>
            </w:tcMar>
            <w:vAlign w:val="bottom"/>
            <w:hideMark/>
          </w:tcPr>
          <w:p w14:paraId="0EE04CC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DEE412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46BE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CF5D1BC" w14:textId="77777777" w:rsidR="00000000" w:rsidRDefault="007125B5">
            <w:pPr>
              <w:pStyle w:val="a3"/>
              <w:spacing w:before="0" w:beforeAutospacing="0" w:after="0" w:afterAutospacing="0"/>
              <w:jc w:val="right"/>
              <w:rPr>
                <w:color w:val="000000"/>
                <w:sz w:val="20"/>
                <w:szCs w:val="20"/>
              </w:rPr>
            </w:pPr>
            <w:r>
              <w:rPr>
                <w:color w:val="000000"/>
                <w:sz w:val="20"/>
                <w:szCs w:val="20"/>
              </w:rPr>
              <w:t>(5,541</w:t>
            </w:r>
          </w:p>
        </w:tc>
        <w:tc>
          <w:tcPr>
            <w:tcW w:w="50" w:type="pct"/>
            <w:shd w:val="clear" w:color="auto" w:fill="CFF0FC"/>
            <w:noWrap/>
            <w:tcMar>
              <w:top w:w="15" w:type="dxa"/>
              <w:left w:w="0" w:type="dxa"/>
              <w:bottom w:w="0" w:type="dxa"/>
              <w:right w:w="15" w:type="dxa"/>
            </w:tcMar>
            <w:vAlign w:val="bottom"/>
            <w:hideMark/>
          </w:tcPr>
          <w:p w14:paraId="5D7C1168"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04B640D" w14:textId="77777777">
        <w:trPr>
          <w:divId w:val="993142887"/>
          <w:jc w:val="center"/>
        </w:trPr>
        <w:tc>
          <w:tcPr>
            <w:tcW w:w="2517" w:type="pct"/>
            <w:shd w:val="clear" w:color="auto" w:fill="FFFFFF"/>
            <w:tcMar>
              <w:top w:w="15" w:type="dxa"/>
              <w:left w:w="0" w:type="dxa"/>
              <w:bottom w:w="0" w:type="dxa"/>
              <w:right w:w="15" w:type="dxa"/>
            </w:tcMar>
            <w:hideMark/>
          </w:tcPr>
          <w:p w14:paraId="5BE3662E" w14:textId="77777777" w:rsidR="00000000" w:rsidRDefault="007125B5">
            <w:pPr>
              <w:pStyle w:val="a3"/>
              <w:spacing w:before="0" w:beforeAutospacing="0" w:after="0" w:afterAutospacing="0"/>
              <w:rPr>
                <w:color w:val="000000"/>
                <w:sz w:val="20"/>
                <w:szCs w:val="20"/>
              </w:rPr>
            </w:pPr>
            <w:r>
              <w:rPr>
                <w:color w:val="000000"/>
                <w:sz w:val="20"/>
                <w:szCs w:val="20"/>
              </w:rPr>
              <w:t>ACCRETION OF REDEEMABLE SERIES A-1 PREFERRED</w:t>
            </w:r>
          </w:p>
          <w:p w14:paraId="3DD3E547" w14:textId="77777777" w:rsidR="00000000" w:rsidRDefault="007125B5">
            <w:pPr>
              <w:pStyle w:val="a3"/>
              <w:spacing w:before="0" w:beforeAutospacing="0" w:after="0" w:afterAutospacing="0"/>
              <w:rPr>
                <w:color w:val="000000"/>
                <w:sz w:val="20"/>
                <w:szCs w:val="20"/>
              </w:rPr>
            </w:pPr>
            <w:r>
              <w:rPr>
                <w:color w:val="000000"/>
                <w:sz w:val="20"/>
                <w:szCs w:val="20"/>
              </w:rPr>
              <w:t>   STOCK</w:t>
            </w:r>
          </w:p>
        </w:tc>
        <w:tc>
          <w:tcPr>
            <w:tcW w:w="61" w:type="pct"/>
            <w:shd w:val="clear" w:color="auto" w:fill="FFFFFF"/>
            <w:tcMar>
              <w:top w:w="15" w:type="dxa"/>
              <w:left w:w="0" w:type="dxa"/>
              <w:bottom w:w="0" w:type="dxa"/>
              <w:right w:w="15" w:type="dxa"/>
            </w:tcMar>
            <w:vAlign w:val="bottom"/>
            <w:hideMark/>
          </w:tcPr>
          <w:p w14:paraId="050FA4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1BC0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7B4C544" w14:textId="77777777" w:rsidR="00000000" w:rsidRDefault="007125B5">
            <w:pPr>
              <w:pStyle w:val="a3"/>
              <w:spacing w:before="0" w:beforeAutospacing="0" w:after="0" w:afterAutospacing="0"/>
              <w:jc w:val="right"/>
              <w:rPr>
                <w:color w:val="000000"/>
                <w:sz w:val="20"/>
                <w:szCs w:val="20"/>
              </w:rPr>
            </w:pPr>
            <w:r>
              <w:rPr>
                <w:color w:val="000000"/>
                <w:sz w:val="20"/>
                <w:szCs w:val="20"/>
              </w:rPr>
              <w:t>(5,644</w:t>
            </w:r>
          </w:p>
        </w:tc>
        <w:tc>
          <w:tcPr>
            <w:tcW w:w="50" w:type="pct"/>
            <w:shd w:val="clear" w:color="auto" w:fill="FFFFFF"/>
            <w:noWrap/>
            <w:tcMar>
              <w:top w:w="15" w:type="dxa"/>
              <w:left w:w="0" w:type="dxa"/>
              <w:bottom w:w="0" w:type="dxa"/>
              <w:right w:w="15" w:type="dxa"/>
            </w:tcMar>
            <w:vAlign w:val="bottom"/>
            <w:hideMark/>
          </w:tcPr>
          <w:p w14:paraId="6D00A89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D501E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B824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46DAA5B" w14:textId="77777777" w:rsidR="00000000" w:rsidRDefault="007125B5">
            <w:pPr>
              <w:pStyle w:val="a3"/>
              <w:spacing w:before="0" w:beforeAutospacing="0" w:after="0" w:afterAutospacing="0"/>
              <w:jc w:val="right"/>
              <w:rPr>
                <w:color w:val="000000"/>
                <w:sz w:val="20"/>
                <w:szCs w:val="20"/>
              </w:rPr>
            </w:pPr>
            <w:r>
              <w:rPr>
                <w:color w:val="000000"/>
                <w:sz w:val="20"/>
                <w:szCs w:val="20"/>
              </w:rPr>
              <w:t>(4,777</w:t>
            </w:r>
          </w:p>
        </w:tc>
        <w:tc>
          <w:tcPr>
            <w:tcW w:w="50" w:type="pct"/>
            <w:shd w:val="clear" w:color="auto" w:fill="FFFFFF"/>
            <w:noWrap/>
            <w:tcMar>
              <w:top w:w="15" w:type="dxa"/>
              <w:left w:w="0" w:type="dxa"/>
              <w:bottom w:w="0" w:type="dxa"/>
              <w:right w:w="15" w:type="dxa"/>
            </w:tcMar>
            <w:vAlign w:val="bottom"/>
            <w:hideMark/>
          </w:tcPr>
          <w:p w14:paraId="0E2D547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C0EA9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9BDD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B9F6090" w14:textId="77777777" w:rsidR="00000000" w:rsidRDefault="007125B5">
            <w:pPr>
              <w:pStyle w:val="a3"/>
              <w:spacing w:before="0" w:beforeAutospacing="0" w:after="0" w:afterAutospacing="0"/>
              <w:jc w:val="right"/>
              <w:rPr>
                <w:color w:val="000000"/>
                <w:sz w:val="20"/>
                <w:szCs w:val="20"/>
              </w:rPr>
            </w:pPr>
            <w:r>
              <w:rPr>
                <w:color w:val="000000"/>
                <w:sz w:val="20"/>
                <w:szCs w:val="20"/>
              </w:rPr>
              <w:t>(11,059</w:t>
            </w:r>
          </w:p>
        </w:tc>
        <w:tc>
          <w:tcPr>
            <w:tcW w:w="50" w:type="pct"/>
            <w:shd w:val="clear" w:color="auto" w:fill="FFFFFF"/>
            <w:noWrap/>
            <w:tcMar>
              <w:top w:w="15" w:type="dxa"/>
              <w:left w:w="0" w:type="dxa"/>
              <w:bottom w:w="0" w:type="dxa"/>
              <w:right w:w="15" w:type="dxa"/>
            </w:tcMar>
            <w:vAlign w:val="bottom"/>
            <w:hideMark/>
          </w:tcPr>
          <w:p w14:paraId="3C485C9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F15C6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17B89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B52B17F" w14:textId="77777777" w:rsidR="00000000" w:rsidRDefault="007125B5">
            <w:pPr>
              <w:pStyle w:val="a3"/>
              <w:spacing w:before="0" w:beforeAutospacing="0" w:after="0" w:afterAutospacing="0"/>
              <w:jc w:val="right"/>
              <w:rPr>
                <w:color w:val="000000"/>
                <w:sz w:val="20"/>
                <w:szCs w:val="20"/>
              </w:rPr>
            </w:pPr>
            <w:r>
              <w:rPr>
                <w:color w:val="000000"/>
                <w:sz w:val="20"/>
                <w:szCs w:val="20"/>
              </w:rPr>
              <w:t>(9,311</w:t>
            </w:r>
          </w:p>
        </w:tc>
        <w:tc>
          <w:tcPr>
            <w:tcW w:w="50" w:type="pct"/>
            <w:shd w:val="clear" w:color="auto" w:fill="FFFFFF"/>
            <w:noWrap/>
            <w:tcMar>
              <w:top w:w="15" w:type="dxa"/>
              <w:left w:w="0" w:type="dxa"/>
              <w:bottom w:w="0" w:type="dxa"/>
              <w:right w:w="15" w:type="dxa"/>
            </w:tcMar>
            <w:vAlign w:val="bottom"/>
            <w:hideMark/>
          </w:tcPr>
          <w:p w14:paraId="6E702BC0"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95D77BA" w14:textId="77777777">
        <w:trPr>
          <w:divId w:val="993142887"/>
          <w:jc w:val="center"/>
        </w:trPr>
        <w:tc>
          <w:tcPr>
            <w:tcW w:w="2517" w:type="pct"/>
            <w:shd w:val="clear" w:color="auto" w:fill="CFF0FC"/>
            <w:tcMar>
              <w:top w:w="15" w:type="dxa"/>
              <w:left w:w="0" w:type="dxa"/>
              <w:bottom w:w="0" w:type="dxa"/>
              <w:right w:w="15" w:type="dxa"/>
            </w:tcMar>
            <w:hideMark/>
          </w:tcPr>
          <w:p w14:paraId="474A37F0" w14:textId="77777777" w:rsidR="00000000" w:rsidRDefault="007125B5">
            <w:pPr>
              <w:pStyle w:val="a3"/>
              <w:spacing w:before="0" w:beforeAutospacing="0" w:after="0" w:afterAutospacing="0"/>
              <w:rPr>
                <w:color w:val="000000"/>
                <w:sz w:val="20"/>
                <w:szCs w:val="20"/>
              </w:rPr>
            </w:pPr>
            <w:r>
              <w:rPr>
                <w:color w:val="000000"/>
                <w:sz w:val="20"/>
                <w:szCs w:val="20"/>
              </w:rPr>
              <w:t>NET INCOME (LOSS) ATTRIBUTABLE TO COMMON STOCKHOLDERS</w:t>
            </w:r>
          </w:p>
        </w:tc>
        <w:tc>
          <w:tcPr>
            <w:tcW w:w="61" w:type="pct"/>
            <w:shd w:val="clear" w:color="auto" w:fill="CFF0FC"/>
            <w:tcMar>
              <w:top w:w="15" w:type="dxa"/>
              <w:left w:w="0" w:type="dxa"/>
              <w:bottom w:w="0" w:type="dxa"/>
              <w:right w:w="15" w:type="dxa"/>
            </w:tcMar>
            <w:vAlign w:val="bottom"/>
            <w:hideMark/>
          </w:tcPr>
          <w:p w14:paraId="0550DD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537B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FC21DAD" w14:textId="77777777" w:rsidR="00000000" w:rsidRDefault="007125B5">
            <w:pPr>
              <w:pStyle w:val="a3"/>
              <w:spacing w:before="0" w:beforeAutospacing="0" w:after="0" w:afterAutospacing="0"/>
              <w:jc w:val="right"/>
              <w:rPr>
                <w:color w:val="000000"/>
                <w:sz w:val="20"/>
                <w:szCs w:val="20"/>
              </w:rPr>
            </w:pPr>
            <w:r>
              <w:rPr>
                <w:color w:val="000000"/>
                <w:sz w:val="20"/>
                <w:szCs w:val="20"/>
              </w:rPr>
              <w:t>7,580</w:t>
            </w:r>
          </w:p>
        </w:tc>
        <w:tc>
          <w:tcPr>
            <w:tcW w:w="50" w:type="pct"/>
            <w:shd w:val="clear" w:color="auto" w:fill="CFF0FC"/>
            <w:noWrap/>
            <w:tcMar>
              <w:top w:w="15" w:type="dxa"/>
              <w:left w:w="0" w:type="dxa"/>
              <w:bottom w:w="0" w:type="dxa"/>
              <w:right w:w="15" w:type="dxa"/>
            </w:tcMar>
            <w:vAlign w:val="bottom"/>
            <w:hideMark/>
          </w:tcPr>
          <w:p w14:paraId="14F94F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B67652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89F66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62C0939" w14:textId="77777777" w:rsidR="00000000" w:rsidRDefault="007125B5">
            <w:pPr>
              <w:pStyle w:val="a3"/>
              <w:spacing w:before="0" w:beforeAutospacing="0" w:after="0" w:afterAutospacing="0"/>
              <w:jc w:val="right"/>
              <w:rPr>
                <w:color w:val="000000"/>
                <w:sz w:val="20"/>
                <w:szCs w:val="20"/>
              </w:rPr>
            </w:pPr>
            <w:r>
              <w:rPr>
                <w:color w:val="000000"/>
                <w:sz w:val="20"/>
                <w:szCs w:val="20"/>
              </w:rPr>
              <w:t>(5,099</w:t>
            </w:r>
          </w:p>
        </w:tc>
        <w:tc>
          <w:tcPr>
            <w:tcW w:w="50" w:type="pct"/>
            <w:shd w:val="clear" w:color="auto" w:fill="CFF0FC"/>
            <w:noWrap/>
            <w:tcMar>
              <w:top w:w="15" w:type="dxa"/>
              <w:left w:w="0" w:type="dxa"/>
              <w:bottom w:w="0" w:type="dxa"/>
              <w:right w:w="15" w:type="dxa"/>
            </w:tcMar>
            <w:vAlign w:val="bottom"/>
            <w:hideMark/>
          </w:tcPr>
          <w:p w14:paraId="426ACFE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6B6EF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07CFD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DBC5326" w14:textId="77777777" w:rsidR="00000000" w:rsidRDefault="007125B5">
            <w:pPr>
              <w:pStyle w:val="a3"/>
              <w:spacing w:before="0" w:beforeAutospacing="0" w:after="0" w:afterAutospacing="0"/>
              <w:jc w:val="right"/>
              <w:rPr>
                <w:color w:val="000000"/>
                <w:sz w:val="20"/>
                <w:szCs w:val="20"/>
              </w:rPr>
            </w:pPr>
            <w:r>
              <w:rPr>
                <w:color w:val="000000"/>
                <w:sz w:val="20"/>
                <w:szCs w:val="20"/>
              </w:rPr>
              <w:t>(39,083</w:t>
            </w:r>
          </w:p>
        </w:tc>
        <w:tc>
          <w:tcPr>
            <w:tcW w:w="50" w:type="pct"/>
            <w:shd w:val="clear" w:color="auto" w:fill="CFF0FC"/>
            <w:noWrap/>
            <w:tcMar>
              <w:top w:w="15" w:type="dxa"/>
              <w:left w:w="0" w:type="dxa"/>
              <w:bottom w:w="0" w:type="dxa"/>
              <w:right w:w="15" w:type="dxa"/>
            </w:tcMar>
            <w:vAlign w:val="bottom"/>
            <w:hideMark/>
          </w:tcPr>
          <w:p w14:paraId="1CCECAE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44BA2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AE1E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6CD1EF4" w14:textId="77777777" w:rsidR="00000000" w:rsidRDefault="007125B5">
            <w:pPr>
              <w:pStyle w:val="a3"/>
              <w:spacing w:before="0" w:beforeAutospacing="0" w:after="0" w:afterAutospacing="0"/>
              <w:jc w:val="right"/>
              <w:rPr>
                <w:color w:val="000000"/>
                <w:sz w:val="20"/>
                <w:szCs w:val="20"/>
              </w:rPr>
            </w:pPr>
            <w:r>
              <w:rPr>
                <w:color w:val="000000"/>
                <w:sz w:val="20"/>
                <w:szCs w:val="20"/>
              </w:rPr>
              <w:t>(14,875</w:t>
            </w:r>
          </w:p>
        </w:tc>
        <w:tc>
          <w:tcPr>
            <w:tcW w:w="50" w:type="pct"/>
            <w:shd w:val="clear" w:color="auto" w:fill="CFF0FC"/>
            <w:noWrap/>
            <w:tcMar>
              <w:top w:w="15" w:type="dxa"/>
              <w:left w:w="0" w:type="dxa"/>
              <w:bottom w:w="0" w:type="dxa"/>
              <w:right w:w="15" w:type="dxa"/>
            </w:tcMar>
            <w:vAlign w:val="bottom"/>
            <w:hideMark/>
          </w:tcPr>
          <w:p w14:paraId="46294C35"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D864E5E" w14:textId="77777777">
        <w:trPr>
          <w:divId w:val="993142887"/>
          <w:jc w:val="center"/>
        </w:trPr>
        <w:tc>
          <w:tcPr>
            <w:tcW w:w="2517" w:type="pct"/>
            <w:shd w:val="clear" w:color="auto" w:fill="FFFFFF"/>
            <w:tcMar>
              <w:top w:w="15" w:type="dxa"/>
              <w:left w:w="0" w:type="dxa"/>
              <w:bottom w:w="0" w:type="dxa"/>
              <w:right w:w="15" w:type="dxa"/>
            </w:tcMar>
            <w:hideMark/>
          </w:tcPr>
          <w:p w14:paraId="51C6F8AE" w14:textId="77777777" w:rsidR="00000000" w:rsidRDefault="007125B5">
            <w:pPr>
              <w:pStyle w:val="a3"/>
              <w:spacing w:before="0" w:beforeAutospacing="0" w:after="0" w:afterAutospacing="0"/>
              <w:rPr>
                <w:color w:val="000000"/>
                <w:sz w:val="20"/>
                <w:szCs w:val="20"/>
              </w:rPr>
            </w:pPr>
            <w:r>
              <w:rPr>
                <w:color w:val="000000"/>
                <w:sz w:val="20"/>
                <w:szCs w:val="20"/>
              </w:rPr>
              <w:t>WEIGHTED AVERAGE COMMON SHARES</w:t>
            </w:r>
          </w:p>
          <w:p w14:paraId="593F0A72" w14:textId="77777777" w:rsidR="00000000" w:rsidRDefault="007125B5">
            <w:pPr>
              <w:pStyle w:val="a3"/>
              <w:spacing w:before="0" w:beforeAutospacing="0" w:after="0" w:afterAutospacing="0"/>
              <w:rPr>
                <w:color w:val="000000"/>
                <w:sz w:val="20"/>
                <w:szCs w:val="20"/>
              </w:rPr>
            </w:pPr>
            <w:r>
              <w:rPr>
                <w:color w:val="000000"/>
                <w:sz w:val="20"/>
                <w:szCs w:val="20"/>
              </w:rPr>
              <w:t>   OUTSTANDING— BASIC</w:t>
            </w:r>
          </w:p>
        </w:tc>
        <w:tc>
          <w:tcPr>
            <w:tcW w:w="61" w:type="pct"/>
            <w:shd w:val="clear" w:color="auto" w:fill="FFFFFF"/>
            <w:tcMar>
              <w:top w:w="15" w:type="dxa"/>
              <w:left w:w="0" w:type="dxa"/>
              <w:bottom w:w="0" w:type="dxa"/>
              <w:right w:w="15" w:type="dxa"/>
            </w:tcMar>
            <w:vAlign w:val="bottom"/>
            <w:hideMark/>
          </w:tcPr>
          <w:p w14:paraId="62808C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88AE5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3880B75" w14:textId="77777777" w:rsidR="00000000" w:rsidRDefault="007125B5">
            <w:pPr>
              <w:pStyle w:val="a3"/>
              <w:spacing w:before="0" w:beforeAutospacing="0" w:after="0" w:afterAutospacing="0"/>
              <w:jc w:val="right"/>
              <w:rPr>
                <w:color w:val="000000"/>
                <w:sz w:val="20"/>
                <w:szCs w:val="20"/>
              </w:rPr>
            </w:pPr>
            <w:r>
              <w:rPr>
                <w:color w:val="000000"/>
                <w:sz w:val="20"/>
                <w:szCs w:val="20"/>
              </w:rPr>
              <w:t>10,649</w:t>
            </w:r>
          </w:p>
        </w:tc>
        <w:tc>
          <w:tcPr>
            <w:tcW w:w="50" w:type="pct"/>
            <w:shd w:val="clear" w:color="auto" w:fill="FFFFFF"/>
            <w:noWrap/>
            <w:tcMar>
              <w:top w:w="15" w:type="dxa"/>
              <w:left w:w="0" w:type="dxa"/>
              <w:bottom w:w="0" w:type="dxa"/>
              <w:right w:w="15" w:type="dxa"/>
            </w:tcMar>
            <w:vAlign w:val="bottom"/>
            <w:hideMark/>
          </w:tcPr>
          <w:p w14:paraId="152C3BE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D01FF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0AC21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6933CEF" w14:textId="77777777" w:rsidR="00000000" w:rsidRDefault="007125B5">
            <w:pPr>
              <w:pStyle w:val="a3"/>
              <w:spacing w:before="0" w:beforeAutospacing="0" w:after="0" w:afterAutospacing="0"/>
              <w:jc w:val="right"/>
              <w:rPr>
                <w:color w:val="000000"/>
                <w:sz w:val="20"/>
                <w:szCs w:val="20"/>
              </w:rPr>
            </w:pPr>
            <w:r>
              <w:rPr>
                <w:color w:val="000000"/>
                <w:sz w:val="20"/>
                <w:szCs w:val="20"/>
              </w:rPr>
              <w:t>8,647</w:t>
            </w:r>
          </w:p>
        </w:tc>
        <w:tc>
          <w:tcPr>
            <w:tcW w:w="50" w:type="pct"/>
            <w:shd w:val="clear" w:color="auto" w:fill="FFFFFF"/>
            <w:noWrap/>
            <w:tcMar>
              <w:top w:w="15" w:type="dxa"/>
              <w:left w:w="0" w:type="dxa"/>
              <w:bottom w:w="0" w:type="dxa"/>
              <w:right w:w="15" w:type="dxa"/>
            </w:tcMar>
            <w:vAlign w:val="bottom"/>
            <w:hideMark/>
          </w:tcPr>
          <w:p w14:paraId="69958B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90406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70BC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2009412" w14:textId="77777777" w:rsidR="00000000" w:rsidRDefault="007125B5">
            <w:pPr>
              <w:pStyle w:val="a3"/>
              <w:spacing w:before="0" w:beforeAutospacing="0" w:after="0" w:afterAutospacing="0"/>
              <w:jc w:val="right"/>
              <w:rPr>
                <w:color w:val="000000"/>
                <w:sz w:val="20"/>
                <w:szCs w:val="20"/>
              </w:rPr>
            </w:pPr>
            <w:r>
              <w:rPr>
                <w:color w:val="000000"/>
                <w:sz w:val="20"/>
                <w:szCs w:val="20"/>
              </w:rPr>
              <w:t>9,718</w:t>
            </w:r>
          </w:p>
        </w:tc>
        <w:tc>
          <w:tcPr>
            <w:tcW w:w="50" w:type="pct"/>
            <w:shd w:val="clear" w:color="auto" w:fill="FFFFFF"/>
            <w:noWrap/>
            <w:tcMar>
              <w:top w:w="15" w:type="dxa"/>
              <w:left w:w="0" w:type="dxa"/>
              <w:bottom w:w="0" w:type="dxa"/>
              <w:right w:w="15" w:type="dxa"/>
            </w:tcMar>
            <w:vAlign w:val="bottom"/>
            <w:hideMark/>
          </w:tcPr>
          <w:p w14:paraId="1B3D69D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E12BF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36C8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0BF8453" w14:textId="77777777" w:rsidR="00000000" w:rsidRDefault="007125B5">
            <w:pPr>
              <w:pStyle w:val="a3"/>
              <w:spacing w:before="0" w:beforeAutospacing="0" w:after="0" w:afterAutospacing="0"/>
              <w:jc w:val="right"/>
              <w:rPr>
                <w:color w:val="000000"/>
                <w:sz w:val="20"/>
                <w:szCs w:val="20"/>
              </w:rPr>
            </w:pPr>
            <w:r>
              <w:rPr>
                <w:color w:val="000000"/>
                <w:sz w:val="20"/>
                <w:szCs w:val="20"/>
              </w:rPr>
              <w:t>8,602</w:t>
            </w:r>
          </w:p>
        </w:tc>
        <w:tc>
          <w:tcPr>
            <w:tcW w:w="50" w:type="pct"/>
            <w:shd w:val="clear" w:color="auto" w:fill="FFFFFF"/>
            <w:noWrap/>
            <w:tcMar>
              <w:top w:w="15" w:type="dxa"/>
              <w:left w:w="0" w:type="dxa"/>
              <w:bottom w:w="0" w:type="dxa"/>
              <w:right w:w="15" w:type="dxa"/>
            </w:tcMar>
            <w:vAlign w:val="bottom"/>
            <w:hideMark/>
          </w:tcPr>
          <w:p w14:paraId="2E444E8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8712F49" w14:textId="77777777">
        <w:trPr>
          <w:divId w:val="993142887"/>
          <w:jc w:val="center"/>
        </w:trPr>
        <w:tc>
          <w:tcPr>
            <w:tcW w:w="2517" w:type="pct"/>
            <w:shd w:val="clear" w:color="auto" w:fill="CFF0FC"/>
            <w:tcMar>
              <w:top w:w="15" w:type="dxa"/>
              <w:left w:w="0" w:type="dxa"/>
              <w:bottom w:w="0" w:type="dxa"/>
              <w:right w:w="15" w:type="dxa"/>
            </w:tcMar>
            <w:hideMark/>
          </w:tcPr>
          <w:p w14:paraId="74792923" w14:textId="77777777" w:rsidR="00000000" w:rsidRDefault="007125B5">
            <w:pPr>
              <w:pStyle w:val="a3"/>
              <w:spacing w:before="0" w:beforeAutospacing="0" w:after="0" w:afterAutospacing="0"/>
              <w:rPr>
                <w:color w:val="000000"/>
                <w:sz w:val="20"/>
                <w:szCs w:val="20"/>
              </w:rPr>
            </w:pPr>
            <w:r>
              <w:rPr>
                <w:color w:val="000000"/>
                <w:sz w:val="20"/>
                <w:szCs w:val="20"/>
              </w:rPr>
              <w:t>NET INCOME (LOSS) PER SHARE ATTRIBUTABLE TO COMMON</w:t>
            </w:r>
          </w:p>
          <w:p w14:paraId="672C1E5F" w14:textId="77777777" w:rsidR="00000000" w:rsidRDefault="007125B5">
            <w:pPr>
              <w:pStyle w:val="a3"/>
              <w:spacing w:before="0" w:beforeAutospacing="0" w:after="0" w:afterAutospacing="0"/>
              <w:rPr>
                <w:color w:val="000000"/>
                <w:sz w:val="20"/>
                <w:szCs w:val="20"/>
              </w:rPr>
            </w:pPr>
            <w:r>
              <w:rPr>
                <w:color w:val="000000"/>
                <w:sz w:val="20"/>
                <w:szCs w:val="20"/>
              </w:rPr>
              <w:t>   STOCKHOLDERS— BASIC</w:t>
            </w:r>
          </w:p>
        </w:tc>
        <w:tc>
          <w:tcPr>
            <w:tcW w:w="61" w:type="pct"/>
            <w:shd w:val="clear" w:color="auto" w:fill="CFF0FC"/>
            <w:tcMar>
              <w:top w:w="15" w:type="dxa"/>
              <w:left w:w="0" w:type="dxa"/>
              <w:bottom w:w="0" w:type="dxa"/>
              <w:right w:w="15" w:type="dxa"/>
            </w:tcMar>
            <w:vAlign w:val="bottom"/>
            <w:hideMark/>
          </w:tcPr>
          <w:p w14:paraId="229609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0FE835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F01C213" w14:textId="77777777" w:rsidR="00000000" w:rsidRDefault="007125B5">
            <w:pPr>
              <w:pStyle w:val="a3"/>
              <w:spacing w:before="0" w:beforeAutospacing="0" w:after="0" w:afterAutospacing="0"/>
              <w:jc w:val="right"/>
              <w:rPr>
                <w:color w:val="000000"/>
                <w:sz w:val="20"/>
                <w:szCs w:val="20"/>
              </w:rPr>
            </w:pPr>
            <w:r>
              <w:rPr>
                <w:color w:val="000000"/>
                <w:sz w:val="20"/>
                <w:szCs w:val="20"/>
              </w:rPr>
              <w:t>0.71</w:t>
            </w:r>
          </w:p>
        </w:tc>
        <w:tc>
          <w:tcPr>
            <w:tcW w:w="50" w:type="pct"/>
            <w:shd w:val="clear" w:color="auto" w:fill="CFF0FC"/>
            <w:noWrap/>
            <w:tcMar>
              <w:top w:w="15" w:type="dxa"/>
              <w:left w:w="0" w:type="dxa"/>
              <w:bottom w:w="0" w:type="dxa"/>
              <w:right w:w="15" w:type="dxa"/>
            </w:tcMar>
            <w:vAlign w:val="bottom"/>
            <w:hideMark/>
          </w:tcPr>
          <w:p w14:paraId="317F3D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96829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C187B6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4422C5" w14:textId="77777777" w:rsidR="00000000" w:rsidRDefault="007125B5">
            <w:pPr>
              <w:pStyle w:val="a3"/>
              <w:spacing w:before="0" w:beforeAutospacing="0" w:after="0" w:afterAutospacing="0"/>
              <w:jc w:val="right"/>
              <w:rPr>
                <w:color w:val="000000"/>
                <w:sz w:val="20"/>
                <w:szCs w:val="20"/>
              </w:rPr>
            </w:pPr>
            <w:r>
              <w:rPr>
                <w:color w:val="000000"/>
                <w:sz w:val="20"/>
                <w:szCs w:val="20"/>
              </w:rPr>
              <w:t>(0.59</w:t>
            </w:r>
          </w:p>
        </w:tc>
        <w:tc>
          <w:tcPr>
            <w:tcW w:w="50" w:type="pct"/>
            <w:shd w:val="clear" w:color="auto" w:fill="CFF0FC"/>
            <w:noWrap/>
            <w:tcMar>
              <w:top w:w="15" w:type="dxa"/>
              <w:left w:w="0" w:type="dxa"/>
              <w:bottom w:w="0" w:type="dxa"/>
              <w:right w:w="15" w:type="dxa"/>
            </w:tcMar>
            <w:vAlign w:val="bottom"/>
            <w:hideMark/>
          </w:tcPr>
          <w:p w14:paraId="4AF6CA6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8C01F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75CCB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B3B38A9" w14:textId="77777777" w:rsidR="00000000" w:rsidRDefault="007125B5">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CFF0FC"/>
            <w:noWrap/>
            <w:tcMar>
              <w:top w:w="15" w:type="dxa"/>
              <w:left w:w="0" w:type="dxa"/>
              <w:bottom w:w="0" w:type="dxa"/>
              <w:right w:w="15" w:type="dxa"/>
            </w:tcMar>
            <w:vAlign w:val="bottom"/>
            <w:hideMark/>
          </w:tcPr>
          <w:p w14:paraId="19F97D7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34E2DE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44705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19720B0" w14:textId="77777777" w:rsidR="00000000" w:rsidRDefault="007125B5">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CFF0FC"/>
            <w:noWrap/>
            <w:tcMar>
              <w:top w:w="15" w:type="dxa"/>
              <w:left w:w="0" w:type="dxa"/>
              <w:bottom w:w="0" w:type="dxa"/>
              <w:right w:w="15" w:type="dxa"/>
            </w:tcMar>
            <w:vAlign w:val="bottom"/>
            <w:hideMark/>
          </w:tcPr>
          <w:p w14:paraId="6DCDBA4E"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87A5656" w14:textId="77777777">
        <w:trPr>
          <w:divId w:val="993142887"/>
          <w:jc w:val="center"/>
        </w:trPr>
        <w:tc>
          <w:tcPr>
            <w:tcW w:w="2517" w:type="pct"/>
            <w:shd w:val="clear" w:color="auto" w:fill="FFFFFF"/>
            <w:tcMar>
              <w:top w:w="15" w:type="dxa"/>
              <w:left w:w="0" w:type="dxa"/>
              <w:bottom w:w="0" w:type="dxa"/>
              <w:right w:w="15" w:type="dxa"/>
            </w:tcMar>
            <w:hideMark/>
          </w:tcPr>
          <w:p w14:paraId="792FBB30" w14:textId="77777777" w:rsidR="00000000" w:rsidRDefault="007125B5">
            <w:pPr>
              <w:pStyle w:val="a3"/>
              <w:spacing w:before="0" w:beforeAutospacing="0" w:after="0" w:afterAutospacing="0"/>
              <w:rPr>
                <w:color w:val="000000"/>
                <w:sz w:val="20"/>
                <w:szCs w:val="20"/>
              </w:rPr>
            </w:pPr>
            <w:r>
              <w:rPr>
                <w:color w:val="000000"/>
                <w:sz w:val="20"/>
                <w:szCs w:val="20"/>
              </w:rPr>
              <w:t>WEIGHTED AVERAGE COMMON SHARES</w:t>
            </w:r>
          </w:p>
          <w:p w14:paraId="372D1F11" w14:textId="77777777" w:rsidR="00000000" w:rsidRDefault="007125B5">
            <w:pPr>
              <w:pStyle w:val="a3"/>
              <w:spacing w:before="0" w:beforeAutospacing="0" w:after="0" w:afterAutospacing="0"/>
              <w:rPr>
                <w:color w:val="000000"/>
                <w:sz w:val="20"/>
                <w:szCs w:val="20"/>
              </w:rPr>
            </w:pPr>
            <w:r>
              <w:rPr>
                <w:color w:val="000000"/>
                <w:sz w:val="20"/>
                <w:szCs w:val="20"/>
              </w:rPr>
              <w:t>   OUTSTANDING— DILUTED</w:t>
            </w:r>
          </w:p>
        </w:tc>
        <w:tc>
          <w:tcPr>
            <w:tcW w:w="61" w:type="pct"/>
            <w:shd w:val="clear" w:color="auto" w:fill="FFFFFF"/>
            <w:tcMar>
              <w:top w:w="15" w:type="dxa"/>
              <w:left w:w="0" w:type="dxa"/>
              <w:bottom w:w="0" w:type="dxa"/>
              <w:right w:w="15" w:type="dxa"/>
            </w:tcMar>
            <w:vAlign w:val="bottom"/>
            <w:hideMark/>
          </w:tcPr>
          <w:p w14:paraId="590DA8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F751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A053E53" w14:textId="77777777" w:rsidR="00000000" w:rsidRDefault="007125B5">
            <w:pPr>
              <w:pStyle w:val="a3"/>
              <w:spacing w:before="0" w:beforeAutospacing="0" w:after="0" w:afterAutospacing="0"/>
              <w:jc w:val="right"/>
              <w:rPr>
                <w:color w:val="000000"/>
                <w:sz w:val="20"/>
                <w:szCs w:val="20"/>
              </w:rPr>
            </w:pPr>
            <w:r>
              <w:rPr>
                <w:color w:val="000000"/>
                <w:sz w:val="20"/>
                <w:szCs w:val="20"/>
              </w:rPr>
              <w:t>19,139</w:t>
            </w:r>
          </w:p>
        </w:tc>
        <w:tc>
          <w:tcPr>
            <w:tcW w:w="50" w:type="pct"/>
            <w:shd w:val="clear" w:color="auto" w:fill="FFFFFF"/>
            <w:noWrap/>
            <w:tcMar>
              <w:top w:w="15" w:type="dxa"/>
              <w:left w:w="0" w:type="dxa"/>
              <w:bottom w:w="0" w:type="dxa"/>
              <w:right w:w="15" w:type="dxa"/>
            </w:tcMar>
            <w:vAlign w:val="bottom"/>
            <w:hideMark/>
          </w:tcPr>
          <w:p w14:paraId="1634E6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674AE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53A4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4E317FD" w14:textId="77777777" w:rsidR="00000000" w:rsidRDefault="007125B5">
            <w:pPr>
              <w:pStyle w:val="a3"/>
              <w:spacing w:before="0" w:beforeAutospacing="0" w:after="0" w:afterAutospacing="0"/>
              <w:jc w:val="right"/>
              <w:rPr>
                <w:color w:val="000000"/>
                <w:sz w:val="20"/>
                <w:szCs w:val="20"/>
              </w:rPr>
            </w:pPr>
            <w:r>
              <w:rPr>
                <w:color w:val="000000"/>
                <w:sz w:val="20"/>
                <w:szCs w:val="20"/>
              </w:rPr>
              <w:t>8,647</w:t>
            </w:r>
          </w:p>
        </w:tc>
        <w:tc>
          <w:tcPr>
            <w:tcW w:w="50" w:type="pct"/>
            <w:shd w:val="clear" w:color="auto" w:fill="FFFFFF"/>
            <w:noWrap/>
            <w:tcMar>
              <w:top w:w="15" w:type="dxa"/>
              <w:left w:w="0" w:type="dxa"/>
              <w:bottom w:w="0" w:type="dxa"/>
              <w:right w:w="15" w:type="dxa"/>
            </w:tcMar>
            <w:vAlign w:val="bottom"/>
            <w:hideMark/>
          </w:tcPr>
          <w:p w14:paraId="071C03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8ACED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D1766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B3EA55" w14:textId="77777777" w:rsidR="00000000" w:rsidRDefault="007125B5">
            <w:pPr>
              <w:pStyle w:val="a3"/>
              <w:spacing w:before="0" w:beforeAutospacing="0" w:after="0" w:afterAutospacing="0"/>
              <w:jc w:val="right"/>
              <w:rPr>
                <w:color w:val="000000"/>
                <w:sz w:val="20"/>
                <w:szCs w:val="20"/>
              </w:rPr>
            </w:pPr>
            <w:r>
              <w:rPr>
                <w:color w:val="000000"/>
                <w:sz w:val="20"/>
                <w:szCs w:val="20"/>
              </w:rPr>
              <w:t>9,718</w:t>
            </w:r>
          </w:p>
        </w:tc>
        <w:tc>
          <w:tcPr>
            <w:tcW w:w="50" w:type="pct"/>
            <w:shd w:val="clear" w:color="auto" w:fill="FFFFFF"/>
            <w:noWrap/>
            <w:tcMar>
              <w:top w:w="15" w:type="dxa"/>
              <w:left w:w="0" w:type="dxa"/>
              <w:bottom w:w="0" w:type="dxa"/>
              <w:right w:w="15" w:type="dxa"/>
            </w:tcMar>
            <w:vAlign w:val="bottom"/>
            <w:hideMark/>
          </w:tcPr>
          <w:p w14:paraId="623163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BB279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DD23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6ACA603" w14:textId="77777777" w:rsidR="00000000" w:rsidRDefault="007125B5">
            <w:pPr>
              <w:pStyle w:val="a3"/>
              <w:spacing w:before="0" w:beforeAutospacing="0" w:after="0" w:afterAutospacing="0"/>
              <w:jc w:val="right"/>
              <w:rPr>
                <w:color w:val="000000"/>
                <w:sz w:val="20"/>
                <w:szCs w:val="20"/>
              </w:rPr>
            </w:pPr>
            <w:r>
              <w:rPr>
                <w:color w:val="000000"/>
                <w:sz w:val="20"/>
                <w:szCs w:val="20"/>
              </w:rPr>
              <w:t>8,602</w:t>
            </w:r>
          </w:p>
        </w:tc>
        <w:tc>
          <w:tcPr>
            <w:tcW w:w="50" w:type="pct"/>
            <w:shd w:val="clear" w:color="auto" w:fill="FFFFFF"/>
            <w:noWrap/>
            <w:tcMar>
              <w:top w:w="15" w:type="dxa"/>
              <w:left w:w="0" w:type="dxa"/>
              <w:bottom w:w="0" w:type="dxa"/>
              <w:right w:w="15" w:type="dxa"/>
            </w:tcMar>
            <w:vAlign w:val="bottom"/>
            <w:hideMark/>
          </w:tcPr>
          <w:p w14:paraId="6869A8B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FD29D1E" w14:textId="77777777">
        <w:trPr>
          <w:divId w:val="993142887"/>
          <w:jc w:val="center"/>
        </w:trPr>
        <w:tc>
          <w:tcPr>
            <w:tcW w:w="2517" w:type="pct"/>
            <w:shd w:val="clear" w:color="auto" w:fill="CFF0FC"/>
            <w:tcMar>
              <w:top w:w="15" w:type="dxa"/>
              <w:left w:w="0" w:type="dxa"/>
              <w:bottom w:w="0" w:type="dxa"/>
              <w:right w:w="15" w:type="dxa"/>
            </w:tcMar>
            <w:hideMark/>
          </w:tcPr>
          <w:p w14:paraId="484F039F" w14:textId="77777777" w:rsidR="00000000" w:rsidRDefault="007125B5">
            <w:pPr>
              <w:pStyle w:val="a3"/>
              <w:spacing w:before="0" w:beforeAutospacing="0" w:after="0" w:afterAutospacing="0"/>
              <w:rPr>
                <w:color w:val="000000"/>
                <w:sz w:val="20"/>
                <w:szCs w:val="20"/>
              </w:rPr>
            </w:pPr>
            <w:r>
              <w:rPr>
                <w:color w:val="000000"/>
                <w:sz w:val="20"/>
                <w:szCs w:val="20"/>
              </w:rPr>
              <w:t>NET INCOME (LOSS) PER SHARE ATTRIBUTABLE TO COMMON</w:t>
            </w:r>
          </w:p>
          <w:p w14:paraId="1A4AD78F" w14:textId="77777777" w:rsidR="00000000" w:rsidRDefault="007125B5">
            <w:pPr>
              <w:pStyle w:val="a3"/>
              <w:spacing w:before="0" w:beforeAutospacing="0" w:after="0" w:afterAutospacing="0"/>
              <w:rPr>
                <w:color w:val="000000"/>
                <w:sz w:val="20"/>
                <w:szCs w:val="20"/>
              </w:rPr>
            </w:pPr>
            <w:r>
              <w:rPr>
                <w:color w:val="000000"/>
                <w:sz w:val="20"/>
                <w:szCs w:val="20"/>
              </w:rPr>
              <w:t>   STOCKHOLDERS— DILUTED</w:t>
            </w:r>
          </w:p>
        </w:tc>
        <w:tc>
          <w:tcPr>
            <w:tcW w:w="61" w:type="pct"/>
            <w:shd w:val="clear" w:color="auto" w:fill="CFF0FC"/>
            <w:tcMar>
              <w:top w:w="15" w:type="dxa"/>
              <w:left w:w="0" w:type="dxa"/>
              <w:bottom w:w="0" w:type="dxa"/>
              <w:right w:w="15" w:type="dxa"/>
            </w:tcMar>
            <w:vAlign w:val="bottom"/>
            <w:hideMark/>
          </w:tcPr>
          <w:p w14:paraId="443C58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2B422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894A5E8" w14:textId="77777777" w:rsidR="00000000" w:rsidRDefault="007125B5">
            <w:pPr>
              <w:pStyle w:val="a3"/>
              <w:spacing w:before="0" w:beforeAutospacing="0" w:after="0" w:afterAutospacing="0"/>
              <w:jc w:val="right"/>
              <w:rPr>
                <w:color w:val="000000"/>
                <w:sz w:val="20"/>
                <w:szCs w:val="20"/>
              </w:rPr>
            </w:pPr>
            <w:r>
              <w:rPr>
                <w:color w:val="000000"/>
                <w:sz w:val="20"/>
                <w:szCs w:val="20"/>
              </w:rPr>
              <w:t>0.40</w:t>
            </w:r>
          </w:p>
        </w:tc>
        <w:tc>
          <w:tcPr>
            <w:tcW w:w="50" w:type="pct"/>
            <w:shd w:val="clear" w:color="auto" w:fill="CFF0FC"/>
            <w:noWrap/>
            <w:tcMar>
              <w:top w:w="15" w:type="dxa"/>
              <w:left w:w="0" w:type="dxa"/>
              <w:bottom w:w="0" w:type="dxa"/>
              <w:right w:w="15" w:type="dxa"/>
            </w:tcMar>
            <w:vAlign w:val="bottom"/>
            <w:hideMark/>
          </w:tcPr>
          <w:p w14:paraId="09AD9E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4B12E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C61425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A3BB996" w14:textId="77777777" w:rsidR="00000000" w:rsidRDefault="007125B5">
            <w:pPr>
              <w:pStyle w:val="a3"/>
              <w:spacing w:before="0" w:beforeAutospacing="0" w:after="0" w:afterAutospacing="0"/>
              <w:jc w:val="right"/>
              <w:rPr>
                <w:color w:val="000000"/>
                <w:sz w:val="20"/>
                <w:szCs w:val="20"/>
              </w:rPr>
            </w:pPr>
            <w:r>
              <w:rPr>
                <w:color w:val="000000"/>
                <w:sz w:val="20"/>
                <w:szCs w:val="20"/>
              </w:rPr>
              <w:t>(0.59</w:t>
            </w:r>
          </w:p>
        </w:tc>
        <w:tc>
          <w:tcPr>
            <w:tcW w:w="50" w:type="pct"/>
            <w:shd w:val="clear" w:color="auto" w:fill="CFF0FC"/>
            <w:noWrap/>
            <w:tcMar>
              <w:top w:w="15" w:type="dxa"/>
              <w:left w:w="0" w:type="dxa"/>
              <w:bottom w:w="0" w:type="dxa"/>
              <w:right w:w="15" w:type="dxa"/>
            </w:tcMar>
            <w:vAlign w:val="bottom"/>
            <w:hideMark/>
          </w:tcPr>
          <w:p w14:paraId="204B743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9B5B80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617C7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5EFF916" w14:textId="77777777" w:rsidR="00000000" w:rsidRDefault="007125B5">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CFF0FC"/>
            <w:noWrap/>
            <w:tcMar>
              <w:top w:w="15" w:type="dxa"/>
              <w:left w:w="0" w:type="dxa"/>
              <w:bottom w:w="0" w:type="dxa"/>
              <w:right w:w="15" w:type="dxa"/>
            </w:tcMar>
            <w:vAlign w:val="bottom"/>
            <w:hideMark/>
          </w:tcPr>
          <w:p w14:paraId="6233620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844D1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15D5F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BF3010" w14:textId="77777777" w:rsidR="00000000" w:rsidRDefault="007125B5">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CFF0FC"/>
            <w:noWrap/>
            <w:tcMar>
              <w:top w:w="15" w:type="dxa"/>
              <w:left w:w="0" w:type="dxa"/>
              <w:bottom w:w="0" w:type="dxa"/>
              <w:right w:w="15" w:type="dxa"/>
            </w:tcMar>
            <w:vAlign w:val="bottom"/>
            <w:hideMark/>
          </w:tcPr>
          <w:p w14:paraId="2CA3B7E5" w14:textId="77777777" w:rsidR="00000000" w:rsidRDefault="007125B5">
            <w:pPr>
              <w:pStyle w:val="a3"/>
              <w:spacing w:before="0" w:beforeAutospacing="0" w:after="0" w:afterAutospacing="0"/>
              <w:rPr>
                <w:color w:val="000000"/>
                <w:sz w:val="20"/>
                <w:szCs w:val="20"/>
              </w:rPr>
            </w:pPr>
            <w:r>
              <w:rPr>
                <w:color w:val="000000"/>
                <w:sz w:val="20"/>
                <w:szCs w:val="20"/>
              </w:rPr>
              <w:t>)</w:t>
            </w:r>
          </w:p>
        </w:tc>
      </w:tr>
    </w:tbl>
    <w:p w14:paraId="6DE241F7" w14:textId="77777777" w:rsidR="00000000" w:rsidRDefault="007125B5">
      <w:pPr>
        <w:pStyle w:val="a3"/>
        <w:spacing w:before="0" w:beforeAutospacing="0" w:after="0" w:afterAutospacing="0"/>
        <w:rPr>
          <w:sz w:val="20"/>
          <w:szCs w:val="20"/>
        </w:rPr>
      </w:pPr>
      <w:r>
        <w:rPr>
          <w:sz w:val="20"/>
          <w:szCs w:val="20"/>
        </w:rPr>
        <w:t> </w:t>
      </w:r>
    </w:p>
    <w:p w14:paraId="1C09982B" w14:textId="77777777" w:rsidR="00000000" w:rsidRDefault="007125B5">
      <w:pPr>
        <w:pStyle w:val="a3"/>
        <w:spacing w:before="40" w:beforeAutospacing="0" w:after="0" w:afterAutospacing="0"/>
        <w:jc w:val="center"/>
        <w:rPr>
          <w:sz w:val="20"/>
          <w:szCs w:val="20"/>
        </w:rPr>
      </w:pPr>
      <w:r>
        <w:rPr>
          <w:sz w:val="20"/>
          <w:szCs w:val="20"/>
        </w:rPr>
        <w:t>The acco</w:t>
      </w:r>
      <w:r>
        <w:rPr>
          <w:sz w:val="20"/>
          <w:szCs w:val="20"/>
        </w:rPr>
        <w:t>mpanying notes are an integral part of these unaudited condensed consolidated financial statements.</w:t>
      </w:r>
    </w:p>
    <w:p w14:paraId="371F71C7" w14:textId="77777777" w:rsidR="00000000" w:rsidRDefault="007125B5">
      <w:pPr>
        <w:pStyle w:val="a3"/>
        <w:spacing w:before="240" w:beforeAutospacing="0" w:after="0" w:afterAutospacing="0"/>
        <w:jc w:val="center"/>
        <w:rPr>
          <w:sz w:val="20"/>
          <w:szCs w:val="20"/>
        </w:rPr>
      </w:pPr>
      <w:r>
        <w:rPr>
          <w:sz w:val="20"/>
          <w:szCs w:val="20"/>
        </w:rPr>
        <w:t>2</w:t>
      </w:r>
    </w:p>
    <w:p w14:paraId="4C5CB60F" w14:textId="77777777" w:rsidR="00000000" w:rsidRDefault="007125B5">
      <w:pPr>
        <w:rPr>
          <w:rFonts w:eastAsia="Times New Roman"/>
        </w:rPr>
      </w:pPr>
      <w:r>
        <w:rPr>
          <w:rFonts w:eastAsia="Times New Roman"/>
        </w:rPr>
        <w:pict w14:anchorId="3D158486">
          <v:rect id="_x0000_i1028" style="width:415.3pt;height:1.5pt" o:hralign="center" o:hrstd="t" o:hr="t" fillcolor="#a0a0a0" stroked="f"/>
        </w:pict>
      </w:r>
    </w:p>
    <w:p w14:paraId="1BC14454" w14:textId="77777777" w:rsidR="00000000" w:rsidRDefault="007125B5">
      <w:pPr>
        <w:pStyle w:val="a3"/>
        <w:spacing w:before="0" w:beforeAutospacing="0" w:after="0" w:afterAutospacing="0"/>
        <w:rPr>
          <w:sz w:val="20"/>
          <w:szCs w:val="20"/>
        </w:rPr>
      </w:pPr>
      <w:r>
        <w:rPr>
          <w:sz w:val="20"/>
          <w:szCs w:val="20"/>
        </w:rPr>
        <w:t> </w:t>
      </w:r>
    </w:p>
    <w:p w14:paraId="60670D0D" w14:textId="77777777" w:rsidR="00000000" w:rsidRDefault="007125B5">
      <w:pPr>
        <w:pStyle w:val="a3"/>
        <w:spacing w:before="0" w:beforeAutospacing="0" w:after="0" w:afterAutospacing="0"/>
        <w:jc w:val="center"/>
        <w:rPr>
          <w:b/>
          <w:bCs/>
          <w:color w:val="000000"/>
          <w:sz w:val="20"/>
          <w:szCs w:val="20"/>
        </w:rPr>
      </w:pPr>
      <w:bookmarkStart w:id="7" w:name="_AEIOULastRenderedPageBreakAEIOU5"/>
      <w:bookmarkEnd w:id="7"/>
      <w:r>
        <w:rPr>
          <w:b/>
          <w:bCs/>
          <w:color w:val="000000"/>
          <w:sz w:val="20"/>
          <w:szCs w:val="20"/>
        </w:rPr>
        <w:t>MONTROSE ENVIRONMENTAL GROUP, INC.</w:t>
      </w:r>
    </w:p>
    <w:p w14:paraId="6C6C90F3" w14:textId="77777777" w:rsidR="00000000" w:rsidRDefault="007125B5">
      <w:pPr>
        <w:pStyle w:val="a3"/>
        <w:spacing w:before="0" w:beforeAutospacing="0" w:after="0" w:afterAutospacing="0"/>
        <w:jc w:val="center"/>
        <w:rPr>
          <w:b/>
          <w:bCs/>
          <w:color w:val="000000"/>
          <w:sz w:val="20"/>
          <w:szCs w:val="20"/>
        </w:rPr>
      </w:pPr>
      <w:bookmarkStart w:id="8" w:name="UNAUDITED_CONSOLIDATED_STATEMENTS_REDEEM"/>
      <w:r>
        <w:rPr>
          <w:b/>
          <w:bCs/>
          <w:color w:val="000000"/>
          <w:sz w:val="20"/>
          <w:szCs w:val="20"/>
        </w:rPr>
        <w:t>UNAUDITED CONDENSED CONSOLIDATED STATEMENTS OF REDEEMABLE SERIES A-1 PREFERRED STOCK</w:t>
      </w:r>
      <w:bookmarkEnd w:id="8"/>
      <w:r>
        <w:rPr>
          <w:b/>
          <w:bCs/>
          <w:color w:val="000000"/>
          <w:sz w:val="20"/>
          <w:szCs w:val="20"/>
        </w:rPr>
        <w:t>, CONVERTIBLE AND REDEEMABLE SERIES A-2 PREFERRED STOCK AND STOCKHOLDERS’ (DEFICIT) EQUITY</w:t>
      </w:r>
    </w:p>
    <w:p w14:paraId="1C01A354" w14:textId="77777777" w:rsidR="00000000" w:rsidRDefault="007125B5">
      <w:pPr>
        <w:pStyle w:val="a3"/>
        <w:spacing w:before="0" w:beforeAutospacing="0" w:after="0" w:afterAutospacing="0"/>
        <w:jc w:val="center"/>
        <w:rPr>
          <w:b/>
          <w:bCs/>
          <w:color w:val="000000"/>
          <w:sz w:val="20"/>
          <w:szCs w:val="20"/>
        </w:rPr>
      </w:pPr>
      <w:r>
        <w:rPr>
          <w:b/>
          <w:bCs/>
          <w:color w:val="000000"/>
          <w:sz w:val="20"/>
          <w:szCs w:val="20"/>
        </w:rPr>
        <w:t>(In thousands, except share data)</w:t>
      </w:r>
    </w:p>
    <w:p w14:paraId="05E39A79" w14:textId="77777777" w:rsidR="00000000" w:rsidRDefault="007125B5">
      <w:pPr>
        <w:pStyle w:val="a3"/>
        <w:spacing w:before="0" w:beforeAutospacing="0" w:after="0" w:afterAutospacing="0"/>
        <w:rPr>
          <w:sz w:val="20"/>
          <w:szCs w:val="20"/>
        </w:rPr>
      </w:pPr>
      <w:r>
        <w:rPr>
          <w:sz w:val="20"/>
          <w:szCs w:val="20"/>
        </w:rPr>
        <w:t> </w:t>
      </w:r>
    </w:p>
    <w:p w14:paraId="07A9B5FA"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63"/>
        <w:gridCol w:w="50"/>
        <w:gridCol w:w="50"/>
        <w:gridCol w:w="400"/>
        <w:gridCol w:w="50"/>
        <w:gridCol w:w="50"/>
        <w:gridCol w:w="85"/>
        <w:gridCol w:w="470"/>
        <w:gridCol w:w="50"/>
        <w:gridCol w:w="50"/>
        <w:gridCol w:w="50"/>
        <w:gridCol w:w="400"/>
        <w:gridCol w:w="50"/>
        <w:gridCol w:w="50"/>
        <w:gridCol w:w="85"/>
        <w:gridCol w:w="470"/>
        <w:gridCol w:w="50"/>
        <w:gridCol w:w="50"/>
        <w:gridCol w:w="50"/>
        <w:gridCol w:w="50"/>
        <w:gridCol w:w="575"/>
        <w:gridCol w:w="50"/>
        <w:gridCol w:w="50"/>
        <w:gridCol w:w="93"/>
        <w:gridCol w:w="413"/>
        <w:gridCol w:w="50"/>
        <w:gridCol w:w="50"/>
        <w:gridCol w:w="120"/>
        <w:gridCol w:w="533"/>
        <w:gridCol w:w="62"/>
        <w:gridCol w:w="50"/>
        <w:gridCol w:w="148"/>
        <w:gridCol w:w="661"/>
        <w:gridCol w:w="62"/>
        <w:gridCol w:w="50"/>
        <w:gridCol w:w="145"/>
        <w:gridCol w:w="648"/>
        <w:gridCol w:w="50"/>
        <w:gridCol w:w="50"/>
        <w:gridCol w:w="174"/>
        <w:gridCol w:w="775"/>
        <w:gridCol w:w="62"/>
        <w:gridCol w:w="50"/>
        <w:gridCol w:w="154"/>
        <w:gridCol w:w="686"/>
        <w:gridCol w:w="62"/>
      </w:tblGrid>
      <w:tr w:rsidR="007125B5" w14:paraId="2C6DD29C" w14:textId="77777777">
        <w:trPr>
          <w:divId w:val="1678078014"/>
          <w:jc w:val="center"/>
        </w:trPr>
        <w:tc>
          <w:tcPr>
            <w:tcW w:w="1045" w:type="pct"/>
            <w:shd w:val="clear" w:color="auto" w:fill="FFFFFF"/>
            <w:tcMar>
              <w:top w:w="15" w:type="dxa"/>
              <w:left w:w="0" w:type="dxa"/>
              <w:bottom w:w="0" w:type="dxa"/>
              <w:right w:w="15" w:type="dxa"/>
            </w:tcMar>
            <w:vAlign w:val="bottom"/>
            <w:hideMark/>
          </w:tcPr>
          <w:p w14:paraId="14B6FD22" w14:textId="77777777" w:rsidR="00000000" w:rsidRDefault="007125B5">
            <w:pPr>
              <w:pStyle w:val="a3"/>
              <w:spacing w:before="0" w:beforeAutospacing="0" w:after="0" w:afterAutospacing="0"/>
              <w:jc w:val="center"/>
              <w:rPr>
                <w:sz w:val="20"/>
                <w:szCs w:val="20"/>
              </w:rPr>
            </w:pPr>
            <w:r>
              <w:rPr>
                <w:sz w:val="20"/>
                <w:szCs w:val="20"/>
              </w:rPr>
              <w:lastRenderedPageBreak/>
              <w:t> </w:t>
            </w:r>
          </w:p>
        </w:tc>
        <w:tc>
          <w:tcPr>
            <w:tcW w:w="35" w:type="pct"/>
            <w:shd w:val="clear" w:color="auto" w:fill="FFFFFF"/>
            <w:tcMar>
              <w:top w:w="15" w:type="dxa"/>
              <w:left w:w="0" w:type="dxa"/>
              <w:bottom w:w="0" w:type="dxa"/>
              <w:right w:w="15" w:type="dxa"/>
            </w:tcMar>
            <w:vAlign w:val="bottom"/>
            <w:hideMark/>
          </w:tcPr>
          <w:p w14:paraId="4B19B58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3454D986"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Redeemable</w:t>
            </w:r>
          </w:p>
        </w:tc>
        <w:tc>
          <w:tcPr>
            <w:tcW w:w="50" w:type="pct"/>
            <w:shd w:val="clear" w:color="auto" w:fill="FFFFFF"/>
            <w:noWrap/>
            <w:tcMar>
              <w:top w:w="15" w:type="dxa"/>
              <w:left w:w="0" w:type="dxa"/>
              <w:bottom w:w="0" w:type="dxa"/>
              <w:right w:w="15" w:type="dxa"/>
            </w:tcMar>
            <w:vAlign w:val="bottom"/>
            <w:hideMark/>
          </w:tcPr>
          <w:p w14:paraId="3629C45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B5E359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6839CE18"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Convertible and</w:t>
            </w:r>
          </w:p>
          <w:p w14:paraId="0CA4676F"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Redeemable</w:t>
            </w:r>
          </w:p>
        </w:tc>
        <w:tc>
          <w:tcPr>
            <w:tcW w:w="50" w:type="pct"/>
            <w:shd w:val="clear" w:color="auto" w:fill="FFFFFF"/>
            <w:noWrap/>
            <w:tcMar>
              <w:top w:w="15" w:type="dxa"/>
              <w:left w:w="0" w:type="dxa"/>
              <w:bottom w:w="0" w:type="dxa"/>
              <w:right w:w="15" w:type="dxa"/>
            </w:tcMar>
            <w:vAlign w:val="bottom"/>
            <w:hideMark/>
          </w:tcPr>
          <w:p w14:paraId="1A20B25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7366831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3EC071EF"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7DFB078"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B81D2D8" w14:textId="77777777" w:rsidR="00000000" w:rsidRDefault="007125B5">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E828E00"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18E4E33"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B5AB6D9"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2255EC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EB1B7C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2E3618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8222122"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24" w:type="pct"/>
            <w:shd w:val="clear" w:color="auto" w:fill="FFFFFF"/>
            <w:noWrap/>
            <w:tcMar>
              <w:top w:w="15" w:type="dxa"/>
              <w:left w:w="0" w:type="dxa"/>
              <w:bottom w:w="0" w:type="dxa"/>
              <w:right w:w="15" w:type="dxa"/>
            </w:tcMar>
            <w:vAlign w:val="bottom"/>
            <w:hideMark/>
          </w:tcPr>
          <w:p w14:paraId="305DF70F"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FDBCEE5"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5" w:type="pct"/>
            <w:shd w:val="clear" w:color="auto" w:fill="FFFFFF"/>
            <w:tcMar>
              <w:top w:w="15" w:type="dxa"/>
              <w:left w:w="0" w:type="dxa"/>
              <w:bottom w:w="0" w:type="dxa"/>
              <w:right w:w="15" w:type="dxa"/>
            </w:tcMar>
            <w:vAlign w:val="bottom"/>
            <w:hideMark/>
          </w:tcPr>
          <w:p w14:paraId="4E9CF5D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69114D8"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24" w:type="pct"/>
            <w:shd w:val="clear" w:color="auto" w:fill="FFFFFF"/>
            <w:noWrap/>
            <w:tcMar>
              <w:top w:w="15" w:type="dxa"/>
              <w:left w:w="0" w:type="dxa"/>
              <w:bottom w:w="0" w:type="dxa"/>
              <w:right w:w="15" w:type="dxa"/>
            </w:tcMar>
            <w:vAlign w:val="bottom"/>
            <w:hideMark/>
          </w:tcPr>
          <w:p w14:paraId="36D9A272"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639D28B"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5" w:type="pct"/>
            <w:shd w:val="clear" w:color="auto" w:fill="FFFFFF"/>
            <w:tcMar>
              <w:top w:w="15" w:type="dxa"/>
              <w:left w:w="0" w:type="dxa"/>
              <w:bottom w:w="0" w:type="dxa"/>
              <w:right w:w="15" w:type="dxa"/>
            </w:tcMar>
            <w:vAlign w:val="bottom"/>
            <w:hideMark/>
          </w:tcPr>
          <w:p w14:paraId="034F044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0962D85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Notes</w:t>
            </w:r>
          </w:p>
        </w:tc>
        <w:tc>
          <w:tcPr>
            <w:tcW w:w="50" w:type="pct"/>
            <w:shd w:val="clear" w:color="auto" w:fill="FFFFFF"/>
            <w:noWrap/>
            <w:tcMar>
              <w:top w:w="15" w:type="dxa"/>
              <w:left w:w="0" w:type="dxa"/>
              <w:bottom w:w="0" w:type="dxa"/>
              <w:right w:w="15" w:type="dxa"/>
            </w:tcMar>
            <w:vAlign w:val="bottom"/>
            <w:hideMark/>
          </w:tcPr>
          <w:p w14:paraId="3012CB0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5C032C8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00CF86E8"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34771DE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58C282B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91E092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052DF36"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649E89F"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r>
      <w:tr w:rsidR="007125B5" w14:paraId="4F22396B" w14:textId="77777777">
        <w:trPr>
          <w:divId w:val="1678078014"/>
          <w:jc w:val="center"/>
        </w:trPr>
        <w:tc>
          <w:tcPr>
            <w:tcW w:w="1045" w:type="pct"/>
            <w:shd w:val="clear" w:color="auto" w:fill="FFFFFF"/>
            <w:tcMar>
              <w:top w:w="15" w:type="dxa"/>
              <w:left w:w="0" w:type="dxa"/>
              <w:bottom w:w="0" w:type="dxa"/>
              <w:right w:w="15" w:type="dxa"/>
            </w:tcMar>
            <w:vAlign w:val="bottom"/>
            <w:hideMark/>
          </w:tcPr>
          <w:p w14:paraId="0C358304"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BEFE9D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3DEB08E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Series A-1</w:t>
            </w:r>
          </w:p>
        </w:tc>
        <w:tc>
          <w:tcPr>
            <w:tcW w:w="50" w:type="pct"/>
            <w:shd w:val="clear" w:color="auto" w:fill="FFFFFF"/>
            <w:noWrap/>
            <w:tcMar>
              <w:top w:w="15" w:type="dxa"/>
              <w:left w:w="0" w:type="dxa"/>
              <w:bottom w:w="0" w:type="dxa"/>
              <w:right w:w="15" w:type="dxa"/>
            </w:tcMar>
            <w:vAlign w:val="bottom"/>
            <w:hideMark/>
          </w:tcPr>
          <w:p w14:paraId="7CC1E62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5A83F2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128B060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Series A-2</w:t>
            </w:r>
          </w:p>
        </w:tc>
        <w:tc>
          <w:tcPr>
            <w:tcW w:w="50" w:type="pct"/>
            <w:shd w:val="clear" w:color="auto" w:fill="FFFFFF"/>
            <w:noWrap/>
            <w:tcMar>
              <w:top w:w="15" w:type="dxa"/>
              <w:left w:w="0" w:type="dxa"/>
              <w:bottom w:w="0" w:type="dxa"/>
              <w:right w:w="15" w:type="dxa"/>
            </w:tcMar>
            <w:vAlign w:val="bottom"/>
            <w:hideMark/>
          </w:tcPr>
          <w:p w14:paraId="7A73B62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441FCE0F"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1330F1D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7BA772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77A2042"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3345EF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5B2B0AA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D44B755"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03A0BB9" w14:textId="77777777" w:rsidR="00000000" w:rsidRDefault="007125B5">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DE09BDC"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CC8373E"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17FC03C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14:paraId="3A2A340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001B9E22"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E8E35CD"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24" w:type="pct"/>
            <w:shd w:val="clear" w:color="auto" w:fill="FFFFFF"/>
            <w:noWrap/>
            <w:tcMar>
              <w:top w:w="15" w:type="dxa"/>
              <w:left w:w="0" w:type="dxa"/>
              <w:bottom w:w="0" w:type="dxa"/>
              <w:right w:w="15" w:type="dxa"/>
            </w:tcMar>
            <w:vAlign w:val="bottom"/>
            <w:hideMark/>
          </w:tcPr>
          <w:p w14:paraId="70B2BCD5"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4032AEC"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5" w:type="pct"/>
            <w:shd w:val="clear" w:color="auto" w:fill="FFFFFF"/>
            <w:tcMar>
              <w:top w:w="15" w:type="dxa"/>
              <w:left w:w="0" w:type="dxa"/>
              <w:bottom w:w="0" w:type="dxa"/>
              <w:right w:w="15" w:type="dxa"/>
            </w:tcMar>
            <w:vAlign w:val="bottom"/>
            <w:hideMark/>
          </w:tcPr>
          <w:p w14:paraId="589256C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01190A16"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Receivable</w:t>
            </w:r>
          </w:p>
        </w:tc>
        <w:tc>
          <w:tcPr>
            <w:tcW w:w="50" w:type="pct"/>
            <w:shd w:val="clear" w:color="auto" w:fill="FFFFFF"/>
            <w:noWrap/>
            <w:tcMar>
              <w:top w:w="15" w:type="dxa"/>
              <w:left w:w="0" w:type="dxa"/>
              <w:bottom w:w="0" w:type="dxa"/>
              <w:right w:w="15" w:type="dxa"/>
            </w:tcMar>
            <w:vAlign w:val="bottom"/>
            <w:hideMark/>
          </w:tcPr>
          <w:p w14:paraId="38A49B0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DDC156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1F2D64F6"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14:paraId="2B86FDB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4C0593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122B062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14:paraId="1798773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r>
      <w:tr w:rsidR="00000000" w14:paraId="54872DE8" w14:textId="77777777">
        <w:trPr>
          <w:divId w:val="1678078014"/>
          <w:jc w:val="center"/>
        </w:trPr>
        <w:tc>
          <w:tcPr>
            <w:tcW w:w="1045" w:type="pct"/>
            <w:shd w:val="clear" w:color="auto" w:fill="FFFFFF"/>
            <w:tcMar>
              <w:top w:w="15" w:type="dxa"/>
              <w:left w:w="0" w:type="dxa"/>
              <w:bottom w:w="0" w:type="dxa"/>
              <w:right w:w="15" w:type="dxa"/>
            </w:tcMar>
            <w:vAlign w:val="bottom"/>
            <w:hideMark/>
          </w:tcPr>
          <w:p w14:paraId="6F019FCD"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C5C64D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tcBorders>
              <w:bottom w:val="single" w:sz="6" w:space="0" w:color="000000"/>
            </w:tcBorders>
            <w:shd w:val="clear" w:color="auto" w:fill="FFFFFF"/>
            <w:tcMar>
              <w:top w:w="15" w:type="dxa"/>
              <w:left w:w="0" w:type="dxa"/>
              <w:bottom w:w="0" w:type="dxa"/>
              <w:right w:w="15" w:type="dxa"/>
            </w:tcMar>
            <w:vAlign w:val="bottom"/>
            <w:hideMark/>
          </w:tcPr>
          <w:p w14:paraId="6F94B51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Preferred Stock</w:t>
            </w:r>
          </w:p>
        </w:tc>
        <w:tc>
          <w:tcPr>
            <w:tcW w:w="50" w:type="pct"/>
            <w:shd w:val="clear" w:color="auto" w:fill="FFFFFF"/>
            <w:noWrap/>
            <w:tcMar>
              <w:top w:w="15" w:type="dxa"/>
              <w:left w:w="0" w:type="dxa"/>
              <w:bottom w:w="0" w:type="dxa"/>
              <w:right w:w="15" w:type="dxa"/>
            </w:tcMar>
            <w:vAlign w:val="bottom"/>
            <w:hideMark/>
          </w:tcPr>
          <w:p w14:paraId="36F4F7CC"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6ED3141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tcBorders>
              <w:bottom w:val="single" w:sz="6" w:space="0" w:color="000000"/>
            </w:tcBorders>
            <w:shd w:val="clear" w:color="auto" w:fill="FFFFFF"/>
            <w:tcMar>
              <w:top w:w="15" w:type="dxa"/>
              <w:left w:w="0" w:type="dxa"/>
              <w:bottom w:w="0" w:type="dxa"/>
              <w:right w:w="15" w:type="dxa"/>
            </w:tcMar>
            <w:vAlign w:val="bottom"/>
            <w:hideMark/>
          </w:tcPr>
          <w:p w14:paraId="32B5AA8A"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Preferred Stock</w:t>
            </w:r>
          </w:p>
        </w:tc>
        <w:tc>
          <w:tcPr>
            <w:tcW w:w="50" w:type="pct"/>
            <w:shd w:val="clear" w:color="auto" w:fill="FFFFFF"/>
            <w:noWrap/>
            <w:tcMar>
              <w:top w:w="15" w:type="dxa"/>
              <w:left w:w="0" w:type="dxa"/>
              <w:bottom w:w="0" w:type="dxa"/>
              <w:right w:w="15" w:type="dxa"/>
            </w:tcMar>
            <w:vAlign w:val="bottom"/>
            <w:hideMark/>
          </w:tcPr>
          <w:p w14:paraId="7E5C4C5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35EAA2F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057BB30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tcBorders>
              <w:bottom w:val="single" w:sz="6" w:space="0" w:color="000000"/>
            </w:tcBorders>
            <w:shd w:val="clear" w:color="auto" w:fill="FFFFFF"/>
            <w:tcMar>
              <w:top w:w="15" w:type="dxa"/>
              <w:left w:w="0" w:type="dxa"/>
              <w:bottom w:w="0" w:type="dxa"/>
              <w:right w:w="15" w:type="dxa"/>
            </w:tcMar>
            <w:vAlign w:val="bottom"/>
            <w:hideMark/>
          </w:tcPr>
          <w:p w14:paraId="758FFBB1"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14:paraId="2FB7A19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2BE4A0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492A251D"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14:paraId="70DEA312"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822EC1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5EC70BD6"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151DEB69"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7DCC66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2BB349A9"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from</w:t>
            </w:r>
          </w:p>
        </w:tc>
        <w:tc>
          <w:tcPr>
            <w:tcW w:w="50" w:type="pct"/>
            <w:shd w:val="clear" w:color="auto" w:fill="FFFFFF"/>
            <w:noWrap/>
            <w:tcMar>
              <w:top w:w="15" w:type="dxa"/>
              <w:left w:w="0" w:type="dxa"/>
              <w:bottom w:w="0" w:type="dxa"/>
              <w:right w:w="15" w:type="dxa"/>
            </w:tcMar>
            <w:vAlign w:val="bottom"/>
            <w:hideMark/>
          </w:tcPr>
          <w:p w14:paraId="181DAAB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452C066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44FE6CE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14:paraId="6FA5427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1F4D4C9"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1893E3F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14:paraId="7C9E008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r>
      <w:tr w:rsidR="007125B5" w14:paraId="20FE054E" w14:textId="77777777">
        <w:trPr>
          <w:divId w:val="1678078014"/>
          <w:jc w:val="center"/>
        </w:trPr>
        <w:tc>
          <w:tcPr>
            <w:tcW w:w="1045" w:type="pct"/>
            <w:shd w:val="clear" w:color="auto" w:fill="FFFFFF"/>
            <w:tcMar>
              <w:top w:w="15" w:type="dxa"/>
              <w:left w:w="0" w:type="dxa"/>
              <w:bottom w:w="0" w:type="dxa"/>
              <w:right w:w="15" w:type="dxa"/>
            </w:tcMar>
            <w:vAlign w:val="bottom"/>
            <w:hideMark/>
          </w:tcPr>
          <w:p w14:paraId="60F908A7"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4CCDD3AC"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3E41A2"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626896A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tcBorders>
              <w:top w:val="single" w:sz="6" w:space="0" w:color="000000"/>
            </w:tcBorders>
            <w:shd w:val="clear" w:color="auto" w:fill="FFFFFF"/>
            <w:tcMar>
              <w:top w:w="15" w:type="dxa"/>
              <w:left w:w="0" w:type="dxa"/>
              <w:bottom w:w="0" w:type="dxa"/>
              <w:right w:w="15" w:type="dxa"/>
            </w:tcMar>
            <w:vAlign w:val="bottom"/>
            <w:hideMark/>
          </w:tcPr>
          <w:p w14:paraId="6168645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DEA8CF"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04FEFE6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4573140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D4437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6C2DB7F2"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tcBorders>
              <w:top w:val="single" w:sz="6" w:space="0" w:color="000000"/>
            </w:tcBorders>
            <w:shd w:val="clear" w:color="auto" w:fill="FFFFFF"/>
            <w:tcMar>
              <w:top w:w="15" w:type="dxa"/>
              <w:left w:w="0" w:type="dxa"/>
              <w:bottom w:w="0" w:type="dxa"/>
              <w:right w:w="15" w:type="dxa"/>
            </w:tcMar>
            <w:vAlign w:val="bottom"/>
            <w:hideMark/>
          </w:tcPr>
          <w:p w14:paraId="30F6BF4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147364"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7C9B751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72E7717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33F96735"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1F928E9"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4EA31F2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tcBorders>
              <w:top w:val="single" w:sz="6" w:space="0" w:color="000000"/>
            </w:tcBorders>
            <w:shd w:val="clear" w:color="auto" w:fill="FFFFFF"/>
            <w:tcMar>
              <w:top w:w="15" w:type="dxa"/>
              <w:left w:w="0" w:type="dxa"/>
              <w:bottom w:w="0" w:type="dxa"/>
              <w:right w:w="15" w:type="dxa"/>
            </w:tcMar>
            <w:vAlign w:val="bottom"/>
            <w:hideMark/>
          </w:tcPr>
          <w:p w14:paraId="62EEF0F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9EFD64"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056B87A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093FA62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69D4E3A7"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shd w:val="clear" w:color="auto" w:fill="FFFFFF"/>
            <w:noWrap/>
            <w:tcMar>
              <w:top w:w="15" w:type="dxa"/>
              <w:left w:w="0" w:type="dxa"/>
              <w:bottom w:w="0" w:type="dxa"/>
              <w:right w:w="15" w:type="dxa"/>
            </w:tcMar>
            <w:vAlign w:val="bottom"/>
            <w:hideMark/>
          </w:tcPr>
          <w:p w14:paraId="272E693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A864961"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4CB9DA24"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10F270FF"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FE598E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66281E46"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14:paraId="2C1E5865"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331E2E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4BDB5578"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(Loss) Income</w:t>
            </w:r>
          </w:p>
        </w:tc>
        <w:tc>
          <w:tcPr>
            <w:tcW w:w="50" w:type="pct"/>
            <w:shd w:val="clear" w:color="auto" w:fill="FFFFFF"/>
            <w:noWrap/>
            <w:tcMar>
              <w:top w:w="15" w:type="dxa"/>
              <w:left w:w="0" w:type="dxa"/>
              <w:bottom w:w="0" w:type="dxa"/>
              <w:right w:w="15" w:type="dxa"/>
            </w:tcMar>
            <w:vAlign w:val="bottom"/>
            <w:hideMark/>
          </w:tcPr>
          <w:p w14:paraId="386ABF5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23BA29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74D9F603"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68BFCBE5"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r>
      <w:tr w:rsidR="007125B5" w14:paraId="70C7E005" w14:textId="77777777">
        <w:trPr>
          <w:divId w:val="1678078014"/>
          <w:jc w:val="center"/>
        </w:trPr>
        <w:tc>
          <w:tcPr>
            <w:tcW w:w="1045" w:type="pct"/>
            <w:shd w:val="clear" w:color="auto" w:fill="CFF0FC"/>
            <w:tcMar>
              <w:top w:w="15" w:type="dxa"/>
              <w:left w:w="0" w:type="dxa"/>
              <w:bottom w:w="0" w:type="dxa"/>
              <w:right w:w="15" w:type="dxa"/>
            </w:tcMar>
            <w:hideMark/>
          </w:tcPr>
          <w:p w14:paraId="4C1E5781" w14:textId="77777777" w:rsidR="00000000" w:rsidRDefault="007125B5">
            <w:pPr>
              <w:pStyle w:val="a3"/>
              <w:spacing w:before="0" w:beforeAutospacing="0" w:after="0" w:afterAutospacing="0"/>
              <w:rPr>
                <w:color w:val="000000"/>
                <w:sz w:val="14"/>
                <w:szCs w:val="14"/>
              </w:rPr>
            </w:pPr>
            <w:r>
              <w:rPr>
                <w:color w:val="000000"/>
                <w:sz w:val="14"/>
                <w:szCs w:val="14"/>
              </w:rPr>
              <w:t>BALANCE—December 31, 2019</w:t>
            </w:r>
          </w:p>
        </w:tc>
        <w:tc>
          <w:tcPr>
            <w:tcW w:w="35" w:type="pct"/>
            <w:shd w:val="clear" w:color="auto" w:fill="CFF0FC"/>
            <w:tcMar>
              <w:top w:w="15" w:type="dxa"/>
              <w:left w:w="0" w:type="dxa"/>
              <w:bottom w:w="0" w:type="dxa"/>
              <w:right w:w="15" w:type="dxa"/>
            </w:tcMar>
            <w:vAlign w:val="bottom"/>
            <w:hideMark/>
          </w:tcPr>
          <w:p w14:paraId="430FC55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13179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2A7BD18C" w14:textId="77777777" w:rsidR="00000000" w:rsidRDefault="007125B5">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CFF0FC"/>
            <w:noWrap/>
            <w:tcMar>
              <w:top w:w="15" w:type="dxa"/>
              <w:left w:w="0" w:type="dxa"/>
              <w:bottom w:w="0" w:type="dxa"/>
              <w:right w:w="15" w:type="dxa"/>
            </w:tcMar>
            <w:vAlign w:val="bottom"/>
            <w:hideMark/>
          </w:tcPr>
          <w:p w14:paraId="6B22A05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A6E9B4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46B82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641351BC" w14:textId="77777777" w:rsidR="00000000" w:rsidRDefault="007125B5">
            <w:pPr>
              <w:pStyle w:val="a3"/>
              <w:spacing w:before="0" w:beforeAutospacing="0" w:after="0" w:afterAutospacing="0"/>
              <w:jc w:val="right"/>
              <w:rPr>
                <w:color w:val="000000"/>
                <w:sz w:val="14"/>
                <w:szCs w:val="14"/>
              </w:rPr>
            </w:pPr>
            <w:r>
              <w:rPr>
                <w:color w:val="000000"/>
                <w:sz w:val="14"/>
                <w:szCs w:val="14"/>
              </w:rPr>
              <w:t>128,822</w:t>
            </w:r>
          </w:p>
        </w:tc>
        <w:tc>
          <w:tcPr>
            <w:tcW w:w="50" w:type="pct"/>
            <w:shd w:val="clear" w:color="auto" w:fill="CFF0FC"/>
            <w:noWrap/>
            <w:tcMar>
              <w:top w:w="15" w:type="dxa"/>
              <w:left w:w="0" w:type="dxa"/>
              <w:bottom w:w="0" w:type="dxa"/>
              <w:right w:w="15" w:type="dxa"/>
            </w:tcMar>
            <w:vAlign w:val="bottom"/>
            <w:hideMark/>
          </w:tcPr>
          <w:p w14:paraId="5433818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6FCBE8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27355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3036FA3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829EA1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B076E7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24D452"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1AF21D8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5630E9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5434B00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04527E6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C6DD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472598B0" w14:textId="77777777" w:rsidR="00000000" w:rsidRDefault="007125B5">
            <w:pPr>
              <w:pStyle w:val="a3"/>
              <w:spacing w:before="0" w:beforeAutospacing="0" w:after="0" w:afterAutospacing="0"/>
              <w:jc w:val="right"/>
              <w:rPr>
                <w:color w:val="000000"/>
                <w:sz w:val="14"/>
                <w:szCs w:val="14"/>
              </w:rPr>
            </w:pPr>
            <w:r>
              <w:rPr>
                <w:color w:val="000000"/>
                <w:sz w:val="14"/>
                <w:szCs w:val="14"/>
              </w:rPr>
              <w:t>8,370,107</w:t>
            </w:r>
          </w:p>
        </w:tc>
        <w:tc>
          <w:tcPr>
            <w:tcW w:w="50" w:type="pct"/>
            <w:shd w:val="clear" w:color="auto" w:fill="CFF0FC"/>
            <w:noWrap/>
            <w:tcMar>
              <w:top w:w="15" w:type="dxa"/>
              <w:left w:w="0" w:type="dxa"/>
              <w:bottom w:w="0" w:type="dxa"/>
              <w:right w:w="15" w:type="dxa"/>
            </w:tcMar>
            <w:vAlign w:val="bottom"/>
            <w:hideMark/>
          </w:tcPr>
          <w:p w14:paraId="085F623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E46CBD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07C3DE"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7DF1C24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EB8466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E7211C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20946C"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31EAD59E" w14:textId="77777777" w:rsidR="00000000" w:rsidRDefault="007125B5">
            <w:pPr>
              <w:pStyle w:val="a3"/>
              <w:spacing w:before="0" w:beforeAutospacing="0" w:after="0" w:afterAutospacing="0"/>
              <w:jc w:val="right"/>
              <w:rPr>
                <w:color w:val="000000"/>
                <w:sz w:val="14"/>
                <w:szCs w:val="14"/>
              </w:rPr>
            </w:pPr>
            <w:r>
              <w:rPr>
                <w:color w:val="000000"/>
                <w:sz w:val="14"/>
                <w:szCs w:val="14"/>
              </w:rPr>
              <w:t>38,153</w:t>
            </w:r>
          </w:p>
        </w:tc>
        <w:tc>
          <w:tcPr>
            <w:tcW w:w="50" w:type="pct"/>
            <w:shd w:val="clear" w:color="auto" w:fill="CFF0FC"/>
            <w:noWrap/>
            <w:tcMar>
              <w:top w:w="15" w:type="dxa"/>
              <w:left w:w="0" w:type="dxa"/>
              <w:bottom w:w="0" w:type="dxa"/>
              <w:right w:w="15" w:type="dxa"/>
            </w:tcMar>
            <w:vAlign w:val="bottom"/>
            <w:hideMark/>
          </w:tcPr>
          <w:p w14:paraId="1911D4D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C1EBF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9ECC17"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41084846" w14:textId="77777777" w:rsidR="00000000" w:rsidRDefault="007125B5">
            <w:pPr>
              <w:pStyle w:val="a3"/>
              <w:spacing w:before="0" w:beforeAutospacing="0" w:after="0" w:afterAutospacing="0"/>
              <w:jc w:val="right"/>
              <w:rPr>
                <w:color w:val="000000"/>
                <w:sz w:val="14"/>
                <w:szCs w:val="14"/>
              </w:rPr>
            </w:pPr>
            <w:r>
              <w:rPr>
                <w:color w:val="000000"/>
                <w:sz w:val="14"/>
                <w:szCs w:val="14"/>
              </w:rPr>
              <w:t>(64,404</w:t>
            </w:r>
          </w:p>
        </w:tc>
        <w:tc>
          <w:tcPr>
            <w:tcW w:w="50" w:type="pct"/>
            <w:shd w:val="clear" w:color="auto" w:fill="CFF0FC"/>
            <w:noWrap/>
            <w:tcMar>
              <w:top w:w="15" w:type="dxa"/>
              <w:left w:w="0" w:type="dxa"/>
              <w:bottom w:w="0" w:type="dxa"/>
              <w:right w:w="15" w:type="dxa"/>
            </w:tcMar>
            <w:vAlign w:val="bottom"/>
            <w:hideMark/>
          </w:tcPr>
          <w:p w14:paraId="75C98EED"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507D10B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F6DE4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61B9FA3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6C0370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70C638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533DA3"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717058E6" w14:textId="77777777" w:rsidR="00000000" w:rsidRDefault="007125B5">
            <w:pPr>
              <w:pStyle w:val="a3"/>
              <w:spacing w:before="0" w:beforeAutospacing="0" w:after="0" w:afterAutospacing="0"/>
              <w:jc w:val="right"/>
              <w:rPr>
                <w:color w:val="000000"/>
                <w:sz w:val="14"/>
                <w:szCs w:val="14"/>
              </w:rPr>
            </w:pPr>
            <w:r>
              <w:rPr>
                <w:color w:val="000000"/>
                <w:sz w:val="14"/>
                <w:szCs w:val="14"/>
              </w:rPr>
              <w:t>(40</w:t>
            </w:r>
          </w:p>
        </w:tc>
        <w:tc>
          <w:tcPr>
            <w:tcW w:w="50" w:type="pct"/>
            <w:shd w:val="clear" w:color="auto" w:fill="CFF0FC"/>
            <w:noWrap/>
            <w:tcMar>
              <w:top w:w="15" w:type="dxa"/>
              <w:left w:w="0" w:type="dxa"/>
              <w:bottom w:w="0" w:type="dxa"/>
              <w:right w:w="15" w:type="dxa"/>
            </w:tcMar>
            <w:vAlign w:val="bottom"/>
            <w:hideMark/>
          </w:tcPr>
          <w:p w14:paraId="7E0F62B8"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2F4B194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15193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17767409" w14:textId="77777777" w:rsidR="00000000" w:rsidRDefault="007125B5">
            <w:pPr>
              <w:pStyle w:val="a3"/>
              <w:spacing w:before="0" w:beforeAutospacing="0" w:after="0" w:afterAutospacing="0"/>
              <w:jc w:val="right"/>
              <w:rPr>
                <w:color w:val="000000"/>
                <w:sz w:val="14"/>
                <w:szCs w:val="14"/>
              </w:rPr>
            </w:pPr>
            <w:r>
              <w:rPr>
                <w:color w:val="000000"/>
                <w:sz w:val="14"/>
                <w:szCs w:val="14"/>
              </w:rPr>
              <w:t>(26,291</w:t>
            </w:r>
          </w:p>
        </w:tc>
        <w:tc>
          <w:tcPr>
            <w:tcW w:w="50" w:type="pct"/>
            <w:shd w:val="clear" w:color="auto" w:fill="CFF0FC"/>
            <w:noWrap/>
            <w:tcMar>
              <w:top w:w="15" w:type="dxa"/>
              <w:left w:w="0" w:type="dxa"/>
              <w:bottom w:w="0" w:type="dxa"/>
              <w:right w:w="15" w:type="dxa"/>
            </w:tcMar>
            <w:vAlign w:val="bottom"/>
            <w:hideMark/>
          </w:tcPr>
          <w:p w14:paraId="364E3158"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7CB0CE0C" w14:textId="77777777">
        <w:trPr>
          <w:divId w:val="1678078014"/>
          <w:jc w:val="center"/>
        </w:trPr>
        <w:tc>
          <w:tcPr>
            <w:tcW w:w="1045" w:type="pct"/>
            <w:shd w:val="clear" w:color="auto" w:fill="FFFFFF"/>
            <w:tcMar>
              <w:top w:w="15" w:type="dxa"/>
              <w:left w:w="0" w:type="dxa"/>
              <w:bottom w:w="0" w:type="dxa"/>
              <w:right w:w="15" w:type="dxa"/>
            </w:tcMar>
            <w:hideMark/>
          </w:tcPr>
          <w:p w14:paraId="3EEA24F7" w14:textId="77777777" w:rsidR="00000000" w:rsidRDefault="007125B5">
            <w:pPr>
              <w:pStyle w:val="a3"/>
              <w:spacing w:before="0" w:beforeAutospacing="0" w:after="0" w:afterAutospacing="0"/>
              <w:rPr>
                <w:color w:val="000000"/>
                <w:sz w:val="14"/>
                <w:szCs w:val="14"/>
              </w:rPr>
            </w:pPr>
            <w:r>
              <w:rPr>
                <w:color w:val="000000"/>
                <w:sz w:val="14"/>
                <w:szCs w:val="14"/>
              </w:rPr>
              <w:t>Net loss</w:t>
            </w:r>
          </w:p>
        </w:tc>
        <w:tc>
          <w:tcPr>
            <w:tcW w:w="35" w:type="pct"/>
            <w:shd w:val="clear" w:color="auto" w:fill="FFFFFF"/>
            <w:tcMar>
              <w:top w:w="15" w:type="dxa"/>
              <w:left w:w="0" w:type="dxa"/>
              <w:bottom w:w="0" w:type="dxa"/>
              <w:right w:w="15" w:type="dxa"/>
            </w:tcMar>
            <w:vAlign w:val="bottom"/>
            <w:hideMark/>
          </w:tcPr>
          <w:p w14:paraId="3798E90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0308E7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61D5DAF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43E4C5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5036B3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F34ED0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C7518E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349321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A13132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8D218C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F0E70A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8056E8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36DBDD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41956B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B20BAB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1A7F19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42EB47E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5731546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A80198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F606AF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0F5846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5E4BC4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318DD5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6BF1419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16EA4B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CB1BCF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9AA802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D035C1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4F1BFB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954C10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37CD79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767BDB5" w14:textId="77777777" w:rsidR="00000000" w:rsidRDefault="007125B5">
            <w:pPr>
              <w:pStyle w:val="a3"/>
              <w:spacing w:before="0" w:beforeAutospacing="0" w:after="0" w:afterAutospacing="0"/>
              <w:jc w:val="right"/>
              <w:rPr>
                <w:color w:val="000000"/>
                <w:sz w:val="14"/>
                <w:szCs w:val="14"/>
              </w:rPr>
            </w:pPr>
            <w:r>
              <w:rPr>
                <w:color w:val="000000"/>
                <w:sz w:val="14"/>
                <w:szCs w:val="14"/>
              </w:rPr>
              <w:t>(41,248</w:t>
            </w:r>
          </w:p>
        </w:tc>
        <w:tc>
          <w:tcPr>
            <w:tcW w:w="50" w:type="pct"/>
            <w:shd w:val="clear" w:color="auto" w:fill="FFFFFF"/>
            <w:noWrap/>
            <w:tcMar>
              <w:top w:w="15" w:type="dxa"/>
              <w:left w:w="0" w:type="dxa"/>
              <w:bottom w:w="0" w:type="dxa"/>
              <w:right w:w="15" w:type="dxa"/>
            </w:tcMar>
            <w:vAlign w:val="bottom"/>
            <w:hideMark/>
          </w:tcPr>
          <w:p w14:paraId="41E59A47"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205C613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30B845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BE1621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07BD2D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954191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A5417F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727716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F36A27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E03501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25AB9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033F90D" w14:textId="77777777" w:rsidR="00000000" w:rsidRDefault="007125B5">
            <w:pPr>
              <w:pStyle w:val="a3"/>
              <w:spacing w:before="0" w:beforeAutospacing="0" w:after="0" w:afterAutospacing="0"/>
              <w:jc w:val="right"/>
              <w:rPr>
                <w:color w:val="000000"/>
                <w:sz w:val="14"/>
                <w:szCs w:val="14"/>
              </w:rPr>
            </w:pPr>
            <w:r>
              <w:rPr>
                <w:color w:val="000000"/>
                <w:sz w:val="14"/>
                <w:szCs w:val="14"/>
              </w:rPr>
              <w:t>(41,248</w:t>
            </w:r>
          </w:p>
        </w:tc>
        <w:tc>
          <w:tcPr>
            <w:tcW w:w="50" w:type="pct"/>
            <w:shd w:val="clear" w:color="auto" w:fill="FFFFFF"/>
            <w:noWrap/>
            <w:tcMar>
              <w:top w:w="15" w:type="dxa"/>
              <w:left w:w="0" w:type="dxa"/>
              <w:bottom w:w="0" w:type="dxa"/>
              <w:right w:w="15" w:type="dxa"/>
            </w:tcMar>
            <w:vAlign w:val="bottom"/>
            <w:hideMark/>
          </w:tcPr>
          <w:p w14:paraId="34E6289D"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23C55E82" w14:textId="77777777">
        <w:trPr>
          <w:divId w:val="1678078014"/>
          <w:jc w:val="center"/>
        </w:trPr>
        <w:tc>
          <w:tcPr>
            <w:tcW w:w="1045" w:type="pct"/>
            <w:shd w:val="clear" w:color="auto" w:fill="CFF0FC"/>
            <w:tcMar>
              <w:top w:w="15" w:type="dxa"/>
              <w:left w:w="0" w:type="dxa"/>
              <w:bottom w:w="0" w:type="dxa"/>
              <w:right w:w="15" w:type="dxa"/>
            </w:tcMar>
            <w:hideMark/>
          </w:tcPr>
          <w:p w14:paraId="25DD9959" w14:textId="77777777" w:rsidR="00000000" w:rsidRDefault="007125B5">
            <w:pPr>
              <w:pStyle w:val="a3"/>
              <w:spacing w:before="0" w:beforeAutospacing="0" w:after="0" w:afterAutospacing="0"/>
              <w:rPr>
                <w:color w:val="000000"/>
                <w:sz w:val="14"/>
                <w:szCs w:val="14"/>
              </w:rPr>
            </w:pPr>
            <w:r>
              <w:rPr>
                <w:color w:val="000000"/>
                <w:sz w:val="14"/>
                <w:szCs w:val="14"/>
              </w:rPr>
              <w:t>Accretion of the redeemable</w:t>
            </w:r>
          </w:p>
          <w:p w14:paraId="4150AFE4" w14:textId="77777777" w:rsidR="00000000" w:rsidRDefault="007125B5">
            <w:pPr>
              <w:pStyle w:val="a3"/>
              <w:spacing w:before="0" w:beforeAutospacing="0" w:after="0" w:afterAutospacing="0"/>
              <w:rPr>
                <w:color w:val="000000"/>
                <w:sz w:val="14"/>
                <w:szCs w:val="14"/>
              </w:rPr>
            </w:pPr>
            <w:r>
              <w:rPr>
                <w:color w:val="000000"/>
                <w:sz w:val="14"/>
                <w:szCs w:val="14"/>
              </w:rPr>
              <w:t>   series A-1 preferred stock to</w:t>
            </w:r>
          </w:p>
          <w:p w14:paraId="4F789F62" w14:textId="77777777" w:rsidR="00000000" w:rsidRDefault="007125B5">
            <w:pPr>
              <w:pStyle w:val="a3"/>
              <w:spacing w:before="0" w:beforeAutospacing="0" w:after="0" w:afterAutospacing="0"/>
              <w:rPr>
                <w:color w:val="000000"/>
                <w:sz w:val="14"/>
                <w:szCs w:val="14"/>
              </w:rPr>
            </w:pPr>
            <w:r>
              <w:rPr>
                <w:color w:val="000000"/>
                <w:sz w:val="14"/>
                <w:szCs w:val="14"/>
              </w:rPr>
              <w:t>   redeemable value</w:t>
            </w:r>
          </w:p>
        </w:tc>
        <w:tc>
          <w:tcPr>
            <w:tcW w:w="35" w:type="pct"/>
            <w:shd w:val="clear" w:color="auto" w:fill="CFF0FC"/>
            <w:tcMar>
              <w:top w:w="15" w:type="dxa"/>
              <w:left w:w="0" w:type="dxa"/>
              <w:bottom w:w="0" w:type="dxa"/>
              <w:right w:w="15" w:type="dxa"/>
            </w:tcMar>
            <w:vAlign w:val="bottom"/>
            <w:hideMark/>
          </w:tcPr>
          <w:p w14:paraId="61875F7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1667BE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3AB0ED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464955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1C0DDD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F0AD79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DFDCA4B" w14:textId="77777777" w:rsidR="00000000" w:rsidRDefault="007125B5">
            <w:pPr>
              <w:pStyle w:val="a3"/>
              <w:spacing w:before="0" w:beforeAutospacing="0" w:after="0" w:afterAutospacing="0"/>
              <w:jc w:val="right"/>
              <w:rPr>
                <w:color w:val="000000"/>
                <w:sz w:val="14"/>
                <w:szCs w:val="14"/>
              </w:rPr>
            </w:pPr>
            <w:r>
              <w:rPr>
                <w:color w:val="000000"/>
                <w:sz w:val="14"/>
                <w:szCs w:val="14"/>
              </w:rPr>
              <w:t>5,415</w:t>
            </w:r>
          </w:p>
        </w:tc>
        <w:tc>
          <w:tcPr>
            <w:tcW w:w="50" w:type="pct"/>
            <w:shd w:val="clear" w:color="auto" w:fill="CFF0FC"/>
            <w:noWrap/>
            <w:tcMar>
              <w:top w:w="15" w:type="dxa"/>
              <w:left w:w="0" w:type="dxa"/>
              <w:bottom w:w="0" w:type="dxa"/>
              <w:right w:w="15" w:type="dxa"/>
            </w:tcMar>
            <w:vAlign w:val="bottom"/>
            <w:hideMark/>
          </w:tcPr>
          <w:p w14:paraId="6C46849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85ABEB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C54904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331084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B1692A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C0435B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88D26F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A1C8CC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45166D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71E40B7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5497E24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1D01A0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07844C4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96EF45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09FADE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8E0498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4F7146C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7B5745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73D405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3D92FE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E108265" w14:textId="77777777" w:rsidR="00000000" w:rsidRDefault="007125B5">
            <w:pPr>
              <w:pStyle w:val="a3"/>
              <w:spacing w:before="0" w:beforeAutospacing="0" w:after="0" w:afterAutospacing="0"/>
              <w:jc w:val="right"/>
              <w:rPr>
                <w:color w:val="000000"/>
                <w:sz w:val="14"/>
                <w:szCs w:val="14"/>
              </w:rPr>
            </w:pPr>
            <w:r>
              <w:rPr>
                <w:color w:val="000000"/>
                <w:sz w:val="14"/>
                <w:szCs w:val="14"/>
              </w:rPr>
              <w:t>(5,415</w:t>
            </w:r>
          </w:p>
        </w:tc>
        <w:tc>
          <w:tcPr>
            <w:tcW w:w="50" w:type="pct"/>
            <w:shd w:val="clear" w:color="auto" w:fill="CFF0FC"/>
            <w:noWrap/>
            <w:tcMar>
              <w:top w:w="15" w:type="dxa"/>
              <w:left w:w="0" w:type="dxa"/>
              <w:bottom w:w="0" w:type="dxa"/>
              <w:right w:w="15" w:type="dxa"/>
            </w:tcMar>
            <w:vAlign w:val="bottom"/>
            <w:hideMark/>
          </w:tcPr>
          <w:p w14:paraId="3A673ABA"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2544C9D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AFFEF8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795179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DB7A86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9C3F3A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D67E42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5A9724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09114A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8D16FC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5BA18D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F578C2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CA7A56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68245E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EC079B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9098624" w14:textId="77777777" w:rsidR="00000000" w:rsidRDefault="007125B5">
            <w:pPr>
              <w:pStyle w:val="a3"/>
              <w:spacing w:before="0" w:beforeAutospacing="0" w:after="0" w:afterAutospacing="0"/>
              <w:jc w:val="right"/>
              <w:rPr>
                <w:color w:val="000000"/>
                <w:sz w:val="14"/>
                <w:szCs w:val="14"/>
              </w:rPr>
            </w:pPr>
            <w:r>
              <w:rPr>
                <w:color w:val="000000"/>
                <w:sz w:val="14"/>
                <w:szCs w:val="14"/>
              </w:rPr>
              <w:t>(5,415</w:t>
            </w:r>
          </w:p>
        </w:tc>
        <w:tc>
          <w:tcPr>
            <w:tcW w:w="50" w:type="pct"/>
            <w:shd w:val="clear" w:color="auto" w:fill="CFF0FC"/>
            <w:noWrap/>
            <w:tcMar>
              <w:top w:w="15" w:type="dxa"/>
              <w:left w:w="0" w:type="dxa"/>
              <w:bottom w:w="0" w:type="dxa"/>
              <w:right w:w="15" w:type="dxa"/>
            </w:tcMar>
            <w:vAlign w:val="bottom"/>
            <w:hideMark/>
          </w:tcPr>
          <w:p w14:paraId="2D6C033F"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5B3216D6" w14:textId="77777777">
        <w:trPr>
          <w:divId w:val="1678078014"/>
          <w:jc w:val="center"/>
        </w:trPr>
        <w:tc>
          <w:tcPr>
            <w:tcW w:w="1045" w:type="pct"/>
            <w:shd w:val="clear" w:color="auto" w:fill="FFFFFF"/>
            <w:tcMar>
              <w:top w:w="15" w:type="dxa"/>
              <w:left w:w="0" w:type="dxa"/>
              <w:bottom w:w="0" w:type="dxa"/>
              <w:right w:w="15" w:type="dxa"/>
            </w:tcMar>
            <w:hideMark/>
          </w:tcPr>
          <w:p w14:paraId="65C753CD" w14:textId="77777777" w:rsidR="00000000" w:rsidRDefault="007125B5">
            <w:pPr>
              <w:pStyle w:val="a3"/>
              <w:spacing w:before="0" w:beforeAutospacing="0" w:after="0" w:afterAutospacing="0"/>
              <w:rPr>
                <w:color w:val="000000"/>
                <w:sz w:val="14"/>
                <w:szCs w:val="14"/>
              </w:rPr>
            </w:pPr>
            <w:r>
              <w:rPr>
                <w:color w:val="000000"/>
                <w:sz w:val="14"/>
                <w:szCs w:val="14"/>
              </w:rPr>
              <w:t>Stock-based compensation</w:t>
            </w:r>
          </w:p>
        </w:tc>
        <w:tc>
          <w:tcPr>
            <w:tcW w:w="35" w:type="pct"/>
            <w:shd w:val="clear" w:color="auto" w:fill="FFFFFF"/>
            <w:tcMar>
              <w:top w:w="15" w:type="dxa"/>
              <w:left w:w="0" w:type="dxa"/>
              <w:bottom w:w="0" w:type="dxa"/>
              <w:right w:w="15" w:type="dxa"/>
            </w:tcMar>
            <w:vAlign w:val="bottom"/>
            <w:hideMark/>
          </w:tcPr>
          <w:p w14:paraId="2AE6D09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3DDFB8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606C0A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C1AC93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AA66CC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DA78C1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FB750D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6A4F7D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1C49B4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E8567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ED9E35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7F4960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D2CF85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140F5D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424A5E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CFC81F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6E133A7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72B707F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2B8E6F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A809A8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2B4BA9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A67A16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4A8B9A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7E5FF9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D8B6D9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8F73D7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FFE371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693D83A" w14:textId="77777777" w:rsidR="00000000" w:rsidRDefault="007125B5">
            <w:pPr>
              <w:pStyle w:val="a3"/>
              <w:spacing w:before="0" w:beforeAutospacing="0" w:after="0" w:afterAutospacing="0"/>
              <w:jc w:val="right"/>
              <w:rPr>
                <w:color w:val="000000"/>
                <w:sz w:val="14"/>
                <w:szCs w:val="14"/>
              </w:rPr>
            </w:pPr>
            <w:r>
              <w:rPr>
                <w:color w:val="000000"/>
                <w:sz w:val="14"/>
                <w:szCs w:val="14"/>
              </w:rPr>
              <w:t>1,150</w:t>
            </w:r>
          </w:p>
        </w:tc>
        <w:tc>
          <w:tcPr>
            <w:tcW w:w="50" w:type="pct"/>
            <w:shd w:val="clear" w:color="auto" w:fill="FFFFFF"/>
            <w:noWrap/>
            <w:tcMar>
              <w:top w:w="15" w:type="dxa"/>
              <w:left w:w="0" w:type="dxa"/>
              <w:bottom w:w="0" w:type="dxa"/>
              <w:right w:w="15" w:type="dxa"/>
            </w:tcMar>
            <w:vAlign w:val="bottom"/>
            <w:hideMark/>
          </w:tcPr>
          <w:p w14:paraId="30DAFA5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BC3C50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06BB34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EC99B0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74D85D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41502D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51ADB9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267998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B7ACB0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0CBC1B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3D3016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0E91B7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9D0732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CDEC32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8F2D37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6A66912" w14:textId="77777777" w:rsidR="00000000" w:rsidRDefault="007125B5">
            <w:pPr>
              <w:pStyle w:val="a3"/>
              <w:spacing w:before="0" w:beforeAutospacing="0" w:after="0" w:afterAutospacing="0"/>
              <w:jc w:val="right"/>
              <w:rPr>
                <w:color w:val="000000"/>
                <w:sz w:val="14"/>
                <w:szCs w:val="14"/>
              </w:rPr>
            </w:pPr>
            <w:r>
              <w:rPr>
                <w:color w:val="000000"/>
                <w:sz w:val="14"/>
                <w:szCs w:val="14"/>
              </w:rPr>
              <w:t>1,150</w:t>
            </w:r>
          </w:p>
        </w:tc>
        <w:tc>
          <w:tcPr>
            <w:tcW w:w="50" w:type="pct"/>
            <w:shd w:val="clear" w:color="auto" w:fill="FFFFFF"/>
            <w:noWrap/>
            <w:tcMar>
              <w:top w:w="15" w:type="dxa"/>
              <w:left w:w="0" w:type="dxa"/>
              <w:bottom w:w="0" w:type="dxa"/>
              <w:right w:w="15" w:type="dxa"/>
            </w:tcMar>
            <w:vAlign w:val="bottom"/>
            <w:hideMark/>
          </w:tcPr>
          <w:p w14:paraId="2919BB45"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54858430" w14:textId="77777777">
        <w:trPr>
          <w:divId w:val="1678078014"/>
          <w:jc w:val="center"/>
        </w:trPr>
        <w:tc>
          <w:tcPr>
            <w:tcW w:w="1045" w:type="pct"/>
            <w:shd w:val="clear" w:color="auto" w:fill="CFF0FC"/>
            <w:tcMar>
              <w:top w:w="15" w:type="dxa"/>
              <w:left w:w="0" w:type="dxa"/>
              <w:bottom w:w="0" w:type="dxa"/>
              <w:right w:w="15" w:type="dxa"/>
            </w:tcMar>
            <w:hideMark/>
          </w:tcPr>
          <w:p w14:paraId="2BA3089A" w14:textId="77777777" w:rsidR="00000000" w:rsidRDefault="007125B5">
            <w:pPr>
              <w:pStyle w:val="a3"/>
              <w:spacing w:before="0" w:beforeAutospacing="0" w:after="0" w:afterAutospacing="0"/>
              <w:rPr>
                <w:color w:val="000000"/>
                <w:sz w:val="14"/>
                <w:szCs w:val="14"/>
              </w:rPr>
            </w:pPr>
            <w:r>
              <w:rPr>
                <w:color w:val="000000"/>
                <w:sz w:val="14"/>
                <w:szCs w:val="14"/>
              </w:rPr>
              <w:t>Accumulated other comprehensive</w:t>
            </w:r>
          </w:p>
          <w:p w14:paraId="288DD543" w14:textId="77777777" w:rsidR="00000000" w:rsidRDefault="007125B5">
            <w:pPr>
              <w:pStyle w:val="a3"/>
              <w:spacing w:before="0" w:beforeAutospacing="0" w:after="0" w:afterAutospacing="0"/>
              <w:rPr>
                <w:color w:val="000000"/>
                <w:sz w:val="14"/>
                <w:szCs w:val="14"/>
              </w:rPr>
            </w:pPr>
            <w:r>
              <w:rPr>
                <w:color w:val="000000"/>
                <w:sz w:val="14"/>
                <w:szCs w:val="14"/>
              </w:rPr>
              <w:t>   loss</w:t>
            </w:r>
          </w:p>
        </w:tc>
        <w:tc>
          <w:tcPr>
            <w:tcW w:w="35" w:type="pct"/>
            <w:shd w:val="clear" w:color="auto" w:fill="CFF0FC"/>
            <w:tcMar>
              <w:top w:w="15" w:type="dxa"/>
              <w:left w:w="0" w:type="dxa"/>
              <w:bottom w:w="0" w:type="dxa"/>
              <w:right w:w="15" w:type="dxa"/>
            </w:tcMar>
            <w:vAlign w:val="bottom"/>
            <w:hideMark/>
          </w:tcPr>
          <w:p w14:paraId="643B329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10E77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98C3F1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45DD33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E7CA7B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3BF7C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A9E039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AFC46F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B3C4C6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34CB66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20FD9DB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C97BC8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428ABD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540E7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EBB1AFB"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B06FAC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05CF9E3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08F4F8C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F798A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0DA7C2F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7EE589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DC965C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2537EA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582EBF4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46E101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D6C43C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D70378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510006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1EC43A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FEBA45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0CC5E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B10D1A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F490B3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03FA1A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28923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037E94C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A1DC09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271A90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6E8BB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44F3F12F" w14:textId="77777777" w:rsidR="00000000" w:rsidRDefault="007125B5">
            <w:pPr>
              <w:pStyle w:val="a3"/>
              <w:spacing w:before="0" w:beforeAutospacing="0" w:after="0" w:afterAutospacing="0"/>
              <w:jc w:val="right"/>
              <w:rPr>
                <w:color w:val="000000"/>
                <w:sz w:val="14"/>
                <w:szCs w:val="14"/>
              </w:rPr>
            </w:pPr>
            <w:r>
              <w:rPr>
                <w:color w:val="000000"/>
                <w:sz w:val="14"/>
                <w:szCs w:val="14"/>
              </w:rPr>
              <w:t>37</w:t>
            </w:r>
          </w:p>
        </w:tc>
        <w:tc>
          <w:tcPr>
            <w:tcW w:w="50" w:type="pct"/>
            <w:shd w:val="clear" w:color="auto" w:fill="CFF0FC"/>
            <w:noWrap/>
            <w:tcMar>
              <w:top w:w="15" w:type="dxa"/>
              <w:left w:w="0" w:type="dxa"/>
              <w:bottom w:w="0" w:type="dxa"/>
              <w:right w:w="15" w:type="dxa"/>
            </w:tcMar>
            <w:vAlign w:val="bottom"/>
            <w:hideMark/>
          </w:tcPr>
          <w:p w14:paraId="5D7866F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F13428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ED5B9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3CDE87A4" w14:textId="77777777" w:rsidR="00000000" w:rsidRDefault="007125B5">
            <w:pPr>
              <w:pStyle w:val="a3"/>
              <w:spacing w:before="0" w:beforeAutospacing="0" w:after="0" w:afterAutospacing="0"/>
              <w:jc w:val="right"/>
              <w:rPr>
                <w:color w:val="000000"/>
                <w:sz w:val="14"/>
                <w:szCs w:val="14"/>
              </w:rPr>
            </w:pPr>
            <w:r>
              <w:rPr>
                <w:color w:val="000000"/>
                <w:sz w:val="14"/>
                <w:szCs w:val="14"/>
              </w:rPr>
              <w:t>37</w:t>
            </w:r>
          </w:p>
        </w:tc>
        <w:tc>
          <w:tcPr>
            <w:tcW w:w="50" w:type="pct"/>
            <w:shd w:val="clear" w:color="auto" w:fill="CFF0FC"/>
            <w:noWrap/>
            <w:tcMar>
              <w:top w:w="15" w:type="dxa"/>
              <w:left w:w="0" w:type="dxa"/>
              <w:bottom w:w="0" w:type="dxa"/>
              <w:right w:w="15" w:type="dxa"/>
            </w:tcMar>
            <w:vAlign w:val="bottom"/>
            <w:hideMark/>
          </w:tcPr>
          <w:p w14:paraId="400680BC"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004EB16C" w14:textId="77777777">
        <w:trPr>
          <w:divId w:val="1678078014"/>
          <w:jc w:val="center"/>
        </w:trPr>
        <w:tc>
          <w:tcPr>
            <w:tcW w:w="1045" w:type="pct"/>
            <w:shd w:val="clear" w:color="auto" w:fill="FFFFFF"/>
            <w:tcMar>
              <w:top w:w="15" w:type="dxa"/>
              <w:left w:w="0" w:type="dxa"/>
              <w:bottom w:w="0" w:type="dxa"/>
              <w:right w:w="15" w:type="dxa"/>
            </w:tcMar>
            <w:hideMark/>
          </w:tcPr>
          <w:p w14:paraId="212D01C0" w14:textId="77777777" w:rsidR="00000000" w:rsidRDefault="007125B5">
            <w:pPr>
              <w:pStyle w:val="a3"/>
              <w:spacing w:before="0" w:beforeAutospacing="0" w:after="0" w:afterAutospacing="0"/>
              <w:rPr>
                <w:color w:val="000000"/>
                <w:sz w:val="14"/>
                <w:szCs w:val="14"/>
              </w:rPr>
            </w:pPr>
            <w:r>
              <w:rPr>
                <w:color w:val="000000"/>
                <w:sz w:val="14"/>
                <w:szCs w:val="14"/>
              </w:rPr>
              <w:t>BALANCE—March 31, 2020</w:t>
            </w:r>
          </w:p>
        </w:tc>
        <w:tc>
          <w:tcPr>
            <w:tcW w:w="35" w:type="pct"/>
            <w:shd w:val="clear" w:color="auto" w:fill="FFFFFF"/>
            <w:tcMar>
              <w:top w:w="15" w:type="dxa"/>
              <w:left w:w="0" w:type="dxa"/>
              <w:bottom w:w="0" w:type="dxa"/>
              <w:right w:w="15" w:type="dxa"/>
            </w:tcMar>
            <w:vAlign w:val="bottom"/>
            <w:hideMark/>
          </w:tcPr>
          <w:p w14:paraId="56A8F43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AD0D0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D906AE" w14:textId="77777777" w:rsidR="00000000" w:rsidRDefault="007125B5">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FFFFFF"/>
            <w:noWrap/>
            <w:tcMar>
              <w:top w:w="15" w:type="dxa"/>
              <w:left w:w="0" w:type="dxa"/>
              <w:bottom w:w="0" w:type="dxa"/>
              <w:right w:w="15" w:type="dxa"/>
            </w:tcMar>
            <w:vAlign w:val="bottom"/>
            <w:hideMark/>
          </w:tcPr>
          <w:p w14:paraId="5FE20BD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DED0DA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316B48"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ED51D8" w14:textId="77777777" w:rsidR="00000000" w:rsidRDefault="007125B5">
            <w:pPr>
              <w:pStyle w:val="a3"/>
              <w:spacing w:before="0" w:beforeAutospacing="0" w:after="0" w:afterAutospacing="0"/>
              <w:jc w:val="right"/>
              <w:rPr>
                <w:color w:val="000000"/>
                <w:sz w:val="14"/>
                <w:szCs w:val="14"/>
              </w:rPr>
            </w:pPr>
            <w:r>
              <w:rPr>
                <w:color w:val="000000"/>
                <w:sz w:val="14"/>
                <w:szCs w:val="14"/>
              </w:rPr>
              <w:t>134,237</w:t>
            </w:r>
          </w:p>
        </w:tc>
        <w:tc>
          <w:tcPr>
            <w:tcW w:w="50" w:type="pct"/>
            <w:shd w:val="clear" w:color="auto" w:fill="FFFFFF"/>
            <w:noWrap/>
            <w:tcMar>
              <w:top w:w="15" w:type="dxa"/>
              <w:left w:w="0" w:type="dxa"/>
              <w:bottom w:w="0" w:type="dxa"/>
              <w:right w:w="15" w:type="dxa"/>
            </w:tcMar>
            <w:vAlign w:val="bottom"/>
            <w:hideMark/>
          </w:tcPr>
          <w:p w14:paraId="3F69972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0D851D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C77D9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28F7D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BB80C7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EC29DD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2D7FC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8B736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FD7BB5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1239FE6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55E15F2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0C3BA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5A33E3" w14:textId="77777777" w:rsidR="00000000" w:rsidRDefault="007125B5">
            <w:pPr>
              <w:pStyle w:val="a3"/>
              <w:spacing w:before="0" w:beforeAutospacing="0" w:after="0" w:afterAutospacing="0"/>
              <w:jc w:val="right"/>
              <w:rPr>
                <w:color w:val="000000"/>
                <w:sz w:val="14"/>
                <w:szCs w:val="14"/>
              </w:rPr>
            </w:pPr>
            <w:r>
              <w:rPr>
                <w:color w:val="000000"/>
                <w:sz w:val="14"/>
                <w:szCs w:val="14"/>
              </w:rPr>
              <w:t>8,370,107</w:t>
            </w:r>
          </w:p>
        </w:tc>
        <w:tc>
          <w:tcPr>
            <w:tcW w:w="50" w:type="pct"/>
            <w:shd w:val="clear" w:color="auto" w:fill="FFFFFF"/>
            <w:noWrap/>
            <w:tcMar>
              <w:top w:w="15" w:type="dxa"/>
              <w:left w:w="0" w:type="dxa"/>
              <w:bottom w:w="0" w:type="dxa"/>
              <w:right w:w="15" w:type="dxa"/>
            </w:tcMar>
            <w:vAlign w:val="bottom"/>
            <w:hideMark/>
          </w:tcPr>
          <w:p w14:paraId="218575B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801B6B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CA432D"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7FC28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656A32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4BF42B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6FAEC3"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905CE9" w14:textId="77777777" w:rsidR="00000000" w:rsidRDefault="007125B5">
            <w:pPr>
              <w:pStyle w:val="a3"/>
              <w:spacing w:before="0" w:beforeAutospacing="0" w:after="0" w:afterAutospacing="0"/>
              <w:jc w:val="right"/>
              <w:rPr>
                <w:color w:val="000000"/>
                <w:sz w:val="14"/>
                <w:szCs w:val="14"/>
              </w:rPr>
            </w:pPr>
            <w:r>
              <w:rPr>
                <w:color w:val="000000"/>
                <w:sz w:val="14"/>
                <w:szCs w:val="14"/>
              </w:rPr>
              <w:t>33,888</w:t>
            </w:r>
          </w:p>
        </w:tc>
        <w:tc>
          <w:tcPr>
            <w:tcW w:w="50" w:type="pct"/>
            <w:shd w:val="clear" w:color="auto" w:fill="FFFFFF"/>
            <w:noWrap/>
            <w:tcMar>
              <w:top w:w="15" w:type="dxa"/>
              <w:left w:w="0" w:type="dxa"/>
              <w:bottom w:w="0" w:type="dxa"/>
              <w:right w:w="15" w:type="dxa"/>
            </w:tcMar>
            <w:vAlign w:val="bottom"/>
            <w:hideMark/>
          </w:tcPr>
          <w:p w14:paraId="004929F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1DBC1F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AD2DB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C0DAC0" w14:textId="77777777" w:rsidR="00000000" w:rsidRDefault="007125B5">
            <w:pPr>
              <w:pStyle w:val="a3"/>
              <w:spacing w:before="0" w:beforeAutospacing="0" w:after="0" w:afterAutospacing="0"/>
              <w:jc w:val="right"/>
              <w:rPr>
                <w:color w:val="000000"/>
                <w:sz w:val="14"/>
                <w:szCs w:val="14"/>
              </w:rPr>
            </w:pPr>
            <w:r>
              <w:rPr>
                <w:color w:val="000000"/>
                <w:sz w:val="14"/>
                <w:szCs w:val="14"/>
              </w:rPr>
              <w:t>(105,652</w:t>
            </w:r>
          </w:p>
        </w:tc>
        <w:tc>
          <w:tcPr>
            <w:tcW w:w="50" w:type="pct"/>
            <w:shd w:val="clear" w:color="auto" w:fill="FFFFFF"/>
            <w:noWrap/>
            <w:tcMar>
              <w:top w:w="15" w:type="dxa"/>
              <w:left w:w="0" w:type="dxa"/>
              <w:bottom w:w="0" w:type="dxa"/>
              <w:right w:w="15" w:type="dxa"/>
            </w:tcMar>
            <w:vAlign w:val="bottom"/>
            <w:hideMark/>
          </w:tcPr>
          <w:p w14:paraId="7D94C60C"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4F7EB37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B6E44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600C5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0C59D2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82AA23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9D9836"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E4F1A2" w14:textId="77777777" w:rsidR="00000000" w:rsidRDefault="007125B5">
            <w:pPr>
              <w:pStyle w:val="a3"/>
              <w:spacing w:before="0" w:beforeAutospacing="0" w:after="0" w:afterAutospacing="0"/>
              <w:jc w:val="right"/>
              <w:rPr>
                <w:color w:val="000000"/>
                <w:sz w:val="14"/>
                <w:szCs w:val="14"/>
              </w:rPr>
            </w:pPr>
            <w:r>
              <w:rPr>
                <w:color w:val="000000"/>
                <w:sz w:val="14"/>
                <w:szCs w:val="14"/>
              </w:rPr>
              <w:t>(3</w:t>
            </w:r>
          </w:p>
        </w:tc>
        <w:tc>
          <w:tcPr>
            <w:tcW w:w="50" w:type="pct"/>
            <w:shd w:val="clear" w:color="auto" w:fill="FFFFFF"/>
            <w:noWrap/>
            <w:tcMar>
              <w:top w:w="15" w:type="dxa"/>
              <w:left w:w="0" w:type="dxa"/>
              <w:bottom w:w="0" w:type="dxa"/>
              <w:right w:w="15" w:type="dxa"/>
            </w:tcMar>
            <w:vAlign w:val="bottom"/>
            <w:hideMark/>
          </w:tcPr>
          <w:p w14:paraId="7816BF8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1BBE523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640BD2"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267850" w14:textId="77777777" w:rsidR="00000000" w:rsidRDefault="007125B5">
            <w:pPr>
              <w:pStyle w:val="a3"/>
              <w:spacing w:before="0" w:beforeAutospacing="0" w:after="0" w:afterAutospacing="0"/>
              <w:jc w:val="right"/>
              <w:rPr>
                <w:color w:val="000000"/>
                <w:sz w:val="14"/>
                <w:szCs w:val="14"/>
              </w:rPr>
            </w:pPr>
            <w:r>
              <w:rPr>
                <w:color w:val="000000"/>
                <w:sz w:val="14"/>
                <w:szCs w:val="14"/>
              </w:rPr>
              <w:t>(71,767</w:t>
            </w:r>
          </w:p>
        </w:tc>
        <w:tc>
          <w:tcPr>
            <w:tcW w:w="50" w:type="pct"/>
            <w:shd w:val="clear" w:color="auto" w:fill="FFFFFF"/>
            <w:noWrap/>
            <w:tcMar>
              <w:top w:w="15" w:type="dxa"/>
              <w:left w:w="0" w:type="dxa"/>
              <w:bottom w:w="0" w:type="dxa"/>
              <w:right w:w="15" w:type="dxa"/>
            </w:tcMar>
            <w:vAlign w:val="bottom"/>
            <w:hideMark/>
          </w:tcPr>
          <w:p w14:paraId="1AE28D2D"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532454B7" w14:textId="77777777">
        <w:trPr>
          <w:divId w:val="1678078014"/>
          <w:jc w:val="center"/>
        </w:trPr>
        <w:tc>
          <w:tcPr>
            <w:tcW w:w="1045" w:type="pct"/>
            <w:shd w:val="clear" w:color="auto" w:fill="CFF0FC"/>
            <w:tcMar>
              <w:top w:w="15" w:type="dxa"/>
              <w:left w:w="0" w:type="dxa"/>
              <w:bottom w:w="0" w:type="dxa"/>
              <w:right w:w="15" w:type="dxa"/>
            </w:tcMar>
            <w:hideMark/>
          </w:tcPr>
          <w:p w14:paraId="65F926F1" w14:textId="77777777" w:rsidR="00000000" w:rsidRDefault="007125B5">
            <w:pPr>
              <w:pStyle w:val="a3"/>
              <w:spacing w:before="0" w:beforeAutospacing="0" w:after="0" w:afterAutospacing="0"/>
              <w:rPr>
                <w:color w:val="000000"/>
                <w:sz w:val="14"/>
                <w:szCs w:val="14"/>
              </w:rPr>
            </w:pPr>
            <w:r>
              <w:rPr>
                <w:color w:val="000000"/>
                <w:sz w:val="14"/>
                <w:szCs w:val="14"/>
              </w:rPr>
              <w:t>Net income</w:t>
            </w:r>
          </w:p>
        </w:tc>
        <w:tc>
          <w:tcPr>
            <w:tcW w:w="35" w:type="pct"/>
            <w:shd w:val="clear" w:color="auto" w:fill="CFF0FC"/>
            <w:tcMar>
              <w:top w:w="15" w:type="dxa"/>
              <w:left w:w="0" w:type="dxa"/>
              <w:bottom w:w="0" w:type="dxa"/>
              <w:right w:w="15" w:type="dxa"/>
            </w:tcMar>
            <w:vAlign w:val="bottom"/>
            <w:hideMark/>
          </w:tcPr>
          <w:p w14:paraId="2257D9E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F5009F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5C9A999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203791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A4A5B6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1A045C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1CA2675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D646D3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0BDEE2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16649F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4C2FCBD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0AAD0E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41D8AF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C68ACB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66B624B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4AC856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1987C93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093E3CF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3B4786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2D7B467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D4ABDD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761919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51AEF0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15518B1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4526C4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91138C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4BC520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07A4D78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9ED13D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71FB32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6284C3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23008F42" w14:textId="77777777" w:rsidR="00000000" w:rsidRDefault="007125B5">
            <w:pPr>
              <w:pStyle w:val="a3"/>
              <w:spacing w:before="0" w:beforeAutospacing="0" w:after="0" w:afterAutospacing="0"/>
              <w:jc w:val="right"/>
              <w:rPr>
                <w:color w:val="000000"/>
                <w:sz w:val="14"/>
                <w:szCs w:val="14"/>
              </w:rPr>
            </w:pPr>
            <w:r>
              <w:rPr>
                <w:color w:val="000000"/>
                <w:sz w:val="14"/>
                <w:szCs w:val="14"/>
              </w:rPr>
              <w:t>13,224</w:t>
            </w:r>
          </w:p>
        </w:tc>
        <w:tc>
          <w:tcPr>
            <w:tcW w:w="50" w:type="pct"/>
            <w:shd w:val="clear" w:color="auto" w:fill="CFF0FC"/>
            <w:noWrap/>
            <w:tcMar>
              <w:top w:w="15" w:type="dxa"/>
              <w:left w:w="0" w:type="dxa"/>
              <w:bottom w:w="0" w:type="dxa"/>
              <w:right w:w="15" w:type="dxa"/>
            </w:tcMar>
            <w:vAlign w:val="bottom"/>
            <w:hideMark/>
          </w:tcPr>
          <w:p w14:paraId="6784901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397EC1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649EBC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6CE60F1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0DD1C1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D8AEC8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5A0D8E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66ADD1E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55BAA9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8AD65B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F23C9B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double" w:sz="6" w:space="0" w:color="000000"/>
            </w:tcBorders>
            <w:shd w:val="clear" w:color="auto" w:fill="CFF0FC"/>
            <w:noWrap/>
            <w:tcMar>
              <w:top w:w="15" w:type="dxa"/>
              <w:left w:w="0" w:type="dxa"/>
              <w:bottom w:w="0" w:type="dxa"/>
              <w:right w:w="15" w:type="dxa"/>
            </w:tcMar>
            <w:vAlign w:val="bottom"/>
            <w:hideMark/>
          </w:tcPr>
          <w:p w14:paraId="2AFD4539" w14:textId="77777777" w:rsidR="00000000" w:rsidRDefault="007125B5">
            <w:pPr>
              <w:pStyle w:val="a3"/>
              <w:spacing w:before="0" w:beforeAutospacing="0" w:after="0" w:afterAutospacing="0"/>
              <w:jc w:val="right"/>
              <w:rPr>
                <w:color w:val="000000"/>
                <w:sz w:val="14"/>
                <w:szCs w:val="14"/>
              </w:rPr>
            </w:pPr>
            <w:r>
              <w:rPr>
                <w:color w:val="000000"/>
                <w:sz w:val="14"/>
                <w:szCs w:val="14"/>
              </w:rPr>
              <w:t>13,224</w:t>
            </w:r>
          </w:p>
        </w:tc>
        <w:tc>
          <w:tcPr>
            <w:tcW w:w="50" w:type="pct"/>
            <w:shd w:val="clear" w:color="auto" w:fill="CFF0FC"/>
            <w:noWrap/>
            <w:tcMar>
              <w:top w:w="15" w:type="dxa"/>
              <w:left w:w="0" w:type="dxa"/>
              <w:bottom w:w="0" w:type="dxa"/>
              <w:right w:w="15" w:type="dxa"/>
            </w:tcMar>
            <w:vAlign w:val="bottom"/>
            <w:hideMark/>
          </w:tcPr>
          <w:p w14:paraId="51555ED8"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03EC0C88" w14:textId="77777777">
        <w:trPr>
          <w:divId w:val="1678078014"/>
          <w:jc w:val="center"/>
        </w:trPr>
        <w:tc>
          <w:tcPr>
            <w:tcW w:w="1045" w:type="pct"/>
            <w:shd w:val="clear" w:color="auto" w:fill="FFFFFF"/>
            <w:tcMar>
              <w:top w:w="15" w:type="dxa"/>
              <w:left w:w="0" w:type="dxa"/>
              <w:bottom w:w="0" w:type="dxa"/>
              <w:right w:w="15" w:type="dxa"/>
            </w:tcMar>
            <w:hideMark/>
          </w:tcPr>
          <w:p w14:paraId="33D2DEED" w14:textId="77777777" w:rsidR="00000000" w:rsidRDefault="007125B5">
            <w:pPr>
              <w:pStyle w:val="a3"/>
              <w:spacing w:before="0" w:beforeAutospacing="0" w:after="0" w:afterAutospacing="0"/>
              <w:rPr>
                <w:color w:val="000000"/>
                <w:sz w:val="14"/>
                <w:szCs w:val="14"/>
              </w:rPr>
            </w:pPr>
            <w:r>
              <w:rPr>
                <w:color w:val="000000"/>
                <w:sz w:val="14"/>
                <w:szCs w:val="14"/>
              </w:rPr>
              <w:t>Accretion of the redeemable</w:t>
            </w:r>
          </w:p>
          <w:p w14:paraId="3BBEF9E6" w14:textId="77777777" w:rsidR="00000000" w:rsidRDefault="007125B5">
            <w:pPr>
              <w:pStyle w:val="a3"/>
              <w:spacing w:before="0" w:beforeAutospacing="0" w:after="0" w:afterAutospacing="0"/>
              <w:rPr>
                <w:color w:val="000000"/>
                <w:sz w:val="14"/>
                <w:szCs w:val="14"/>
              </w:rPr>
            </w:pPr>
            <w:r>
              <w:rPr>
                <w:color w:val="000000"/>
                <w:sz w:val="14"/>
                <w:szCs w:val="14"/>
              </w:rPr>
              <w:t xml:space="preserve">   </w:t>
            </w:r>
            <w:r>
              <w:rPr>
                <w:color w:val="000000"/>
                <w:sz w:val="14"/>
                <w:szCs w:val="14"/>
              </w:rPr>
              <w:t>series A-1 preferred stock to</w:t>
            </w:r>
          </w:p>
          <w:p w14:paraId="2885B131" w14:textId="77777777" w:rsidR="00000000" w:rsidRDefault="007125B5">
            <w:pPr>
              <w:pStyle w:val="a3"/>
              <w:spacing w:before="0" w:beforeAutospacing="0" w:after="0" w:afterAutospacing="0"/>
              <w:rPr>
                <w:color w:val="000000"/>
                <w:sz w:val="14"/>
                <w:szCs w:val="14"/>
              </w:rPr>
            </w:pPr>
            <w:r>
              <w:rPr>
                <w:color w:val="000000"/>
                <w:sz w:val="14"/>
                <w:szCs w:val="14"/>
              </w:rPr>
              <w:t>   redeemable value</w:t>
            </w:r>
          </w:p>
        </w:tc>
        <w:tc>
          <w:tcPr>
            <w:tcW w:w="35" w:type="pct"/>
            <w:shd w:val="clear" w:color="auto" w:fill="FFFFFF"/>
            <w:tcMar>
              <w:top w:w="15" w:type="dxa"/>
              <w:left w:w="0" w:type="dxa"/>
              <w:bottom w:w="0" w:type="dxa"/>
              <w:right w:w="15" w:type="dxa"/>
            </w:tcMar>
            <w:vAlign w:val="bottom"/>
            <w:hideMark/>
          </w:tcPr>
          <w:p w14:paraId="2BEB66F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0D9D41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FAB5A3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BAFD4B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380E17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255D89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263BEB9" w14:textId="77777777" w:rsidR="00000000" w:rsidRDefault="007125B5">
            <w:pPr>
              <w:pStyle w:val="a3"/>
              <w:spacing w:before="0" w:beforeAutospacing="0" w:after="0" w:afterAutospacing="0"/>
              <w:jc w:val="right"/>
              <w:rPr>
                <w:color w:val="000000"/>
                <w:sz w:val="14"/>
                <w:szCs w:val="14"/>
              </w:rPr>
            </w:pPr>
            <w:r>
              <w:rPr>
                <w:color w:val="000000"/>
                <w:sz w:val="14"/>
                <w:szCs w:val="14"/>
              </w:rPr>
              <w:t>5,644</w:t>
            </w:r>
          </w:p>
        </w:tc>
        <w:tc>
          <w:tcPr>
            <w:tcW w:w="50" w:type="pct"/>
            <w:shd w:val="clear" w:color="auto" w:fill="FFFFFF"/>
            <w:noWrap/>
            <w:tcMar>
              <w:top w:w="15" w:type="dxa"/>
              <w:left w:w="0" w:type="dxa"/>
              <w:bottom w:w="0" w:type="dxa"/>
              <w:right w:w="15" w:type="dxa"/>
            </w:tcMar>
            <w:vAlign w:val="bottom"/>
            <w:hideMark/>
          </w:tcPr>
          <w:p w14:paraId="0798A82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678D8E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526213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2D4E1C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BE7060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8DF403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7AF70A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0805A2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70F749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46F7B5D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2806F64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E22FC7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F3BAEE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FB0C52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B894E9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D9847B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6047AB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4E5B28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AFDAC7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CF4F5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C248AB5" w14:textId="77777777" w:rsidR="00000000" w:rsidRDefault="007125B5">
            <w:pPr>
              <w:pStyle w:val="a3"/>
              <w:spacing w:before="0" w:beforeAutospacing="0" w:after="0" w:afterAutospacing="0"/>
              <w:jc w:val="right"/>
              <w:rPr>
                <w:color w:val="000000"/>
                <w:sz w:val="14"/>
                <w:szCs w:val="14"/>
              </w:rPr>
            </w:pPr>
            <w:r>
              <w:rPr>
                <w:color w:val="000000"/>
                <w:sz w:val="14"/>
                <w:szCs w:val="14"/>
              </w:rPr>
              <w:t>(5,644</w:t>
            </w:r>
          </w:p>
        </w:tc>
        <w:tc>
          <w:tcPr>
            <w:tcW w:w="50" w:type="pct"/>
            <w:shd w:val="clear" w:color="auto" w:fill="FFFFFF"/>
            <w:noWrap/>
            <w:tcMar>
              <w:top w:w="15" w:type="dxa"/>
              <w:left w:w="0" w:type="dxa"/>
              <w:bottom w:w="0" w:type="dxa"/>
              <w:right w:w="15" w:type="dxa"/>
            </w:tcMar>
            <w:vAlign w:val="bottom"/>
            <w:hideMark/>
          </w:tcPr>
          <w:p w14:paraId="20EA3F7C"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55924A1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831509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6ED6A7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D1A97F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043FFA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BB349E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826675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457B21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358511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E2B70F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399818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30A208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68EE61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31E9EC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8BF2E90" w14:textId="77777777" w:rsidR="00000000" w:rsidRDefault="007125B5">
            <w:pPr>
              <w:pStyle w:val="a3"/>
              <w:spacing w:before="0" w:beforeAutospacing="0" w:after="0" w:afterAutospacing="0"/>
              <w:jc w:val="right"/>
              <w:rPr>
                <w:color w:val="000000"/>
                <w:sz w:val="14"/>
                <w:szCs w:val="14"/>
              </w:rPr>
            </w:pPr>
            <w:r>
              <w:rPr>
                <w:color w:val="000000"/>
                <w:sz w:val="14"/>
                <w:szCs w:val="14"/>
              </w:rPr>
              <w:t>(5,644</w:t>
            </w:r>
          </w:p>
        </w:tc>
        <w:tc>
          <w:tcPr>
            <w:tcW w:w="50" w:type="pct"/>
            <w:shd w:val="clear" w:color="auto" w:fill="FFFFFF"/>
            <w:noWrap/>
            <w:tcMar>
              <w:top w:w="15" w:type="dxa"/>
              <w:left w:w="0" w:type="dxa"/>
              <w:bottom w:w="0" w:type="dxa"/>
              <w:right w:w="15" w:type="dxa"/>
            </w:tcMar>
            <w:vAlign w:val="bottom"/>
            <w:hideMark/>
          </w:tcPr>
          <w:p w14:paraId="496A091A"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63560933" w14:textId="77777777">
        <w:trPr>
          <w:divId w:val="1678078014"/>
          <w:jc w:val="center"/>
        </w:trPr>
        <w:tc>
          <w:tcPr>
            <w:tcW w:w="1045" w:type="pct"/>
            <w:shd w:val="clear" w:color="auto" w:fill="CFF0FC"/>
            <w:tcMar>
              <w:top w:w="15" w:type="dxa"/>
              <w:left w:w="0" w:type="dxa"/>
              <w:bottom w:w="0" w:type="dxa"/>
              <w:right w:w="15" w:type="dxa"/>
            </w:tcMar>
            <w:hideMark/>
          </w:tcPr>
          <w:p w14:paraId="11A967F8" w14:textId="77777777" w:rsidR="00000000" w:rsidRDefault="007125B5">
            <w:pPr>
              <w:pStyle w:val="a3"/>
              <w:spacing w:before="0" w:beforeAutospacing="0" w:after="0" w:afterAutospacing="0"/>
              <w:rPr>
                <w:color w:val="000000"/>
                <w:sz w:val="14"/>
                <w:szCs w:val="14"/>
              </w:rPr>
            </w:pPr>
            <w:r>
              <w:rPr>
                <w:color w:val="000000"/>
                <w:sz w:val="14"/>
                <w:szCs w:val="14"/>
              </w:rPr>
              <w:t>Issuance of the convertible and</w:t>
            </w:r>
          </w:p>
          <w:p w14:paraId="2B064F2A" w14:textId="77777777" w:rsidR="00000000" w:rsidRDefault="007125B5">
            <w:pPr>
              <w:pStyle w:val="a3"/>
              <w:spacing w:before="0" w:beforeAutospacing="0" w:after="0" w:afterAutospacing="0"/>
              <w:rPr>
                <w:color w:val="000000"/>
                <w:sz w:val="14"/>
                <w:szCs w:val="14"/>
              </w:rPr>
            </w:pPr>
            <w:r>
              <w:rPr>
                <w:color w:val="000000"/>
                <w:sz w:val="14"/>
                <w:szCs w:val="14"/>
              </w:rPr>
              <w:t>   redeemable series A-2</w:t>
            </w:r>
          </w:p>
          <w:p w14:paraId="2C17CF55" w14:textId="77777777" w:rsidR="00000000" w:rsidRDefault="007125B5">
            <w:pPr>
              <w:pStyle w:val="a3"/>
              <w:spacing w:before="0" w:beforeAutospacing="0" w:after="0" w:afterAutospacing="0"/>
              <w:rPr>
                <w:color w:val="000000"/>
                <w:sz w:val="14"/>
                <w:szCs w:val="14"/>
              </w:rPr>
            </w:pPr>
            <w:r>
              <w:rPr>
                <w:color w:val="000000"/>
                <w:sz w:val="14"/>
                <w:szCs w:val="14"/>
              </w:rPr>
              <w:t>   preferred stock</w:t>
            </w:r>
          </w:p>
        </w:tc>
        <w:tc>
          <w:tcPr>
            <w:tcW w:w="35" w:type="pct"/>
            <w:shd w:val="clear" w:color="auto" w:fill="CFF0FC"/>
            <w:tcMar>
              <w:top w:w="15" w:type="dxa"/>
              <w:left w:w="0" w:type="dxa"/>
              <w:bottom w:w="0" w:type="dxa"/>
              <w:right w:w="15" w:type="dxa"/>
            </w:tcMar>
            <w:vAlign w:val="bottom"/>
            <w:hideMark/>
          </w:tcPr>
          <w:p w14:paraId="2879B7E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090484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A32545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7DB5BF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562CC1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A3CA09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2EA967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C9ABDC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7703D4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7EAFA5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C93EFD7" w14:textId="77777777" w:rsidR="00000000" w:rsidRDefault="007125B5">
            <w:pPr>
              <w:pStyle w:val="a3"/>
              <w:spacing w:before="0" w:beforeAutospacing="0" w:after="0" w:afterAutospacing="0"/>
              <w:jc w:val="right"/>
              <w:rPr>
                <w:color w:val="000000"/>
                <w:sz w:val="14"/>
                <w:szCs w:val="14"/>
              </w:rPr>
            </w:pPr>
            <w:r>
              <w:rPr>
                <w:color w:val="000000"/>
                <w:sz w:val="14"/>
                <w:szCs w:val="14"/>
              </w:rPr>
              <w:t>17,500</w:t>
            </w:r>
          </w:p>
        </w:tc>
        <w:tc>
          <w:tcPr>
            <w:tcW w:w="50" w:type="pct"/>
            <w:shd w:val="clear" w:color="auto" w:fill="CFF0FC"/>
            <w:noWrap/>
            <w:tcMar>
              <w:top w:w="15" w:type="dxa"/>
              <w:left w:w="0" w:type="dxa"/>
              <w:bottom w:w="0" w:type="dxa"/>
              <w:right w:w="15" w:type="dxa"/>
            </w:tcMar>
            <w:vAlign w:val="bottom"/>
            <w:hideMark/>
          </w:tcPr>
          <w:p w14:paraId="0265097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927CAC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69A296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33241EE" w14:textId="77777777" w:rsidR="00000000" w:rsidRDefault="007125B5">
            <w:pPr>
              <w:pStyle w:val="a3"/>
              <w:spacing w:before="0" w:beforeAutospacing="0" w:after="0" w:afterAutospacing="0"/>
              <w:jc w:val="right"/>
              <w:rPr>
                <w:color w:val="000000"/>
                <w:sz w:val="14"/>
                <w:szCs w:val="14"/>
              </w:rPr>
            </w:pPr>
            <w:r>
              <w:rPr>
                <w:color w:val="000000"/>
                <w:sz w:val="14"/>
                <w:szCs w:val="14"/>
              </w:rPr>
              <w:t>152,928</w:t>
            </w:r>
          </w:p>
        </w:tc>
        <w:tc>
          <w:tcPr>
            <w:tcW w:w="50" w:type="pct"/>
            <w:shd w:val="clear" w:color="auto" w:fill="CFF0FC"/>
            <w:noWrap/>
            <w:tcMar>
              <w:top w:w="15" w:type="dxa"/>
              <w:left w:w="0" w:type="dxa"/>
              <w:bottom w:w="0" w:type="dxa"/>
              <w:right w:w="15" w:type="dxa"/>
            </w:tcMar>
            <w:vAlign w:val="bottom"/>
            <w:hideMark/>
          </w:tcPr>
          <w:p w14:paraId="1A18438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2FE3FD8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5882935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45C36C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00ADF13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C0AC58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448DF5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AAD691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9A5239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F53D2B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DC7956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CBBE2B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EF667C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DF7B4D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2E0EEC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A34FFE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E499F2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96A6B9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2AF297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4D6CCB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F78667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8FECE5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23F093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752725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0F9D6F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BB792C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C868AB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085B2E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42D28F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388D4BB"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7993F263" w14:textId="77777777">
        <w:trPr>
          <w:divId w:val="1678078014"/>
          <w:jc w:val="center"/>
        </w:trPr>
        <w:tc>
          <w:tcPr>
            <w:tcW w:w="1045" w:type="pct"/>
            <w:shd w:val="clear" w:color="auto" w:fill="FFFFFF"/>
            <w:tcMar>
              <w:top w:w="15" w:type="dxa"/>
              <w:left w:w="0" w:type="dxa"/>
              <w:bottom w:w="0" w:type="dxa"/>
              <w:right w:w="15" w:type="dxa"/>
            </w:tcMar>
            <w:hideMark/>
          </w:tcPr>
          <w:p w14:paraId="76ABC41D" w14:textId="77777777" w:rsidR="00000000" w:rsidRDefault="007125B5">
            <w:pPr>
              <w:pStyle w:val="a3"/>
              <w:spacing w:before="0" w:beforeAutospacing="0" w:after="0" w:afterAutospacing="0"/>
              <w:rPr>
                <w:color w:val="000000"/>
                <w:sz w:val="14"/>
                <w:szCs w:val="14"/>
              </w:rPr>
            </w:pPr>
            <w:r>
              <w:rPr>
                <w:color w:val="000000"/>
                <w:sz w:val="14"/>
                <w:szCs w:val="14"/>
              </w:rPr>
              <w:t>Stock-based compensation</w:t>
            </w:r>
          </w:p>
        </w:tc>
        <w:tc>
          <w:tcPr>
            <w:tcW w:w="35" w:type="pct"/>
            <w:shd w:val="clear" w:color="auto" w:fill="FFFFFF"/>
            <w:tcMar>
              <w:top w:w="15" w:type="dxa"/>
              <w:left w:w="0" w:type="dxa"/>
              <w:bottom w:w="0" w:type="dxa"/>
              <w:right w:w="15" w:type="dxa"/>
            </w:tcMar>
            <w:vAlign w:val="bottom"/>
            <w:hideMark/>
          </w:tcPr>
          <w:p w14:paraId="368F7D8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9CF7A9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679E9E7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B320A2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9BB781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7FAFDF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2EDF75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E36EC8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C1C865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D5A207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59BD71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698264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600B10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39542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01E34A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1D5F37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77E9A9B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5A20C5F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6588C7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E12BB3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FA4964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825FA4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3FF89D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D58470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EAA121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D85C75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03C2DB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FB39828" w14:textId="77777777" w:rsidR="00000000" w:rsidRDefault="007125B5">
            <w:pPr>
              <w:pStyle w:val="a3"/>
              <w:spacing w:before="0" w:beforeAutospacing="0" w:after="0" w:afterAutospacing="0"/>
              <w:jc w:val="right"/>
              <w:rPr>
                <w:color w:val="000000"/>
                <w:sz w:val="14"/>
                <w:szCs w:val="14"/>
              </w:rPr>
            </w:pPr>
            <w:r>
              <w:rPr>
                <w:color w:val="000000"/>
                <w:sz w:val="14"/>
                <w:szCs w:val="14"/>
              </w:rPr>
              <w:t>1,140</w:t>
            </w:r>
          </w:p>
        </w:tc>
        <w:tc>
          <w:tcPr>
            <w:tcW w:w="50" w:type="pct"/>
            <w:shd w:val="clear" w:color="auto" w:fill="FFFFFF"/>
            <w:noWrap/>
            <w:tcMar>
              <w:top w:w="15" w:type="dxa"/>
              <w:left w:w="0" w:type="dxa"/>
              <w:bottom w:w="0" w:type="dxa"/>
              <w:right w:w="15" w:type="dxa"/>
            </w:tcMar>
            <w:vAlign w:val="bottom"/>
            <w:hideMark/>
          </w:tcPr>
          <w:p w14:paraId="37E110F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054DD2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2B4D99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F0C471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50FA03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381F83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C1BD2C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2713D9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D54668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9EF1ED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57FF70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933985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B68E7B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28D958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CAED55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A3ADDA5" w14:textId="77777777" w:rsidR="00000000" w:rsidRDefault="007125B5">
            <w:pPr>
              <w:pStyle w:val="a3"/>
              <w:spacing w:before="0" w:beforeAutospacing="0" w:after="0" w:afterAutospacing="0"/>
              <w:jc w:val="right"/>
              <w:rPr>
                <w:color w:val="000000"/>
                <w:sz w:val="14"/>
                <w:szCs w:val="14"/>
              </w:rPr>
            </w:pPr>
            <w:r>
              <w:rPr>
                <w:color w:val="000000"/>
                <w:sz w:val="14"/>
                <w:szCs w:val="14"/>
              </w:rPr>
              <w:t>1,140</w:t>
            </w:r>
          </w:p>
        </w:tc>
        <w:tc>
          <w:tcPr>
            <w:tcW w:w="50" w:type="pct"/>
            <w:shd w:val="clear" w:color="auto" w:fill="FFFFFF"/>
            <w:noWrap/>
            <w:tcMar>
              <w:top w:w="15" w:type="dxa"/>
              <w:left w:w="0" w:type="dxa"/>
              <w:bottom w:w="0" w:type="dxa"/>
              <w:right w:w="15" w:type="dxa"/>
            </w:tcMar>
            <w:vAlign w:val="bottom"/>
            <w:hideMark/>
          </w:tcPr>
          <w:p w14:paraId="5F55CC85"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0F788268" w14:textId="77777777">
        <w:trPr>
          <w:divId w:val="1678078014"/>
          <w:jc w:val="center"/>
        </w:trPr>
        <w:tc>
          <w:tcPr>
            <w:tcW w:w="1045" w:type="pct"/>
            <w:shd w:val="clear" w:color="auto" w:fill="CFF0FC"/>
            <w:tcMar>
              <w:top w:w="15" w:type="dxa"/>
              <w:left w:w="0" w:type="dxa"/>
              <w:bottom w:w="0" w:type="dxa"/>
              <w:right w:w="15" w:type="dxa"/>
            </w:tcMar>
            <w:hideMark/>
          </w:tcPr>
          <w:p w14:paraId="3BC6CBA2" w14:textId="77777777" w:rsidR="00000000" w:rsidRDefault="007125B5">
            <w:pPr>
              <w:pStyle w:val="a3"/>
              <w:spacing w:before="0" w:beforeAutospacing="0" w:after="0" w:afterAutospacing="0"/>
              <w:rPr>
                <w:color w:val="000000"/>
                <w:sz w:val="14"/>
                <w:szCs w:val="14"/>
              </w:rPr>
            </w:pPr>
            <w:r>
              <w:rPr>
                <w:color w:val="000000"/>
                <w:sz w:val="14"/>
                <w:szCs w:val="14"/>
              </w:rPr>
              <w:t>Common stock issued</w:t>
            </w:r>
          </w:p>
        </w:tc>
        <w:tc>
          <w:tcPr>
            <w:tcW w:w="35" w:type="pct"/>
            <w:shd w:val="clear" w:color="auto" w:fill="CFF0FC"/>
            <w:tcMar>
              <w:top w:w="15" w:type="dxa"/>
              <w:left w:w="0" w:type="dxa"/>
              <w:bottom w:w="0" w:type="dxa"/>
              <w:right w:w="15" w:type="dxa"/>
            </w:tcMar>
            <w:vAlign w:val="bottom"/>
            <w:hideMark/>
          </w:tcPr>
          <w:p w14:paraId="547ECF8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FEB76E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73D837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DE9364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6D36D7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81C942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B6C6F1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9EF884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54CA0A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7BC06B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35AE22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0A341D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222CEF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C6ADA7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A4B969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0DD18C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7D0B830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3DAF428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797B62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2345EE5" w14:textId="77777777" w:rsidR="00000000" w:rsidRDefault="007125B5">
            <w:pPr>
              <w:pStyle w:val="a3"/>
              <w:spacing w:before="0" w:beforeAutospacing="0" w:after="0" w:afterAutospacing="0"/>
              <w:jc w:val="right"/>
              <w:rPr>
                <w:color w:val="000000"/>
                <w:sz w:val="14"/>
                <w:szCs w:val="14"/>
              </w:rPr>
            </w:pPr>
            <w:r>
              <w:rPr>
                <w:color w:val="000000"/>
                <w:sz w:val="14"/>
                <w:szCs w:val="14"/>
              </w:rPr>
              <w:t>794,639</w:t>
            </w:r>
          </w:p>
        </w:tc>
        <w:tc>
          <w:tcPr>
            <w:tcW w:w="50" w:type="pct"/>
            <w:shd w:val="clear" w:color="auto" w:fill="CFF0FC"/>
            <w:noWrap/>
            <w:tcMar>
              <w:top w:w="15" w:type="dxa"/>
              <w:left w:w="0" w:type="dxa"/>
              <w:bottom w:w="0" w:type="dxa"/>
              <w:right w:w="15" w:type="dxa"/>
            </w:tcMar>
            <w:vAlign w:val="bottom"/>
            <w:hideMark/>
          </w:tcPr>
          <w:p w14:paraId="0E2957C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31925F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6D14E5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6B6430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935657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0815EF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E25FFE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2D81623" w14:textId="77777777" w:rsidR="00000000" w:rsidRDefault="007125B5">
            <w:pPr>
              <w:pStyle w:val="a3"/>
              <w:spacing w:before="0" w:beforeAutospacing="0" w:after="0" w:afterAutospacing="0"/>
              <w:jc w:val="right"/>
              <w:rPr>
                <w:color w:val="000000"/>
                <w:sz w:val="14"/>
                <w:szCs w:val="14"/>
              </w:rPr>
            </w:pPr>
            <w:r>
              <w:rPr>
                <w:color w:val="000000"/>
                <w:sz w:val="14"/>
                <w:szCs w:val="14"/>
              </w:rPr>
              <w:t>25,021</w:t>
            </w:r>
          </w:p>
        </w:tc>
        <w:tc>
          <w:tcPr>
            <w:tcW w:w="50" w:type="pct"/>
            <w:shd w:val="clear" w:color="auto" w:fill="CFF0FC"/>
            <w:noWrap/>
            <w:tcMar>
              <w:top w:w="15" w:type="dxa"/>
              <w:left w:w="0" w:type="dxa"/>
              <w:bottom w:w="0" w:type="dxa"/>
              <w:right w:w="15" w:type="dxa"/>
            </w:tcMar>
            <w:vAlign w:val="bottom"/>
            <w:hideMark/>
          </w:tcPr>
          <w:p w14:paraId="66D6444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505887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050498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32221F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F7D59E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6EF712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AD4A47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AB6EF2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702922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8AD9ED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7B43CB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889BCF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72398C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BA857C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43CD04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C0E085B" w14:textId="77777777" w:rsidR="00000000" w:rsidRDefault="007125B5">
            <w:pPr>
              <w:pStyle w:val="a3"/>
              <w:spacing w:before="0" w:beforeAutospacing="0" w:after="0" w:afterAutospacing="0"/>
              <w:jc w:val="right"/>
              <w:rPr>
                <w:color w:val="000000"/>
                <w:sz w:val="14"/>
                <w:szCs w:val="14"/>
              </w:rPr>
            </w:pPr>
            <w:r>
              <w:rPr>
                <w:color w:val="000000"/>
                <w:sz w:val="14"/>
                <w:szCs w:val="14"/>
              </w:rPr>
              <w:t>25,021</w:t>
            </w:r>
          </w:p>
        </w:tc>
        <w:tc>
          <w:tcPr>
            <w:tcW w:w="50" w:type="pct"/>
            <w:shd w:val="clear" w:color="auto" w:fill="CFF0FC"/>
            <w:noWrap/>
            <w:tcMar>
              <w:top w:w="15" w:type="dxa"/>
              <w:left w:w="0" w:type="dxa"/>
              <w:bottom w:w="0" w:type="dxa"/>
              <w:right w:w="15" w:type="dxa"/>
            </w:tcMar>
            <w:vAlign w:val="bottom"/>
            <w:hideMark/>
          </w:tcPr>
          <w:p w14:paraId="7163747B"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71F316FC" w14:textId="77777777">
        <w:trPr>
          <w:divId w:val="1678078014"/>
          <w:jc w:val="center"/>
        </w:trPr>
        <w:tc>
          <w:tcPr>
            <w:tcW w:w="1045" w:type="pct"/>
            <w:shd w:val="clear" w:color="auto" w:fill="FFFFFF"/>
            <w:tcMar>
              <w:top w:w="15" w:type="dxa"/>
              <w:left w:w="0" w:type="dxa"/>
              <w:bottom w:w="0" w:type="dxa"/>
              <w:right w:w="15" w:type="dxa"/>
            </w:tcMar>
            <w:hideMark/>
          </w:tcPr>
          <w:p w14:paraId="1D2F7CAA" w14:textId="77777777" w:rsidR="00000000" w:rsidRDefault="007125B5">
            <w:pPr>
              <w:pStyle w:val="a3"/>
              <w:spacing w:before="0" w:beforeAutospacing="0" w:after="0" w:afterAutospacing="0"/>
              <w:rPr>
                <w:color w:val="000000"/>
                <w:sz w:val="14"/>
                <w:szCs w:val="14"/>
              </w:rPr>
            </w:pPr>
            <w:r>
              <w:rPr>
                <w:color w:val="000000"/>
                <w:sz w:val="14"/>
                <w:szCs w:val="14"/>
              </w:rPr>
              <w:t>Accumulated other comprehensive</w:t>
            </w:r>
          </w:p>
          <w:p w14:paraId="41CE5807" w14:textId="77777777" w:rsidR="00000000" w:rsidRDefault="007125B5">
            <w:pPr>
              <w:pStyle w:val="a3"/>
              <w:spacing w:before="0" w:beforeAutospacing="0" w:after="0" w:afterAutospacing="0"/>
              <w:rPr>
                <w:color w:val="000000"/>
                <w:sz w:val="14"/>
                <w:szCs w:val="14"/>
              </w:rPr>
            </w:pPr>
            <w:r>
              <w:rPr>
                <w:color w:val="000000"/>
                <w:sz w:val="14"/>
                <w:szCs w:val="14"/>
              </w:rPr>
              <w:t>   loss</w:t>
            </w:r>
          </w:p>
        </w:tc>
        <w:tc>
          <w:tcPr>
            <w:tcW w:w="35" w:type="pct"/>
            <w:shd w:val="clear" w:color="auto" w:fill="FFFFFF"/>
            <w:tcMar>
              <w:top w:w="15" w:type="dxa"/>
              <w:left w:w="0" w:type="dxa"/>
              <w:bottom w:w="0" w:type="dxa"/>
              <w:right w:w="15" w:type="dxa"/>
            </w:tcMar>
            <w:vAlign w:val="bottom"/>
            <w:hideMark/>
          </w:tcPr>
          <w:p w14:paraId="2413EF5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D0CA0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03E3FD1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C71F15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A446C1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F3DE9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1FAF02B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808521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2412E5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99C9DF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38651A6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9B3673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28B9BD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E698C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797F753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9C17D6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7EF5978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2EC353E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76F64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6CD2B31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A2D8D7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099D24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2577F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3077133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3292DC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DCEDEE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49033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400CB4D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282528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CA3F3C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CB2B9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0554696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25D09B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64B3F4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FC823D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1C1307A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1188B4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5A2CEF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1EAED3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7C9A3642" w14:textId="77777777" w:rsidR="00000000" w:rsidRDefault="007125B5">
            <w:pPr>
              <w:pStyle w:val="a3"/>
              <w:spacing w:before="0" w:beforeAutospacing="0" w:after="0" w:afterAutospacing="0"/>
              <w:jc w:val="right"/>
              <w:rPr>
                <w:color w:val="000000"/>
                <w:sz w:val="14"/>
                <w:szCs w:val="14"/>
              </w:rPr>
            </w:pPr>
            <w:r>
              <w:rPr>
                <w:color w:val="000000"/>
                <w:sz w:val="14"/>
                <w:szCs w:val="14"/>
              </w:rPr>
              <w:t>(90</w:t>
            </w:r>
          </w:p>
        </w:tc>
        <w:tc>
          <w:tcPr>
            <w:tcW w:w="50" w:type="pct"/>
            <w:shd w:val="clear" w:color="auto" w:fill="FFFFFF"/>
            <w:noWrap/>
            <w:tcMar>
              <w:top w:w="15" w:type="dxa"/>
              <w:left w:w="0" w:type="dxa"/>
              <w:bottom w:w="0" w:type="dxa"/>
              <w:right w:w="15" w:type="dxa"/>
            </w:tcMar>
            <w:vAlign w:val="bottom"/>
            <w:hideMark/>
          </w:tcPr>
          <w:p w14:paraId="43206A6D"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4D9FB98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39D596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FFFFFF"/>
            <w:noWrap/>
            <w:tcMar>
              <w:top w:w="15" w:type="dxa"/>
              <w:left w:w="0" w:type="dxa"/>
              <w:bottom w:w="0" w:type="dxa"/>
              <w:right w:w="15" w:type="dxa"/>
            </w:tcMar>
            <w:vAlign w:val="bottom"/>
            <w:hideMark/>
          </w:tcPr>
          <w:p w14:paraId="467B3A01" w14:textId="77777777" w:rsidR="00000000" w:rsidRDefault="007125B5">
            <w:pPr>
              <w:pStyle w:val="a3"/>
              <w:spacing w:before="0" w:beforeAutospacing="0" w:after="0" w:afterAutospacing="0"/>
              <w:jc w:val="right"/>
              <w:rPr>
                <w:color w:val="000000"/>
                <w:sz w:val="14"/>
                <w:szCs w:val="14"/>
              </w:rPr>
            </w:pPr>
            <w:r>
              <w:rPr>
                <w:color w:val="000000"/>
                <w:sz w:val="14"/>
                <w:szCs w:val="14"/>
              </w:rPr>
              <w:t>(90</w:t>
            </w:r>
          </w:p>
        </w:tc>
        <w:tc>
          <w:tcPr>
            <w:tcW w:w="50" w:type="pct"/>
            <w:shd w:val="clear" w:color="auto" w:fill="FFFFFF"/>
            <w:noWrap/>
            <w:tcMar>
              <w:top w:w="15" w:type="dxa"/>
              <w:left w:w="0" w:type="dxa"/>
              <w:bottom w:w="0" w:type="dxa"/>
              <w:right w:w="15" w:type="dxa"/>
            </w:tcMar>
            <w:vAlign w:val="bottom"/>
            <w:hideMark/>
          </w:tcPr>
          <w:p w14:paraId="006D08B1"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2C0BFF1D" w14:textId="77777777">
        <w:trPr>
          <w:divId w:val="1678078014"/>
          <w:jc w:val="center"/>
        </w:trPr>
        <w:tc>
          <w:tcPr>
            <w:tcW w:w="1045" w:type="pct"/>
            <w:shd w:val="clear" w:color="auto" w:fill="CFF0FC"/>
            <w:tcMar>
              <w:top w:w="15" w:type="dxa"/>
              <w:left w:w="0" w:type="dxa"/>
              <w:bottom w:w="0" w:type="dxa"/>
              <w:right w:w="15" w:type="dxa"/>
            </w:tcMar>
            <w:hideMark/>
          </w:tcPr>
          <w:p w14:paraId="15C5B398" w14:textId="77777777" w:rsidR="00000000" w:rsidRDefault="007125B5">
            <w:pPr>
              <w:pStyle w:val="a3"/>
              <w:spacing w:before="0" w:beforeAutospacing="0" w:after="0" w:afterAutospacing="0"/>
              <w:rPr>
                <w:color w:val="000000"/>
                <w:sz w:val="14"/>
                <w:szCs w:val="14"/>
              </w:rPr>
            </w:pPr>
            <w:r>
              <w:rPr>
                <w:color w:val="000000"/>
                <w:sz w:val="14"/>
                <w:szCs w:val="14"/>
              </w:rPr>
              <w:t>BALANCE—June 30, 2020</w:t>
            </w:r>
          </w:p>
        </w:tc>
        <w:tc>
          <w:tcPr>
            <w:tcW w:w="35" w:type="pct"/>
            <w:shd w:val="clear" w:color="auto" w:fill="CFF0FC"/>
            <w:tcMar>
              <w:top w:w="15" w:type="dxa"/>
              <w:left w:w="0" w:type="dxa"/>
              <w:bottom w:w="0" w:type="dxa"/>
              <w:right w:w="15" w:type="dxa"/>
            </w:tcMar>
            <w:vAlign w:val="bottom"/>
            <w:hideMark/>
          </w:tcPr>
          <w:p w14:paraId="5C87786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22EB5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AC8130" w14:textId="77777777" w:rsidR="00000000" w:rsidRDefault="007125B5">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CFF0FC"/>
            <w:noWrap/>
            <w:tcMar>
              <w:top w:w="15" w:type="dxa"/>
              <w:left w:w="0" w:type="dxa"/>
              <w:bottom w:w="0" w:type="dxa"/>
              <w:right w:w="15" w:type="dxa"/>
            </w:tcMar>
            <w:vAlign w:val="bottom"/>
            <w:hideMark/>
          </w:tcPr>
          <w:p w14:paraId="26E4FAE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97B7D4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81566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DC3F79" w14:textId="77777777" w:rsidR="00000000" w:rsidRDefault="007125B5">
            <w:pPr>
              <w:pStyle w:val="a3"/>
              <w:spacing w:before="0" w:beforeAutospacing="0" w:after="0" w:afterAutospacing="0"/>
              <w:jc w:val="right"/>
              <w:rPr>
                <w:color w:val="000000"/>
                <w:sz w:val="14"/>
                <w:szCs w:val="14"/>
              </w:rPr>
            </w:pPr>
            <w:r>
              <w:rPr>
                <w:color w:val="000000"/>
                <w:sz w:val="14"/>
                <w:szCs w:val="14"/>
              </w:rPr>
              <w:t>139,881</w:t>
            </w:r>
          </w:p>
        </w:tc>
        <w:tc>
          <w:tcPr>
            <w:tcW w:w="50" w:type="pct"/>
            <w:shd w:val="clear" w:color="auto" w:fill="CFF0FC"/>
            <w:noWrap/>
            <w:tcMar>
              <w:top w:w="15" w:type="dxa"/>
              <w:left w:w="0" w:type="dxa"/>
              <w:bottom w:w="0" w:type="dxa"/>
              <w:right w:w="15" w:type="dxa"/>
            </w:tcMar>
            <w:vAlign w:val="bottom"/>
            <w:hideMark/>
          </w:tcPr>
          <w:p w14:paraId="417BFC8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C94367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F94DA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245615" w14:textId="77777777" w:rsidR="00000000" w:rsidRDefault="007125B5">
            <w:pPr>
              <w:pStyle w:val="a3"/>
              <w:spacing w:before="0" w:beforeAutospacing="0" w:after="0" w:afterAutospacing="0"/>
              <w:jc w:val="right"/>
              <w:rPr>
                <w:color w:val="000000"/>
                <w:sz w:val="14"/>
                <w:szCs w:val="14"/>
              </w:rPr>
            </w:pPr>
            <w:r>
              <w:rPr>
                <w:color w:val="000000"/>
                <w:sz w:val="14"/>
                <w:szCs w:val="14"/>
              </w:rPr>
              <w:t>17,500</w:t>
            </w:r>
          </w:p>
        </w:tc>
        <w:tc>
          <w:tcPr>
            <w:tcW w:w="50" w:type="pct"/>
            <w:shd w:val="clear" w:color="auto" w:fill="CFF0FC"/>
            <w:noWrap/>
            <w:tcMar>
              <w:top w:w="15" w:type="dxa"/>
              <w:left w:w="0" w:type="dxa"/>
              <w:bottom w:w="0" w:type="dxa"/>
              <w:right w:w="15" w:type="dxa"/>
            </w:tcMar>
            <w:vAlign w:val="bottom"/>
            <w:hideMark/>
          </w:tcPr>
          <w:p w14:paraId="140744D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5E7A99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61F160"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75E2E3" w14:textId="77777777" w:rsidR="00000000" w:rsidRDefault="007125B5">
            <w:pPr>
              <w:pStyle w:val="a3"/>
              <w:spacing w:before="0" w:beforeAutospacing="0" w:after="0" w:afterAutospacing="0"/>
              <w:jc w:val="right"/>
              <w:rPr>
                <w:color w:val="000000"/>
                <w:sz w:val="14"/>
                <w:szCs w:val="14"/>
              </w:rPr>
            </w:pPr>
            <w:r>
              <w:rPr>
                <w:color w:val="000000"/>
                <w:sz w:val="14"/>
                <w:szCs w:val="14"/>
              </w:rPr>
              <w:t>152,928</w:t>
            </w:r>
          </w:p>
        </w:tc>
        <w:tc>
          <w:tcPr>
            <w:tcW w:w="50" w:type="pct"/>
            <w:shd w:val="clear" w:color="auto" w:fill="CFF0FC"/>
            <w:noWrap/>
            <w:tcMar>
              <w:top w:w="15" w:type="dxa"/>
              <w:left w:w="0" w:type="dxa"/>
              <w:bottom w:w="0" w:type="dxa"/>
              <w:right w:w="15" w:type="dxa"/>
            </w:tcMar>
            <w:vAlign w:val="bottom"/>
            <w:hideMark/>
          </w:tcPr>
          <w:p w14:paraId="188E17B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1E3003F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3315280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AE1DD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BC8865" w14:textId="77777777" w:rsidR="00000000" w:rsidRDefault="007125B5">
            <w:pPr>
              <w:pStyle w:val="a3"/>
              <w:spacing w:before="0" w:beforeAutospacing="0" w:after="0" w:afterAutospacing="0"/>
              <w:jc w:val="right"/>
              <w:rPr>
                <w:color w:val="000000"/>
                <w:sz w:val="14"/>
                <w:szCs w:val="14"/>
              </w:rPr>
            </w:pPr>
            <w:r>
              <w:rPr>
                <w:color w:val="000000"/>
                <w:sz w:val="14"/>
                <w:szCs w:val="14"/>
              </w:rPr>
              <w:t>9,164,746</w:t>
            </w:r>
          </w:p>
        </w:tc>
        <w:tc>
          <w:tcPr>
            <w:tcW w:w="50" w:type="pct"/>
            <w:shd w:val="clear" w:color="auto" w:fill="CFF0FC"/>
            <w:noWrap/>
            <w:tcMar>
              <w:top w:w="15" w:type="dxa"/>
              <w:left w:w="0" w:type="dxa"/>
              <w:bottom w:w="0" w:type="dxa"/>
              <w:right w:w="15" w:type="dxa"/>
            </w:tcMar>
            <w:vAlign w:val="bottom"/>
            <w:hideMark/>
          </w:tcPr>
          <w:p w14:paraId="7AC94DC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7B8AE6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07250C"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24F45B"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8BF2D5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93B13C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71D94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AA91C1" w14:textId="77777777" w:rsidR="00000000" w:rsidRDefault="007125B5">
            <w:pPr>
              <w:pStyle w:val="a3"/>
              <w:spacing w:before="0" w:beforeAutospacing="0" w:after="0" w:afterAutospacing="0"/>
              <w:jc w:val="right"/>
              <w:rPr>
                <w:color w:val="000000"/>
                <w:sz w:val="14"/>
                <w:szCs w:val="14"/>
              </w:rPr>
            </w:pPr>
            <w:r>
              <w:rPr>
                <w:color w:val="000000"/>
                <w:sz w:val="14"/>
                <w:szCs w:val="14"/>
              </w:rPr>
              <w:t>54,405</w:t>
            </w:r>
          </w:p>
        </w:tc>
        <w:tc>
          <w:tcPr>
            <w:tcW w:w="50" w:type="pct"/>
            <w:shd w:val="clear" w:color="auto" w:fill="CFF0FC"/>
            <w:noWrap/>
            <w:tcMar>
              <w:top w:w="15" w:type="dxa"/>
              <w:left w:w="0" w:type="dxa"/>
              <w:bottom w:w="0" w:type="dxa"/>
              <w:right w:w="15" w:type="dxa"/>
            </w:tcMar>
            <w:vAlign w:val="bottom"/>
            <w:hideMark/>
          </w:tcPr>
          <w:p w14:paraId="06A65BB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719B46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2AB858"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EEFB82" w14:textId="77777777" w:rsidR="00000000" w:rsidRDefault="007125B5">
            <w:pPr>
              <w:pStyle w:val="a3"/>
              <w:spacing w:before="0" w:beforeAutospacing="0" w:after="0" w:afterAutospacing="0"/>
              <w:jc w:val="right"/>
              <w:rPr>
                <w:color w:val="000000"/>
                <w:sz w:val="14"/>
                <w:szCs w:val="14"/>
              </w:rPr>
            </w:pPr>
            <w:r>
              <w:rPr>
                <w:color w:val="000000"/>
                <w:sz w:val="14"/>
                <w:szCs w:val="14"/>
              </w:rPr>
              <w:t>(92,428</w:t>
            </w:r>
          </w:p>
        </w:tc>
        <w:tc>
          <w:tcPr>
            <w:tcW w:w="50" w:type="pct"/>
            <w:shd w:val="clear" w:color="auto" w:fill="CFF0FC"/>
            <w:noWrap/>
            <w:tcMar>
              <w:top w:w="15" w:type="dxa"/>
              <w:left w:w="0" w:type="dxa"/>
              <w:bottom w:w="0" w:type="dxa"/>
              <w:right w:w="15" w:type="dxa"/>
            </w:tcMar>
            <w:vAlign w:val="bottom"/>
            <w:hideMark/>
          </w:tcPr>
          <w:p w14:paraId="383387AA"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2BE84BA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AAA5FA"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AE21A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D4E594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1C440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E4A531"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A21801" w14:textId="77777777" w:rsidR="00000000" w:rsidRDefault="007125B5">
            <w:pPr>
              <w:pStyle w:val="a3"/>
              <w:spacing w:before="0" w:beforeAutospacing="0" w:after="0" w:afterAutospacing="0"/>
              <w:jc w:val="right"/>
              <w:rPr>
                <w:color w:val="000000"/>
                <w:sz w:val="14"/>
                <w:szCs w:val="14"/>
              </w:rPr>
            </w:pPr>
            <w:r>
              <w:rPr>
                <w:color w:val="000000"/>
                <w:sz w:val="14"/>
                <w:szCs w:val="14"/>
              </w:rPr>
              <w:t>(93</w:t>
            </w:r>
          </w:p>
        </w:tc>
        <w:tc>
          <w:tcPr>
            <w:tcW w:w="50" w:type="pct"/>
            <w:shd w:val="clear" w:color="auto" w:fill="CFF0FC"/>
            <w:noWrap/>
            <w:tcMar>
              <w:top w:w="15" w:type="dxa"/>
              <w:left w:w="0" w:type="dxa"/>
              <w:bottom w:w="0" w:type="dxa"/>
              <w:right w:w="15" w:type="dxa"/>
            </w:tcMar>
            <w:vAlign w:val="bottom"/>
            <w:hideMark/>
          </w:tcPr>
          <w:p w14:paraId="4B7F919D"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7802172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3F8C04"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EB1C57" w14:textId="77777777" w:rsidR="00000000" w:rsidRDefault="007125B5">
            <w:pPr>
              <w:pStyle w:val="a3"/>
              <w:spacing w:before="0" w:beforeAutospacing="0" w:after="0" w:afterAutospacing="0"/>
              <w:jc w:val="right"/>
              <w:rPr>
                <w:color w:val="000000"/>
                <w:sz w:val="14"/>
                <w:szCs w:val="14"/>
              </w:rPr>
            </w:pPr>
            <w:r>
              <w:rPr>
                <w:color w:val="000000"/>
                <w:sz w:val="14"/>
                <w:szCs w:val="14"/>
              </w:rPr>
              <w:t>(38,116</w:t>
            </w:r>
          </w:p>
        </w:tc>
        <w:tc>
          <w:tcPr>
            <w:tcW w:w="50" w:type="pct"/>
            <w:shd w:val="clear" w:color="auto" w:fill="CFF0FC"/>
            <w:noWrap/>
            <w:tcMar>
              <w:top w:w="15" w:type="dxa"/>
              <w:left w:w="0" w:type="dxa"/>
              <w:bottom w:w="0" w:type="dxa"/>
              <w:right w:w="15" w:type="dxa"/>
            </w:tcMar>
            <w:vAlign w:val="bottom"/>
            <w:hideMark/>
          </w:tcPr>
          <w:p w14:paraId="51AB19DC" w14:textId="77777777" w:rsidR="00000000" w:rsidRDefault="007125B5">
            <w:pPr>
              <w:pStyle w:val="a3"/>
              <w:spacing w:before="0" w:beforeAutospacing="0" w:after="0" w:afterAutospacing="0"/>
              <w:rPr>
                <w:color w:val="000000"/>
                <w:sz w:val="14"/>
                <w:szCs w:val="14"/>
              </w:rPr>
            </w:pPr>
            <w:r>
              <w:rPr>
                <w:color w:val="000000"/>
                <w:sz w:val="14"/>
                <w:szCs w:val="14"/>
              </w:rPr>
              <w:t>)</w:t>
            </w:r>
          </w:p>
        </w:tc>
      </w:tr>
    </w:tbl>
    <w:p w14:paraId="6346CE7B"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63"/>
        <w:gridCol w:w="50"/>
        <w:gridCol w:w="50"/>
        <w:gridCol w:w="400"/>
        <w:gridCol w:w="50"/>
        <w:gridCol w:w="50"/>
        <w:gridCol w:w="85"/>
        <w:gridCol w:w="470"/>
        <w:gridCol w:w="50"/>
        <w:gridCol w:w="50"/>
        <w:gridCol w:w="77"/>
        <w:gridCol w:w="343"/>
        <w:gridCol w:w="59"/>
        <w:gridCol w:w="51"/>
        <w:gridCol w:w="93"/>
        <w:gridCol w:w="413"/>
        <w:gridCol w:w="50"/>
        <w:gridCol w:w="50"/>
        <w:gridCol w:w="50"/>
        <w:gridCol w:w="50"/>
        <w:gridCol w:w="575"/>
        <w:gridCol w:w="50"/>
        <w:gridCol w:w="50"/>
        <w:gridCol w:w="93"/>
        <w:gridCol w:w="413"/>
        <w:gridCol w:w="50"/>
        <w:gridCol w:w="50"/>
        <w:gridCol w:w="120"/>
        <w:gridCol w:w="533"/>
        <w:gridCol w:w="62"/>
        <w:gridCol w:w="50"/>
        <w:gridCol w:w="148"/>
        <w:gridCol w:w="661"/>
        <w:gridCol w:w="62"/>
        <w:gridCol w:w="50"/>
        <w:gridCol w:w="145"/>
        <w:gridCol w:w="648"/>
        <w:gridCol w:w="62"/>
        <w:gridCol w:w="50"/>
        <w:gridCol w:w="174"/>
        <w:gridCol w:w="775"/>
        <w:gridCol w:w="50"/>
        <w:gridCol w:w="50"/>
        <w:gridCol w:w="154"/>
        <w:gridCol w:w="686"/>
        <w:gridCol w:w="62"/>
      </w:tblGrid>
      <w:tr w:rsidR="007125B5" w14:paraId="7205F95D" w14:textId="77777777">
        <w:trPr>
          <w:divId w:val="1031759256"/>
          <w:jc w:val="center"/>
        </w:trPr>
        <w:tc>
          <w:tcPr>
            <w:tcW w:w="1045" w:type="pct"/>
            <w:shd w:val="clear" w:color="auto" w:fill="FFFFFF"/>
            <w:tcMar>
              <w:top w:w="15" w:type="dxa"/>
              <w:left w:w="0" w:type="dxa"/>
              <w:bottom w:w="0" w:type="dxa"/>
              <w:right w:w="15" w:type="dxa"/>
            </w:tcMar>
            <w:vAlign w:val="bottom"/>
            <w:hideMark/>
          </w:tcPr>
          <w:p w14:paraId="2E6C2172" w14:textId="77777777" w:rsidR="00000000" w:rsidRDefault="007125B5">
            <w:pPr>
              <w:pStyle w:val="a3"/>
              <w:spacing w:before="0" w:beforeAutospacing="0" w:after="0" w:afterAutospacing="0"/>
              <w:jc w:val="center"/>
              <w:rPr>
                <w:sz w:val="20"/>
                <w:szCs w:val="20"/>
              </w:rPr>
            </w:pPr>
            <w:r>
              <w:rPr>
                <w:sz w:val="20"/>
                <w:szCs w:val="20"/>
              </w:rPr>
              <w:t> </w:t>
            </w:r>
          </w:p>
        </w:tc>
        <w:tc>
          <w:tcPr>
            <w:tcW w:w="35" w:type="pct"/>
            <w:shd w:val="clear" w:color="auto" w:fill="FFFFFF"/>
            <w:tcMar>
              <w:top w:w="15" w:type="dxa"/>
              <w:left w:w="0" w:type="dxa"/>
              <w:bottom w:w="0" w:type="dxa"/>
              <w:right w:w="15" w:type="dxa"/>
            </w:tcMar>
            <w:vAlign w:val="bottom"/>
            <w:hideMark/>
          </w:tcPr>
          <w:p w14:paraId="054BE75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4BF593D2"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Redeemable</w:t>
            </w:r>
          </w:p>
        </w:tc>
        <w:tc>
          <w:tcPr>
            <w:tcW w:w="50" w:type="pct"/>
            <w:shd w:val="clear" w:color="auto" w:fill="FFFFFF"/>
            <w:noWrap/>
            <w:tcMar>
              <w:top w:w="15" w:type="dxa"/>
              <w:left w:w="0" w:type="dxa"/>
              <w:bottom w:w="0" w:type="dxa"/>
              <w:right w:w="15" w:type="dxa"/>
            </w:tcMar>
            <w:vAlign w:val="bottom"/>
            <w:hideMark/>
          </w:tcPr>
          <w:p w14:paraId="2734BC2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D21F37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0A86D06A"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Convertible and</w:t>
            </w:r>
          </w:p>
          <w:p w14:paraId="70F6295A"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Redeemable</w:t>
            </w:r>
          </w:p>
        </w:tc>
        <w:tc>
          <w:tcPr>
            <w:tcW w:w="50" w:type="pct"/>
            <w:shd w:val="clear" w:color="auto" w:fill="FFFFFF"/>
            <w:noWrap/>
            <w:tcMar>
              <w:top w:w="15" w:type="dxa"/>
              <w:left w:w="0" w:type="dxa"/>
              <w:bottom w:w="0" w:type="dxa"/>
              <w:right w:w="15" w:type="dxa"/>
            </w:tcMar>
            <w:vAlign w:val="bottom"/>
            <w:hideMark/>
          </w:tcPr>
          <w:p w14:paraId="2E9D606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668808E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0BC9D285"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89DFAE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FB0424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7EC1C2C"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6801B78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4EA6CF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0631F0A"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5AA9E4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D869C8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02FAA41"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FA356E8" w14:textId="77777777" w:rsidR="00000000" w:rsidRDefault="007125B5">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849CD36"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32525CAC"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CB9F3F9"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4D167DB" w14:textId="77777777" w:rsidR="00000000" w:rsidRDefault="007125B5">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8A1294"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BF77F5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00DC588A"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Notes</w:t>
            </w:r>
          </w:p>
        </w:tc>
        <w:tc>
          <w:tcPr>
            <w:tcW w:w="50" w:type="pct"/>
            <w:shd w:val="clear" w:color="auto" w:fill="FFFFFF"/>
            <w:noWrap/>
            <w:tcMar>
              <w:top w:w="15" w:type="dxa"/>
              <w:left w:w="0" w:type="dxa"/>
              <w:bottom w:w="0" w:type="dxa"/>
              <w:right w:w="15" w:type="dxa"/>
            </w:tcMar>
            <w:vAlign w:val="bottom"/>
            <w:hideMark/>
          </w:tcPr>
          <w:p w14:paraId="203D614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6DC8BA2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489A50B5"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63170C97"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064AD8B9"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068D8D9"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153B3AE" w14:textId="77777777" w:rsidR="00000000" w:rsidRDefault="007125B5">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320F28E"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r>
      <w:tr w:rsidR="007125B5" w14:paraId="57186B3C" w14:textId="77777777">
        <w:trPr>
          <w:divId w:val="1031759256"/>
          <w:jc w:val="center"/>
        </w:trPr>
        <w:tc>
          <w:tcPr>
            <w:tcW w:w="1045" w:type="pct"/>
            <w:shd w:val="clear" w:color="auto" w:fill="FFFFFF"/>
            <w:tcMar>
              <w:top w:w="15" w:type="dxa"/>
              <w:left w:w="0" w:type="dxa"/>
              <w:bottom w:w="0" w:type="dxa"/>
              <w:right w:w="15" w:type="dxa"/>
            </w:tcMar>
            <w:vAlign w:val="bottom"/>
            <w:hideMark/>
          </w:tcPr>
          <w:p w14:paraId="6A3C656F"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A0C4EE2"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353AFBB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Series A-1</w:t>
            </w:r>
          </w:p>
        </w:tc>
        <w:tc>
          <w:tcPr>
            <w:tcW w:w="50" w:type="pct"/>
            <w:shd w:val="clear" w:color="auto" w:fill="FFFFFF"/>
            <w:noWrap/>
            <w:tcMar>
              <w:top w:w="15" w:type="dxa"/>
              <w:left w:w="0" w:type="dxa"/>
              <w:bottom w:w="0" w:type="dxa"/>
              <w:right w:w="15" w:type="dxa"/>
            </w:tcMar>
            <w:vAlign w:val="bottom"/>
            <w:hideMark/>
          </w:tcPr>
          <w:p w14:paraId="32D827A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975E8A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shd w:val="clear" w:color="auto" w:fill="FFFFFF"/>
            <w:tcMar>
              <w:top w:w="15" w:type="dxa"/>
              <w:left w:w="0" w:type="dxa"/>
              <w:bottom w:w="0" w:type="dxa"/>
              <w:right w:w="15" w:type="dxa"/>
            </w:tcMar>
            <w:vAlign w:val="bottom"/>
            <w:hideMark/>
          </w:tcPr>
          <w:p w14:paraId="2B6BA809"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Series A-2</w:t>
            </w:r>
          </w:p>
        </w:tc>
        <w:tc>
          <w:tcPr>
            <w:tcW w:w="50" w:type="pct"/>
            <w:shd w:val="clear" w:color="auto" w:fill="FFFFFF"/>
            <w:noWrap/>
            <w:tcMar>
              <w:top w:w="15" w:type="dxa"/>
              <w:left w:w="0" w:type="dxa"/>
              <w:bottom w:w="0" w:type="dxa"/>
              <w:right w:w="15" w:type="dxa"/>
            </w:tcMar>
            <w:vAlign w:val="bottom"/>
            <w:hideMark/>
          </w:tcPr>
          <w:p w14:paraId="5C1A38C9"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750156D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4F6DCF3F"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2B48D0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3927FDD"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63FF79C"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F0AE99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0B068D4"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AB2431E"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3C58EE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D08BB7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530D2158"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14:paraId="39C507B5"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56C5835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24BAF16"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C88D813" w14:textId="77777777" w:rsidR="00000000" w:rsidRDefault="007125B5">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8D63F20"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E406985"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281CE451"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Receivable</w:t>
            </w:r>
          </w:p>
        </w:tc>
        <w:tc>
          <w:tcPr>
            <w:tcW w:w="50" w:type="pct"/>
            <w:shd w:val="clear" w:color="auto" w:fill="FFFFFF"/>
            <w:noWrap/>
            <w:tcMar>
              <w:top w:w="15" w:type="dxa"/>
              <w:left w:w="0" w:type="dxa"/>
              <w:bottom w:w="0" w:type="dxa"/>
              <w:right w:w="15" w:type="dxa"/>
            </w:tcMar>
            <w:vAlign w:val="bottom"/>
            <w:hideMark/>
          </w:tcPr>
          <w:p w14:paraId="776FB87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4047A2F"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0AD02589"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14:paraId="6E3C9EA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6A075F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74DA6F33"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14:paraId="7AE8FBFF"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r>
      <w:tr w:rsidR="00000000" w14:paraId="67966648" w14:textId="77777777">
        <w:trPr>
          <w:divId w:val="1031759256"/>
          <w:jc w:val="center"/>
        </w:trPr>
        <w:tc>
          <w:tcPr>
            <w:tcW w:w="1045" w:type="pct"/>
            <w:shd w:val="clear" w:color="auto" w:fill="FFFFFF"/>
            <w:tcMar>
              <w:top w:w="15" w:type="dxa"/>
              <w:left w:w="0" w:type="dxa"/>
              <w:bottom w:w="0" w:type="dxa"/>
              <w:right w:w="15" w:type="dxa"/>
            </w:tcMar>
            <w:vAlign w:val="bottom"/>
            <w:hideMark/>
          </w:tcPr>
          <w:p w14:paraId="5ED6B18A"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6D65E5A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tcBorders>
              <w:bottom w:val="single" w:sz="6" w:space="0" w:color="000000"/>
            </w:tcBorders>
            <w:shd w:val="clear" w:color="auto" w:fill="FFFFFF"/>
            <w:tcMar>
              <w:top w:w="15" w:type="dxa"/>
              <w:left w:w="0" w:type="dxa"/>
              <w:bottom w:w="0" w:type="dxa"/>
              <w:right w:w="15" w:type="dxa"/>
            </w:tcMar>
            <w:vAlign w:val="bottom"/>
            <w:hideMark/>
          </w:tcPr>
          <w:p w14:paraId="79292949"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Preferred Stock</w:t>
            </w:r>
          </w:p>
        </w:tc>
        <w:tc>
          <w:tcPr>
            <w:tcW w:w="50" w:type="pct"/>
            <w:shd w:val="clear" w:color="auto" w:fill="FFFFFF"/>
            <w:noWrap/>
            <w:tcMar>
              <w:top w:w="15" w:type="dxa"/>
              <w:left w:w="0" w:type="dxa"/>
              <w:bottom w:w="0" w:type="dxa"/>
              <w:right w:w="15" w:type="dxa"/>
            </w:tcMar>
            <w:vAlign w:val="bottom"/>
            <w:hideMark/>
          </w:tcPr>
          <w:p w14:paraId="3B21D712"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C44A9A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tcBorders>
              <w:bottom w:val="single" w:sz="6" w:space="0" w:color="000000"/>
            </w:tcBorders>
            <w:shd w:val="clear" w:color="auto" w:fill="FFFFFF"/>
            <w:tcMar>
              <w:top w:w="15" w:type="dxa"/>
              <w:left w:w="0" w:type="dxa"/>
              <w:bottom w:w="0" w:type="dxa"/>
              <w:right w:w="15" w:type="dxa"/>
            </w:tcMar>
            <w:vAlign w:val="bottom"/>
            <w:hideMark/>
          </w:tcPr>
          <w:p w14:paraId="112C4209"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Preferred Stock</w:t>
            </w:r>
          </w:p>
        </w:tc>
        <w:tc>
          <w:tcPr>
            <w:tcW w:w="50" w:type="pct"/>
            <w:shd w:val="clear" w:color="auto" w:fill="FFFFFF"/>
            <w:noWrap/>
            <w:tcMar>
              <w:top w:w="15" w:type="dxa"/>
              <w:left w:w="0" w:type="dxa"/>
              <w:bottom w:w="0" w:type="dxa"/>
              <w:right w:w="15" w:type="dxa"/>
            </w:tcMar>
            <w:vAlign w:val="bottom"/>
            <w:hideMark/>
          </w:tcPr>
          <w:p w14:paraId="69EDFDC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6A2CAE9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4F3238F5"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633" w:type="pct"/>
            <w:gridSpan w:val="6"/>
            <w:tcBorders>
              <w:bottom w:val="single" w:sz="6" w:space="0" w:color="000000"/>
            </w:tcBorders>
            <w:shd w:val="clear" w:color="auto" w:fill="FFFFFF"/>
            <w:tcMar>
              <w:top w:w="15" w:type="dxa"/>
              <w:left w:w="0" w:type="dxa"/>
              <w:bottom w:w="0" w:type="dxa"/>
              <w:right w:w="15" w:type="dxa"/>
            </w:tcMar>
            <w:vAlign w:val="bottom"/>
            <w:hideMark/>
          </w:tcPr>
          <w:p w14:paraId="54BFFCFF"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14:paraId="6459B55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608F1B0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6D0DCE5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14:paraId="45B29D4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04972CE"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4CC62EE3"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6A01A39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5BEDABA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47DDF5D0"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from</w:t>
            </w:r>
          </w:p>
        </w:tc>
        <w:tc>
          <w:tcPr>
            <w:tcW w:w="50" w:type="pct"/>
            <w:shd w:val="clear" w:color="auto" w:fill="FFFFFF"/>
            <w:noWrap/>
            <w:tcMar>
              <w:top w:w="15" w:type="dxa"/>
              <w:left w:w="0" w:type="dxa"/>
              <w:bottom w:w="0" w:type="dxa"/>
              <w:right w:w="15" w:type="dxa"/>
            </w:tcMar>
            <w:vAlign w:val="bottom"/>
            <w:hideMark/>
          </w:tcPr>
          <w:p w14:paraId="292BFA7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73563A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763CDA20"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14:paraId="1789036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E53363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shd w:val="clear" w:color="auto" w:fill="FFFFFF"/>
            <w:tcMar>
              <w:top w:w="15" w:type="dxa"/>
              <w:left w:w="0" w:type="dxa"/>
              <w:bottom w:w="0" w:type="dxa"/>
              <w:right w:w="15" w:type="dxa"/>
            </w:tcMar>
            <w:vAlign w:val="bottom"/>
            <w:hideMark/>
          </w:tcPr>
          <w:p w14:paraId="5952D81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14:paraId="5A3969A3"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r>
      <w:tr w:rsidR="007125B5" w14:paraId="2105B391" w14:textId="77777777">
        <w:trPr>
          <w:divId w:val="1031759256"/>
          <w:jc w:val="center"/>
        </w:trPr>
        <w:tc>
          <w:tcPr>
            <w:tcW w:w="1045" w:type="pct"/>
            <w:shd w:val="clear" w:color="auto" w:fill="FFFFFF"/>
            <w:tcMar>
              <w:top w:w="15" w:type="dxa"/>
              <w:left w:w="0" w:type="dxa"/>
              <w:bottom w:w="0" w:type="dxa"/>
              <w:right w:w="15" w:type="dxa"/>
            </w:tcMar>
            <w:vAlign w:val="bottom"/>
            <w:hideMark/>
          </w:tcPr>
          <w:p w14:paraId="0FDED0B8"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1F9E04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1E2843"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11FB60C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tcBorders>
              <w:top w:val="single" w:sz="6" w:space="0" w:color="000000"/>
            </w:tcBorders>
            <w:shd w:val="clear" w:color="auto" w:fill="FFFFFF"/>
            <w:tcMar>
              <w:top w:w="15" w:type="dxa"/>
              <w:left w:w="0" w:type="dxa"/>
              <w:bottom w:w="0" w:type="dxa"/>
              <w:right w:w="15" w:type="dxa"/>
            </w:tcMar>
            <w:vAlign w:val="bottom"/>
            <w:hideMark/>
          </w:tcPr>
          <w:p w14:paraId="73BD060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9D939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7934A9C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461220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D6393B4"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0026318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tcBorders>
              <w:top w:val="single" w:sz="6" w:space="0" w:color="000000"/>
            </w:tcBorders>
            <w:shd w:val="clear" w:color="auto" w:fill="FFFFFF"/>
            <w:tcMar>
              <w:top w:w="15" w:type="dxa"/>
              <w:left w:w="0" w:type="dxa"/>
              <w:bottom w:w="0" w:type="dxa"/>
              <w:right w:w="15" w:type="dxa"/>
            </w:tcMar>
            <w:vAlign w:val="bottom"/>
            <w:hideMark/>
          </w:tcPr>
          <w:p w14:paraId="54474A1B"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DF2D8E2"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78772D9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0F1DE63C"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09164B9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5D9CE5"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1D58BEE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tcBorders>
              <w:top w:val="single" w:sz="6" w:space="0" w:color="000000"/>
            </w:tcBorders>
            <w:shd w:val="clear" w:color="auto" w:fill="FFFFFF"/>
            <w:tcMar>
              <w:top w:w="15" w:type="dxa"/>
              <w:left w:w="0" w:type="dxa"/>
              <w:bottom w:w="0" w:type="dxa"/>
              <w:right w:w="15" w:type="dxa"/>
            </w:tcMar>
            <w:vAlign w:val="bottom"/>
            <w:hideMark/>
          </w:tcPr>
          <w:p w14:paraId="70A0893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BD195C"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4682CD8A"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23140F49"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539B296D"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shd w:val="clear" w:color="auto" w:fill="FFFFFF"/>
            <w:noWrap/>
            <w:tcMar>
              <w:top w:w="15" w:type="dxa"/>
              <w:left w:w="0" w:type="dxa"/>
              <w:bottom w:w="0" w:type="dxa"/>
              <w:right w:w="15" w:type="dxa"/>
            </w:tcMar>
            <w:vAlign w:val="bottom"/>
            <w:hideMark/>
          </w:tcPr>
          <w:p w14:paraId="0291268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57E9F32" w14:textId="77777777" w:rsidR="00000000" w:rsidRDefault="007125B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35ADF877"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6E21B9A8"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1EDC465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038419A8"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14:paraId="7DD8FA86"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080FE53D"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64DA00B1"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(Loss) Income</w:t>
            </w:r>
          </w:p>
        </w:tc>
        <w:tc>
          <w:tcPr>
            <w:tcW w:w="50" w:type="pct"/>
            <w:shd w:val="clear" w:color="auto" w:fill="FFFFFF"/>
            <w:noWrap/>
            <w:tcMar>
              <w:top w:w="15" w:type="dxa"/>
              <w:left w:w="0" w:type="dxa"/>
              <w:bottom w:w="0" w:type="dxa"/>
              <w:right w:w="15" w:type="dxa"/>
            </w:tcMar>
            <w:vAlign w:val="bottom"/>
            <w:hideMark/>
          </w:tcPr>
          <w:p w14:paraId="1A597499"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4DAD371"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c>
          <w:tcPr>
            <w:tcW w:w="274" w:type="pct"/>
            <w:gridSpan w:val="2"/>
            <w:tcBorders>
              <w:bottom w:val="single" w:sz="6" w:space="0" w:color="000000"/>
            </w:tcBorders>
            <w:shd w:val="clear" w:color="auto" w:fill="FFFFFF"/>
            <w:tcMar>
              <w:top w:w="15" w:type="dxa"/>
              <w:left w:w="0" w:type="dxa"/>
              <w:bottom w:w="0" w:type="dxa"/>
              <w:right w:w="15" w:type="dxa"/>
            </w:tcMar>
            <w:vAlign w:val="bottom"/>
            <w:hideMark/>
          </w:tcPr>
          <w:p w14:paraId="09EE894B" w14:textId="77777777" w:rsidR="00000000" w:rsidRDefault="007125B5">
            <w:pPr>
              <w:pStyle w:val="a3"/>
              <w:spacing w:before="0" w:beforeAutospacing="0" w:after="0" w:afterAutospacing="0"/>
              <w:jc w:val="center"/>
              <w:rPr>
                <w:b/>
                <w:bCs/>
                <w:color w:val="000000"/>
                <w:sz w:val="14"/>
                <w:szCs w:val="14"/>
              </w:rPr>
            </w:pPr>
            <w:r>
              <w:rPr>
                <w:b/>
                <w:bCs/>
                <w:color w:val="000000"/>
                <w:sz w:val="14"/>
                <w:szCs w:val="14"/>
              </w:rPr>
              <w:t>Equity (Deficit)</w:t>
            </w:r>
          </w:p>
        </w:tc>
        <w:tc>
          <w:tcPr>
            <w:tcW w:w="50" w:type="pct"/>
            <w:shd w:val="clear" w:color="auto" w:fill="FFFFFF"/>
            <w:noWrap/>
            <w:tcMar>
              <w:top w:w="15" w:type="dxa"/>
              <w:left w:w="0" w:type="dxa"/>
              <w:bottom w:w="0" w:type="dxa"/>
              <w:right w:w="15" w:type="dxa"/>
            </w:tcMar>
            <w:vAlign w:val="bottom"/>
            <w:hideMark/>
          </w:tcPr>
          <w:p w14:paraId="1F15C3D0" w14:textId="77777777" w:rsidR="00000000" w:rsidRDefault="007125B5">
            <w:pPr>
              <w:pStyle w:val="a3"/>
              <w:spacing w:before="0" w:beforeAutospacing="0" w:after="0" w:afterAutospacing="0"/>
              <w:rPr>
                <w:b/>
                <w:bCs/>
                <w:color w:val="000000"/>
                <w:sz w:val="14"/>
                <w:szCs w:val="14"/>
              </w:rPr>
            </w:pPr>
            <w:r>
              <w:rPr>
                <w:b/>
                <w:bCs/>
                <w:color w:val="000000"/>
                <w:sz w:val="14"/>
                <w:szCs w:val="14"/>
              </w:rPr>
              <w:t> </w:t>
            </w:r>
          </w:p>
        </w:tc>
      </w:tr>
      <w:tr w:rsidR="007125B5" w14:paraId="7BFD7EF5" w14:textId="77777777">
        <w:trPr>
          <w:divId w:val="1031759256"/>
          <w:jc w:val="center"/>
        </w:trPr>
        <w:tc>
          <w:tcPr>
            <w:tcW w:w="1045" w:type="pct"/>
            <w:shd w:val="clear" w:color="auto" w:fill="CFF0FC"/>
            <w:tcMar>
              <w:top w:w="15" w:type="dxa"/>
              <w:left w:w="0" w:type="dxa"/>
              <w:bottom w:w="0" w:type="dxa"/>
              <w:right w:w="15" w:type="dxa"/>
            </w:tcMar>
            <w:hideMark/>
          </w:tcPr>
          <w:p w14:paraId="72C69392" w14:textId="77777777" w:rsidR="00000000" w:rsidRDefault="007125B5">
            <w:pPr>
              <w:pStyle w:val="a3"/>
              <w:spacing w:before="0" w:beforeAutospacing="0" w:after="0" w:afterAutospacing="0"/>
              <w:rPr>
                <w:color w:val="000000"/>
                <w:sz w:val="14"/>
                <w:szCs w:val="14"/>
              </w:rPr>
            </w:pPr>
            <w:r>
              <w:rPr>
                <w:color w:val="000000"/>
                <w:sz w:val="14"/>
                <w:szCs w:val="14"/>
              </w:rPr>
              <w:t>BALANCE—December 31, 2018</w:t>
            </w:r>
          </w:p>
        </w:tc>
        <w:tc>
          <w:tcPr>
            <w:tcW w:w="35" w:type="pct"/>
            <w:shd w:val="clear" w:color="auto" w:fill="CFF0FC"/>
            <w:tcMar>
              <w:top w:w="15" w:type="dxa"/>
              <w:left w:w="0" w:type="dxa"/>
              <w:bottom w:w="0" w:type="dxa"/>
              <w:right w:w="15" w:type="dxa"/>
            </w:tcMar>
            <w:vAlign w:val="bottom"/>
            <w:hideMark/>
          </w:tcPr>
          <w:p w14:paraId="4718365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E9431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3DC02FAF" w14:textId="77777777" w:rsidR="00000000" w:rsidRDefault="007125B5">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CFF0FC"/>
            <w:noWrap/>
            <w:tcMar>
              <w:top w:w="15" w:type="dxa"/>
              <w:left w:w="0" w:type="dxa"/>
              <w:bottom w:w="0" w:type="dxa"/>
              <w:right w:w="15" w:type="dxa"/>
            </w:tcMar>
            <w:vAlign w:val="bottom"/>
            <w:hideMark/>
          </w:tcPr>
          <w:p w14:paraId="10F2345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6CF2A2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48FE7C4"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5FBB1162" w14:textId="77777777" w:rsidR="00000000" w:rsidRDefault="007125B5">
            <w:pPr>
              <w:pStyle w:val="a3"/>
              <w:spacing w:before="0" w:beforeAutospacing="0" w:after="0" w:afterAutospacing="0"/>
              <w:jc w:val="right"/>
              <w:rPr>
                <w:color w:val="000000"/>
                <w:sz w:val="14"/>
                <w:szCs w:val="14"/>
              </w:rPr>
            </w:pPr>
            <w:r>
              <w:rPr>
                <w:color w:val="000000"/>
                <w:sz w:val="14"/>
                <w:szCs w:val="14"/>
              </w:rPr>
              <w:t>109,206</w:t>
            </w:r>
          </w:p>
        </w:tc>
        <w:tc>
          <w:tcPr>
            <w:tcW w:w="50" w:type="pct"/>
            <w:shd w:val="clear" w:color="auto" w:fill="CFF0FC"/>
            <w:noWrap/>
            <w:tcMar>
              <w:top w:w="15" w:type="dxa"/>
              <w:left w:w="0" w:type="dxa"/>
              <w:bottom w:w="0" w:type="dxa"/>
              <w:right w:w="15" w:type="dxa"/>
            </w:tcMar>
            <w:vAlign w:val="bottom"/>
            <w:hideMark/>
          </w:tcPr>
          <w:p w14:paraId="2696CBD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217F9B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D485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300BADC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B176A9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C5FEF0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61BBC7"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2B6DB22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A57B15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013A710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3A0E018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5CE9B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757FD338" w14:textId="77777777" w:rsidR="00000000" w:rsidRDefault="007125B5">
            <w:pPr>
              <w:pStyle w:val="a3"/>
              <w:spacing w:before="0" w:beforeAutospacing="0" w:after="0" w:afterAutospacing="0"/>
              <w:jc w:val="right"/>
              <w:rPr>
                <w:color w:val="000000"/>
                <w:sz w:val="14"/>
                <w:szCs w:val="14"/>
              </w:rPr>
            </w:pPr>
            <w:r>
              <w:rPr>
                <w:color w:val="000000"/>
                <w:sz w:val="14"/>
                <w:szCs w:val="14"/>
              </w:rPr>
              <w:t>8,137,771</w:t>
            </w:r>
          </w:p>
        </w:tc>
        <w:tc>
          <w:tcPr>
            <w:tcW w:w="50" w:type="pct"/>
            <w:shd w:val="clear" w:color="auto" w:fill="CFF0FC"/>
            <w:noWrap/>
            <w:tcMar>
              <w:top w:w="15" w:type="dxa"/>
              <w:left w:w="0" w:type="dxa"/>
              <w:bottom w:w="0" w:type="dxa"/>
              <w:right w:w="15" w:type="dxa"/>
            </w:tcMar>
            <w:vAlign w:val="bottom"/>
            <w:hideMark/>
          </w:tcPr>
          <w:p w14:paraId="43D70A3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BAF0DF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B667A2"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71B29B9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C073BA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C87789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2AF2E2"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1EB48578" w14:textId="77777777" w:rsidR="00000000" w:rsidRDefault="007125B5">
            <w:pPr>
              <w:pStyle w:val="a3"/>
              <w:spacing w:before="0" w:beforeAutospacing="0" w:after="0" w:afterAutospacing="0"/>
              <w:jc w:val="right"/>
              <w:rPr>
                <w:color w:val="000000"/>
                <w:sz w:val="14"/>
                <w:szCs w:val="14"/>
              </w:rPr>
            </w:pPr>
            <w:r>
              <w:rPr>
                <w:color w:val="000000"/>
                <w:sz w:val="14"/>
                <w:szCs w:val="14"/>
              </w:rPr>
              <w:t>47,869</w:t>
            </w:r>
          </w:p>
        </w:tc>
        <w:tc>
          <w:tcPr>
            <w:tcW w:w="50" w:type="pct"/>
            <w:shd w:val="clear" w:color="auto" w:fill="CFF0FC"/>
            <w:noWrap/>
            <w:tcMar>
              <w:top w:w="15" w:type="dxa"/>
              <w:left w:w="0" w:type="dxa"/>
              <w:bottom w:w="0" w:type="dxa"/>
              <w:right w:w="15" w:type="dxa"/>
            </w:tcMar>
            <w:vAlign w:val="bottom"/>
            <w:hideMark/>
          </w:tcPr>
          <w:p w14:paraId="0E711D5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48071A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94A041"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56D4CB3B" w14:textId="77777777" w:rsidR="00000000" w:rsidRDefault="007125B5">
            <w:pPr>
              <w:pStyle w:val="a3"/>
              <w:spacing w:before="0" w:beforeAutospacing="0" w:after="0" w:afterAutospacing="0"/>
              <w:jc w:val="right"/>
              <w:rPr>
                <w:color w:val="000000"/>
                <w:sz w:val="14"/>
                <w:szCs w:val="14"/>
              </w:rPr>
            </w:pPr>
            <w:r>
              <w:rPr>
                <w:color w:val="000000"/>
                <w:sz w:val="14"/>
                <w:szCs w:val="14"/>
              </w:rPr>
              <w:t>(40,847</w:t>
            </w:r>
          </w:p>
        </w:tc>
        <w:tc>
          <w:tcPr>
            <w:tcW w:w="50" w:type="pct"/>
            <w:shd w:val="clear" w:color="auto" w:fill="CFF0FC"/>
            <w:noWrap/>
            <w:tcMar>
              <w:top w:w="15" w:type="dxa"/>
              <w:left w:w="0" w:type="dxa"/>
              <w:bottom w:w="0" w:type="dxa"/>
              <w:right w:w="15" w:type="dxa"/>
            </w:tcMar>
            <w:vAlign w:val="bottom"/>
            <w:hideMark/>
          </w:tcPr>
          <w:p w14:paraId="3C858CB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6A754DF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3C904A"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7B782A04" w14:textId="77777777" w:rsidR="00000000" w:rsidRDefault="007125B5">
            <w:pPr>
              <w:pStyle w:val="a3"/>
              <w:spacing w:before="0" w:beforeAutospacing="0" w:after="0" w:afterAutospacing="0"/>
              <w:jc w:val="right"/>
              <w:rPr>
                <w:color w:val="000000"/>
                <w:sz w:val="14"/>
                <w:szCs w:val="14"/>
              </w:rPr>
            </w:pPr>
            <w:r>
              <w:rPr>
                <w:color w:val="000000"/>
                <w:sz w:val="14"/>
                <w:szCs w:val="14"/>
              </w:rPr>
              <w:t>(122</w:t>
            </w:r>
          </w:p>
        </w:tc>
        <w:tc>
          <w:tcPr>
            <w:tcW w:w="50" w:type="pct"/>
            <w:shd w:val="clear" w:color="auto" w:fill="CFF0FC"/>
            <w:noWrap/>
            <w:tcMar>
              <w:top w:w="15" w:type="dxa"/>
              <w:left w:w="0" w:type="dxa"/>
              <w:bottom w:w="0" w:type="dxa"/>
              <w:right w:w="15" w:type="dxa"/>
            </w:tcMar>
            <w:vAlign w:val="bottom"/>
            <w:hideMark/>
          </w:tcPr>
          <w:p w14:paraId="4BF0D210"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70B79E5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41F9A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311315F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43E9B9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0E2E6A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B7CB32"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CFF0FC"/>
            <w:noWrap/>
            <w:tcMar>
              <w:top w:w="15" w:type="dxa"/>
              <w:left w:w="0" w:type="dxa"/>
              <w:bottom w:w="0" w:type="dxa"/>
              <w:right w:w="15" w:type="dxa"/>
            </w:tcMar>
            <w:vAlign w:val="bottom"/>
            <w:hideMark/>
          </w:tcPr>
          <w:p w14:paraId="24FB02ED" w14:textId="77777777" w:rsidR="00000000" w:rsidRDefault="007125B5">
            <w:pPr>
              <w:pStyle w:val="a3"/>
              <w:spacing w:before="0" w:beforeAutospacing="0" w:after="0" w:afterAutospacing="0"/>
              <w:jc w:val="right"/>
              <w:rPr>
                <w:color w:val="000000"/>
                <w:sz w:val="14"/>
                <w:szCs w:val="14"/>
              </w:rPr>
            </w:pPr>
            <w:r>
              <w:rPr>
                <w:color w:val="000000"/>
                <w:sz w:val="14"/>
                <w:szCs w:val="14"/>
              </w:rPr>
              <w:t>6,900</w:t>
            </w:r>
          </w:p>
        </w:tc>
        <w:tc>
          <w:tcPr>
            <w:tcW w:w="50" w:type="pct"/>
            <w:shd w:val="clear" w:color="auto" w:fill="CFF0FC"/>
            <w:noWrap/>
            <w:tcMar>
              <w:top w:w="15" w:type="dxa"/>
              <w:left w:w="0" w:type="dxa"/>
              <w:bottom w:w="0" w:type="dxa"/>
              <w:right w:w="15" w:type="dxa"/>
            </w:tcMar>
            <w:vAlign w:val="bottom"/>
            <w:hideMark/>
          </w:tcPr>
          <w:p w14:paraId="4CABF5B2"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4F8C3CC2" w14:textId="77777777">
        <w:trPr>
          <w:divId w:val="1031759256"/>
          <w:jc w:val="center"/>
        </w:trPr>
        <w:tc>
          <w:tcPr>
            <w:tcW w:w="1045" w:type="pct"/>
            <w:shd w:val="clear" w:color="auto" w:fill="FFFFFF"/>
            <w:tcMar>
              <w:top w:w="15" w:type="dxa"/>
              <w:left w:w="0" w:type="dxa"/>
              <w:bottom w:w="0" w:type="dxa"/>
              <w:right w:w="15" w:type="dxa"/>
            </w:tcMar>
            <w:hideMark/>
          </w:tcPr>
          <w:p w14:paraId="46FC8047" w14:textId="77777777" w:rsidR="00000000" w:rsidRDefault="007125B5">
            <w:pPr>
              <w:pStyle w:val="a3"/>
              <w:spacing w:before="0" w:beforeAutospacing="0" w:after="0" w:afterAutospacing="0"/>
              <w:rPr>
                <w:color w:val="000000"/>
                <w:sz w:val="14"/>
                <w:szCs w:val="14"/>
              </w:rPr>
            </w:pPr>
            <w:r>
              <w:rPr>
                <w:color w:val="000000"/>
                <w:sz w:val="14"/>
                <w:szCs w:val="14"/>
              </w:rPr>
              <w:t>Net loss</w:t>
            </w:r>
          </w:p>
        </w:tc>
        <w:tc>
          <w:tcPr>
            <w:tcW w:w="35" w:type="pct"/>
            <w:shd w:val="clear" w:color="auto" w:fill="FFFFFF"/>
            <w:tcMar>
              <w:top w:w="15" w:type="dxa"/>
              <w:left w:w="0" w:type="dxa"/>
              <w:bottom w:w="0" w:type="dxa"/>
              <w:right w:w="15" w:type="dxa"/>
            </w:tcMar>
            <w:vAlign w:val="bottom"/>
            <w:hideMark/>
          </w:tcPr>
          <w:p w14:paraId="5FD2069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754F20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0D4EDF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3B9581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875823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F1218D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44F5F7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40E725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945FF4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D5E0D3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C2D13E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8623FF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C3DC56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8CA908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6E1766E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2D3A04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5BB8C77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5AC8195C"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981BA0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0CBB0E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14E9DD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00AB1C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552E34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7E504D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7F85A5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DAF97F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46509E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33A182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6BE125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4D39DC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559C9C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09E4D8D" w14:textId="77777777" w:rsidR="00000000" w:rsidRDefault="007125B5">
            <w:pPr>
              <w:pStyle w:val="a3"/>
              <w:spacing w:before="0" w:beforeAutospacing="0" w:after="0" w:afterAutospacing="0"/>
              <w:jc w:val="right"/>
              <w:rPr>
                <w:color w:val="000000"/>
                <w:sz w:val="14"/>
                <w:szCs w:val="14"/>
              </w:rPr>
            </w:pPr>
            <w:r>
              <w:rPr>
                <w:color w:val="000000"/>
                <w:sz w:val="14"/>
                <w:szCs w:val="14"/>
              </w:rPr>
              <w:t>(5,242</w:t>
            </w:r>
          </w:p>
        </w:tc>
        <w:tc>
          <w:tcPr>
            <w:tcW w:w="50" w:type="pct"/>
            <w:shd w:val="clear" w:color="auto" w:fill="FFFFFF"/>
            <w:noWrap/>
            <w:tcMar>
              <w:top w:w="15" w:type="dxa"/>
              <w:left w:w="0" w:type="dxa"/>
              <w:bottom w:w="0" w:type="dxa"/>
              <w:right w:w="15" w:type="dxa"/>
            </w:tcMar>
            <w:vAlign w:val="bottom"/>
            <w:hideMark/>
          </w:tcPr>
          <w:p w14:paraId="141202E7"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120601E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B82E3C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769881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69592D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32E674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63D7C6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FD9E17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4AC7E9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881E65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A6F406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9064EF7" w14:textId="77777777" w:rsidR="00000000" w:rsidRDefault="007125B5">
            <w:pPr>
              <w:pStyle w:val="a3"/>
              <w:spacing w:before="0" w:beforeAutospacing="0" w:after="0" w:afterAutospacing="0"/>
              <w:jc w:val="right"/>
              <w:rPr>
                <w:color w:val="000000"/>
                <w:sz w:val="14"/>
                <w:szCs w:val="14"/>
              </w:rPr>
            </w:pPr>
            <w:r>
              <w:rPr>
                <w:color w:val="000000"/>
                <w:sz w:val="14"/>
                <w:szCs w:val="14"/>
              </w:rPr>
              <w:t>(5,242</w:t>
            </w:r>
          </w:p>
        </w:tc>
        <w:tc>
          <w:tcPr>
            <w:tcW w:w="50" w:type="pct"/>
            <w:shd w:val="clear" w:color="auto" w:fill="FFFFFF"/>
            <w:noWrap/>
            <w:tcMar>
              <w:top w:w="15" w:type="dxa"/>
              <w:left w:w="0" w:type="dxa"/>
              <w:bottom w:w="0" w:type="dxa"/>
              <w:right w:w="15" w:type="dxa"/>
            </w:tcMar>
            <w:vAlign w:val="bottom"/>
            <w:hideMark/>
          </w:tcPr>
          <w:p w14:paraId="52101F43"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3D1D6025" w14:textId="77777777">
        <w:trPr>
          <w:divId w:val="1031759256"/>
          <w:jc w:val="center"/>
        </w:trPr>
        <w:tc>
          <w:tcPr>
            <w:tcW w:w="1045" w:type="pct"/>
            <w:shd w:val="clear" w:color="auto" w:fill="CFF0FC"/>
            <w:tcMar>
              <w:top w:w="15" w:type="dxa"/>
              <w:left w:w="0" w:type="dxa"/>
              <w:bottom w:w="0" w:type="dxa"/>
              <w:right w:w="15" w:type="dxa"/>
            </w:tcMar>
            <w:hideMark/>
          </w:tcPr>
          <w:p w14:paraId="5203BC23" w14:textId="77777777" w:rsidR="00000000" w:rsidRDefault="007125B5">
            <w:pPr>
              <w:pStyle w:val="a3"/>
              <w:spacing w:before="0" w:beforeAutospacing="0" w:after="0" w:afterAutospacing="0"/>
              <w:rPr>
                <w:color w:val="000000"/>
                <w:sz w:val="14"/>
                <w:szCs w:val="14"/>
              </w:rPr>
            </w:pPr>
            <w:r>
              <w:rPr>
                <w:color w:val="000000"/>
                <w:sz w:val="14"/>
                <w:szCs w:val="14"/>
              </w:rPr>
              <w:t>Accretion of the redeemable</w:t>
            </w:r>
          </w:p>
          <w:p w14:paraId="74556680" w14:textId="77777777" w:rsidR="00000000" w:rsidRDefault="007125B5">
            <w:pPr>
              <w:pStyle w:val="a3"/>
              <w:spacing w:before="0" w:beforeAutospacing="0" w:after="0" w:afterAutospacing="0"/>
              <w:rPr>
                <w:color w:val="000000"/>
                <w:sz w:val="14"/>
                <w:szCs w:val="14"/>
              </w:rPr>
            </w:pPr>
            <w:r>
              <w:rPr>
                <w:color w:val="000000"/>
                <w:sz w:val="14"/>
                <w:szCs w:val="14"/>
              </w:rPr>
              <w:t>   series A-1 preferred stock to</w:t>
            </w:r>
          </w:p>
          <w:p w14:paraId="0B4A29E6" w14:textId="77777777" w:rsidR="00000000" w:rsidRDefault="007125B5">
            <w:pPr>
              <w:pStyle w:val="a3"/>
              <w:spacing w:before="0" w:beforeAutospacing="0" w:after="0" w:afterAutospacing="0"/>
              <w:rPr>
                <w:color w:val="000000"/>
                <w:sz w:val="14"/>
                <w:szCs w:val="14"/>
              </w:rPr>
            </w:pPr>
            <w:r>
              <w:rPr>
                <w:color w:val="000000"/>
                <w:sz w:val="14"/>
                <w:szCs w:val="14"/>
              </w:rPr>
              <w:t xml:space="preserve">   </w:t>
            </w:r>
            <w:r>
              <w:rPr>
                <w:color w:val="000000"/>
                <w:sz w:val="14"/>
                <w:szCs w:val="14"/>
              </w:rPr>
              <w:t>redeemable value</w:t>
            </w:r>
          </w:p>
        </w:tc>
        <w:tc>
          <w:tcPr>
            <w:tcW w:w="35" w:type="pct"/>
            <w:shd w:val="clear" w:color="auto" w:fill="CFF0FC"/>
            <w:tcMar>
              <w:top w:w="15" w:type="dxa"/>
              <w:left w:w="0" w:type="dxa"/>
              <w:bottom w:w="0" w:type="dxa"/>
              <w:right w:w="15" w:type="dxa"/>
            </w:tcMar>
            <w:vAlign w:val="bottom"/>
            <w:hideMark/>
          </w:tcPr>
          <w:p w14:paraId="3736178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13147A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4A96683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729200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FBEBE2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390CF0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45642879" w14:textId="77777777" w:rsidR="00000000" w:rsidRDefault="007125B5">
            <w:pPr>
              <w:pStyle w:val="a3"/>
              <w:spacing w:before="0" w:beforeAutospacing="0" w:after="0" w:afterAutospacing="0"/>
              <w:jc w:val="right"/>
              <w:rPr>
                <w:color w:val="000000"/>
                <w:sz w:val="14"/>
                <w:szCs w:val="14"/>
              </w:rPr>
            </w:pPr>
            <w:r>
              <w:rPr>
                <w:color w:val="000000"/>
                <w:sz w:val="14"/>
                <w:szCs w:val="14"/>
              </w:rPr>
              <w:t>4,534</w:t>
            </w:r>
          </w:p>
        </w:tc>
        <w:tc>
          <w:tcPr>
            <w:tcW w:w="50" w:type="pct"/>
            <w:shd w:val="clear" w:color="auto" w:fill="CFF0FC"/>
            <w:noWrap/>
            <w:tcMar>
              <w:top w:w="15" w:type="dxa"/>
              <w:left w:w="0" w:type="dxa"/>
              <w:bottom w:w="0" w:type="dxa"/>
              <w:right w:w="15" w:type="dxa"/>
            </w:tcMar>
            <w:vAlign w:val="bottom"/>
            <w:hideMark/>
          </w:tcPr>
          <w:p w14:paraId="2E71826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3A35D3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D3CC82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FD63ABB"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898003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A4DD1A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670643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0C21B9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1A9B99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0740A24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559D626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1D47AC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F7820E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E941A1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2BA813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7FCA53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25A7D9B"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49162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875DAC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C56C8D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86434C0" w14:textId="77777777" w:rsidR="00000000" w:rsidRDefault="007125B5">
            <w:pPr>
              <w:pStyle w:val="a3"/>
              <w:spacing w:before="0" w:beforeAutospacing="0" w:after="0" w:afterAutospacing="0"/>
              <w:jc w:val="right"/>
              <w:rPr>
                <w:color w:val="000000"/>
                <w:sz w:val="14"/>
                <w:szCs w:val="14"/>
              </w:rPr>
            </w:pPr>
            <w:r>
              <w:rPr>
                <w:color w:val="000000"/>
                <w:sz w:val="14"/>
                <w:szCs w:val="14"/>
              </w:rPr>
              <w:t>(4,534</w:t>
            </w:r>
          </w:p>
        </w:tc>
        <w:tc>
          <w:tcPr>
            <w:tcW w:w="50" w:type="pct"/>
            <w:shd w:val="clear" w:color="auto" w:fill="CFF0FC"/>
            <w:noWrap/>
            <w:tcMar>
              <w:top w:w="15" w:type="dxa"/>
              <w:left w:w="0" w:type="dxa"/>
              <w:bottom w:w="0" w:type="dxa"/>
              <w:right w:w="15" w:type="dxa"/>
            </w:tcMar>
            <w:vAlign w:val="bottom"/>
            <w:hideMark/>
          </w:tcPr>
          <w:p w14:paraId="3748969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76C728C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173498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4ED8C2F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CBB7DE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FD9E56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5427C3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2A3C45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FB0E5B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069BE0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3ACDC6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98F3F0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7725F9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9CAE2F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7725B9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930E10F" w14:textId="77777777" w:rsidR="00000000" w:rsidRDefault="007125B5">
            <w:pPr>
              <w:pStyle w:val="a3"/>
              <w:spacing w:before="0" w:beforeAutospacing="0" w:after="0" w:afterAutospacing="0"/>
              <w:jc w:val="right"/>
              <w:rPr>
                <w:color w:val="000000"/>
                <w:sz w:val="14"/>
                <w:szCs w:val="14"/>
              </w:rPr>
            </w:pPr>
            <w:r>
              <w:rPr>
                <w:color w:val="000000"/>
                <w:sz w:val="14"/>
                <w:szCs w:val="14"/>
              </w:rPr>
              <w:t>(4,534</w:t>
            </w:r>
          </w:p>
        </w:tc>
        <w:tc>
          <w:tcPr>
            <w:tcW w:w="50" w:type="pct"/>
            <w:shd w:val="clear" w:color="auto" w:fill="CFF0FC"/>
            <w:noWrap/>
            <w:tcMar>
              <w:top w:w="15" w:type="dxa"/>
              <w:left w:w="0" w:type="dxa"/>
              <w:bottom w:w="0" w:type="dxa"/>
              <w:right w:w="15" w:type="dxa"/>
            </w:tcMar>
            <w:vAlign w:val="bottom"/>
            <w:hideMark/>
          </w:tcPr>
          <w:p w14:paraId="1336EC8C"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2DAA5BB7" w14:textId="77777777">
        <w:trPr>
          <w:divId w:val="1031759256"/>
          <w:jc w:val="center"/>
        </w:trPr>
        <w:tc>
          <w:tcPr>
            <w:tcW w:w="1045" w:type="pct"/>
            <w:shd w:val="clear" w:color="auto" w:fill="FFFFFF"/>
            <w:tcMar>
              <w:top w:w="15" w:type="dxa"/>
              <w:left w:w="0" w:type="dxa"/>
              <w:bottom w:w="0" w:type="dxa"/>
              <w:right w:w="15" w:type="dxa"/>
            </w:tcMar>
            <w:hideMark/>
          </w:tcPr>
          <w:p w14:paraId="2AFE4881" w14:textId="77777777" w:rsidR="00000000" w:rsidRDefault="007125B5">
            <w:pPr>
              <w:pStyle w:val="a3"/>
              <w:spacing w:before="0" w:beforeAutospacing="0" w:after="0" w:afterAutospacing="0"/>
              <w:rPr>
                <w:color w:val="000000"/>
                <w:sz w:val="14"/>
                <w:szCs w:val="14"/>
              </w:rPr>
            </w:pPr>
            <w:r>
              <w:rPr>
                <w:color w:val="000000"/>
                <w:sz w:val="14"/>
                <w:szCs w:val="14"/>
              </w:rPr>
              <w:t>Stock-based compensation</w:t>
            </w:r>
          </w:p>
        </w:tc>
        <w:tc>
          <w:tcPr>
            <w:tcW w:w="35" w:type="pct"/>
            <w:shd w:val="clear" w:color="auto" w:fill="FFFFFF"/>
            <w:tcMar>
              <w:top w:w="15" w:type="dxa"/>
              <w:left w:w="0" w:type="dxa"/>
              <w:bottom w:w="0" w:type="dxa"/>
              <w:right w:w="15" w:type="dxa"/>
            </w:tcMar>
            <w:vAlign w:val="bottom"/>
            <w:hideMark/>
          </w:tcPr>
          <w:p w14:paraId="7830474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F2AE3B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B6E4EB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1CF036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DC31582"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01CFCC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31B704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EAF67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A1BCDF1"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7B87AE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B4EEBE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DBC883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4C329C1"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E25C7A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A6912C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C02569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70C0300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17FF423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69C823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D3C34F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9C908C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06194D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A9846A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EDAB41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73B4D7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916AA4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58FA23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24FD156" w14:textId="77777777" w:rsidR="00000000" w:rsidRDefault="007125B5">
            <w:pPr>
              <w:pStyle w:val="a3"/>
              <w:spacing w:before="0" w:beforeAutospacing="0" w:after="0" w:afterAutospacing="0"/>
              <w:jc w:val="right"/>
              <w:rPr>
                <w:color w:val="000000"/>
                <w:sz w:val="14"/>
                <w:szCs w:val="14"/>
              </w:rPr>
            </w:pPr>
            <w:r>
              <w:rPr>
                <w:color w:val="000000"/>
                <w:sz w:val="14"/>
                <w:szCs w:val="14"/>
              </w:rPr>
              <w:t>1,228</w:t>
            </w:r>
          </w:p>
        </w:tc>
        <w:tc>
          <w:tcPr>
            <w:tcW w:w="50" w:type="pct"/>
            <w:shd w:val="clear" w:color="auto" w:fill="FFFFFF"/>
            <w:noWrap/>
            <w:tcMar>
              <w:top w:w="15" w:type="dxa"/>
              <w:left w:w="0" w:type="dxa"/>
              <w:bottom w:w="0" w:type="dxa"/>
              <w:right w:w="15" w:type="dxa"/>
            </w:tcMar>
            <w:vAlign w:val="bottom"/>
            <w:hideMark/>
          </w:tcPr>
          <w:p w14:paraId="4B1E752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A82549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4F4A88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8F33F2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6CAA6C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76C80C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8940D8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2D7F4B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1D325C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C5D50A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2ED1A0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D0D1B5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ADEE8C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494935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2E4B51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B04EAD5" w14:textId="77777777" w:rsidR="00000000" w:rsidRDefault="007125B5">
            <w:pPr>
              <w:pStyle w:val="a3"/>
              <w:spacing w:before="0" w:beforeAutospacing="0" w:after="0" w:afterAutospacing="0"/>
              <w:jc w:val="right"/>
              <w:rPr>
                <w:color w:val="000000"/>
                <w:sz w:val="14"/>
                <w:szCs w:val="14"/>
              </w:rPr>
            </w:pPr>
            <w:r>
              <w:rPr>
                <w:color w:val="000000"/>
                <w:sz w:val="14"/>
                <w:szCs w:val="14"/>
              </w:rPr>
              <w:t>1,228</w:t>
            </w:r>
          </w:p>
        </w:tc>
        <w:tc>
          <w:tcPr>
            <w:tcW w:w="50" w:type="pct"/>
            <w:shd w:val="clear" w:color="auto" w:fill="FFFFFF"/>
            <w:noWrap/>
            <w:tcMar>
              <w:top w:w="15" w:type="dxa"/>
              <w:left w:w="0" w:type="dxa"/>
              <w:bottom w:w="0" w:type="dxa"/>
              <w:right w:w="15" w:type="dxa"/>
            </w:tcMar>
            <w:vAlign w:val="bottom"/>
            <w:hideMark/>
          </w:tcPr>
          <w:p w14:paraId="46B1CA4A"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2A7F1F05" w14:textId="77777777">
        <w:trPr>
          <w:divId w:val="1031759256"/>
          <w:jc w:val="center"/>
        </w:trPr>
        <w:tc>
          <w:tcPr>
            <w:tcW w:w="1045" w:type="pct"/>
            <w:shd w:val="clear" w:color="auto" w:fill="CFF0FC"/>
            <w:tcMar>
              <w:top w:w="15" w:type="dxa"/>
              <w:left w:w="0" w:type="dxa"/>
              <w:bottom w:w="0" w:type="dxa"/>
              <w:right w:w="15" w:type="dxa"/>
            </w:tcMar>
            <w:hideMark/>
          </w:tcPr>
          <w:p w14:paraId="7B8D455B" w14:textId="77777777" w:rsidR="00000000" w:rsidRDefault="007125B5">
            <w:pPr>
              <w:pStyle w:val="a3"/>
              <w:spacing w:before="0" w:beforeAutospacing="0" w:after="0" w:afterAutospacing="0"/>
              <w:rPr>
                <w:color w:val="000000"/>
                <w:sz w:val="14"/>
                <w:szCs w:val="14"/>
              </w:rPr>
            </w:pPr>
            <w:r>
              <w:rPr>
                <w:color w:val="000000"/>
                <w:sz w:val="14"/>
                <w:szCs w:val="14"/>
              </w:rPr>
              <w:t>Common stock issued</w:t>
            </w:r>
          </w:p>
        </w:tc>
        <w:tc>
          <w:tcPr>
            <w:tcW w:w="35" w:type="pct"/>
            <w:shd w:val="clear" w:color="auto" w:fill="CFF0FC"/>
            <w:tcMar>
              <w:top w:w="15" w:type="dxa"/>
              <w:left w:w="0" w:type="dxa"/>
              <w:bottom w:w="0" w:type="dxa"/>
              <w:right w:w="15" w:type="dxa"/>
            </w:tcMar>
            <w:vAlign w:val="bottom"/>
            <w:hideMark/>
          </w:tcPr>
          <w:p w14:paraId="75AAB80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61F99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16B21AF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9C10CC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E1538F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F3643E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3FD8B4C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79C6D1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712F98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FBA3F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9CDC7C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6759B4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8D283A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11727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6B61F09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756A54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420F23B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bottom w:val="single" w:sz="6" w:space="0" w:color="000000"/>
            </w:tcBorders>
            <w:shd w:val="clear" w:color="auto" w:fill="CFF0FC"/>
            <w:tcMar>
              <w:top w:w="15" w:type="dxa"/>
              <w:left w:w="0" w:type="dxa"/>
              <w:bottom w:w="0" w:type="dxa"/>
              <w:right w:w="15" w:type="dxa"/>
            </w:tcMar>
            <w:vAlign w:val="bottom"/>
            <w:hideMark/>
          </w:tcPr>
          <w:p w14:paraId="59D98FD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A70616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1455AA00" w14:textId="77777777" w:rsidR="00000000" w:rsidRDefault="007125B5">
            <w:pPr>
              <w:pStyle w:val="a3"/>
              <w:spacing w:before="0" w:beforeAutospacing="0" w:after="0" w:afterAutospacing="0"/>
              <w:jc w:val="right"/>
              <w:rPr>
                <w:color w:val="000000"/>
                <w:sz w:val="14"/>
                <w:szCs w:val="14"/>
              </w:rPr>
            </w:pPr>
            <w:r>
              <w:rPr>
                <w:color w:val="000000"/>
                <w:sz w:val="14"/>
                <w:szCs w:val="14"/>
              </w:rPr>
              <w:t>1,775</w:t>
            </w:r>
          </w:p>
        </w:tc>
        <w:tc>
          <w:tcPr>
            <w:tcW w:w="50" w:type="pct"/>
            <w:shd w:val="clear" w:color="auto" w:fill="CFF0FC"/>
            <w:noWrap/>
            <w:tcMar>
              <w:top w:w="15" w:type="dxa"/>
              <w:left w:w="0" w:type="dxa"/>
              <w:bottom w:w="0" w:type="dxa"/>
              <w:right w:w="15" w:type="dxa"/>
            </w:tcMar>
            <w:vAlign w:val="bottom"/>
            <w:hideMark/>
          </w:tcPr>
          <w:p w14:paraId="356785F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F8AFE8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53DB9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161CC39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888627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336CE5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897C32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126117E" w14:textId="77777777" w:rsidR="00000000" w:rsidRDefault="007125B5">
            <w:pPr>
              <w:pStyle w:val="a3"/>
              <w:spacing w:before="0" w:beforeAutospacing="0" w:after="0" w:afterAutospacing="0"/>
              <w:jc w:val="right"/>
              <w:rPr>
                <w:color w:val="000000"/>
                <w:sz w:val="14"/>
                <w:szCs w:val="14"/>
              </w:rPr>
            </w:pPr>
            <w:r>
              <w:rPr>
                <w:color w:val="000000"/>
                <w:sz w:val="14"/>
                <w:szCs w:val="14"/>
              </w:rPr>
              <w:t>6</w:t>
            </w:r>
          </w:p>
        </w:tc>
        <w:tc>
          <w:tcPr>
            <w:tcW w:w="50" w:type="pct"/>
            <w:shd w:val="clear" w:color="auto" w:fill="CFF0FC"/>
            <w:noWrap/>
            <w:tcMar>
              <w:top w:w="15" w:type="dxa"/>
              <w:left w:w="0" w:type="dxa"/>
              <w:bottom w:w="0" w:type="dxa"/>
              <w:right w:w="15" w:type="dxa"/>
            </w:tcMar>
            <w:vAlign w:val="bottom"/>
            <w:hideMark/>
          </w:tcPr>
          <w:p w14:paraId="5C7A11A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204D9E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F28A51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55287A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A2BB84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A49AA7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1CE73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2ADE7F3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4C4672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DB5559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A29F8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59CF1E7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9D090F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1558C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F5221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2C29D9AC" w14:textId="77777777" w:rsidR="00000000" w:rsidRDefault="007125B5">
            <w:pPr>
              <w:pStyle w:val="a3"/>
              <w:spacing w:before="0" w:beforeAutospacing="0" w:after="0" w:afterAutospacing="0"/>
              <w:jc w:val="right"/>
              <w:rPr>
                <w:color w:val="000000"/>
                <w:sz w:val="14"/>
                <w:szCs w:val="14"/>
              </w:rPr>
            </w:pPr>
            <w:r>
              <w:rPr>
                <w:color w:val="000000"/>
                <w:sz w:val="14"/>
                <w:szCs w:val="14"/>
              </w:rPr>
              <w:t>6</w:t>
            </w:r>
          </w:p>
        </w:tc>
        <w:tc>
          <w:tcPr>
            <w:tcW w:w="50" w:type="pct"/>
            <w:shd w:val="clear" w:color="auto" w:fill="CFF0FC"/>
            <w:noWrap/>
            <w:tcMar>
              <w:top w:w="15" w:type="dxa"/>
              <w:left w:w="0" w:type="dxa"/>
              <w:bottom w:w="0" w:type="dxa"/>
              <w:right w:w="15" w:type="dxa"/>
            </w:tcMar>
            <w:vAlign w:val="bottom"/>
            <w:hideMark/>
          </w:tcPr>
          <w:p w14:paraId="5C9064FD"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1A4F8858" w14:textId="77777777">
        <w:trPr>
          <w:divId w:val="1031759256"/>
          <w:jc w:val="center"/>
        </w:trPr>
        <w:tc>
          <w:tcPr>
            <w:tcW w:w="1045" w:type="pct"/>
            <w:shd w:val="clear" w:color="auto" w:fill="FFFFFF"/>
            <w:tcMar>
              <w:top w:w="15" w:type="dxa"/>
              <w:left w:w="0" w:type="dxa"/>
              <w:bottom w:w="0" w:type="dxa"/>
              <w:right w:w="15" w:type="dxa"/>
            </w:tcMar>
            <w:hideMark/>
          </w:tcPr>
          <w:p w14:paraId="69D5C5E0" w14:textId="77777777" w:rsidR="00000000" w:rsidRDefault="007125B5">
            <w:pPr>
              <w:pStyle w:val="a3"/>
              <w:spacing w:before="0" w:beforeAutospacing="0" w:after="0" w:afterAutospacing="0"/>
              <w:rPr>
                <w:color w:val="000000"/>
                <w:sz w:val="14"/>
                <w:szCs w:val="14"/>
              </w:rPr>
            </w:pPr>
            <w:r>
              <w:rPr>
                <w:color w:val="000000"/>
                <w:sz w:val="14"/>
                <w:szCs w:val="14"/>
              </w:rPr>
              <w:t>BALANCE—March 31, 2019</w:t>
            </w:r>
          </w:p>
        </w:tc>
        <w:tc>
          <w:tcPr>
            <w:tcW w:w="35" w:type="pct"/>
            <w:shd w:val="clear" w:color="auto" w:fill="FFFFFF"/>
            <w:tcMar>
              <w:top w:w="15" w:type="dxa"/>
              <w:left w:w="0" w:type="dxa"/>
              <w:bottom w:w="0" w:type="dxa"/>
              <w:right w:w="15" w:type="dxa"/>
            </w:tcMar>
            <w:vAlign w:val="bottom"/>
            <w:hideMark/>
          </w:tcPr>
          <w:p w14:paraId="4915120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861160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4F968D3D" w14:textId="77777777" w:rsidR="00000000" w:rsidRDefault="007125B5">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FFFFFF"/>
            <w:noWrap/>
            <w:tcMar>
              <w:top w:w="15" w:type="dxa"/>
              <w:left w:w="0" w:type="dxa"/>
              <w:bottom w:w="0" w:type="dxa"/>
              <w:right w:w="15" w:type="dxa"/>
            </w:tcMar>
            <w:vAlign w:val="bottom"/>
            <w:hideMark/>
          </w:tcPr>
          <w:p w14:paraId="5DB54BA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F2528F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A1E5B3"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20F5C691" w14:textId="77777777" w:rsidR="00000000" w:rsidRDefault="007125B5">
            <w:pPr>
              <w:pStyle w:val="a3"/>
              <w:spacing w:before="0" w:beforeAutospacing="0" w:after="0" w:afterAutospacing="0"/>
              <w:jc w:val="right"/>
              <w:rPr>
                <w:color w:val="000000"/>
                <w:sz w:val="14"/>
                <w:szCs w:val="14"/>
              </w:rPr>
            </w:pPr>
            <w:r>
              <w:rPr>
                <w:color w:val="000000"/>
                <w:sz w:val="14"/>
                <w:szCs w:val="14"/>
              </w:rPr>
              <w:t>113,740</w:t>
            </w:r>
          </w:p>
        </w:tc>
        <w:tc>
          <w:tcPr>
            <w:tcW w:w="50" w:type="pct"/>
            <w:shd w:val="clear" w:color="auto" w:fill="FFFFFF"/>
            <w:noWrap/>
            <w:tcMar>
              <w:top w:w="15" w:type="dxa"/>
              <w:left w:w="0" w:type="dxa"/>
              <w:bottom w:w="0" w:type="dxa"/>
              <w:right w:w="15" w:type="dxa"/>
            </w:tcMar>
            <w:vAlign w:val="bottom"/>
            <w:hideMark/>
          </w:tcPr>
          <w:p w14:paraId="0FCF678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2C4022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9491E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62AD1F2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6921BA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E3AA2E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87CF88"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073171E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EEC123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1183E3F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top w:val="single" w:sz="6" w:space="0" w:color="000000"/>
              <w:left w:val="single" w:sz="6" w:space="0" w:color="000000"/>
            </w:tcBorders>
            <w:shd w:val="clear" w:color="auto" w:fill="FFFFFF"/>
            <w:tcMar>
              <w:top w:w="15" w:type="dxa"/>
              <w:left w:w="0" w:type="dxa"/>
              <w:bottom w:w="0" w:type="dxa"/>
              <w:right w:w="15" w:type="dxa"/>
            </w:tcMar>
            <w:vAlign w:val="bottom"/>
            <w:hideMark/>
          </w:tcPr>
          <w:p w14:paraId="0BCDF4C5"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733E23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1C7A17BF" w14:textId="77777777" w:rsidR="00000000" w:rsidRDefault="007125B5">
            <w:pPr>
              <w:pStyle w:val="a3"/>
              <w:spacing w:before="0" w:beforeAutospacing="0" w:after="0" w:afterAutospacing="0"/>
              <w:jc w:val="right"/>
              <w:rPr>
                <w:color w:val="000000"/>
                <w:sz w:val="14"/>
                <w:szCs w:val="14"/>
              </w:rPr>
            </w:pPr>
            <w:r>
              <w:rPr>
                <w:color w:val="000000"/>
                <w:sz w:val="14"/>
                <w:szCs w:val="14"/>
              </w:rPr>
              <w:t>8,139,546</w:t>
            </w:r>
          </w:p>
        </w:tc>
        <w:tc>
          <w:tcPr>
            <w:tcW w:w="50" w:type="pct"/>
            <w:shd w:val="clear" w:color="auto" w:fill="FFFFFF"/>
            <w:noWrap/>
            <w:tcMar>
              <w:top w:w="15" w:type="dxa"/>
              <w:left w:w="0" w:type="dxa"/>
              <w:bottom w:w="0" w:type="dxa"/>
              <w:right w:w="15" w:type="dxa"/>
            </w:tcMar>
            <w:vAlign w:val="bottom"/>
            <w:hideMark/>
          </w:tcPr>
          <w:p w14:paraId="12EDC40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686A2A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61BA808"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5E0A04EF"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16C305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E8792E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21BC08C"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5DB694D9" w14:textId="77777777" w:rsidR="00000000" w:rsidRDefault="007125B5">
            <w:pPr>
              <w:pStyle w:val="a3"/>
              <w:spacing w:before="0" w:beforeAutospacing="0" w:after="0" w:afterAutospacing="0"/>
              <w:jc w:val="right"/>
              <w:rPr>
                <w:color w:val="000000"/>
                <w:sz w:val="14"/>
                <w:szCs w:val="14"/>
              </w:rPr>
            </w:pPr>
            <w:r>
              <w:rPr>
                <w:color w:val="000000"/>
                <w:sz w:val="14"/>
                <w:szCs w:val="14"/>
              </w:rPr>
              <w:t>44,569</w:t>
            </w:r>
          </w:p>
        </w:tc>
        <w:tc>
          <w:tcPr>
            <w:tcW w:w="50" w:type="pct"/>
            <w:shd w:val="clear" w:color="auto" w:fill="FFFFFF"/>
            <w:noWrap/>
            <w:tcMar>
              <w:top w:w="15" w:type="dxa"/>
              <w:left w:w="0" w:type="dxa"/>
              <w:bottom w:w="0" w:type="dxa"/>
              <w:right w:w="15" w:type="dxa"/>
            </w:tcMar>
            <w:vAlign w:val="bottom"/>
            <w:hideMark/>
          </w:tcPr>
          <w:p w14:paraId="4079287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311483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90B9B80"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5D596893" w14:textId="77777777" w:rsidR="00000000" w:rsidRDefault="007125B5">
            <w:pPr>
              <w:pStyle w:val="a3"/>
              <w:spacing w:before="0" w:beforeAutospacing="0" w:after="0" w:afterAutospacing="0"/>
              <w:jc w:val="right"/>
              <w:rPr>
                <w:color w:val="000000"/>
                <w:sz w:val="14"/>
                <w:szCs w:val="14"/>
              </w:rPr>
            </w:pPr>
            <w:r>
              <w:rPr>
                <w:color w:val="000000"/>
                <w:sz w:val="14"/>
                <w:szCs w:val="14"/>
              </w:rPr>
              <w:t>(46,089</w:t>
            </w:r>
          </w:p>
        </w:tc>
        <w:tc>
          <w:tcPr>
            <w:tcW w:w="50" w:type="pct"/>
            <w:shd w:val="clear" w:color="auto" w:fill="FFFFFF"/>
            <w:noWrap/>
            <w:tcMar>
              <w:top w:w="15" w:type="dxa"/>
              <w:left w:w="0" w:type="dxa"/>
              <w:bottom w:w="0" w:type="dxa"/>
              <w:right w:w="15" w:type="dxa"/>
            </w:tcMar>
            <w:vAlign w:val="bottom"/>
            <w:hideMark/>
          </w:tcPr>
          <w:p w14:paraId="4A0DAF89"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0A13F65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DDF35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6FCE4AD7" w14:textId="77777777" w:rsidR="00000000" w:rsidRDefault="007125B5">
            <w:pPr>
              <w:pStyle w:val="a3"/>
              <w:spacing w:before="0" w:beforeAutospacing="0" w:after="0" w:afterAutospacing="0"/>
              <w:jc w:val="right"/>
              <w:rPr>
                <w:color w:val="000000"/>
                <w:sz w:val="14"/>
                <w:szCs w:val="14"/>
              </w:rPr>
            </w:pPr>
            <w:r>
              <w:rPr>
                <w:color w:val="000000"/>
                <w:sz w:val="14"/>
                <w:szCs w:val="14"/>
              </w:rPr>
              <w:t>(122</w:t>
            </w:r>
          </w:p>
        </w:tc>
        <w:tc>
          <w:tcPr>
            <w:tcW w:w="50" w:type="pct"/>
            <w:shd w:val="clear" w:color="auto" w:fill="FFFFFF"/>
            <w:noWrap/>
            <w:tcMar>
              <w:top w:w="15" w:type="dxa"/>
              <w:left w:w="0" w:type="dxa"/>
              <w:bottom w:w="0" w:type="dxa"/>
              <w:right w:w="15" w:type="dxa"/>
            </w:tcMar>
            <w:vAlign w:val="bottom"/>
            <w:hideMark/>
          </w:tcPr>
          <w:p w14:paraId="581A174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7BFD1F9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8B2DC2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40B4591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1C9FB6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CBD8B0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E8BA718"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tcBorders>
            <w:shd w:val="clear" w:color="auto" w:fill="FFFFFF"/>
            <w:noWrap/>
            <w:tcMar>
              <w:top w:w="15" w:type="dxa"/>
              <w:left w:w="0" w:type="dxa"/>
              <w:bottom w:w="0" w:type="dxa"/>
              <w:right w:w="15" w:type="dxa"/>
            </w:tcMar>
            <w:vAlign w:val="bottom"/>
            <w:hideMark/>
          </w:tcPr>
          <w:p w14:paraId="3E9620DB" w14:textId="77777777" w:rsidR="00000000" w:rsidRDefault="007125B5">
            <w:pPr>
              <w:pStyle w:val="a3"/>
              <w:spacing w:before="0" w:beforeAutospacing="0" w:after="0" w:afterAutospacing="0"/>
              <w:jc w:val="right"/>
              <w:rPr>
                <w:color w:val="000000"/>
                <w:sz w:val="14"/>
                <w:szCs w:val="14"/>
              </w:rPr>
            </w:pPr>
            <w:r>
              <w:rPr>
                <w:color w:val="000000"/>
                <w:sz w:val="14"/>
                <w:szCs w:val="14"/>
              </w:rPr>
              <w:t>(1,642</w:t>
            </w:r>
          </w:p>
        </w:tc>
        <w:tc>
          <w:tcPr>
            <w:tcW w:w="50" w:type="pct"/>
            <w:shd w:val="clear" w:color="auto" w:fill="FFFFFF"/>
            <w:noWrap/>
            <w:tcMar>
              <w:top w:w="15" w:type="dxa"/>
              <w:left w:w="0" w:type="dxa"/>
              <w:bottom w:w="0" w:type="dxa"/>
              <w:right w:w="15" w:type="dxa"/>
            </w:tcMar>
            <w:vAlign w:val="bottom"/>
            <w:hideMark/>
          </w:tcPr>
          <w:p w14:paraId="207742EF"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347A3C96" w14:textId="77777777">
        <w:trPr>
          <w:divId w:val="1031759256"/>
          <w:jc w:val="center"/>
        </w:trPr>
        <w:tc>
          <w:tcPr>
            <w:tcW w:w="1045" w:type="pct"/>
            <w:shd w:val="clear" w:color="auto" w:fill="CFF0FC"/>
            <w:tcMar>
              <w:top w:w="15" w:type="dxa"/>
              <w:left w:w="0" w:type="dxa"/>
              <w:bottom w:w="0" w:type="dxa"/>
              <w:right w:w="15" w:type="dxa"/>
            </w:tcMar>
            <w:hideMark/>
          </w:tcPr>
          <w:p w14:paraId="782E5050" w14:textId="77777777" w:rsidR="00000000" w:rsidRDefault="007125B5">
            <w:pPr>
              <w:pStyle w:val="a3"/>
              <w:spacing w:before="0" w:beforeAutospacing="0" w:after="0" w:afterAutospacing="0"/>
              <w:rPr>
                <w:color w:val="000000"/>
                <w:sz w:val="14"/>
                <w:szCs w:val="14"/>
              </w:rPr>
            </w:pPr>
            <w:r>
              <w:rPr>
                <w:color w:val="000000"/>
                <w:sz w:val="14"/>
                <w:szCs w:val="14"/>
              </w:rPr>
              <w:t>Net loss</w:t>
            </w:r>
          </w:p>
        </w:tc>
        <w:tc>
          <w:tcPr>
            <w:tcW w:w="35" w:type="pct"/>
            <w:shd w:val="clear" w:color="auto" w:fill="CFF0FC"/>
            <w:tcMar>
              <w:top w:w="15" w:type="dxa"/>
              <w:left w:w="0" w:type="dxa"/>
              <w:bottom w:w="0" w:type="dxa"/>
              <w:right w:w="15" w:type="dxa"/>
            </w:tcMar>
            <w:vAlign w:val="bottom"/>
            <w:hideMark/>
          </w:tcPr>
          <w:p w14:paraId="23CBFDA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3CFD65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75F01E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2D7DDA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E5ED2A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6C4A7C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165B6AA"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61D802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4C9732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F53F1C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026FC30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498B12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0D0794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8C8DF4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D2960E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777892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6FD4CA1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515903E2"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EF6CBF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CFACA6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C33697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B62063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A9491B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0A611D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E08079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518814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8235A1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F43855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C5F067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486DA7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478EB8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DEFF553" w14:textId="77777777" w:rsidR="00000000" w:rsidRDefault="007125B5">
            <w:pPr>
              <w:pStyle w:val="a3"/>
              <w:spacing w:before="0" w:beforeAutospacing="0" w:after="0" w:afterAutospacing="0"/>
              <w:jc w:val="right"/>
              <w:rPr>
                <w:color w:val="000000"/>
                <w:sz w:val="14"/>
                <w:szCs w:val="14"/>
              </w:rPr>
            </w:pPr>
            <w:r>
              <w:rPr>
                <w:color w:val="000000"/>
                <w:sz w:val="14"/>
                <w:szCs w:val="14"/>
              </w:rPr>
              <w:t>(322</w:t>
            </w:r>
          </w:p>
        </w:tc>
        <w:tc>
          <w:tcPr>
            <w:tcW w:w="50" w:type="pct"/>
            <w:shd w:val="clear" w:color="auto" w:fill="CFF0FC"/>
            <w:noWrap/>
            <w:tcMar>
              <w:top w:w="15" w:type="dxa"/>
              <w:left w:w="0" w:type="dxa"/>
              <w:bottom w:w="0" w:type="dxa"/>
              <w:right w:w="15" w:type="dxa"/>
            </w:tcMar>
            <w:vAlign w:val="bottom"/>
            <w:hideMark/>
          </w:tcPr>
          <w:p w14:paraId="29A3713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CFF0FC"/>
            <w:tcMar>
              <w:top w:w="15" w:type="dxa"/>
              <w:left w:w="0" w:type="dxa"/>
              <w:bottom w:w="0" w:type="dxa"/>
              <w:right w:w="15" w:type="dxa"/>
            </w:tcMar>
            <w:vAlign w:val="bottom"/>
            <w:hideMark/>
          </w:tcPr>
          <w:p w14:paraId="7E3AC20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F33C86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09C53D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84A187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0D990BF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36C8C7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655C8F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40B586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24AB1B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68FCA7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555FD2E" w14:textId="77777777" w:rsidR="00000000" w:rsidRDefault="007125B5">
            <w:pPr>
              <w:pStyle w:val="a3"/>
              <w:spacing w:before="0" w:beforeAutospacing="0" w:after="0" w:afterAutospacing="0"/>
              <w:jc w:val="right"/>
              <w:rPr>
                <w:color w:val="000000"/>
                <w:sz w:val="14"/>
                <w:szCs w:val="14"/>
              </w:rPr>
            </w:pPr>
            <w:r>
              <w:rPr>
                <w:color w:val="000000"/>
                <w:sz w:val="14"/>
                <w:szCs w:val="14"/>
              </w:rPr>
              <w:t>(322</w:t>
            </w:r>
          </w:p>
        </w:tc>
        <w:tc>
          <w:tcPr>
            <w:tcW w:w="50" w:type="pct"/>
            <w:shd w:val="clear" w:color="auto" w:fill="CFF0FC"/>
            <w:noWrap/>
            <w:tcMar>
              <w:top w:w="15" w:type="dxa"/>
              <w:left w:w="0" w:type="dxa"/>
              <w:bottom w:w="0" w:type="dxa"/>
              <w:right w:w="15" w:type="dxa"/>
            </w:tcMar>
            <w:vAlign w:val="bottom"/>
            <w:hideMark/>
          </w:tcPr>
          <w:p w14:paraId="2EDECD64"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4CC6BBDE" w14:textId="77777777">
        <w:trPr>
          <w:divId w:val="1031759256"/>
          <w:jc w:val="center"/>
        </w:trPr>
        <w:tc>
          <w:tcPr>
            <w:tcW w:w="1045" w:type="pct"/>
            <w:shd w:val="clear" w:color="auto" w:fill="FFFFFF"/>
            <w:tcMar>
              <w:top w:w="15" w:type="dxa"/>
              <w:left w:w="0" w:type="dxa"/>
              <w:bottom w:w="0" w:type="dxa"/>
              <w:right w:w="15" w:type="dxa"/>
            </w:tcMar>
            <w:hideMark/>
          </w:tcPr>
          <w:p w14:paraId="5073165D" w14:textId="77777777" w:rsidR="00000000" w:rsidRDefault="007125B5">
            <w:pPr>
              <w:pStyle w:val="a3"/>
              <w:spacing w:before="0" w:beforeAutospacing="0" w:after="0" w:afterAutospacing="0"/>
              <w:rPr>
                <w:color w:val="000000"/>
                <w:sz w:val="14"/>
                <w:szCs w:val="14"/>
              </w:rPr>
            </w:pPr>
            <w:r>
              <w:rPr>
                <w:color w:val="000000"/>
                <w:sz w:val="14"/>
                <w:szCs w:val="14"/>
              </w:rPr>
              <w:t>Accretion of the redeemable</w:t>
            </w:r>
          </w:p>
          <w:p w14:paraId="6A2DDFC0" w14:textId="77777777" w:rsidR="00000000" w:rsidRDefault="007125B5">
            <w:pPr>
              <w:pStyle w:val="a3"/>
              <w:spacing w:before="0" w:beforeAutospacing="0" w:after="0" w:afterAutospacing="0"/>
              <w:rPr>
                <w:color w:val="000000"/>
                <w:sz w:val="14"/>
                <w:szCs w:val="14"/>
              </w:rPr>
            </w:pPr>
            <w:r>
              <w:rPr>
                <w:color w:val="000000"/>
                <w:sz w:val="14"/>
                <w:szCs w:val="14"/>
              </w:rPr>
              <w:lastRenderedPageBreak/>
              <w:t>   series A-1 preferred stock to</w:t>
            </w:r>
          </w:p>
          <w:p w14:paraId="7CEDAD27" w14:textId="77777777" w:rsidR="00000000" w:rsidRDefault="007125B5">
            <w:pPr>
              <w:pStyle w:val="a3"/>
              <w:spacing w:before="0" w:beforeAutospacing="0" w:after="0" w:afterAutospacing="0"/>
              <w:rPr>
                <w:color w:val="000000"/>
                <w:sz w:val="14"/>
                <w:szCs w:val="14"/>
              </w:rPr>
            </w:pPr>
            <w:r>
              <w:rPr>
                <w:color w:val="000000"/>
                <w:sz w:val="14"/>
                <w:szCs w:val="14"/>
              </w:rPr>
              <w:t>   redeemable value</w:t>
            </w:r>
          </w:p>
        </w:tc>
        <w:tc>
          <w:tcPr>
            <w:tcW w:w="35" w:type="pct"/>
            <w:shd w:val="clear" w:color="auto" w:fill="FFFFFF"/>
            <w:tcMar>
              <w:top w:w="15" w:type="dxa"/>
              <w:left w:w="0" w:type="dxa"/>
              <w:bottom w:w="0" w:type="dxa"/>
              <w:right w:w="15" w:type="dxa"/>
            </w:tcMar>
            <w:vAlign w:val="bottom"/>
            <w:hideMark/>
          </w:tcPr>
          <w:p w14:paraId="45189A4B" w14:textId="77777777" w:rsidR="00000000" w:rsidRDefault="007125B5">
            <w:pPr>
              <w:pStyle w:val="a3"/>
              <w:spacing w:before="0" w:beforeAutospacing="0" w:after="0" w:afterAutospacing="0"/>
              <w:rPr>
                <w:color w:val="000000"/>
                <w:sz w:val="14"/>
                <w:szCs w:val="14"/>
              </w:rPr>
            </w:pPr>
            <w:r>
              <w:rPr>
                <w:color w:val="000000"/>
                <w:sz w:val="14"/>
                <w:szCs w:val="14"/>
              </w:rPr>
              <w:lastRenderedPageBreak/>
              <w:t> </w:t>
            </w:r>
          </w:p>
        </w:tc>
        <w:tc>
          <w:tcPr>
            <w:tcW w:w="50" w:type="pct"/>
            <w:shd w:val="clear" w:color="auto" w:fill="FFFFFF"/>
            <w:noWrap/>
            <w:tcMar>
              <w:top w:w="15" w:type="dxa"/>
              <w:left w:w="0" w:type="dxa"/>
              <w:bottom w:w="0" w:type="dxa"/>
              <w:right w:w="15" w:type="dxa"/>
            </w:tcMar>
            <w:vAlign w:val="bottom"/>
            <w:hideMark/>
          </w:tcPr>
          <w:p w14:paraId="5BE4031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5576D0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5FDD5E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60388C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A4462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09239DDC" w14:textId="77777777" w:rsidR="00000000" w:rsidRDefault="007125B5">
            <w:pPr>
              <w:pStyle w:val="a3"/>
              <w:spacing w:before="0" w:beforeAutospacing="0" w:after="0" w:afterAutospacing="0"/>
              <w:jc w:val="right"/>
              <w:rPr>
                <w:color w:val="000000"/>
                <w:sz w:val="14"/>
                <w:szCs w:val="14"/>
              </w:rPr>
            </w:pPr>
            <w:r>
              <w:rPr>
                <w:color w:val="000000"/>
                <w:sz w:val="14"/>
                <w:szCs w:val="14"/>
              </w:rPr>
              <w:t>4,777</w:t>
            </w:r>
          </w:p>
        </w:tc>
        <w:tc>
          <w:tcPr>
            <w:tcW w:w="50" w:type="pct"/>
            <w:shd w:val="clear" w:color="auto" w:fill="FFFFFF"/>
            <w:noWrap/>
            <w:tcMar>
              <w:top w:w="15" w:type="dxa"/>
              <w:left w:w="0" w:type="dxa"/>
              <w:bottom w:w="0" w:type="dxa"/>
              <w:right w:w="15" w:type="dxa"/>
            </w:tcMar>
            <w:vAlign w:val="bottom"/>
            <w:hideMark/>
          </w:tcPr>
          <w:p w14:paraId="366BBF0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E8CAC5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5BD3B6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79DEE6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0CF165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399FC2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56B1C2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9235EDB"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CFABFD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5A9F65F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3018798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5FBB32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41470A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F3190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5B7AB71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DCDC4D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A0558C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A2AA62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4133F47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1354C3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4B9F0E2" w14:textId="77777777" w:rsidR="00000000" w:rsidRDefault="007125B5">
            <w:pPr>
              <w:pStyle w:val="a3"/>
              <w:spacing w:before="0" w:beforeAutospacing="0" w:after="0" w:afterAutospacing="0"/>
              <w:jc w:val="right"/>
              <w:rPr>
                <w:color w:val="000000"/>
                <w:sz w:val="14"/>
                <w:szCs w:val="14"/>
              </w:rPr>
            </w:pPr>
            <w:r>
              <w:rPr>
                <w:color w:val="000000"/>
                <w:sz w:val="14"/>
                <w:szCs w:val="14"/>
              </w:rPr>
              <w:t>(4,777</w:t>
            </w:r>
          </w:p>
        </w:tc>
        <w:tc>
          <w:tcPr>
            <w:tcW w:w="50" w:type="pct"/>
            <w:shd w:val="clear" w:color="auto" w:fill="FFFFFF"/>
            <w:noWrap/>
            <w:tcMar>
              <w:top w:w="15" w:type="dxa"/>
              <w:left w:w="0" w:type="dxa"/>
              <w:bottom w:w="0" w:type="dxa"/>
              <w:right w:w="15" w:type="dxa"/>
            </w:tcMar>
            <w:vAlign w:val="bottom"/>
            <w:hideMark/>
          </w:tcPr>
          <w:p w14:paraId="1C5B0790"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6B3DEF4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210AFE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5395E1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4DAF65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F292F9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A1462D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B21A76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520029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80F60F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1070FE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6F9477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4385FF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1C5C98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BD0976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3C4E45EE" w14:textId="77777777" w:rsidR="00000000" w:rsidRDefault="007125B5">
            <w:pPr>
              <w:pStyle w:val="a3"/>
              <w:spacing w:before="0" w:beforeAutospacing="0" w:after="0" w:afterAutospacing="0"/>
              <w:jc w:val="right"/>
              <w:rPr>
                <w:color w:val="000000"/>
                <w:sz w:val="14"/>
                <w:szCs w:val="14"/>
              </w:rPr>
            </w:pPr>
            <w:r>
              <w:rPr>
                <w:color w:val="000000"/>
                <w:sz w:val="14"/>
                <w:szCs w:val="14"/>
              </w:rPr>
              <w:t>(4,777</w:t>
            </w:r>
          </w:p>
        </w:tc>
        <w:tc>
          <w:tcPr>
            <w:tcW w:w="50" w:type="pct"/>
            <w:shd w:val="clear" w:color="auto" w:fill="FFFFFF"/>
            <w:noWrap/>
            <w:tcMar>
              <w:top w:w="15" w:type="dxa"/>
              <w:left w:w="0" w:type="dxa"/>
              <w:bottom w:w="0" w:type="dxa"/>
              <w:right w:w="15" w:type="dxa"/>
            </w:tcMar>
            <w:vAlign w:val="bottom"/>
            <w:hideMark/>
          </w:tcPr>
          <w:p w14:paraId="21DD95C0" w14:textId="77777777" w:rsidR="00000000" w:rsidRDefault="007125B5">
            <w:pPr>
              <w:pStyle w:val="a3"/>
              <w:spacing w:before="0" w:beforeAutospacing="0" w:after="0" w:afterAutospacing="0"/>
              <w:rPr>
                <w:color w:val="000000"/>
                <w:sz w:val="14"/>
                <w:szCs w:val="14"/>
              </w:rPr>
            </w:pPr>
            <w:r>
              <w:rPr>
                <w:color w:val="000000"/>
                <w:sz w:val="14"/>
                <w:szCs w:val="14"/>
              </w:rPr>
              <w:t>)</w:t>
            </w:r>
          </w:p>
        </w:tc>
      </w:tr>
      <w:tr w:rsidR="007125B5" w14:paraId="5BB6035C" w14:textId="77777777">
        <w:trPr>
          <w:divId w:val="1031759256"/>
          <w:jc w:val="center"/>
        </w:trPr>
        <w:tc>
          <w:tcPr>
            <w:tcW w:w="1045" w:type="pct"/>
            <w:shd w:val="clear" w:color="auto" w:fill="CFF0FC"/>
            <w:tcMar>
              <w:top w:w="15" w:type="dxa"/>
              <w:left w:w="0" w:type="dxa"/>
              <w:bottom w:w="0" w:type="dxa"/>
              <w:right w:w="15" w:type="dxa"/>
            </w:tcMar>
            <w:hideMark/>
          </w:tcPr>
          <w:p w14:paraId="7F221AAC" w14:textId="77777777" w:rsidR="00000000" w:rsidRDefault="007125B5">
            <w:pPr>
              <w:pStyle w:val="a3"/>
              <w:spacing w:before="0" w:beforeAutospacing="0" w:after="0" w:afterAutospacing="0"/>
              <w:rPr>
                <w:color w:val="000000"/>
                <w:sz w:val="14"/>
                <w:szCs w:val="14"/>
              </w:rPr>
            </w:pPr>
            <w:r>
              <w:rPr>
                <w:color w:val="000000"/>
                <w:sz w:val="14"/>
                <w:szCs w:val="14"/>
              </w:rPr>
              <w:t>Stock-based compensation</w:t>
            </w:r>
          </w:p>
        </w:tc>
        <w:tc>
          <w:tcPr>
            <w:tcW w:w="35" w:type="pct"/>
            <w:shd w:val="clear" w:color="auto" w:fill="CFF0FC"/>
            <w:tcMar>
              <w:top w:w="15" w:type="dxa"/>
              <w:left w:w="0" w:type="dxa"/>
              <w:bottom w:w="0" w:type="dxa"/>
              <w:right w:w="15" w:type="dxa"/>
            </w:tcMar>
            <w:vAlign w:val="bottom"/>
            <w:hideMark/>
          </w:tcPr>
          <w:p w14:paraId="5A662F5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D3239E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AE50A7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FCF817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6A6DDAB"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A92B36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8F843F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75334C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E1C103B"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5A776C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1484BE36"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381D22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6679594" w14:textId="77777777" w:rsidR="00000000" w:rsidRDefault="007125B5">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EE23B3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380573E9"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43C727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5DFFD0E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39FE75C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1F8314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98815B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4B4DC2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96D93A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BC5B02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A039D2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7B020C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AE7578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816987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25E3B16C" w14:textId="77777777" w:rsidR="00000000" w:rsidRDefault="007125B5">
            <w:pPr>
              <w:pStyle w:val="a3"/>
              <w:spacing w:before="0" w:beforeAutospacing="0" w:after="0" w:afterAutospacing="0"/>
              <w:jc w:val="right"/>
              <w:rPr>
                <w:color w:val="000000"/>
                <w:sz w:val="14"/>
                <w:szCs w:val="14"/>
              </w:rPr>
            </w:pPr>
            <w:r>
              <w:rPr>
                <w:color w:val="000000"/>
                <w:sz w:val="14"/>
                <w:szCs w:val="14"/>
              </w:rPr>
              <w:t>1,294</w:t>
            </w:r>
          </w:p>
        </w:tc>
        <w:tc>
          <w:tcPr>
            <w:tcW w:w="50" w:type="pct"/>
            <w:shd w:val="clear" w:color="auto" w:fill="CFF0FC"/>
            <w:noWrap/>
            <w:tcMar>
              <w:top w:w="15" w:type="dxa"/>
              <w:left w:w="0" w:type="dxa"/>
              <w:bottom w:w="0" w:type="dxa"/>
              <w:right w:w="15" w:type="dxa"/>
            </w:tcMar>
            <w:vAlign w:val="bottom"/>
            <w:hideMark/>
          </w:tcPr>
          <w:p w14:paraId="2B1A4BC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ADB1A4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28C7DC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52C1D631"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142F7A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3123CA6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5190B0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6CC86F5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0655DF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2BD2871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695B70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789B656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C8EF74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3B1B2E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3299D8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CFF0FC"/>
            <w:noWrap/>
            <w:tcMar>
              <w:top w:w="15" w:type="dxa"/>
              <w:left w:w="0" w:type="dxa"/>
              <w:bottom w:w="0" w:type="dxa"/>
              <w:right w:w="15" w:type="dxa"/>
            </w:tcMar>
            <w:vAlign w:val="bottom"/>
            <w:hideMark/>
          </w:tcPr>
          <w:p w14:paraId="0E8D8B81" w14:textId="77777777" w:rsidR="00000000" w:rsidRDefault="007125B5">
            <w:pPr>
              <w:pStyle w:val="a3"/>
              <w:spacing w:before="0" w:beforeAutospacing="0" w:after="0" w:afterAutospacing="0"/>
              <w:jc w:val="right"/>
              <w:rPr>
                <w:color w:val="000000"/>
                <w:sz w:val="14"/>
                <w:szCs w:val="14"/>
              </w:rPr>
            </w:pPr>
            <w:r>
              <w:rPr>
                <w:color w:val="000000"/>
                <w:sz w:val="14"/>
                <w:szCs w:val="14"/>
              </w:rPr>
              <w:t>1,294</w:t>
            </w:r>
          </w:p>
        </w:tc>
        <w:tc>
          <w:tcPr>
            <w:tcW w:w="50" w:type="pct"/>
            <w:shd w:val="clear" w:color="auto" w:fill="CFF0FC"/>
            <w:noWrap/>
            <w:tcMar>
              <w:top w:w="15" w:type="dxa"/>
              <w:left w:w="0" w:type="dxa"/>
              <w:bottom w:w="0" w:type="dxa"/>
              <w:right w:w="15" w:type="dxa"/>
            </w:tcMar>
            <w:vAlign w:val="bottom"/>
            <w:hideMark/>
          </w:tcPr>
          <w:p w14:paraId="672D9B91"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18AD59EF" w14:textId="77777777">
        <w:trPr>
          <w:divId w:val="1031759256"/>
          <w:jc w:val="center"/>
        </w:trPr>
        <w:tc>
          <w:tcPr>
            <w:tcW w:w="1045" w:type="pct"/>
            <w:shd w:val="clear" w:color="auto" w:fill="FFFFFF"/>
            <w:tcMar>
              <w:top w:w="15" w:type="dxa"/>
              <w:left w:w="0" w:type="dxa"/>
              <w:bottom w:w="0" w:type="dxa"/>
              <w:right w:w="15" w:type="dxa"/>
            </w:tcMar>
            <w:hideMark/>
          </w:tcPr>
          <w:p w14:paraId="70ABB9A9" w14:textId="77777777" w:rsidR="00000000" w:rsidRDefault="007125B5">
            <w:pPr>
              <w:pStyle w:val="a3"/>
              <w:spacing w:before="0" w:beforeAutospacing="0" w:after="0" w:afterAutospacing="0"/>
              <w:rPr>
                <w:color w:val="000000"/>
                <w:sz w:val="14"/>
                <w:szCs w:val="14"/>
              </w:rPr>
            </w:pPr>
            <w:r>
              <w:rPr>
                <w:color w:val="000000"/>
                <w:sz w:val="14"/>
                <w:szCs w:val="14"/>
              </w:rPr>
              <w:t>Common stock issued</w:t>
            </w:r>
          </w:p>
        </w:tc>
        <w:tc>
          <w:tcPr>
            <w:tcW w:w="35" w:type="pct"/>
            <w:shd w:val="clear" w:color="auto" w:fill="FFFFFF"/>
            <w:tcMar>
              <w:top w:w="15" w:type="dxa"/>
              <w:left w:w="0" w:type="dxa"/>
              <w:bottom w:w="0" w:type="dxa"/>
              <w:right w:w="15" w:type="dxa"/>
            </w:tcMar>
            <w:vAlign w:val="bottom"/>
            <w:hideMark/>
          </w:tcPr>
          <w:p w14:paraId="06FE6F0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9F6F38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41E8750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DDE6D3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911223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159564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B50405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0C0C27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DF2056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8C74CD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60DC967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9847D4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AC74C9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AD2D68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57C3143"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87AB0B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35DAC42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24A424A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81EC04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5EC36B09" w14:textId="77777777" w:rsidR="00000000" w:rsidRDefault="007125B5">
            <w:pPr>
              <w:pStyle w:val="a3"/>
              <w:spacing w:before="0" w:beforeAutospacing="0" w:after="0" w:afterAutospacing="0"/>
              <w:jc w:val="right"/>
              <w:rPr>
                <w:color w:val="000000"/>
                <w:sz w:val="14"/>
                <w:szCs w:val="14"/>
              </w:rPr>
            </w:pPr>
            <w:r>
              <w:rPr>
                <w:color w:val="000000"/>
                <w:sz w:val="14"/>
                <w:szCs w:val="14"/>
              </w:rPr>
              <w:t>138,781</w:t>
            </w:r>
          </w:p>
        </w:tc>
        <w:tc>
          <w:tcPr>
            <w:tcW w:w="50" w:type="pct"/>
            <w:shd w:val="clear" w:color="auto" w:fill="FFFFFF"/>
            <w:noWrap/>
            <w:tcMar>
              <w:top w:w="15" w:type="dxa"/>
              <w:left w:w="0" w:type="dxa"/>
              <w:bottom w:w="0" w:type="dxa"/>
              <w:right w:w="15" w:type="dxa"/>
            </w:tcMar>
            <w:vAlign w:val="bottom"/>
            <w:hideMark/>
          </w:tcPr>
          <w:p w14:paraId="09EE332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22D34D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B4FDAA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71839F9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18D5D5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7436A9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05DDAD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6BA1EAE2" w14:textId="77777777" w:rsidR="00000000" w:rsidRDefault="007125B5">
            <w:pPr>
              <w:pStyle w:val="a3"/>
              <w:spacing w:before="0" w:beforeAutospacing="0" w:after="0" w:afterAutospacing="0"/>
              <w:jc w:val="right"/>
              <w:rPr>
                <w:color w:val="000000"/>
                <w:sz w:val="14"/>
                <w:szCs w:val="14"/>
              </w:rPr>
            </w:pPr>
            <w:r>
              <w:rPr>
                <w:color w:val="000000"/>
                <w:sz w:val="14"/>
                <w:szCs w:val="14"/>
              </w:rPr>
              <w:t>3,452</w:t>
            </w:r>
          </w:p>
        </w:tc>
        <w:tc>
          <w:tcPr>
            <w:tcW w:w="50" w:type="pct"/>
            <w:shd w:val="clear" w:color="auto" w:fill="FFFFFF"/>
            <w:noWrap/>
            <w:tcMar>
              <w:top w:w="15" w:type="dxa"/>
              <w:left w:w="0" w:type="dxa"/>
              <w:bottom w:w="0" w:type="dxa"/>
              <w:right w:w="15" w:type="dxa"/>
            </w:tcMar>
            <w:vAlign w:val="bottom"/>
            <w:hideMark/>
          </w:tcPr>
          <w:p w14:paraId="3DBCCC7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EFC246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A0E62D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4F25B2D"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0A0801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185E319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0A256A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EE275B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0C9F66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EFF4F0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3875F3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2B5D7AA2"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C3659D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0C206CE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2FEF32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shd w:val="clear" w:color="auto" w:fill="FFFFFF"/>
            <w:noWrap/>
            <w:tcMar>
              <w:top w:w="15" w:type="dxa"/>
              <w:left w:w="0" w:type="dxa"/>
              <w:bottom w:w="0" w:type="dxa"/>
              <w:right w:w="15" w:type="dxa"/>
            </w:tcMar>
            <w:vAlign w:val="bottom"/>
            <w:hideMark/>
          </w:tcPr>
          <w:p w14:paraId="19C2BDBE" w14:textId="77777777" w:rsidR="00000000" w:rsidRDefault="007125B5">
            <w:pPr>
              <w:pStyle w:val="a3"/>
              <w:spacing w:before="0" w:beforeAutospacing="0" w:after="0" w:afterAutospacing="0"/>
              <w:jc w:val="right"/>
              <w:rPr>
                <w:color w:val="000000"/>
                <w:sz w:val="14"/>
                <w:szCs w:val="14"/>
              </w:rPr>
            </w:pPr>
            <w:r>
              <w:rPr>
                <w:color w:val="000000"/>
                <w:sz w:val="14"/>
                <w:szCs w:val="14"/>
              </w:rPr>
              <w:t>3,452</w:t>
            </w:r>
          </w:p>
        </w:tc>
        <w:tc>
          <w:tcPr>
            <w:tcW w:w="50" w:type="pct"/>
            <w:shd w:val="clear" w:color="auto" w:fill="FFFFFF"/>
            <w:noWrap/>
            <w:tcMar>
              <w:top w:w="15" w:type="dxa"/>
              <w:left w:w="0" w:type="dxa"/>
              <w:bottom w:w="0" w:type="dxa"/>
              <w:right w:w="15" w:type="dxa"/>
            </w:tcMar>
            <w:vAlign w:val="bottom"/>
            <w:hideMark/>
          </w:tcPr>
          <w:p w14:paraId="5EF5D9B2"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1FF0B1FC" w14:textId="77777777">
        <w:trPr>
          <w:divId w:val="1031759256"/>
          <w:jc w:val="center"/>
        </w:trPr>
        <w:tc>
          <w:tcPr>
            <w:tcW w:w="1045" w:type="pct"/>
            <w:shd w:val="clear" w:color="auto" w:fill="CFF0FC"/>
            <w:tcMar>
              <w:top w:w="15" w:type="dxa"/>
              <w:left w:w="0" w:type="dxa"/>
              <w:bottom w:w="0" w:type="dxa"/>
              <w:right w:w="15" w:type="dxa"/>
            </w:tcMar>
            <w:hideMark/>
          </w:tcPr>
          <w:p w14:paraId="4D5FD840" w14:textId="77777777" w:rsidR="00000000" w:rsidRDefault="007125B5">
            <w:pPr>
              <w:pStyle w:val="a3"/>
              <w:spacing w:before="0" w:beforeAutospacing="0" w:after="0" w:afterAutospacing="0"/>
              <w:rPr>
                <w:color w:val="000000"/>
                <w:sz w:val="14"/>
                <w:szCs w:val="14"/>
              </w:rPr>
            </w:pPr>
            <w:r>
              <w:rPr>
                <w:color w:val="000000"/>
                <w:sz w:val="14"/>
                <w:szCs w:val="14"/>
              </w:rPr>
              <w:t>Accumulated other comprehensive</w:t>
            </w:r>
          </w:p>
          <w:p w14:paraId="70F7F274" w14:textId="77777777" w:rsidR="00000000" w:rsidRDefault="007125B5">
            <w:pPr>
              <w:pStyle w:val="a3"/>
              <w:spacing w:before="0" w:beforeAutospacing="0" w:after="0" w:afterAutospacing="0"/>
              <w:rPr>
                <w:color w:val="000000"/>
                <w:sz w:val="14"/>
                <w:szCs w:val="14"/>
              </w:rPr>
            </w:pPr>
            <w:r>
              <w:rPr>
                <w:color w:val="000000"/>
                <w:sz w:val="14"/>
                <w:szCs w:val="14"/>
              </w:rPr>
              <w:t>   income</w:t>
            </w:r>
          </w:p>
        </w:tc>
        <w:tc>
          <w:tcPr>
            <w:tcW w:w="35" w:type="pct"/>
            <w:shd w:val="clear" w:color="auto" w:fill="CFF0FC"/>
            <w:tcMar>
              <w:top w:w="15" w:type="dxa"/>
              <w:left w:w="0" w:type="dxa"/>
              <w:bottom w:w="0" w:type="dxa"/>
              <w:right w:w="15" w:type="dxa"/>
            </w:tcMar>
            <w:vAlign w:val="bottom"/>
            <w:hideMark/>
          </w:tcPr>
          <w:p w14:paraId="731D38D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1B3F5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0759CA58"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AB44E5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22F08B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6D765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4F62EEF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175FBA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645116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B9C2C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0B716F9C"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9D3731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FF1F9E9"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0D5C5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589BBF9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A11926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14:paraId="3F29E94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14:paraId="45E8538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D8C44B"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22EF6D2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63C41F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0BBB32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D4431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391DDEF5"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9FF398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5F4F497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FC2F88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5C5551E"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E5F465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1819C3A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74C8C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2E47104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747233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7F1DF4A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3E98A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6B72581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CAA510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4CF28DD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0397D2E"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08840709" w14:textId="77777777" w:rsidR="00000000" w:rsidRDefault="007125B5">
            <w:pPr>
              <w:pStyle w:val="a3"/>
              <w:spacing w:before="0" w:beforeAutospacing="0" w:after="0" w:afterAutospacing="0"/>
              <w:jc w:val="right"/>
              <w:rPr>
                <w:color w:val="000000"/>
                <w:sz w:val="14"/>
                <w:szCs w:val="14"/>
              </w:rPr>
            </w:pPr>
            <w:r>
              <w:rPr>
                <w:color w:val="000000"/>
                <w:sz w:val="14"/>
                <w:szCs w:val="14"/>
              </w:rPr>
              <w:t>23</w:t>
            </w:r>
          </w:p>
        </w:tc>
        <w:tc>
          <w:tcPr>
            <w:tcW w:w="50" w:type="pct"/>
            <w:shd w:val="clear" w:color="auto" w:fill="CFF0FC"/>
            <w:noWrap/>
            <w:tcMar>
              <w:top w:w="15" w:type="dxa"/>
              <w:left w:w="0" w:type="dxa"/>
              <w:bottom w:w="0" w:type="dxa"/>
              <w:right w:w="15" w:type="dxa"/>
            </w:tcMar>
            <w:vAlign w:val="bottom"/>
            <w:hideMark/>
          </w:tcPr>
          <w:p w14:paraId="4C0E960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CFF0FC"/>
            <w:tcMar>
              <w:top w:w="15" w:type="dxa"/>
              <w:left w:w="0" w:type="dxa"/>
              <w:bottom w:w="0" w:type="dxa"/>
              <w:right w:w="15" w:type="dxa"/>
            </w:tcMar>
            <w:vAlign w:val="bottom"/>
            <w:hideMark/>
          </w:tcPr>
          <w:p w14:paraId="669E2F08"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7F315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bottom w:val="single" w:sz="6" w:space="0" w:color="000000"/>
            </w:tcBorders>
            <w:shd w:val="clear" w:color="auto" w:fill="CFF0FC"/>
            <w:noWrap/>
            <w:tcMar>
              <w:top w:w="15" w:type="dxa"/>
              <w:left w:w="0" w:type="dxa"/>
              <w:bottom w:w="0" w:type="dxa"/>
              <w:right w:w="15" w:type="dxa"/>
            </w:tcMar>
            <w:vAlign w:val="bottom"/>
            <w:hideMark/>
          </w:tcPr>
          <w:p w14:paraId="739535AA" w14:textId="77777777" w:rsidR="00000000" w:rsidRDefault="007125B5">
            <w:pPr>
              <w:pStyle w:val="a3"/>
              <w:spacing w:before="0" w:beforeAutospacing="0" w:after="0" w:afterAutospacing="0"/>
              <w:jc w:val="right"/>
              <w:rPr>
                <w:color w:val="000000"/>
                <w:sz w:val="14"/>
                <w:szCs w:val="14"/>
              </w:rPr>
            </w:pPr>
            <w:r>
              <w:rPr>
                <w:color w:val="000000"/>
                <w:sz w:val="14"/>
                <w:szCs w:val="14"/>
              </w:rPr>
              <w:t>23</w:t>
            </w:r>
          </w:p>
        </w:tc>
        <w:tc>
          <w:tcPr>
            <w:tcW w:w="50" w:type="pct"/>
            <w:shd w:val="clear" w:color="auto" w:fill="CFF0FC"/>
            <w:noWrap/>
            <w:tcMar>
              <w:top w:w="15" w:type="dxa"/>
              <w:left w:w="0" w:type="dxa"/>
              <w:bottom w:w="0" w:type="dxa"/>
              <w:right w:w="15" w:type="dxa"/>
            </w:tcMar>
            <w:vAlign w:val="bottom"/>
            <w:hideMark/>
          </w:tcPr>
          <w:p w14:paraId="3E38B125" w14:textId="77777777" w:rsidR="00000000" w:rsidRDefault="007125B5">
            <w:pPr>
              <w:pStyle w:val="a3"/>
              <w:spacing w:before="0" w:beforeAutospacing="0" w:after="0" w:afterAutospacing="0"/>
              <w:rPr>
                <w:color w:val="000000"/>
                <w:sz w:val="14"/>
                <w:szCs w:val="14"/>
              </w:rPr>
            </w:pPr>
            <w:r>
              <w:rPr>
                <w:color w:val="000000"/>
                <w:sz w:val="14"/>
                <w:szCs w:val="14"/>
              </w:rPr>
              <w:t> </w:t>
            </w:r>
          </w:p>
        </w:tc>
      </w:tr>
      <w:tr w:rsidR="007125B5" w14:paraId="07DFC090" w14:textId="77777777">
        <w:trPr>
          <w:divId w:val="1031759256"/>
          <w:jc w:val="center"/>
        </w:trPr>
        <w:tc>
          <w:tcPr>
            <w:tcW w:w="1045" w:type="pct"/>
            <w:shd w:val="clear" w:color="auto" w:fill="FFFFFF"/>
            <w:tcMar>
              <w:top w:w="15" w:type="dxa"/>
              <w:left w:w="0" w:type="dxa"/>
              <w:bottom w:w="0" w:type="dxa"/>
              <w:right w:w="15" w:type="dxa"/>
            </w:tcMar>
            <w:hideMark/>
          </w:tcPr>
          <w:p w14:paraId="6FE8C658" w14:textId="77777777" w:rsidR="00000000" w:rsidRDefault="007125B5">
            <w:pPr>
              <w:pStyle w:val="a3"/>
              <w:spacing w:before="0" w:beforeAutospacing="0" w:after="0" w:afterAutospacing="0"/>
              <w:rPr>
                <w:color w:val="000000"/>
                <w:sz w:val="14"/>
                <w:szCs w:val="14"/>
              </w:rPr>
            </w:pPr>
            <w:r>
              <w:rPr>
                <w:color w:val="000000"/>
                <w:sz w:val="14"/>
                <w:szCs w:val="14"/>
              </w:rPr>
              <w:t>BALANCE—June 30, 2019</w:t>
            </w:r>
          </w:p>
        </w:tc>
        <w:tc>
          <w:tcPr>
            <w:tcW w:w="35" w:type="pct"/>
            <w:shd w:val="clear" w:color="auto" w:fill="FFFFFF"/>
            <w:tcMar>
              <w:top w:w="15" w:type="dxa"/>
              <w:left w:w="0" w:type="dxa"/>
              <w:bottom w:w="0" w:type="dxa"/>
              <w:right w:w="15" w:type="dxa"/>
            </w:tcMar>
            <w:vAlign w:val="bottom"/>
            <w:hideMark/>
          </w:tcPr>
          <w:p w14:paraId="500E07D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4FB64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1055E0" w14:textId="77777777" w:rsidR="00000000" w:rsidRDefault="007125B5">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FFFFFF"/>
            <w:noWrap/>
            <w:tcMar>
              <w:top w:w="15" w:type="dxa"/>
              <w:left w:w="0" w:type="dxa"/>
              <w:bottom w:w="0" w:type="dxa"/>
              <w:right w:w="15" w:type="dxa"/>
            </w:tcMar>
            <w:vAlign w:val="bottom"/>
            <w:hideMark/>
          </w:tcPr>
          <w:p w14:paraId="73BB3FE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19040D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152923"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D80F3D" w14:textId="77777777" w:rsidR="00000000" w:rsidRDefault="007125B5">
            <w:pPr>
              <w:pStyle w:val="a3"/>
              <w:spacing w:before="0" w:beforeAutospacing="0" w:after="0" w:afterAutospacing="0"/>
              <w:jc w:val="right"/>
              <w:rPr>
                <w:color w:val="000000"/>
                <w:sz w:val="14"/>
                <w:szCs w:val="14"/>
              </w:rPr>
            </w:pPr>
            <w:r>
              <w:rPr>
                <w:color w:val="000000"/>
                <w:sz w:val="14"/>
                <w:szCs w:val="14"/>
              </w:rPr>
              <w:t>118,517</w:t>
            </w:r>
          </w:p>
        </w:tc>
        <w:tc>
          <w:tcPr>
            <w:tcW w:w="50" w:type="pct"/>
            <w:shd w:val="clear" w:color="auto" w:fill="FFFFFF"/>
            <w:noWrap/>
            <w:tcMar>
              <w:top w:w="15" w:type="dxa"/>
              <w:left w:w="0" w:type="dxa"/>
              <w:bottom w:w="0" w:type="dxa"/>
              <w:right w:w="15" w:type="dxa"/>
            </w:tcMar>
            <w:vAlign w:val="bottom"/>
            <w:hideMark/>
          </w:tcPr>
          <w:p w14:paraId="5FCD63BC"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5781590"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E00F3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B4FCB7"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A4FA76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CD54F9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5A35E9"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D2E304"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65BF335"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14:paraId="408E2187"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14:paraId="27A919D4"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508F1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8D49BB" w14:textId="77777777" w:rsidR="00000000" w:rsidRDefault="007125B5">
            <w:pPr>
              <w:pStyle w:val="a3"/>
              <w:spacing w:before="0" w:beforeAutospacing="0" w:after="0" w:afterAutospacing="0"/>
              <w:jc w:val="right"/>
              <w:rPr>
                <w:color w:val="000000"/>
                <w:sz w:val="14"/>
                <w:szCs w:val="14"/>
              </w:rPr>
            </w:pPr>
            <w:r>
              <w:rPr>
                <w:color w:val="000000"/>
                <w:sz w:val="14"/>
                <w:szCs w:val="14"/>
              </w:rPr>
              <w:t>8,278,327</w:t>
            </w:r>
          </w:p>
        </w:tc>
        <w:tc>
          <w:tcPr>
            <w:tcW w:w="50" w:type="pct"/>
            <w:shd w:val="clear" w:color="auto" w:fill="FFFFFF"/>
            <w:noWrap/>
            <w:tcMar>
              <w:top w:w="15" w:type="dxa"/>
              <w:left w:w="0" w:type="dxa"/>
              <w:bottom w:w="0" w:type="dxa"/>
              <w:right w:w="15" w:type="dxa"/>
            </w:tcMar>
            <w:vAlign w:val="bottom"/>
            <w:hideMark/>
          </w:tcPr>
          <w:p w14:paraId="65525A8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2367035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F72F50"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DEF7B0" w14:textId="77777777" w:rsidR="00000000" w:rsidRDefault="007125B5">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ED0FCC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327EDA21"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82EA7F"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6AE10F" w14:textId="77777777" w:rsidR="00000000" w:rsidRDefault="007125B5">
            <w:pPr>
              <w:pStyle w:val="a3"/>
              <w:spacing w:before="0" w:beforeAutospacing="0" w:after="0" w:afterAutospacing="0"/>
              <w:jc w:val="right"/>
              <w:rPr>
                <w:color w:val="000000"/>
                <w:sz w:val="14"/>
                <w:szCs w:val="14"/>
              </w:rPr>
            </w:pPr>
            <w:r>
              <w:rPr>
                <w:color w:val="000000"/>
                <w:sz w:val="14"/>
                <w:szCs w:val="14"/>
              </w:rPr>
              <w:t>44,538</w:t>
            </w:r>
          </w:p>
        </w:tc>
        <w:tc>
          <w:tcPr>
            <w:tcW w:w="50" w:type="pct"/>
            <w:shd w:val="clear" w:color="auto" w:fill="FFFFFF"/>
            <w:noWrap/>
            <w:tcMar>
              <w:top w:w="15" w:type="dxa"/>
              <w:left w:w="0" w:type="dxa"/>
              <w:bottom w:w="0" w:type="dxa"/>
              <w:right w:w="15" w:type="dxa"/>
            </w:tcMar>
            <w:vAlign w:val="bottom"/>
            <w:hideMark/>
          </w:tcPr>
          <w:p w14:paraId="1348A48A"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64DCFC6D"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CCC794"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113469" w14:textId="77777777" w:rsidR="00000000" w:rsidRDefault="007125B5">
            <w:pPr>
              <w:pStyle w:val="a3"/>
              <w:spacing w:before="0" w:beforeAutospacing="0" w:after="0" w:afterAutospacing="0"/>
              <w:jc w:val="right"/>
              <w:rPr>
                <w:color w:val="000000"/>
                <w:sz w:val="14"/>
                <w:szCs w:val="14"/>
              </w:rPr>
            </w:pPr>
            <w:r>
              <w:rPr>
                <w:color w:val="000000"/>
                <w:sz w:val="14"/>
                <w:szCs w:val="14"/>
              </w:rPr>
              <w:t>(46,411</w:t>
            </w:r>
          </w:p>
        </w:tc>
        <w:tc>
          <w:tcPr>
            <w:tcW w:w="50" w:type="pct"/>
            <w:shd w:val="clear" w:color="auto" w:fill="FFFFFF"/>
            <w:noWrap/>
            <w:tcMar>
              <w:top w:w="15" w:type="dxa"/>
              <w:left w:w="0" w:type="dxa"/>
              <w:bottom w:w="0" w:type="dxa"/>
              <w:right w:w="15" w:type="dxa"/>
            </w:tcMar>
            <w:vAlign w:val="bottom"/>
            <w:hideMark/>
          </w:tcPr>
          <w:p w14:paraId="5A146A19"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5C3725A2"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ABAEEA"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621289" w14:textId="77777777" w:rsidR="00000000" w:rsidRDefault="007125B5">
            <w:pPr>
              <w:pStyle w:val="a3"/>
              <w:spacing w:before="0" w:beforeAutospacing="0" w:after="0" w:afterAutospacing="0"/>
              <w:jc w:val="right"/>
              <w:rPr>
                <w:color w:val="000000"/>
                <w:sz w:val="14"/>
                <w:szCs w:val="14"/>
              </w:rPr>
            </w:pPr>
            <w:r>
              <w:rPr>
                <w:color w:val="000000"/>
                <w:sz w:val="14"/>
                <w:szCs w:val="14"/>
              </w:rPr>
              <w:t>(122</w:t>
            </w:r>
          </w:p>
        </w:tc>
        <w:tc>
          <w:tcPr>
            <w:tcW w:w="50" w:type="pct"/>
            <w:shd w:val="clear" w:color="auto" w:fill="FFFFFF"/>
            <w:noWrap/>
            <w:tcMar>
              <w:top w:w="15" w:type="dxa"/>
              <w:left w:w="0" w:type="dxa"/>
              <w:bottom w:w="0" w:type="dxa"/>
              <w:right w:w="15" w:type="dxa"/>
            </w:tcMar>
            <w:vAlign w:val="bottom"/>
            <w:hideMark/>
          </w:tcPr>
          <w:p w14:paraId="486DEF34"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35" w:type="pct"/>
            <w:shd w:val="clear" w:color="auto" w:fill="FFFFFF"/>
            <w:tcMar>
              <w:top w:w="15" w:type="dxa"/>
              <w:left w:w="0" w:type="dxa"/>
              <w:bottom w:w="0" w:type="dxa"/>
              <w:right w:w="15" w:type="dxa"/>
            </w:tcMar>
            <w:vAlign w:val="bottom"/>
            <w:hideMark/>
          </w:tcPr>
          <w:p w14:paraId="3C7E8B23"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AC911C"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47BF61" w14:textId="77777777" w:rsidR="00000000" w:rsidRDefault="007125B5">
            <w:pPr>
              <w:pStyle w:val="a3"/>
              <w:spacing w:before="0" w:beforeAutospacing="0" w:after="0" w:afterAutospacing="0"/>
              <w:jc w:val="right"/>
              <w:rPr>
                <w:color w:val="000000"/>
                <w:sz w:val="14"/>
                <w:szCs w:val="14"/>
              </w:rPr>
            </w:pPr>
            <w:r>
              <w:rPr>
                <w:color w:val="000000"/>
                <w:sz w:val="14"/>
                <w:szCs w:val="14"/>
              </w:rPr>
              <w:t>23</w:t>
            </w:r>
          </w:p>
        </w:tc>
        <w:tc>
          <w:tcPr>
            <w:tcW w:w="50" w:type="pct"/>
            <w:shd w:val="clear" w:color="auto" w:fill="FFFFFF"/>
            <w:noWrap/>
            <w:tcMar>
              <w:top w:w="15" w:type="dxa"/>
              <w:left w:w="0" w:type="dxa"/>
              <w:bottom w:w="0" w:type="dxa"/>
              <w:right w:w="15" w:type="dxa"/>
            </w:tcMar>
            <w:vAlign w:val="bottom"/>
            <w:hideMark/>
          </w:tcPr>
          <w:p w14:paraId="1B85CEC6"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35" w:type="pct"/>
            <w:shd w:val="clear" w:color="auto" w:fill="FFFFFF"/>
            <w:tcMar>
              <w:top w:w="15" w:type="dxa"/>
              <w:left w:w="0" w:type="dxa"/>
              <w:bottom w:w="0" w:type="dxa"/>
              <w:right w:w="15" w:type="dxa"/>
            </w:tcMar>
            <w:vAlign w:val="bottom"/>
            <w:hideMark/>
          </w:tcPr>
          <w:p w14:paraId="775A2FEF" w14:textId="77777777" w:rsidR="00000000" w:rsidRDefault="007125B5">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EDD1E5" w14:textId="77777777" w:rsidR="00000000" w:rsidRDefault="007125B5">
            <w:pPr>
              <w:pStyle w:val="a3"/>
              <w:spacing w:before="0" w:beforeAutospacing="0" w:after="0" w:afterAutospacing="0"/>
              <w:rPr>
                <w:color w:val="000000"/>
                <w:sz w:val="14"/>
                <w:szCs w:val="14"/>
              </w:rPr>
            </w:pPr>
            <w:r>
              <w:rPr>
                <w:color w:val="000000"/>
                <w:sz w:val="14"/>
                <w:szCs w:val="14"/>
              </w:rPr>
              <w:t>$</w:t>
            </w:r>
          </w:p>
        </w:tc>
        <w:tc>
          <w:tcPr>
            <w:tcW w:w="2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9A1197" w14:textId="77777777" w:rsidR="00000000" w:rsidRDefault="007125B5">
            <w:pPr>
              <w:pStyle w:val="a3"/>
              <w:spacing w:before="0" w:beforeAutospacing="0" w:after="0" w:afterAutospacing="0"/>
              <w:jc w:val="right"/>
              <w:rPr>
                <w:color w:val="000000"/>
                <w:sz w:val="14"/>
                <w:szCs w:val="14"/>
              </w:rPr>
            </w:pPr>
            <w:r>
              <w:rPr>
                <w:color w:val="000000"/>
                <w:sz w:val="14"/>
                <w:szCs w:val="14"/>
              </w:rPr>
              <w:t>(1,972</w:t>
            </w:r>
          </w:p>
        </w:tc>
        <w:tc>
          <w:tcPr>
            <w:tcW w:w="50" w:type="pct"/>
            <w:shd w:val="clear" w:color="auto" w:fill="FFFFFF"/>
            <w:noWrap/>
            <w:tcMar>
              <w:top w:w="15" w:type="dxa"/>
              <w:left w:w="0" w:type="dxa"/>
              <w:bottom w:w="0" w:type="dxa"/>
              <w:right w:w="15" w:type="dxa"/>
            </w:tcMar>
            <w:vAlign w:val="bottom"/>
            <w:hideMark/>
          </w:tcPr>
          <w:p w14:paraId="18A187B4" w14:textId="77777777" w:rsidR="00000000" w:rsidRDefault="007125B5">
            <w:pPr>
              <w:pStyle w:val="a3"/>
              <w:spacing w:before="0" w:beforeAutospacing="0" w:after="0" w:afterAutospacing="0"/>
              <w:rPr>
                <w:color w:val="000000"/>
                <w:sz w:val="14"/>
                <w:szCs w:val="14"/>
              </w:rPr>
            </w:pPr>
            <w:r>
              <w:rPr>
                <w:color w:val="000000"/>
                <w:sz w:val="14"/>
                <w:szCs w:val="14"/>
              </w:rPr>
              <w:t>)</w:t>
            </w:r>
          </w:p>
        </w:tc>
      </w:tr>
    </w:tbl>
    <w:p w14:paraId="2DEB0252" w14:textId="77777777" w:rsidR="00000000" w:rsidRDefault="007125B5">
      <w:pPr>
        <w:pStyle w:val="a3"/>
        <w:spacing w:before="0" w:beforeAutospacing="0" w:after="0" w:afterAutospacing="0"/>
        <w:rPr>
          <w:sz w:val="20"/>
          <w:szCs w:val="20"/>
        </w:rPr>
      </w:pPr>
      <w:r>
        <w:rPr>
          <w:sz w:val="20"/>
          <w:szCs w:val="20"/>
        </w:rPr>
        <w:t> </w:t>
      </w:r>
    </w:p>
    <w:p w14:paraId="2BC4CB7F" w14:textId="77777777" w:rsidR="00000000" w:rsidRDefault="007125B5">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p>
    <w:p w14:paraId="37BF9A75" w14:textId="77777777" w:rsidR="00000000" w:rsidRDefault="007125B5">
      <w:pPr>
        <w:pStyle w:val="a3"/>
        <w:spacing w:before="240" w:beforeAutospacing="0" w:after="0" w:afterAutospacing="0"/>
        <w:jc w:val="center"/>
        <w:rPr>
          <w:sz w:val="20"/>
          <w:szCs w:val="20"/>
        </w:rPr>
      </w:pPr>
      <w:r>
        <w:rPr>
          <w:sz w:val="20"/>
          <w:szCs w:val="20"/>
        </w:rPr>
        <w:t>3</w:t>
      </w:r>
    </w:p>
    <w:p w14:paraId="4C9553BE" w14:textId="77777777" w:rsidR="00000000" w:rsidRDefault="007125B5">
      <w:pPr>
        <w:rPr>
          <w:rFonts w:eastAsia="Times New Roman"/>
        </w:rPr>
      </w:pPr>
      <w:r>
        <w:rPr>
          <w:rFonts w:eastAsia="Times New Roman"/>
        </w:rPr>
        <w:pict w14:anchorId="7D89E9A2">
          <v:rect id="_x0000_i1029" style="width:415.3pt;height:1.5pt" o:hralign="center" o:hrstd="t" o:hr="t" fillcolor="#a0a0a0" stroked="f"/>
        </w:pict>
      </w:r>
    </w:p>
    <w:p w14:paraId="17BA86AE" w14:textId="77777777" w:rsidR="00000000" w:rsidRDefault="007125B5">
      <w:pPr>
        <w:pStyle w:val="a3"/>
        <w:spacing w:before="0" w:beforeAutospacing="0" w:after="0" w:afterAutospacing="0"/>
        <w:rPr>
          <w:sz w:val="20"/>
          <w:szCs w:val="20"/>
        </w:rPr>
      </w:pPr>
      <w:r>
        <w:rPr>
          <w:sz w:val="20"/>
          <w:szCs w:val="20"/>
        </w:rPr>
        <w:t> </w:t>
      </w:r>
    </w:p>
    <w:p w14:paraId="69CD6ED7" w14:textId="77777777" w:rsidR="00000000" w:rsidRDefault="007125B5">
      <w:pPr>
        <w:pStyle w:val="a3"/>
        <w:spacing w:before="0" w:beforeAutospacing="0" w:after="0" w:afterAutospacing="0"/>
        <w:jc w:val="center"/>
        <w:rPr>
          <w:b/>
          <w:bCs/>
          <w:color w:val="000000"/>
          <w:sz w:val="20"/>
          <w:szCs w:val="20"/>
        </w:rPr>
      </w:pPr>
      <w:bookmarkStart w:id="9" w:name="_AEIOULastRenderedPageBreakAEIOU6"/>
      <w:bookmarkEnd w:id="9"/>
      <w:r>
        <w:rPr>
          <w:b/>
          <w:bCs/>
          <w:color w:val="000000"/>
          <w:sz w:val="20"/>
          <w:szCs w:val="20"/>
        </w:rPr>
        <w:t xml:space="preserve">MONTROSE ENVIRONMENTAL GROUP, INC. </w:t>
      </w:r>
    </w:p>
    <w:p w14:paraId="09221FB3" w14:textId="77777777" w:rsidR="00000000" w:rsidRDefault="007125B5">
      <w:pPr>
        <w:pStyle w:val="a3"/>
        <w:spacing w:before="0" w:beforeAutospacing="0" w:after="0" w:afterAutospacing="0"/>
        <w:jc w:val="center"/>
        <w:rPr>
          <w:b/>
          <w:bCs/>
          <w:color w:val="000000"/>
          <w:sz w:val="20"/>
          <w:szCs w:val="20"/>
        </w:rPr>
      </w:pPr>
      <w:bookmarkStart w:id="10" w:name="UNAUDITED_CONDENSED_CONSOLIDATED_STATEME"/>
      <w:bookmarkStart w:id="11" w:name="UNAUDITED_CONDENSED_CONSOLIDATED_CF"/>
      <w:bookmarkEnd w:id="10"/>
      <w:bookmarkEnd w:id="11"/>
      <w:r>
        <w:rPr>
          <w:b/>
          <w:bCs/>
          <w:color w:val="000000"/>
          <w:sz w:val="20"/>
          <w:szCs w:val="20"/>
        </w:rPr>
        <w:t>UNAUDITED CONDENSED CONSOLIDATED STATEMENTS OF CASH FLOWS</w:t>
      </w:r>
    </w:p>
    <w:p w14:paraId="7D26D796" w14:textId="77777777" w:rsidR="00000000" w:rsidRDefault="007125B5">
      <w:pPr>
        <w:pStyle w:val="a3"/>
        <w:spacing w:before="0" w:beforeAutospacing="0" w:after="0" w:afterAutospacing="0"/>
        <w:jc w:val="center"/>
        <w:rPr>
          <w:b/>
          <w:bCs/>
          <w:sz w:val="20"/>
          <w:szCs w:val="20"/>
        </w:rPr>
      </w:pPr>
      <w:r>
        <w:rPr>
          <w:b/>
          <w:bCs/>
          <w:sz w:val="20"/>
          <w:szCs w:val="20"/>
        </w:rPr>
        <w:t>(In thousands)</w:t>
      </w:r>
    </w:p>
    <w:p w14:paraId="56299339"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61"/>
        <w:gridCol w:w="131"/>
        <w:gridCol w:w="95"/>
        <w:gridCol w:w="1066"/>
        <w:gridCol w:w="79"/>
        <w:gridCol w:w="132"/>
        <w:gridCol w:w="95"/>
        <w:gridCol w:w="1067"/>
        <w:gridCol w:w="80"/>
      </w:tblGrid>
      <w:tr w:rsidR="00000000" w14:paraId="54D9519E" w14:textId="77777777">
        <w:trPr>
          <w:divId w:val="245966486"/>
          <w:jc w:val="center"/>
        </w:trPr>
        <w:tc>
          <w:tcPr>
            <w:tcW w:w="3349" w:type="pct"/>
            <w:shd w:val="clear" w:color="auto" w:fill="FFFFFF"/>
            <w:tcMar>
              <w:top w:w="15" w:type="dxa"/>
              <w:left w:w="0" w:type="dxa"/>
              <w:bottom w:w="0" w:type="dxa"/>
              <w:right w:w="15" w:type="dxa"/>
            </w:tcMar>
            <w:vAlign w:val="bottom"/>
            <w:hideMark/>
          </w:tcPr>
          <w:p w14:paraId="1401C3C2"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22BF98F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2B5CB52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1E9F004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63CC48CD" w14:textId="77777777">
        <w:trPr>
          <w:divId w:val="245966486"/>
          <w:jc w:val="center"/>
        </w:trPr>
        <w:tc>
          <w:tcPr>
            <w:tcW w:w="3349" w:type="pct"/>
            <w:shd w:val="clear" w:color="auto" w:fill="FFFFFF"/>
            <w:tcMar>
              <w:top w:w="15" w:type="dxa"/>
              <w:left w:w="0" w:type="dxa"/>
              <w:bottom w:w="0" w:type="dxa"/>
              <w:right w:w="15" w:type="dxa"/>
            </w:tcMar>
            <w:vAlign w:val="bottom"/>
            <w:hideMark/>
          </w:tcPr>
          <w:p w14:paraId="301D075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64AF98D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87D3E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8D88C7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0692C69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D9829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E74D99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ED177FE" w14:textId="77777777">
        <w:trPr>
          <w:divId w:val="245966486"/>
          <w:jc w:val="center"/>
        </w:trPr>
        <w:tc>
          <w:tcPr>
            <w:tcW w:w="3349" w:type="pct"/>
            <w:shd w:val="clear" w:color="auto" w:fill="CFF0FC"/>
            <w:tcMar>
              <w:top w:w="15" w:type="dxa"/>
              <w:left w:w="0" w:type="dxa"/>
              <w:bottom w:w="0" w:type="dxa"/>
              <w:right w:w="15" w:type="dxa"/>
            </w:tcMar>
            <w:hideMark/>
          </w:tcPr>
          <w:p w14:paraId="2F11BD4F" w14:textId="77777777" w:rsidR="00000000" w:rsidRDefault="007125B5">
            <w:pPr>
              <w:pStyle w:val="a3"/>
              <w:spacing w:before="0" w:beforeAutospacing="0" w:after="0" w:afterAutospacing="0"/>
              <w:rPr>
                <w:color w:val="000000"/>
                <w:sz w:val="16"/>
                <w:szCs w:val="16"/>
              </w:rPr>
            </w:pPr>
            <w:r>
              <w:rPr>
                <w:color w:val="000000"/>
                <w:sz w:val="16"/>
                <w:szCs w:val="16"/>
              </w:rPr>
              <w:t>OPERATING ACTIVITIES:</w:t>
            </w:r>
          </w:p>
        </w:tc>
        <w:tc>
          <w:tcPr>
            <w:tcW w:w="81" w:type="pct"/>
            <w:shd w:val="clear" w:color="auto" w:fill="CFF0FC"/>
            <w:tcMar>
              <w:top w:w="15" w:type="dxa"/>
              <w:left w:w="0" w:type="dxa"/>
              <w:bottom w:w="0" w:type="dxa"/>
              <w:right w:w="15" w:type="dxa"/>
            </w:tcMar>
            <w:vAlign w:val="bottom"/>
            <w:hideMark/>
          </w:tcPr>
          <w:p w14:paraId="56985B8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FD715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EF0E745"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AE540C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37F2A56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C0201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F9C94C8"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504A8ED"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7D3474E8" w14:textId="77777777">
        <w:trPr>
          <w:divId w:val="245966486"/>
          <w:jc w:val="center"/>
        </w:trPr>
        <w:tc>
          <w:tcPr>
            <w:tcW w:w="3349" w:type="pct"/>
            <w:shd w:val="clear" w:color="auto" w:fill="FFFFFF"/>
            <w:tcMar>
              <w:top w:w="15" w:type="dxa"/>
              <w:left w:w="0" w:type="dxa"/>
              <w:bottom w:w="0" w:type="dxa"/>
              <w:right w:w="15" w:type="dxa"/>
            </w:tcMar>
            <w:hideMark/>
          </w:tcPr>
          <w:p w14:paraId="24F53AB2" w14:textId="77777777" w:rsidR="00000000" w:rsidRDefault="007125B5">
            <w:pPr>
              <w:pStyle w:val="a3"/>
              <w:spacing w:before="0" w:beforeAutospacing="0" w:after="0" w:afterAutospacing="0"/>
              <w:ind w:left="274"/>
              <w:rPr>
                <w:color w:val="000000"/>
                <w:sz w:val="16"/>
                <w:szCs w:val="16"/>
              </w:rPr>
            </w:pPr>
            <w:r>
              <w:rPr>
                <w:color w:val="000000"/>
                <w:sz w:val="16"/>
                <w:szCs w:val="16"/>
              </w:rPr>
              <w:t>Net Loss</w:t>
            </w:r>
          </w:p>
        </w:tc>
        <w:tc>
          <w:tcPr>
            <w:tcW w:w="81" w:type="pct"/>
            <w:shd w:val="clear" w:color="auto" w:fill="FFFFFF"/>
            <w:tcMar>
              <w:top w:w="15" w:type="dxa"/>
              <w:left w:w="0" w:type="dxa"/>
              <w:bottom w:w="0" w:type="dxa"/>
              <w:right w:w="15" w:type="dxa"/>
            </w:tcMar>
            <w:vAlign w:val="bottom"/>
            <w:hideMark/>
          </w:tcPr>
          <w:p w14:paraId="6ED975F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8F3A28"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3CB6D7A4" w14:textId="77777777" w:rsidR="00000000" w:rsidRDefault="007125B5">
            <w:pPr>
              <w:pStyle w:val="a3"/>
              <w:spacing w:before="0" w:beforeAutospacing="0" w:after="0" w:afterAutospacing="0"/>
              <w:jc w:val="right"/>
              <w:rPr>
                <w:color w:val="000000"/>
                <w:sz w:val="16"/>
                <w:szCs w:val="16"/>
              </w:rPr>
            </w:pPr>
            <w:r>
              <w:rPr>
                <w:color w:val="000000"/>
                <w:sz w:val="16"/>
                <w:szCs w:val="16"/>
              </w:rPr>
              <w:t>(28,024</w:t>
            </w:r>
          </w:p>
        </w:tc>
        <w:tc>
          <w:tcPr>
            <w:tcW w:w="50" w:type="pct"/>
            <w:shd w:val="clear" w:color="auto" w:fill="FFFFFF"/>
            <w:noWrap/>
            <w:tcMar>
              <w:top w:w="15" w:type="dxa"/>
              <w:left w:w="0" w:type="dxa"/>
              <w:bottom w:w="0" w:type="dxa"/>
              <w:right w:w="15" w:type="dxa"/>
            </w:tcMar>
            <w:vAlign w:val="bottom"/>
            <w:hideMark/>
          </w:tcPr>
          <w:p w14:paraId="4D7B7084"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13984BC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4A0B4C3"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34438D02" w14:textId="77777777" w:rsidR="00000000" w:rsidRDefault="007125B5">
            <w:pPr>
              <w:pStyle w:val="a3"/>
              <w:spacing w:before="0" w:beforeAutospacing="0" w:after="0" w:afterAutospacing="0"/>
              <w:jc w:val="right"/>
              <w:rPr>
                <w:color w:val="000000"/>
                <w:sz w:val="16"/>
                <w:szCs w:val="16"/>
              </w:rPr>
            </w:pPr>
            <w:r>
              <w:rPr>
                <w:color w:val="000000"/>
                <w:sz w:val="16"/>
                <w:szCs w:val="16"/>
              </w:rPr>
              <w:t>(5,564</w:t>
            </w:r>
          </w:p>
        </w:tc>
        <w:tc>
          <w:tcPr>
            <w:tcW w:w="50" w:type="pct"/>
            <w:shd w:val="clear" w:color="auto" w:fill="FFFFFF"/>
            <w:noWrap/>
            <w:tcMar>
              <w:top w:w="15" w:type="dxa"/>
              <w:left w:w="0" w:type="dxa"/>
              <w:bottom w:w="0" w:type="dxa"/>
              <w:right w:w="15" w:type="dxa"/>
            </w:tcMar>
            <w:vAlign w:val="bottom"/>
            <w:hideMark/>
          </w:tcPr>
          <w:p w14:paraId="1E855C59"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25C18D0B" w14:textId="77777777">
        <w:trPr>
          <w:divId w:val="245966486"/>
          <w:jc w:val="center"/>
        </w:trPr>
        <w:tc>
          <w:tcPr>
            <w:tcW w:w="3349" w:type="pct"/>
            <w:shd w:val="clear" w:color="auto" w:fill="CFF0FC"/>
            <w:tcMar>
              <w:top w:w="15" w:type="dxa"/>
              <w:left w:w="0" w:type="dxa"/>
              <w:bottom w:w="0" w:type="dxa"/>
              <w:right w:w="15" w:type="dxa"/>
            </w:tcMar>
            <w:hideMark/>
          </w:tcPr>
          <w:p w14:paraId="6075D96C" w14:textId="77777777" w:rsidR="00000000" w:rsidRDefault="007125B5">
            <w:pPr>
              <w:pStyle w:val="a3"/>
              <w:spacing w:before="0" w:beforeAutospacing="0" w:after="0" w:afterAutospacing="0"/>
              <w:ind w:left="274"/>
              <w:rPr>
                <w:color w:val="000000"/>
                <w:sz w:val="16"/>
                <w:szCs w:val="16"/>
              </w:rPr>
            </w:pPr>
            <w:r>
              <w:rPr>
                <w:color w:val="000000"/>
                <w:sz w:val="16"/>
                <w:szCs w:val="16"/>
              </w:rPr>
              <w:t>Adjustments to reconcile net loss to net cash (used in) provided by operating activities:</w:t>
            </w:r>
          </w:p>
        </w:tc>
        <w:tc>
          <w:tcPr>
            <w:tcW w:w="81" w:type="pct"/>
            <w:shd w:val="clear" w:color="auto" w:fill="CFF0FC"/>
            <w:tcMar>
              <w:top w:w="15" w:type="dxa"/>
              <w:left w:w="0" w:type="dxa"/>
              <w:bottom w:w="0" w:type="dxa"/>
              <w:right w:w="15" w:type="dxa"/>
            </w:tcMar>
            <w:vAlign w:val="bottom"/>
            <w:hideMark/>
          </w:tcPr>
          <w:p w14:paraId="2422E8D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A4C3DF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09F1810D"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0F0872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767E665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A29231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47353E7E"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0AB46A2"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752A0E3E" w14:textId="77777777">
        <w:trPr>
          <w:divId w:val="245966486"/>
          <w:jc w:val="center"/>
        </w:trPr>
        <w:tc>
          <w:tcPr>
            <w:tcW w:w="3349" w:type="pct"/>
            <w:shd w:val="clear" w:color="auto" w:fill="FFFFFF"/>
            <w:tcMar>
              <w:top w:w="15" w:type="dxa"/>
              <w:left w:w="0" w:type="dxa"/>
              <w:bottom w:w="0" w:type="dxa"/>
              <w:right w:w="15" w:type="dxa"/>
            </w:tcMar>
            <w:hideMark/>
          </w:tcPr>
          <w:p w14:paraId="0D4CB0D2" w14:textId="77777777" w:rsidR="00000000" w:rsidRDefault="007125B5">
            <w:pPr>
              <w:pStyle w:val="a3"/>
              <w:spacing w:before="0" w:beforeAutospacing="0" w:after="0" w:afterAutospacing="0"/>
              <w:ind w:left="547"/>
              <w:rPr>
                <w:color w:val="000000"/>
                <w:sz w:val="17"/>
                <w:szCs w:val="17"/>
              </w:rPr>
            </w:pPr>
            <w:r>
              <w:rPr>
                <w:color w:val="000000"/>
                <w:sz w:val="17"/>
                <w:szCs w:val="17"/>
              </w:rPr>
              <w:t>Provision for bad debt</w:t>
            </w:r>
          </w:p>
        </w:tc>
        <w:tc>
          <w:tcPr>
            <w:tcW w:w="81" w:type="pct"/>
            <w:shd w:val="clear" w:color="auto" w:fill="FFFFFF"/>
            <w:tcMar>
              <w:top w:w="15" w:type="dxa"/>
              <w:left w:w="0" w:type="dxa"/>
              <w:bottom w:w="0" w:type="dxa"/>
              <w:right w:w="15" w:type="dxa"/>
            </w:tcMar>
            <w:vAlign w:val="bottom"/>
            <w:hideMark/>
          </w:tcPr>
          <w:p w14:paraId="5228294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9C3689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08908216" w14:textId="77777777" w:rsidR="00000000" w:rsidRDefault="007125B5">
            <w:pPr>
              <w:pStyle w:val="a3"/>
              <w:spacing w:before="0" w:beforeAutospacing="0" w:after="0" w:afterAutospacing="0"/>
              <w:jc w:val="right"/>
              <w:rPr>
                <w:color w:val="000000"/>
                <w:sz w:val="16"/>
                <w:szCs w:val="16"/>
              </w:rPr>
            </w:pPr>
            <w:r>
              <w:rPr>
                <w:color w:val="000000"/>
                <w:sz w:val="16"/>
                <w:szCs w:val="16"/>
              </w:rPr>
              <w:t>6,263</w:t>
            </w:r>
          </w:p>
        </w:tc>
        <w:tc>
          <w:tcPr>
            <w:tcW w:w="50" w:type="pct"/>
            <w:shd w:val="clear" w:color="auto" w:fill="FFFFFF"/>
            <w:noWrap/>
            <w:tcMar>
              <w:top w:w="15" w:type="dxa"/>
              <w:left w:w="0" w:type="dxa"/>
              <w:bottom w:w="0" w:type="dxa"/>
              <w:right w:w="15" w:type="dxa"/>
            </w:tcMar>
            <w:vAlign w:val="bottom"/>
            <w:hideMark/>
          </w:tcPr>
          <w:p w14:paraId="2ADB4AE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39D6442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C00A49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6FB81A30" w14:textId="77777777" w:rsidR="00000000" w:rsidRDefault="007125B5">
            <w:pPr>
              <w:pStyle w:val="a3"/>
              <w:spacing w:before="0" w:beforeAutospacing="0" w:after="0" w:afterAutospacing="0"/>
              <w:jc w:val="right"/>
              <w:rPr>
                <w:color w:val="000000"/>
                <w:sz w:val="16"/>
                <w:szCs w:val="16"/>
              </w:rPr>
            </w:pPr>
            <w:r>
              <w:rPr>
                <w:color w:val="000000"/>
                <w:sz w:val="16"/>
                <w:szCs w:val="16"/>
              </w:rPr>
              <w:t>547</w:t>
            </w:r>
          </w:p>
        </w:tc>
        <w:tc>
          <w:tcPr>
            <w:tcW w:w="50" w:type="pct"/>
            <w:shd w:val="clear" w:color="auto" w:fill="FFFFFF"/>
            <w:noWrap/>
            <w:tcMar>
              <w:top w:w="15" w:type="dxa"/>
              <w:left w:w="0" w:type="dxa"/>
              <w:bottom w:w="0" w:type="dxa"/>
              <w:right w:w="15" w:type="dxa"/>
            </w:tcMar>
            <w:vAlign w:val="bottom"/>
            <w:hideMark/>
          </w:tcPr>
          <w:p w14:paraId="04D186B9"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6074919E" w14:textId="77777777">
        <w:trPr>
          <w:divId w:val="245966486"/>
          <w:jc w:val="center"/>
        </w:trPr>
        <w:tc>
          <w:tcPr>
            <w:tcW w:w="3349" w:type="pct"/>
            <w:shd w:val="clear" w:color="auto" w:fill="CFF0FC"/>
            <w:tcMar>
              <w:top w:w="15" w:type="dxa"/>
              <w:left w:w="0" w:type="dxa"/>
              <w:bottom w:w="0" w:type="dxa"/>
              <w:right w:w="15" w:type="dxa"/>
            </w:tcMar>
            <w:hideMark/>
          </w:tcPr>
          <w:p w14:paraId="697152B6" w14:textId="77777777" w:rsidR="00000000" w:rsidRDefault="007125B5">
            <w:pPr>
              <w:pStyle w:val="a3"/>
              <w:spacing w:before="0" w:beforeAutospacing="0" w:after="0" w:afterAutospacing="0"/>
              <w:ind w:left="547"/>
              <w:rPr>
                <w:color w:val="000000"/>
                <w:sz w:val="16"/>
                <w:szCs w:val="16"/>
              </w:rPr>
            </w:pPr>
            <w:r>
              <w:rPr>
                <w:color w:val="000000"/>
                <w:sz w:val="16"/>
                <w:szCs w:val="16"/>
              </w:rPr>
              <w:t>Depreciation and amortization</w:t>
            </w:r>
          </w:p>
        </w:tc>
        <w:tc>
          <w:tcPr>
            <w:tcW w:w="81" w:type="pct"/>
            <w:shd w:val="clear" w:color="auto" w:fill="CFF0FC"/>
            <w:tcMar>
              <w:top w:w="15" w:type="dxa"/>
              <w:left w:w="0" w:type="dxa"/>
              <w:bottom w:w="0" w:type="dxa"/>
              <w:right w:w="15" w:type="dxa"/>
            </w:tcMar>
            <w:vAlign w:val="bottom"/>
            <w:hideMark/>
          </w:tcPr>
          <w:p w14:paraId="3B7F096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399775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0184D952" w14:textId="77777777" w:rsidR="00000000" w:rsidRDefault="007125B5">
            <w:pPr>
              <w:pStyle w:val="a3"/>
              <w:spacing w:before="0" w:beforeAutospacing="0" w:after="0" w:afterAutospacing="0"/>
              <w:jc w:val="right"/>
              <w:rPr>
                <w:color w:val="000000"/>
                <w:sz w:val="16"/>
                <w:szCs w:val="16"/>
              </w:rPr>
            </w:pPr>
            <w:r>
              <w:rPr>
                <w:color w:val="000000"/>
                <w:sz w:val="16"/>
                <w:szCs w:val="16"/>
              </w:rPr>
              <w:t>17,344</w:t>
            </w:r>
          </w:p>
        </w:tc>
        <w:tc>
          <w:tcPr>
            <w:tcW w:w="50" w:type="pct"/>
            <w:shd w:val="clear" w:color="auto" w:fill="CFF0FC"/>
            <w:noWrap/>
            <w:tcMar>
              <w:top w:w="15" w:type="dxa"/>
              <w:left w:w="0" w:type="dxa"/>
              <w:bottom w:w="0" w:type="dxa"/>
              <w:right w:w="15" w:type="dxa"/>
            </w:tcMar>
            <w:vAlign w:val="bottom"/>
            <w:hideMark/>
          </w:tcPr>
          <w:p w14:paraId="6091CA8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541439B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6F648F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515AFE41" w14:textId="77777777" w:rsidR="00000000" w:rsidRDefault="007125B5">
            <w:pPr>
              <w:pStyle w:val="a3"/>
              <w:spacing w:before="0" w:beforeAutospacing="0" w:after="0" w:afterAutospacing="0"/>
              <w:jc w:val="right"/>
              <w:rPr>
                <w:color w:val="000000"/>
                <w:sz w:val="16"/>
                <w:szCs w:val="16"/>
              </w:rPr>
            </w:pPr>
            <w:r>
              <w:rPr>
                <w:color w:val="000000"/>
                <w:sz w:val="16"/>
                <w:szCs w:val="16"/>
              </w:rPr>
              <w:t>12,850</w:t>
            </w:r>
          </w:p>
        </w:tc>
        <w:tc>
          <w:tcPr>
            <w:tcW w:w="50" w:type="pct"/>
            <w:shd w:val="clear" w:color="auto" w:fill="CFF0FC"/>
            <w:noWrap/>
            <w:tcMar>
              <w:top w:w="15" w:type="dxa"/>
              <w:left w:w="0" w:type="dxa"/>
              <w:bottom w:w="0" w:type="dxa"/>
              <w:right w:w="15" w:type="dxa"/>
            </w:tcMar>
            <w:vAlign w:val="bottom"/>
            <w:hideMark/>
          </w:tcPr>
          <w:p w14:paraId="2AD8F67B"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D4622EE" w14:textId="77777777">
        <w:trPr>
          <w:divId w:val="245966486"/>
          <w:jc w:val="center"/>
        </w:trPr>
        <w:tc>
          <w:tcPr>
            <w:tcW w:w="3349" w:type="pct"/>
            <w:shd w:val="clear" w:color="auto" w:fill="FFFFFF"/>
            <w:tcMar>
              <w:top w:w="15" w:type="dxa"/>
              <w:left w:w="0" w:type="dxa"/>
              <w:bottom w:w="0" w:type="dxa"/>
              <w:right w:w="15" w:type="dxa"/>
            </w:tcMar>
            <w:hideMark/>
          </w:tcPr>
          <w:p w14:paraId="7303386E" w14:textId="77777777" w:rsidR="00000000" w:rsidRDefault="007125B5">
            <w:pPr>
              <w:pStyle w:val="a3"/>
              <w:spacing w:before="0" w:beforeAutospacing="0" w:after="0" w:afterAutospacing="0"/>
              <w:ind w:left="547"/>
              <w:rPr>
                <w:color w:val="000000"/>
                <w:sz w:val="16"/>
                <w:szCs w:val="16"/>
              </w:rPr>
            </w:pPr>
            <w:r>
              <w:rPr>
                <w:color w:val="000000"/>
                <w:sz w:val="16"/>
                <w:szCs w:val="16"/>
              </w:rPr>
              <w:t>Stock-based compensation expense</w:t>
            </w:r>
          </w:p>
        </w:tc>
        <w:tc>
          <w:tcPr>
            <w:tcW w:w="81" w:type="pct"/>
            <w:shd w:val="clear" w:color="auto" w:fill="FFFFFF"/>
            <w:tcMar>
              <w:top w:w="15" w:type="dxa"/>
              <w:left w:w="0" w:type="dxa"/>
              <w:bottom w:w="0" w:type="dxa"/>
              <w:right w:w="15" w:type="dxa"/>
            </w:tcMar>
            <w:vAlign w:val="bottom"/>
            <w:hideMark/>
          </w:tcPr>
          <w:p w14:paraId="5D98D29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AD3C3C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90B33E3" w14:textId="77777777" w:rsidR="00000000" w:rsidRDefault="007125B5">
            <w:pPr>
              <w:pStyle w:val="a3"/>
              <w:spacing w:before="0" w:beforeAutospacing="0" w:after="0" w:afterAutospacing="0"/>
              <w:jc w:val="right"/>
              <w:rPr>
                <w:color w:val="000000"/>
                <w:sz w:val="16"/>
                <w:szCs w:val="16"/>
              </w:rPr>
            </w:pPr>
            <w:r>
              <w:rPr>
                <w:color w:val="000000"/>
                <w:sz w:val="16"/>
                <w:szCs w:val="16"/>
              </w:rPr>
              <w:t>2,290</w:t>
            </w:r>
          </w:p>
        </w:tc>
        <w:tc>
          <w:tcPr>
            <w:tcW w:w="50" w:type="pct"/>
            <w:shd w:val="clear" w:color="auto" w:fill="FFFFFF"/>
            <w:noWrap/>
            <w:tcMar>
              <w:top w:w="15" w:type="dxa"/>
              <w:left w:w="0" w:type="dxa"/>
              <w:bottom w:w="0" w:type="dxa"/>
              <w:right w:w="15" w:type="dxa"/>
            </w:tcMar>
            <w:vAlign w:val="bottom"/>
            <w:hideMark/>
          </w:tcPr>
          <w:p w14:paraId="7DD26FF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0D1D60A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11699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260CA2EB" w14:textId="77777777" w:rsidR="00000000" w:rsidRDefault="007125B5">
            <w:pPr>
              <w:pStyle w:val="a3"/>
              <w:spacing w:before="0" w:beforeAutospacing="0" w:after="0" w:afterAutospacing="0"/>
              <w:jc w:val="right"/>
              <w:rPr>
                <w:color w:val="000000"/>
                <w:sz w:val="16"/>
                <w:szCs w:val="16"/>
              </w:rPr>
            </w:pPr>
            <w:r>
              <w:rPr>
                <w:color w:val="000000"/>
                <w:sz w:val="16"/>
                <w:szCs w:val="16"/>
              </w:rPr>
              <w:t>2,522</w:t>
            </w:r>
          </w:p>
        </w:tc>
        <w:tc>
          <w:tcPr>
            <w:tcW w:w="50" w:type="pct"/>
            <w:shd w:val="clear" w:color="auto" w:fill="FFFFFF"/>
            <w:noWrap/>
            <w:tcMar>
              <w:top w:w="15" w:type="dxa"/>
              <w:left w:w="0" w:type="dxa"/>
              <w:bottom w:w="0" w:type="dxa"/>
              <w:right w:w="15" w:type="dxa"/>
            </w:tcMar>
            <w:vAlign w:val="bottom"/>
            <w:hideMark/>
          </w:tcPr>
          <w:p w14:paraId="4DD2DBC6"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318DEA5" w14:textId="77777777">
        <w:trPr>
          <w:divId w:val="245966486"/>
          <w:jc w:val="center"/>
        </w:trPr>
        <w:tc>
          <w:tcPr>
            <w:tcW w:w="3349" w:type="pct"/>
            <w:shd w:val="clear" w:color="auto" w:fill="CFF0FC"/>
            <w:tcMar>
              <w:top w:w="15" w:type="dxa"/>
              <w:left w:w="0" w:type="dxa"/>
              <w:bottom w:w="0" w:type="dxa"/>
              <w:right w:w="15" w:type="dxa"/>
            </w:tcMar>
            <w:hideMark/>
          </w:tcPr>
          <w:p w14:paraId="76B6E2CB" w14:textId="77777777" w:rsidR="00000000" w:rsidRDefault="007125B5">
            <w:pPr>
              <w:pStyle w:val="a3"/>
              <w:spacing w:before="0" w:beforeAutospacing="0" w:after="0" w:afterAutospacing="0"/>
              <w:ind w:left="547"/>
              <w:rPr>
                <w:color w:val="000000"/>
                <w:sz w:val="16"/>
                <w:szCs w:val="16"/>
              </w:rPr>
            </w:pPr>
            <w:r>
              <w:rPr>
                <w:color w:val="000000"/>
                <w:sz w:val="16"/>
                <w:szCs w:val="16"/>
              </w:rPr>
              <w:t>Fair value changes in the contingent put option</w:t>
            </w:r>
          </w:p>
        </w:tc>
        <w:tc>
          <w:tcPr>
            <w:tcW w:w="81" w:type="pct"/>
            <w:shd w:val="clear" w:color="auto" w:fill="CFF0FC"/>
            <w:tcMar>
              <w:top w:w="15" w:type="dxa"/>
              <w:left w:w="0" w:type="dxa"/>
              <w:bottom w:w="0" w:type="dxa"/>
              <w:right w:w="15" w:type="dxa"/>
            </w:tcMar>
            <w:vAlign w:val="bottom"/>
            <w:hideMark/>
          </w:tcPr>
          <w:p w14:paraId="612779E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27BC1E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20CB4703" w14:textId="77777777" w:rsidR="00000000" w:rsidRDefault="007125B5">
            <w:pPr>
              <w:pStyle w:val="a3"/>
              <w:spacing w:before="0" w:beforeAutospacing="0" w:after="0" w:afterAutospacing="0"/>
              <w:jc w:val="right"/>
              <w:rPr>
                <w:color w:val="000000"/>
                <w:sz w:val="16"/>
                <w:szCs w:val="16"/>
              </w:rPr>
            </w:pPr>
            <w:r>
              <w:rPr>
                <w:color w:val="000000"/>
                <w:sz w:val="16"/>
                <w:szCs w:val="16"/>
              </w:rPr>
              <w:t>7,025</w:t>
            </w:r>
          </w:p>
        </w:tc>
        <w:tc>
          <w:tcPr>
            <w:tcW w:w="50" w:type="pct"/>
            <w:shd w:val="clear" w:color="auto" w:fill="CFF0FC"/>
            <w:noWrap/>
            <w:tcMar>
              <w:top w:w="15" w:type="dxa"/>
              <w:left w:w="0" w:type="dxa"/>
              <w:bottom w:w="0" w:type="dxa"/>
              <w:right w:w="15" w:type="dxa"/>
            </w:tcMar>
            <w:vAlign w:val="bottom"/>
            <w:hideMark/>
          </w:tcPr>
          <w:p w14:paraId="3170147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33CE9D1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86D05C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298339EC"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A51E708"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4B41BC32" w14:textId="77777777">
        <w:trPr>
          <w:divId w:val="245966486"/>
          <w:jc w:val="center"/>
        </w:trPr>
        <w:tc>
          <w:tcPr>
            <w:tcW w:w="3349" w:type="pct"/>
            <w:shd w:val="clear" w:color="auto" w:fill="FFFFFF"/>
            <w:tcMar>
              <w:top w:w="15" w:type="dxa"/>
              <w:left w:w="0" w:type="dxa"/>
              <w:bottom w:w="0" w:type="dxa"/>
              <w:right w:w="15" w:type="dxa"/>
            </w:tcMar>
            <w:hideMark/>
          </w:tcPr>
          <w:p w14:paraId="0C223763" w14:textId="77777777" w:rsidR="00000000" w:rsidRDefault="007125B5">
            <w:pPr>
              <w:pStyle w:val="a3"/>
              <w:spacing w:before="0" w:beforeAutospacing="0" w:after="0" w:afterAutospacing="0"/>
              <w:ind w:left="547"/>
              <w:rPr>
                <w:color w:val="000000"/>
                <w:sz w:val="16"/>
                <w:szCs w:val="16"/>
              </w:rPr>
            </w:pPr>
            <w:r>
              <w:rPr>
                <w:color w:val="000000"/>
                <w:sz w:val="16"/>
                <w:szCs w:val="16"/>
              </w:rPr>
              <w:t>Fair value changes in the compound embedded option</w:t>
            </w:r>
          </w:p>
        </w:tc>
        <w:tc>
          <w:tcPr>
            <w:tcW w:w="81" w:type="pct"/>
            <w:shd w:val="clear" w:color="auto" w:fill="FFFFFF"/>
            <w:tcMar>
              <w:top w:w="15" w:type="dxa"/>
              <w:left w:w="0" w:type="dxa"/>
              <w:bottom w:w="0" w:type="dxa"/>
              <w:right w:w="15" w:type="dxa"/>
            </w:tcMar>
            <w:vAlign w:val="bottom"/>
            <w:hideMark/>
          </w:tcPr>
          <w:p w14:paraId="17B3837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CC7566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664A9604" w14:textId="77777777" w:rsidR="00000000" w:rsidRDefault="007125B5">
            <w:pPr>
              <w:pStyle w:val="a3"/>
              <w:spacing w:before="0" w:beforeAutospacing="0" w:after="0" w:afterAutospacing="0"/>
              <w:jc w:val="right"/>
              <w:rPr>
                <w:color w:val="000000"/>
                <w:sz w:val="16"/>
                <w:szCs w:val="16"/>
              </w:rPr>
            </w:pPr>
            <w:r>
              <w:rPr>
                <w:color w:val="000000"/>
                <w:sz w:val="16"/>
                <w:szCs w:val="16"/>
              </w:rPr>
              <w:t>756</w:t>
            </w:r>
          </w:p>
        </w:tc>
        <w:tc>
          <w:tcPr>
            <w:tcW w:w="50" w:type="pct"/>
            <w:shd w:val="clear" w:color="auto" w:fill="FFFFFF"/>
            <w:noWrap/>
            <w:tcMar>
              <w:top w:w="15" w:type="dxa"/>
              <w:left w:w="0" w:type="dxa"/>
              <w:bottom w:w="0" w:type="dxa"/>
              <w:right w:w="15" w:type="dxa"/>
            </w:tcMar>
            <w:vAlign w:val="bottom"/>
            <w:hideMark/>
          </w:tcPr>
          <w:p w14:paraId="566A072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3CA1F62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C6D27D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729E0545"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33D21AD"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0341C52" w14:textId="77777777">
        <w:trPr>
          <w:divId w:val="245966486"/>
          <w:jc w:val="center"/>
        </w:trPr>
        <w:tc>
          <w:tcPr>
            <w:tcW w:w="3349" w:type="pct"/>
            <w:shd w:val="clear" w:color="auto" w:fill="CFF0FC"/>
            <w:tcMar>
              <w:top w:w="15" w:type="dxa"/>
              <w:left w:w="0" w:type="dxa"/>
              <w:bottom w:w="0" w:type="dxa"/>
              <w:right w:w="15" w:type="dxa"/>
            </w:tcMar>
            <w:hideMark/>
          </w:tcPr>
          <w:p w14:paraId="33DD958B" w14:textId="77777777" w:rsidR="00000000" w:rsidRDefault="007125B5">
            <w:pPr>
              <w:pStyle w:val="a3"/>
              <w:spacing w:before="0" w:beforeAutospacing="0" w:after="0" w:afterAutospacing="0"/>
              <w:ind w:left="547"/>
              <w:rPr>
                <w:color w:val="000000"/>
                <w:sz w:val="16"/>
                <w:szCs w:val="16"/>
              </w:rPr>
            </w:pPr>
            <w:r>
              <w:rPr>
                <w:color w:val="000000"/>
                <w:sz w:val="16"/>
                <w:szCs w:val="16"/>
              </w:rPr>
              <w:t>Fair value changes in the contingent liabilities</w:t>
            </w:r>
          </w:p>
        </w:tc>
        <w:tc>
          <w:tcPr>
            <w:tcW w:w="81" w:type="pct"/>
            <w:shd w:val="clear" w:color="auto" w:fill="CFF0FC"/>
            <w:tcMar>
              <w:top w:w="15" w:type="dxa"/>
              <w:left w:w="0" w:type="dxa"/>
              <w:bottom w:w="0" w:type="dxa"/>
              <w:right w:w="15" w:type="dxa"/>
            </w:tcMar>
            <w:vAlign w:val="bottom"/>
            <w:hideMark/>
          </w:tcPr>
          <w:p w14:paraId="56BEC4F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F9839C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3DECC07C" w14:textId="77777777" w:rsidR="00000000" w:rsidRDefault="007125B5">
            <w:pPr>
              <w:pStyle w:val="a3"/>
              <w:spacing w:before="0" w:beforeAutospacing="0" w:after="0" w:afterAutospacing="0"/>
              <w:jc w:val="right"/>
              <w:rPr>
                <w:color w:val="000000"/>
                <w:sz w:val="16"/>
                <w:szCs w:val="16"/>
              </w:rPr>
            </w:pPr>
            <w:r>
              <w:rPr>
                <w:color w:val="000000"/>
                <w:sz w:val="16"/>
                <w:szCs w:val="16"/>
              </w:rPr>
              <w:t>3,983</w:t>
            </w:r>
          </w:p>
        </w:tc>
        <w:tc>
          <w:tcPr>
            <w:tcW w:w="50" w:type="pct"/>
            <w:shd w:val="clear" w:color="auto" w:fill="CFF0FC"/>
            <w:noWrap/>
            <w:tcMar>
              <w:top w:w="15" w:type="dxa"/>
              <w:left w:w="0" w:type="dxa"/>
              <w:bottom w:w="0" w:type="dxa"/>
              <w:right w:w="15" w:type="dxa"/>
            </w:tcMar>
            <w:vAlign w:val="bottom"/>
            <w:hideMark/>
          </w:tcPr>
          <w:p w14:paraId="3EA13C6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4A95F4D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5DF686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16B5E289" w14:textId="77777777" w:rsidR="00000000" w:rsidRDefault="007125B5">
            <w:pPr>
              <w:pStyle w:val="a3"/>
              <w:spacing w:before="0" w:beforeAutospacing="0" w:after="0" w:afterAutospacing="0"/>
              <w:jc w:val="right"/>
              <w:rPr>
                <w:color w:val="000000"/>
                <w:sz w:val="16"/>
                <w:szCs w:val="16"/>
              </w:rPr>
            </w:pPr>
            <w:r>
              <w:rPr>
                <w:color w:val="000000"/>
                <w:sz w:val="16"/>
                <w:szCs w:val="16"/>
              </w:rPr>
              <w:t>(926</w:t>
            </w:r>
          </w:p>
        </w:tc>
        <w:tc>
          <w:tcPr>
            <w:tcW w:w="50" w:type="pct"/>
            <w:shd w:val="clear" w:color="auto" w:fill="CFF0FC"/>
            <w:noWrap/>
            <w:tcMar>
              <w:top w:w="15" w:type="dxa"/>
              <w:left w:w="0" w:type="dxa"/>
              <w:bottom w:w="0" w:type="dxa"/>
              <w:right w:w="15" w:type="dxa"/>
            </w:tcMar>
            <w:vAlign w:val="bottom"/>
            <w:hideMark/>
          </w:tcPr>
          <w:p w14:paraId="5AC05971"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0E8CAC3A" w14:textId="77777777">
        <w:trPr>
          <w:divId w:val="245966486"/>
          <w:jc w:val="center"/>
        </w:trPr>
        <w:tc>
          <w:tcPr>
            <w:tcW w:w="3349" w:type="pct"/>
            <w:shd w:val="clear" w:color="auto" w:fill="FFFFFF"/>
            <w:tcMar>
              <w:top w:w="15" w:type="dxa"/>
              <w:left w:w="0" w:type="dxa"/>
              <w:bottom w:w="0" w:type="dxa"/>
              <w:right w:w="15" w:type="dxa"/>
            </w:tcMar>
            <w:hideMark/>
          </w:tcPr>
          <w:p w14:paraId="0A2F2838" w14:textId="77777777" w:rsidR="00000000" w:rsidRDefault="007125B5">
            <w:pPr>
              <w:pStyle w:val="a3"/>
              <w:spacing w:before="0" w:beforeAutospacing="0" w:after="0" w:afterAutospacing="0"/>
              <w:ind w:left="547"/>
              <w:rPr>
                <w:color w:val="000000"/>
                <w:sz w:val="16"/>
                <w:szCs w:val="16"/>
              </w:rPr>
            </w:pPr>
            <w:r>
              <w:rPr>
                <w:color w:val="000000"/>
                <w:sz w:val="16"/>
                <w:szCs w:val="16"/>
              </w:rPr>
              <w:t>Deferred income taxes</w:t>
            </w:r>
          </w:p>
        </w:tc>
        <w:tc>
          <w:tcPr>
            <w:tcW w:w="81" w:type="pct"/>
            <w:shd w:val="clear" w:color="auto" w:fill="FFFFFF"/>
            <w:tcMar>
              <w:top w:w="15" w:type="dxa"/>
              <w:left w:w="0" w:type="dxa"/>
              <w:bottom w:w="0" w:type="dxa"/>
              <w:right w:w="15" w:type="dxa"/>
            </w:tcMar>
            <w:vAlign w:val="bottom"/>
            <w:hideMark/>
          </w:tcPr>
          <w:p w14:paraId="4E26A92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C355CC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6635C716" w14:textId="77777777" w:rsidR="00000000" w:rsidRDefault="007125B5">
            <w:pPr>
              <w:pStyle w:val="a3"/>
              <w:spacing w:before="0" w:beforeAutospacing="0" w:after="0" w:afterAutospacing="0"/>
              <w:jc w:val="right"/>
              <w:rPr>
                <w:color w:val="000000"/>
                <w:sz w:val="16"/>
                <w:szCs w:val="16"/>
              </w:rPr>
            </w:pPr>
            <w:r>
              <w:rPr>
                <w:color w:val="000000"/>
                <w:sz w:val="16"/>
                <w:szCs w:val="16"/>
              </w:rPr>
              <w:t>(4,911</w:t>
            </w:r>
          </w:p>
        </w:tc>
        <w:tc>
          <w:tcPr>
            <w:tcW w:w="50" w:type="pct"/>
            <w:shd w:val="clear" w:color="auto" w:fill="FFFFFF"/>
            <w:noWrap/>
            <w:tcMar>
              <w:top w:w="15" w:type="dxa"/>
              <w:left w:w="0" w:type="dxa"/>
              <w:bottom w:w="0" w:type="dxa"/>
              <w:right w:w="15" w:type="dxa"/>
            </w:tcMar>
            <w:vAlign w:val="bottom"/>
            <w:hideMark/>
          </w:tcPr>
          <w:p w14:paraId="3823940C"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47F3704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26CDB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28AF1710" w14:textId="77777777" w:rsidR="00000000" w:rsidRDefault="007125B5">
            <w:pPr>
              <w:pStyle w:val="a3"/>
              <w:spacing w:before="0" w:beforeAutospacing="0" w:after="0" w:afterAutospacing="0"/>
              <w:jc w:val="right"/>
              <w:rPr>
                <w:color w:val="000000"/>
                <w:sz w:val="16"/>
                <w:szCs w:val="16"/>
              </w:rPr>
            </w:pPr>
            <w:r>
              <w:rPr>
                <w:color w:val="000000"/>
                <w:sz w:val="16"/>
                <w:szCs w:val="16"/>
              </w:rPr>
              <w:t>(896</w:t>
            </w:r>
          </w:p>
        </w:tc>
        <w:tc>
          <w:tcPr>
            <w:tcW w:w="50" w:type="pct"/>
            <w:shd w:val="clear" w:color="auto" w:fill="FFFFFF"/>
            <w:noWrap/>
            <w:tcMar>
              <w:top w:w="15" w:type="dxa"/>
              <w:left w:w="0" w:type="dxa"/>
              <w:bottom w:w="0" w:type="dxa"/>
              <w:right w:w="15" w:type="dxa"/>
            </w:tcMar>
            <w:vAlign w:val="bottom"/>
            <w:hideMark/>
          </w:tcPr>
          <w:p w14:paraId="60148705"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27A06971" w14:textId="77777777">
        <w:trPr>
          <w:divId w:val="245966486"/>
          <w:jc w:val="center"/>
        </w:trPr>
        <w:tc>
          <w:tcPr>
            <w:tcW w:w="3349" w:type="pct"/>
            <w:shd w:val="clear" w:color="auto" w:fill="CFF0FC"/>
            <w:tcMar>
              <w:top w:w="15" w:type="dxa"/>
              <w:left w:w="0" w:type="dxa"/>
              <w:bottom w:w="0" w:type="dxa"/>
              <w:right w:w="15" w:type="dxa"/>
            </w:tcMar>
            <w:hideMark/>
          </w:tcPr>
          <w:p w14:paraId="45B7E5A4" w14:textId="77777777" w:rsidR="00000000" w:rsidRDefault="007125B5">
            <w:pPr>
              <w:pStyle w:val="a3"/>
              <w:spacing w:before="0" w:beforeAutospacing="0" w:after="0" w:afterAutospacing="0"/>
              <w:ind w:left="547"/>
              <w:rPr>
                <w:color w:val="000000"/>
                <w:sz w:val="16"/>
                <w:szCs w:val="16"/>
              </w:rPr>
            </w:pPr>
            <w:r>
              <w:rPr>
                <w:color w:val="000000"/>
                <w:sz w:val="16"/>
                <w:szCs w:val="16"/>
              </w:rPr>
              <w:t>Cloud computing costs</w:t>
            </w:r>
          </w:p>
        </w:tc>
        <w:tc>
          <w:tcPr>
            <w:tcW w:w="81" w:type="pct"/>
            <w:shd w:val="clear" w:color="auto" w:fill="CFF0FC"/>
            <w:tcMar>
              <w:top w:w="15" w:type="dxa"/>
              <w:left w:w="0" w:type="dxa"/>
              <w:bottom w:w="0" w:type="dxa"/>
              <w:right w:w="15" w:type="dxa"/>
            </w:tcMar>
            <w:vAlign w:val="bottom"/>
            <w:hideMark/>
          </w:tcPr>
          <w:p w14:paraId="3AF1A3B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323575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5DDB4C1F" w14:textId="77777777" w:rsidR="00000000" w:rsidRDefault="007125B5">
            <w:pPr>
              <w:pStyle w:val="a3"/>
              <w:spacing w:before="0" w:beforeAutospacing="0" w:after="0" w:afterAutospacing="0"/>
              <w:jc w:val="right"/>
              <w:rPr>
                <w:color w:val="000000"/>
                <w:sz w:val="16"/>
                <w:szCs w:val="16"/>
              </w:rPr>
            </w:pPr>
            <w:r>
              <w:rPr>
                <w:color w:val="000000"/>
                <w:sz w:val="16"/>
                <w:szCs w:val="16"/>
              </w:rPr>
              <w:t>(1,346</w:t>
            </w:r>
          </w:p>
        </w:tc>
        <w:tc>
          <w:tcPr>
            <w:tcW w:w="50" w:type="pct"/>
            <w:shd w:val="clear" w:color="auto" w:fill="CFF0FC"/>
            <w:noWrap/>
            <w:tcMar>
              <w:top w:w="15" w:type="dxa"/>
              <w:left w:w="0" w:type="dxa"/>
              <w:bottom w:w="0" w:type="dxa"/>
              <w:right w:w="15" w:type="dxa"/>
            </w:tcMar>
            <w:vAlign w:val="bottom"/>
            <w:hideMark/>
          </w:tcPr>
          <w:p w14:paraId="41042A16"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57CF6C4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B78C06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727ABBA9" w14:textId="77777777" w:rsidR="00000000" w:rsidRDefault="007125B5">
            <w:pPr>
              <w:pStyle w:val="a3"/>
              <w:spacing w:before="0" w:beforeAutospacing="0" w:after="0" w:afterAutospacing="0"/>
              <w:jc w:val="right"/>
              <w:rPr>
                <w:color w:val="000000"/>
                <w:sz w:val="16"/>
                <w:szCs w:val="16"/>
              </w:rPr>
            </w:pPr>
            <w:r>
              <w:rPr>
                <w:color w:val="000000"/>
                <w:sz w:val="16"/>
                <w:szCs w:val="16"/>
              </w:rPr>
              <w:t>(96</w:t>
            </w:r>
          </w:p>
        </w:tc>
        <w:tc>
          <w:tcPr>
            <w:tcW w:w="50" w:type="pct"/>
            <w:shd w:val="clear" w:color="auto" w:fill="CFF0FC"/>
            <w:noWrap/>
            <w:tcMar>
              <w:top w:w="15" w:type="dxa"/>
              <w:left w:w="0" w:type="dxa"/>
              <w:bottom w:w="0" w:type="dxa"/>
              <w:right w:w="15" w:type="dxa"/>
            </w:tcMar>
            <w:vAlign w:val="bottom"/>
            <w:hideMark/>
          </w:tcPr>
          <w:p w14:paraId="697E26B9"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719169E1" w14:textId="77777777">
        <w:trPr>
          <w:divId w:val="245966486"/>
          <w:jc w:val="center"/>
        </w:trPr>
        <w:tc>
          <w:tcPr>
            <w:tcW w:w="3349" w:type="pct"/>
            <w:shd w:val="clear" w:color="auto" w:fill="FFFFFF"/>
            <w:tcMar>
              <w:top w:w="15" w:type="dxa"/>
              <w:left w:w="0" w:type="dxa"/>
              <w:bottom w:w="0" w:type="dxa"/>
              <w:right w:w="15" w:type="dxa"/>
            </w:tcMar>
            <w:hideMark/>
          </w:tcPr>
          <w:p w14:paraId="4FF9CC8C" w14:textId="77777777" w:rsidR="00000000" w:rsidRDefault="007125B5">
            <w:pPr>
              <w:pStyle w:val="a3"/>
              <w:spacing w:before="0" w:beforeAutospacing="0" w:after="0" w:afterAutospacing="0"/>
              <w:ind w:left="547"/>
              <w:rPr>
                <w:color w:val="000000"/>
                <w:sz w:val="16"/>
                <w:szCs w:val="16"/>
              </w:rPr>
            </w:pPr>
            <w:r>
              <w:rPr>
                <w:color w:val="000000"/>
                <w:sz w:val="16"/>
                <w:szCs w:val="16"/>
              </w:rPr>
              <w:t>Other</w:t>
            </w:r>
          </w:p>
        </w:tc>
        <w:tc>
          <w:tcPr>
            <w:tcW w:w="81" w:type="pct"/>
            <w:shd w:val="clear" w:color="auto" w:fill="FFFFFF"/>
            <w:tcMar>
              <w:top w:w="15" w:type="dxa"/>
              <w:left w:w="0" w:type="dxa"/>
              <w:bottom w:w="0" w:type="dxa"/>
              <w:right w:w="15" w:type="dxa"/>
            </w:tcMar>
            <w:vAlign w:val="bottom"/>
            <w:hideMark/>
          </w:tcPr>
          <w:p w14:paraId="3D28EF0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667978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2F2D96D3" w14:textId="77777777" w:rsidR="00000000" w:rsidRDefault="007125B5">
            <w:pPr>
              <w:pStyle w:val="a3"/>
              <w:spacing w:before="0" w:beforeAutospacing="0" w:after="0" w:afterAutospacing="0"/>
              <w:jc w:val="right"/>
              <w:rPr>
                <w:color w:val="000000"/>
                <w:sz w:val="16"/>
                <w:szCs w:val="16"/>
              </w:rPr>
            </w:pPr>
            <w:r>
              <w:rPr>
                <w:color w:val="000000"/>
                <w:sz w:val="16"/>
                <w:szCs w:val="16"/>
              </w:rPr>
              <w:t>983</w:t>
            </w:r>
          </w:p>
        </w:tc>
        <w:tc>
          <w:tcPr>
            <w:tcW w:w="50" w:type="pct"/>
            <w:shd w:val="clear" w:color="auto" w:fill="FFFFFF"/>
            <w:noWrap/>
            <w:tcMar>
              <w:top w:w="15" w:type="dxa"/>
              <w:left w:w="0" w:type="dxa"/>
              <w:bottom w:w="0" w:type="dxa"/>
              <w:right w:w="15" w:type="dxa"/>
            </w:tcMar>
            <w:vAlign w:val="bottom"/>
            <w:hideMark/>
          </w:tcPr>
          <w:p w14:paraId="02FFE2A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2DA653B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0E67EC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059A8D56" w14:textId="77777777" w:rsidR="00000000" w:rsidRDefault="007125B5">
            <w:pPr>
              <w:pStyle w:val="a3"/>
              <w:spacing w:before="0" w:beforeAutospacing="0" w:after="0" w:afterAutospacing="0"/>
              <w:jc w:val="right"/>
              <w:rPr>
                <w:color w:val="000000"/>
                <w:sz w:val="16"/>
                <w:szCs w:val="16"/>
              </w:rPr>
            </w:pPr>
            <w:r>
              <w:rPr>
                <w:color w:val="000000"/>
                <w:sz w:val="16"/>
                <w:szCs w:val="16"/>
              </w:rPr>
              <w:t>1,506</w:t>
            </w:r>
          </w:p>
        </w:tc>
        <w:tc>
          <w:tcPr>
            <w:tcW w:w="50" w:type="pct"/>
            <w:shd w:val="clear" w:color="auto" w:fill="FFFFFF"/>
            <w:noWrap/>
            <w:tcMar>
              <w:top w:w="15" w:type="dxa"/>
              <w:left w:w="0" w:type="dxa"/>
              <w:bottom w:w="0" w:type="dxa"/>
              <w:right w:w="15" w:type="dxa"/>
            </w:tcMar>
            <w:vAlign w:val="bottom"/>
            <w:hideMark/>
          </w:tcPr>
          <w:p w14:paraId="152CC515"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33D9F89D" w14:textId="77777777">
        <w:trPr>
          <w:divId w:val="245966486"/>
          <w:jc w:val="center"/>
        </w:trPr>
        <w:tc>
          <w:tcPr>
            <w:tcW w:w="3349" w:type="pct"/>
            <w:shd w:val="clear" w:color="auto" w:fill="CFF0FC"/>
            <w:tcMar>
              <w:top w:w="15" w:type="dxa"/>
              <w:left w:w="0" w:type="dxa"/>
              <w:bottom w:w="0" w:type="dxa"/>
              <w:right w:w="15" w:type="dxa"/>
            </w:tcMar>
            <w:hideMark/>
          </w:tcPr>
          <w:p w14:paraId="7297BFDE" w14:textId="77777777" w:rsidR="00000000" w:rsidRDefault="007125B5">
            <w:pPr>
              <w:pStyle w:val="a3"/>
              <w:spacing w:before="0" w:beforeAutospacing="0" w:after="0" w:afterAutospacing="0"/>
              <w:ind w:left="547"/>
              <w:rPr>
                <w:color w:val="000000"/>
                <w:sz w:val="16"/>
                <w:szCs w:val="16"/>
              </w:rPr>
            </w:pPr>
            <w:r>
              <w:rPr>
                <w:color w:val="000000"/>
                <w:sz w:val="16"/>
                <w:szCs w:val="16"/>
              </w:rPr>
              <w:t>Changes in operating assets and liabilities—net of acquisitions:</w:t>
            </w:r>
          </w:p>
        </w:tc>
        <w:tc>
          <w:tcPr>
            <w:tcW w:w="81" w:type="pct"/>
            <w:shd w:val="clear" w:color="auto" w:fill="CFF0FC"/>
            <w:tcMar>
              <w:top w:w="15" w:type="dxa"/>
              <w:left w:w="0" w:type="dxa"/>
              <w:bottom w:w="0" w:type="dxa"/>
              <w:right w:w="15" w:type="dxa"/>
            </w:tcMar>
            <w:vAlign w:val="bottom"/>
            <w:hideMark/>
          </w:tcPr>
          <w:p w14:paraId="42A88D7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748557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0D038F66"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CA0F56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25F23BF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8F44A2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2ECC9913"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A193382"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4A359328" w14:textId="77777777">
        <w:trPr>
          <w:divId w:val="245966486"/>
          <w:jc w:val="center"/>
        </w:trPr>
        <w:tc>
          <w:tcPr>
            <w:tcW w:w="3349" w:type="pct"/>
            <w:shd w:val="clear" w:color="auto" w:fill="FFFFFF"/>
            <w:tcMar>
              <w:top w:w="15" w:type="dxa"/>
              <w:left w:w="0" w:type="dxa"/>
              <w:bottom w:w="0" w:type="dxa"/>
              <w:right w:w="15" w:type="dxa"/>
            </w:tcMar>
            <w:hideMark/>
          </w:tcPr>
          <w:p w14:paraId="4C237893" w14:textId="77777777" w:rsidR="00000000" w:rsidRDefault="007125B5">
            <w:pPr>
              <w:pStyle w:val="a3"/>
              <w:spacing w:before="0" w:beforeAutospacing="0" w:after="0" w:afterAutospacing="0"/>
              <w:ind w:left="821"/>
              <w:rPr>
                <w:color w:val="000000"/>
                <w:sz w:val="16"/>
                <w:szCs w:val="16"/>
              </w:rPr>
            </w:pPr>
            <w:r>
              <w:rPr>
                <w:color w:val="000000"/>
                <w:sz w:val="16"/>
                <w:szCs w:val="16"/>
              </w:rPr>
              <w:t>Accounts receivable and contract assets</w:t>
            </w:r>
          </w:p>
        </w:tc>
        <w:tc>
          <w:tcPr>
            <w:tcW w:w="81" w:type="pct"/>
            <w:shd w:val="clear" w:color="auto" w:fill="FFFFFF"/>
            <w:tcMar>
              <w:top w:w="15" w:type="dxa"/>
              <w:left w:w="0" w:type="dxa"/>
              <w:bottom w:w="0" w:type="dxa"/>
              <w:right w:w="15" w:type="dxa"/>
            </w:tcMar>
            <w:vAlign w:val="bottom"/>
            <w:hideMark/>
          </w:tcPr>
          <w:p w14:paraId="07D57B9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3F22D3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1CBC572B" w14:textId="77777777" w:rsidR="00000000" w:rsidRDefault="007125B5">
            <w:pPr>
              <w:pStyle w:val="a3"/>
              <w:spacing w:before="0" w:beforeAutospacing="0" w:after="0" w:afterAutospacing="0"/>
              <w:jc w:val="right"/>
              <w:rPr>
                <w:color w:val="000000"/>
                <w:sz w:val="16"/>
                <w:szCs w:val="16"/>
              </w:rPr>
            </w:pPr>
            <w:r>
              <w:rPr>
                <w:color w:val="000000"/>
                <w:sz w:val="16"/>
                <w:szCs w:val="16"/>
              </w:rPr>
              <w:t>7,427</w:t>
            </w:r>
          </w:p>
        </w:tc>
        <w:tc>
          <w:tcPr>
            <w:tcW w:w="50" w:type="pct"/>
            <w:shd w:val="clear" w:color="auto" w:fill="FFFFFF"/>
            <w:noWrap/>
            <w:tcMar>
              <w:top w:w="15" w:type="dxa"/>
              <w:left w:w="0" w:type="dxa"/>
              <w:bottom w:w="0" w:type="dxa"/>
              <w:right w:w="15" w:type="dxa"/>
            </w:tcMar>
            <w:vAlign w:val="bottom"/>
            <w:hideMark/>
          </w:tcPr>
          <w:p w14:paraId="0068C01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4D9E50C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8CD58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2EE7927A" w14:textId="77777777" w:rsidR="00000000" w:rsidRDefault="007125B5">
            <w:pPr>
              <w:pStyle w:val="a3"/>
              <w:spacing w:before="0" w:beforeAutospacing="0" w:after="0" w:afterAutospacing="0"/>
              <w:jc w:val="right"/>
              <w:rPr>
                <w:color w:val="000000"/>
                <w:sz w:val="16"/>
                <w:szCs w:val="16"/>
              </w:rPr>
            </w:pPr>
            <w:r>
              <w:rPr>
                <w:color w:val="000000"/>
                <w:sz w:val="16"/>
                <w:szCs w:val="16"/>
              </w:rPr>
              <w:t>(5,642</w:t>
            </w:r>
          </w:p>
        </w:tc>
        <w:tc>
          <w:tcPr>
            <w:tcW w:w="50" w:type="pct"/>
            <w:shd w:val="clear" w:color="auto" w:fill="FFFFFF"/>
            <w:noWrap/>
            <w:tcMar>
              <w:top w:w="15" w:type="dxa"/>
              <w:left w:w="0" w:type="dxa"/>
              <w:bottom w:w="0" w:type="dxa"/>
              <w:right w:w="15" w:type="dxa"/>
            </w:tcMar>
            <w:vAlign w:val="bottom"/>
            <w:hideMark/>
          </w:tcPr>
          <w:p w14:paraId="04EB1948"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1763A454" w14:textId="77777777">
        <w:trPr>
          <w:divId w:val="245966486"/>
          <w:jc w:val="center"/>
        </w:trPr>
        <w:tc>
          <w:tcPr>
            <w:tcW w:w="3349" w:type="pct"/>
            <w:shd w:val="clear" w:color="auto" w:fill="CFF0FC"/>
            <w:tcMar>
              <w:top w:w="15" w:type="dxa"/>
              <w:left w:w="0" w:type="dxa"/>
              <w:bottom w:w="0" w:type="dxa"/>
              <w:right w:w="15" w:type="dxa"/>
            </w:tcMar>
            <w:hideMark/>
          </w:tcPr>
          <w:p w14:paraId="045B419F" w14:textId="77777777" w:rsidR="00000000" w:rsidRDefault="007125B5">
            <w:pPr>
              <w:pStyle w:val="a3"/>
              <w:spacing w:before="0" w:beforeAutospacing="0" w:after="0" w:afterAutospacing="0"/>
              <w:ind w:left="821"/>
              <w:rPr>
                <w:color w:val="000000"/>
                <w:sz w:val="16"/>
                <w:szCs w:val="16"/>
              </w:rPr>
            </w:pPr>
            <w:r>
              <w:rPr>
                <w:color w:val="000000"/>
                <w:sz w:val="16"/>
                <w:szCs w:val="16"/>
              </w:rPr>
              <w:t>Prepaid expenses and other current assets</w:t>
            </w:r>
          </w:p>
        </w:tc>
        <w:tc>
          <w:tcPr>
            <w:tcW w:w="81" w:type="pct"/>
            <w:shd w:val="clear" w:color="auto" w:fill="CFF0FC"/>
            <w:tcMar>
              <w:top w:w="15" w:type="dxa"/>
              <w:left w:w="0" w:type="dxa"/>
              <w:bottom w:w="0" w:type="dxa"/>
              <w:right w:w="15" w:type="dxa"/>
            </w:tcMar>
            <w:vAlign w:val="bottom"/>
            <w:hideMark/>
          </w:tcPr>
          <w:p w14:paraId="3BF12D4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E63DA2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47B6168A" w14:textId="77777777" w:rsidR="00000000" w:rsidRDefault="007125B5">
            <w:pPr>
              <w:pStyle w:val="a3"/>
              <w:spacing w:before="0" w:beforeAutospacing="0" w:after="0" w:afterAutospacing="0"/>
              <w:jc w:val="right"/>
              <w:rPr>
                <w:color w:val="000000"/>
                <w:sz w:val="16"/>
                <w:szCs w:val="16"/>
              </w:rPr>
            </w:pPr>
            <w:r>
              <w:rPr>
                <w:color w:val="000000"/>
                <w:sz w:val="16"/>
                <w:szCs w:val="16"/>
              </w:rPr>
              <w:t>(789</w:t>
            </w:r>
          </w:p>
        </w:tc>
        <w:tc>
          <w:tcPr>
            <w:tcW w:w="50" w:type="pct"/>
            <w:shd w:val="clear" w:color="auto" w:fill="CFF0FC"/>
            <w:noWrap/>
            <w:tcMar>
              <w:top w:w="15" w:type="dxa"/>
              <w:left w:w="0" w:type="dxa"/>
              <w:bottom w:w="0" w:type="dxa"/>
              <w:right w:w="15" w:type="dxa"/>
            </w:tcMar>
            <w:vAlign w:val="bottom"/>
            <w:hideMark/>
          </w:tcPr>
          <w:p w14:paraId="2F8B8154"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15ED3B2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902ED2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1050F4E5" w14:textId="77777777" w:rsidR="00000000" w:rsidRDefault="007125B5">
            <w:pPr>
              <w:pStyle w:val="a3"/>
              <w:spacing w:before="0" w:beforeAutospacing="0" w:after="0" w:afterAutospacing="0"/>
              <w:jc w:val="right"/>
              <w:rPr>
                <w:color w:val="000000"/>
                <w:sz w:val="16"/>
                <w:szCs w:val="16"/>
              </w:rPr>
            </w:pPr>
            <w:r>
              <w:rPr>
                <w:color w:val="000000"/>
                <w:sz w:val="16"/>
                <w:szCs w:val="16"/>
              </w:rPr>
              <w:t>(91</w:t>
            </w:r>
          </w:p>
        </w:tc>
        <w:tc>
          <w:tcPr>
            <w:tcW w:w="50" w:type="pct"/>
            <w:shd w:val="clear" w:color="auto" w:fill="CFF0FC"/>
            <w:noWrap/>
            <w:tcMar>
              <w:top w:w="15" w:type="dxa"/>
              <w:left w:w="0" w:type="dxa"/>
              <w:bottom w:w="0" w:type="dxa"/>
              <w:right w:w="15" w:type="dxa"/>
            </w:tcMar>
            <w:vAlign w:val="bottom"/>
            <w:hideMark/>
          </w:tcPr>
          <w:p w14:paraId="0CCFB51C"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641F2FE2" w14:textId="77777777">
        <w:trPr>
          <w:divId w:val="245966486"/>
          <w:jc w:val="center"/>
        </w:trPr>
        <w:tc>
          <w:tcPr>
            <w:tcW w:w="3349" w:type="pct"/>
            <w:shd w:val="clear" w:color="auto" w:fill="FFFFFF"/>
            <w:tcMar>
              <w:top w:w="15" w:type="dxa"/>
              <w:left w:w="0" w:type="dxa"/>
              <w:bottom w:w="0" w:type="dxa"/>
              <w:right w:w="15" w:type="dxa"/>
            </w:tcMar>
            <w:hideMark/>
          </w:tcPr>
          <w:p w14:paraId="64A3E3FC" w14:textId="77777777" w:rsidR="00000000" w:rsidRDefault="007125B5">
            <w:pPr>
              <w:pStyle w:val="a3"/>
              <w:spacing w:before="0" w:beforeAutospacing="0" w:after="0" w:afterAutospacing="0"/>
              <w:ind w:left="821"/>
              <w:rPr>
                <w:color w:val="000000"/>
                <w:sz w:val="16"/>
                <w:szCs w:val="16"/>
              </w:rPr>
            </w:pPr>
            <w:r>
              <w:rPr>
                <w:color w:val="000000"/>
                <w:sz w:val="16"/>
                <w:szCs w:val="16"/>
              </w:rPr>
              <w:t>Accounts payable and other accrued liabilities</w:t>
            </w:r>
          </w:p>
        </w:tc>
        <w:tc>
          <w:tcPr>
            <w:tcW w:w="81" w:type="pct"/>
            <w:shd w:val="clear" w:color="auto" w:fill="FFFFFF"/>
            <w:tcMar>
              <w:top w:w="15" w:type="dxa"/>
              <w:left w:w="0" w:type="dxa"/>
              <w:bottom w:w="0" w:type="dxa"/>
              <w:right w:w="15" w:type="dxa"/>
            </w:tcMar>
            <w:vAlign w:val="bottom"/>
            <w:hideMark/>
          </w:tcPr>
          <w:p w14:paraId="7E6E209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E5768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B0211DC" w14:textId="77777777" w:rsidR="00000000" w:rsidRDefault="007125B5">
            <w:pPr>
              <w:pStyle w:val="a3"/>
              <w:spacing w:before="0" w:beforeAutospacing="0" w:after="0" w:afterAutospacing="0"/>
              <w:jc w:val="right"/>
              <w:rPr>
                <w:color w:val="000000"/>
                <w:sz w:val="16"/>
                <w:szCs w:val="16"/>
              </w:rPr>
            </w:pPr>
            <w:r>
              <w:rPr>
                <w:color w:val="000000"/>
                <w:sz w:val="16"/>
                <w:szCs w:val="16"/>
              </w:rPr>
              <w:t>(8,296</w:t>
            </w:r>
          </w:p>
        </w:tc>
        <w:tc>
          <w:tcPr>
            <w:tcW w:w="50" w:type="pct"/>
            <w:shd w:val="clear" w:color="auto" w:fill="FFFFFF"/>
            <w:noWrap/>
            <w:tcMar>
              <w:top w:w="15" w:type="dxa"/>
              <w:left w:w="0" w:type="dxa"/>
              <w:bottom w:w="0" w:type="dxa"/>
              <w:right w:w="15" w:type="dxa"/>
            </w:tcMar>
            <w:vAlign w:val="bottom"/>
            <w:hideMark/>
          </w:tcPr>
          <w:p w14:paraId="5973EA74"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4EF6538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AF0729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5569A675" w14:textId="77777777" w:rsidR="00000000" w:rsidRDefault="007125B5">
            <w:pPr>
              <w:pStyle w:val="a3"/>
              <w:spacing w:before="0" w:beforeAutospacing="0" w:after="0" w:afterAutospacing="0"/>
              <w:jc w:val="right"/>
              <w:rPr>
                <w:color w:val="000000"/>
                <w:sz w:val="16"/>
                <w:szCs w:val="16"/>
              </w:rPr>
            </w:pPr>
            <w:r>
              <w:rPr>
                <w:color w:val="000000"/>
                <w:sz w:val="16"/>
                <w:szCs w:val="16"/>
              </w:rPr>
              <w:t>130</w:t>
            </w:r>
          </w:p>
        </w:tc>
        <w:tc>
          <w:tcPr>
            <w:tcW w:w="50" w:type="pct"/>
            <w:shd w:val="clear" w:color="auto" w:fill="FFFFFF"/>
            <w:noWrap/>
            <w:tcMar>
              <w:top w:w="15" w:type="dxa"/>
              <w:left w:w="0" w:type="dxa"/>
              <w:bottom w:w="0" w:type="dxa"/>
              <w:right w:w="15" w:type="dxa"/>
            </w:tcMar>
            <w:vAlign w:val="bottom"/>
            <w:hideMark/>
          </w:tcPr>
          <w:p w14:paraId="5123C3E6"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482FC2DC" w14:textId="77777777">
        <w:trPr>
          <w:divId w:val="245966486"/>
          <w:jc w:val="center"/>
        </w:trPr>
        <w:tc>
          <w:tcPr>
            <w:tcW w:w="3349" w:type="pct"/>
            <w:shd w:val="clear" w:color="auto" w:fill="CFF0FC"/>
            <w:tcMar>
              <w:top w:w="15" w:type="dxa"/>
              <w:left w:w="0" w:type="dxa"/>
              <w:bottom w:w="0" w:type="dxa"/>
              <w:right w:w="15" w:type="dxa"/>
            </w:tcMar>
            <w:hideMark/>
          </w:tcPr>
          <w:p w14:paraId="1B7CEF6F" w14:textId="77777777" w:rsidR="00000000" w:rsidRDefault="007125B5">
            <w:pPr>
              <w:pStyle w:val="a3"/>
              <w:spacing w:before="0" w:beforeAutospacing="0" w:after="0" w:afterAutospacing="0"/>
              <w:ind w:left="821"/>
              <w:rPr>
                <w:color w:val="000000"/>
                <w:sz w:val="16"/>
                <w:szCs w:val="16"/>
              </w:rPr>
            </w:pPr>
            <w:r>
              <w:rPr>
                <w:color w:val="000000"/>
                <w:sz w:val="16"/>
                <w:szCs w:val="16"/>
              </w:rPr>
              <w:t>Accrued payroll and benefits</w:t>
            </w:r>
          </w:p>
        </w:tc>
        <w:tc>
          <w:tcPr>
            <w:tcW w:w="81" w:type="pct"/>
            <w:shd w:val="clear" w:color="auto" w:fill="CFF0FC"/>
            <w:tcMar>
              <w:top w:w="15" w:type="dxa"/>
              <w:left w:w="0" w:type="dxa"/>
              <w:bottom w:w="0" w:type="dxa"/>
              <w:right w:w="15" w:type="dxa"/>
            </w:tcMar>
            <w:vAlign w:val="bottom"/>
            <w:hideMark/>
          </w:tcPr>
          <w:p w14:paraId="22FA323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36641D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34F90D0E" w14:textId="77777777" w:rsidR="00000000" w:rsidRDefault="007125B5">
            <w:pPr>
              <w:pStyle w:val="a3"/>
              <w:spacing w:before="0" w:beforeAutospacing="0" w:after="0" w:afterAutospacing="0"/>
              <w:jc w:val="right"/>
              <w:rPr>
                <w:color w:val="000000"/>
                <w:sz w:val="16"/>
                <w:szCs w:val="16"/>
              </w:rPr>
            </w:pPr>
            <w:r>
              <w:rPr>
                <w:color w:val="000000"/>
                <w:sz w:val="16"/>
                <w:szCs w:val="16"/>
              </w:rPr>
              <w:t>1,886</w:t>
            </w:r>
          </w:p>
        </w:tc>
        <w:tc>
          <w:tcPr>
            <w:tcW w:w="50" w:type="pct"/>
            <w:shd w:val="clear" w:color="auto" w:fill="CFF0FC"/>
            <w:noWrap/>
            <w:tcMar>
              <w:top w:w="15" w:type="dxa"/>
              <w:left w:w="0" w:type="dxa"/>
              <w:bottom w:w="0" w:type="dxa"/>
              <w:right w:w="15" w:type="dxa"/>
            </w:tcMar>
            <w:vAlign w:val="bottom"/>
            <w:hideMark/>
          </w:tcPr>
          <w:p w14:paraId="5176A93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5046F96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DDB9EE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7D6B77ED" w14:textId="77777777" w:rsidR="00000000" w:rsidRDefault="007125B5">
            <w:pPr>
              <w:pStyle w:val="a3"/>
              <w:spacing w:before="0" w:beforeAutospacing="0" w:after="0" w:afterAutospacing="0"/>
              <w:jc w:val="right"/>
              <w:rPr>
                <w:color w:val="000000"/>
                <w:sz w:val="16"/>
                <w:szCs w:val="16"/>
              </w:rPr>
            </w:pPr>
            <w:r>
              <w:rPr>
                <w:color w:val="000000"/>
                <w:sz w:val="16"/>
                <w:szCs w:val="16"/>
              </w:rPr>
              <w:t>51</w:t>
            </w:r>
          </w:p>
        </w:tc>
        <w:tc>
          <w:tcPr>
            <w:tcW w:w="50" w:type="pct"/>
            <w:shd w:val="clear" w:color="auto" w:fill="CFF0FC"/>
            <w:noWrap/>
            <w:tcMar>
              <w:top w:w="15" w:type="dxa"/>
              <w:left w:w="0" w:type="dxa"/>
              <w:bottom w:w="0" w:type="dxa"/>
              <w:right w:w="15" w:type="dxa"/>
            </w:tcMar>
            <w:vAlign w:val="bottom"/>
            <w:hideMark/>
          </w:tcPr>
          <w:p w14:paraId="1EE4BCE8"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1960285B" w14:textId="77777777">
        <w:trPr>
          <w:divId w:val="245966486"/>
          <w:jc w:val="center"/>
        </w:trPr>
        <w:tc>
          <w:tcPr>
            <w:tcW w:w="3349" w:type="pct"/>
            <w:shd w:val="clear" w:color="auto" w:fill="FFFFFF"/>
            <w:tcMar>
              <w:top w:w="15" w:type="dxa"/>
              <w:left w:w="0" w:type="dxa"/>
              <w:bottom w:w="0" w:type="dxa"/>
              <w:right w:w="15" w:type="dxa"/>
            </w:tcMar>
            <w:hideMark/>
          </w:tcPr>
          <w:p w14:paraId="6B533CB3" w14:textId="77777777" w:rsidR="00000000" w:rsidRDefault="007125B5">
            <w:pPr>
              <w:pStyle w:val="a3"/>
              <w:spacing w:before="0" w:beforeAutospacing="0" w:after="0" w:afterAutospacing="0"/>
              <w:ind w:left="821"/>
              <w:rPr>
                <w:color w:val="000000"/>
                <w:sz w:val="16"/>
                <w:szCs w:val="16"/>
              </w:rPr>
            </w:pPr>
            <w:r>
              <w:rPr>
                <w:color w:val="000000"/>
                <w:sz w:val="16"/>
                <w:szCs w:val="16"/>
              </w:rPr>
              <w:t>Payment of contingent consideration and other assumed purchase price obligations</w:t>
            </w:r>
          </w:p>
        </w:tc>
        <w:tc>
          <w:tcPr>
            <w:tcW w:w="81" w:type="pct"/>
            <w:shd w:val="clear" w:color="auto" w:fill="FFFFFF"/>
            <w:tcMar>
              <w:top w:w="15" w:type="dxa"/>
              <w:left w:w="0" w:type="dxa"/>
              <w:bottom w:w="0" w:type="dxa"/>
              <w:right w:w="15" w:type="dxa"/>
            </w:tcMar>
            <w:vAlign w:val="bottom"/>
            <w:hideMark/>
          </w:tcPr>
          <w:p w14:paraId="734C838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5DDC0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0CEF59A" w14:textId="77777777" w:rsidR="00000000" w:rsidRDefault="007125B5">
            <w:pPr>
              <w:pStyle w:val="a3"/>
              <w:spacing w:before="0" w:beforeAutospacing="0" w:after="0" w:afterAutospacing="0"/>
              <w:jc w:val="right"/>
              <w:rPr>
                <w:color w:val="000000"/>
                <w:sz w:val="16"/>
                <w:szCs w:val="16"/>
              </w:rPr>
            </w:pPr>
            <w:r>
              <w:rPr>
                <w:color w:val="000000"/>
                <w:sz w:val="16"/>
                <w:szCs w:val="16"/>
              </w:rPr>
              <w:t>(6,175</w:t>
            </w:r>
          </w:p>
        </w:tc>
        <w:tc>
          <w:tcPr>
            <w:tcW w:w="50" w:type="pct"/>
            <w:shd w:val="clear" w:color="auto" w:fill="FFFFFF"/>
            <w:noWrap/>
            <w:tcMar>
              <w:top w:w="15" w:type="dxa"/>
              <w:left w:w="0" w:type="dxa"/>
              <w:bottom w:w="0" w:type="dxa"/>
              <w:right w:w="15" w:type="dxa"/>
            </w:tcMar>
            <w:vAlign w:val="bottom"/>
            <w:hideMark/>
          </w:tcPr>
          <w:p w14:paraId="1EB0CE7E"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7FEE7E6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B75325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A182251"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AE975FC"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F5CF843" w14:textId="77777777">
        <w:trPr>
          <w:divId w:val="245966486"/>
          <w:jc w:val="center"/>
        </w:trPr>
        <w:tc>
          <w:tcPr>
            <w:tcW w:w="3349" w:type="pct"/>
            <w:shd w:val="clear" w:color="auto" w:fill="CFF0FC"/>
            <w:tcMar>
              <w:top w:w="15" w:type="dxa"/>
              <w:left w:w="0" w:type="dxa"/>
              <w:bottom w:w="0" w:type="dxa"/>
              <w:right w:w="15" w:type="dxa"/>
            </w:tcMar>
            <w:hideMark/>
          </w:tcPr>
          <w:p w14:paraId="18F8DC70" w14:textId="77777777" w:rsidR="00000000" w:rsidRDefault="007125B5">
            <w:pPr>
              <w:pStyle w:val="a3"/>
              <w:spacing w:before="0" w:beforeAutospacing="0" w:after="0" w:afterAutospacing="0"/>
              <w:ind w:left="1094"/>
              <w:rPr>
                <w:color w:val="000000"/>
                <w:sz w:val="16"/>
                <w:szCs w:val="16"/>
              </w:rPr>
            </w:pPr>
            <w:r>
              <w:rPr>
                <w:color w:val="000000"/>
                <w:sz w:val="16"/>
                <w:szCs w:val="16"/>
              </w:rPr>
              <w:t>Net cash (used in) provided by operating activities</w:t>
            </w:r>
          </w:p>
        </w:tc>
        <w:tc>
          <w:tcPr>
            <w:tcW w:w="81" w:type="pct"/>
            <w:shd w:val="clear" w:color="auto" w:fill="CFF0FC"/>
            <w:tcMar>
              <w:top w:w="15" w:type="dxa"/>
              <w:left w:w="0" w:type="dxa"/>
              <w:bottom w:w="0" w:type="dxa"/>
              <w:right w:w="15" w:type="dxa"/>
            </w:tcMar>
            <w:vAlign w:val="bottom"/>
            <w:hideMark/>
          </w:tcPr>
          <w:p w14:paraId="1E2D831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09D68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76D699" w14:textId="77777777" w:rsidR="00000000" w:rsidRDefault="007125B5">
            <w:pPr>
              <w:pStyle w:val="a3"/>
              <w:spacing w:before="0" w:beforeAutospacing="0" w:after="0" w:afterAutospacing="0"/>
              <w:jc w:val="right"/>
              <w:rPr>
                <w:color w:val="000000"/>
                <w:sz w:val="16"/>
                <w:szCs w:val="16"/>
              </w:rPr>
            </w:pPr>
            <w:r>
              <w:rPr>
                <w:color w:val="000000"/>
                <w:sz w:val="16"/>
                <w:szCs w:val="16"/>
              </w:rPr>
              <w:t>(1,584</w:t>
            </w:r>
          </w:p>
        </w:tc>
        <w:tc>
          <w:tcPr>
            <w:tcW w:w="50" w:type="pct"/>
            <w:shd w:val="clear" w:color="auto" w:fill="CFF0FC"/>
            <w:noWrap/>
            <w:tcMar>
              <w:top w:w="15" w:type="dxa"/>
              <w:left w:w="0" w:type="dxa"/>
              <w:bottom w:w="0" w:type="dxa"/>
              <w:right w:w="15" w:type="dxa"/>
            </w:tcMar>
            <w:vAlign w:val="bottom"/>
            <w:hideMark/>
          </w:tcPr>
          <w:p w14:paraId="59138D36"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5E1D447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D80F4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CFCBCC" w14:textId="77777777" w:rsidR="00000000" w:rsidRDefault="007125B5">
            <w:pPr>
              <w:pStyle w:val="a3"/>
              <w:spacing w:before="0" w:beforeAutospacing="0" w:after="0" w:afterAutospacing="0"/>
              <w:jc w:val="right"/>
              <w:rPr>
                <w:color w:val="000000"/>
                <w:sz w:val="16"/>
                <w:szCs w:val="16"/>
              </w:rPr>
            </w:pPr>
            <w:r>
              <w:rPr>
                <w:color w:val="000000"/>
                <w:sz w:val="16"/>
                <w:szCs w:val="16"/>
              </w:rPr>
              <w:t>4,391</w:t>
            </w:r>
          </w:p>
        </w:tc>
        <w:tc>
          <w:tcPr>
            <w:tcW w:w="50" w:type="pct"/>
            <w:shd w:val="clear" w:color="auto" w:fill="CFF0FC"/>
            <w:noWrap/>
            <w:tcMar>
              <w:top w:w="15" w:type="dxa"/>
              <w:left w:w="0" w:type="dxa"/>
              <w:bottom w:w="0" w:type="dxa"/>
              <w:right w:w="15" w:type="dxa"/>
            </w:tcMar>
            <w:vAlign w:val="bottom"/>
            <w:hideMark/>
          </w:tcPr>
          <w:p w14:paraId="68CA2E3E"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8449B2D" w14:textId="77777777">
        <w:trPr>
          <w:divId w:val="245966486"/>
          <w:jc w:val="center"/>
        </w:trPr>
        <w:tc>
          <w:tcPr>
            <w:tcW w:w="3349" w:type="pct"/>
            <w:shd w:val="clear" w:color="auto" w:fill="FFFFFF"/>
            <w:tcMar>
              <w:top w:w="15" w:type="dxa"/>
              <w:left w:w="0" w:type="dxa"/>
              <w:bottom w:w="0" w:type="dxa"/>
              <w:right w:w="15" w:type="dxa"/>
            </w:tcMar>
            <w:hideMark/>
          </w:tcPr>
          <w:p w14:paraId="1CACDFDC" w14:textId="77777777" w:rsidR="00000000" w:rsidRDefault="007125B5">
            <w:pPr>
              <w:pStyle w:val="a3"/>
              <w:spacing w:before="0" w:beforeAutospacing="0" w:after="0" w:afterAutospacing="0"/>
              <w:rPr>
                <w:color w:val="000000"/>
                <w:sz w:val="16"/>
                <w:szCs w:val="16"/>
              </w:rPr>
            </w:pPr>
            <w:r>
              <w:rPr>
                <w:color w:val="000000"/>
                <w:sz w:val="16"/>
                <w:szCs w:val="16"/>
              </w:rPr>
              <w:t>INVESTING ACTIVITIES:</w:t>
            </w:r>
          </w:p>
        </w:tc>
        <w:tc>
          <w:tcPr>
            <w:tcW w:w="81" w:type="pct"/>
            <w:shd w:val="clear" w:color="auto" w:fill="FFFFFF"/>
            <w:tcMar>
              <w:top w:w="15" w:type="dxa"/>
              <w:left w:w="0" w:type="dxa"/>
              <w:bottom w:w="0" w:type="dxa"/>
              <w:right w:w="15" w:type="dxa"/>
            </w:tcMar>
            <w:vAlign w:val="bottom"/>
            <w:hideMark/>
          </w:tcPr>
          <w:p w14:paraId="2F14B34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82E285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2DCDABDB"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646B0C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20F868F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4DF4E5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35CDBA3F"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06EDDED"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F43FD50" w14:textId="77777777">
        <w:trPr>
          <w:divId w:val="245966486"/>
          <w:jc w:val="center"/>
        </w:trPr>
        <w:tc>
          <w:tcPr>
            <w:tcW w:w="3349" w:type="pct"/>
            <w:shd w:val="clear" w:color="auto" w:fill="CFF0FC"/>
            <w:tcMar>
              <w:top w:w="15" w:type="dxa"/>
              <w:left w:w="0" w:type="dxa"/>
              <w:bottom w:w="0" w:type="dxa"/>
              <w:right w:w="15" w:type="dxa"/>
            </w:tcMar>
            <w:hideMark/>
          </w:tcPr>
          <w:p w14:paraId="6B01CB29" w14:textId="77777777" w:rsidR="00000000" w:rsidRDefault="007125B5">
            <w:pPr>
              <w:pStyle w:val="a3"/>
              <w:spacing w:before="0" w:beforeAutospacing="0" w:after="0" w:afterAutospacing="0"/>
              <w:ind w:left="547"/>
              <w:rPr>
                <w:color w:val="000000"/>
                <w:sz w:val="16"/>
                <w:szCs w:val="16"/>
              </w:rPr>
            </w:pPr>
            <w:r>
              <w:rPr>
                <w:color w:val="000000"/>
                <w:sz w:val="16"/>
                <w:szCs w:val="16"/>
              </w:rPr>
              <w:t>Purchases of property and equipment</w:t>
            </w:r>
          </w:p>
        </w:tc>
        <w:tc>
          <w:tcPr>
            <w:tcW w:w="81" w:type="pct"/>
            <w:shd w:val="clear" w:color="auto" w:fill="CFF0FC"/>
            <w:tcMar>
              <w:top w:w="15" w:type="dxa"/>
              <w:left w:w="0" w:type="dxa"/>
              <w:bottom w:w="0" w:type="dxa"/>
              <w:right w:w="15" w:type="dxa"/>
            </w:tcMar>
            <w:vAlign w:val="bottom"/>
            <w:hideMark/>
          </w:tcPr>
          <w:p w14:paraId="3EDBDE7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3F2CE7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64E713B3" w14:textId="77777777" w:rsidR="00000000" w:rsidRDefault="007125B5">
            <w:pPr>
              <w:pStyle w:val="a3"/>
              <w:spacing w:before="0" w:beforeAutospacing="0" w:after="0" w:afterAutospacing="0"/>
              <w:jc w:val="right"/>
              <w:rPr>
                <w:color w:val="000000"/>
                <w:sz w:val="16"/>
                <w:szCs w:val="16"/>
              </w:rPr>
            </w:pPr>
            <w:r>
              <w:rPr>
                <w:color w:val="000000"/>
                <w:sz w:val="16"/>
                <w:szCs w:val="16"/>
              </w:rPr>
              <w:t>(3,160</w:t>
            </w:r>
          </w:p>
        </w:tc>
        <w:tc>
          <w:tcPr>
            <w:tcW w:w="50" w:type="pct"/>
            <w:shd w:val="clear" w:color="auto" w:fill="CFF0FC"/>
            <w:noWrap/>
            <w:tcMar>
              <w:top w:w="15" w:type="dxa"/>
              <w:left w:w="0" w:type="dxa"/>
              <w:bottom w:w="0" w:type="dxa"/>
              <w:right w:w="15" w:type="dxa"/>
            </w:tcMar>
            <w:vAlign w:val="bottom"/>
            <w:hideMark/>
          </w:tcPr>
          <w:p w14:paraId="0FEBB8E2"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61207D6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678E22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5689531A" w14:textId="77777777" w:rsidR="00000000" w:rsidRDefault="007125B5">
            <w:pPr>
              <w:pStyle w:val="a3"/>
              <w:spacing w:before="0" w:beforeAutospacing="0" w:after="0" w:afterAutospacing="0"/>
              <w:jc w:val="right"/>
              <w:rPr>
                <w:color w:val="000000"/>
                <w:sz w:val="16"/>
                <w:szCs w:val="16"/>
              </w:rPr>
            </w:pPr>
            <w:r>
              <w:rPr>
                <w:color w:val="000000"/>
                <w:sz w:val="16"/>
                <w:szCs w:val="16"/>
              </w:rPr>
              <w:t>(1,179</w:t>
            </w:r>
          </w:p>
        </w:tc>
        <w:tc>
          <w:tcPr>
            <w:tcW w:w="50" w:type="pct"/>
            <w:shd w:val="clear" w:color="auto" w:fill="CFF0FC"/>
            <w:noWrap/>
            <w:tcMar>
              <w:top w:w="15" w:type="dxa"/>
              <w:left w:w="0" w:type="dxa"/>
              <w:bottom w:w="0" w:type="dxa"/>
              <w:right w:w="15" w:type="dxa"/>
            </w:tcMar>
            <w:vAlign w:val="bottom"/>
            <w:hideMark/>
          </w:tcPr>
          <w:p w14:paraId="6D45F139"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4766D739" w14:textId="77777777">
        <w:trPr>
          <w:divId w:val="245966486"/>
          <w:jc w:val="center"/>
        </w:trPr>
        <w:tc>
          <w:tcPr>
            <w:tcW w:w="3349" w:type="pct"/>
            <w:shd w:val="clear" w:color="auto" w:fill="FFFFFF"/>
            <w:tcMar>
              <w:top w:w="15" w:type="dxa"/>
              <w:left w:w="0" w:type="dxa"/>
              <w:bottom w:w="0" w:type="dxa"/>
              <w:right w:w="15" w:type="dxa"/>
            </w:tcMar>
            <w:hideMark/>
          </w:tcPr>
          <w:p w14:paraId="5E59A53A" w14:textId="77777777" w:rsidR="00000000" w:rsidRDefault="007125B5">
            <w:pPr>
              <w:pStyle w:val="a3"/>
              <w:spacing w:before="0" w:beforeAutospacing="0" w:after="0" w:afterAutospacing="0"/>
              <w:ind w:left="547"/>
              <w:rPr>
                <w:color w:val="000000"/>
                <w:sz w:val="16"/>
                <w:szCs w:val="16"/>
              </w:rPr>
            </w:pPr>
            <w:r>
              <w:rPr>
                <w:color w:val="000000"/>
                <w:sz w:val="16"/>
                <w:szCs w:val="16"/>
              </w:rPr>
              <w:t>Proprietary software development</w:t>
            </w:r>
          </w:p>
        </w:tc>
        <w:tc>
          <w:tcPr>
            <w:tcW w:w="81" w:type="pct"/>
            <w:shd w:val="clear" w:color="auto" w:fill="FFFFFF"/>
            <w:tcMar>
              <w:top w:w="15" w:type="dxa"/>
              <w:left w:w="0" w:type="dxa"/>
              <w:bottom w:w="0" w:type="dxa"/>
              <w:right w:w="15" w:type="dxa"/>
            </w:tcMar>
            <w:vAlign w:val="bottom"/>
            <w:hideMark/>
          </w:tcPr>
          <w:p w14:paraId="302480A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67832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51FEAEE" w14:textId="77777777" w:rsidR="00000000" w:rsidRDefault="007125B5">
            <w:pPr>
              <w:pStyle w:val="a3"/>
              <w:spacing w:before="0" w:beforeAutospacing="0" w:after="0" w:afterAutospacing="0"/>
              <w:jc w:val="right"/>
              <w:rPr>
                <w:color w:val="000000"/>
                <w:sz w:val="16"/>
                <w:szCs w:val="16"/>
              </w:rPr>
            </w:pPr>
            <w:r>
              <w:rPr>
                <w:color w:val="000000"/>
                <w:sz w:val="16"/>
                <w:szCs w:val="16"/>
              </w:rPr>
              <w:t>(155</w:t>
            </w:r>
          </w:p>
        </w:tc>
        <w:tc>
          <w:tcPr>
            <w:tcW w:w="50" w:type="pct"/>
            <w:shd w:val="clear" w:color="auto" w:fill="FFFFFF"/>
            <w:noWrap/>
            <w:tcMar>
              <w:top w:w="15" w:type="dxa"/>
              <w:left w:w="0" w:type="dxa"/>
              <w:bottom w:w="0" w:type="dxa"/>
              <w:right w:w="15" w:type="dxa"/>
            </w:tcMar>
            <w:vAlign w:val="bottom"/>
            <w:hideMark/>
          </w:tcPr>
          <w:p w14:paraId="24846BED"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072D372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CAA3ED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5A38BBBB" w14:textId="77777777" w:rsidR="00000000" w:rsidRDefault="007125B5">
            <w:pPr>
              <w:pStyle w:val="a3"/>
              <w:spacing w:before="0" w:beforeAutospacing="0" w:after="0" w:afterAutospacing="0"/>
              <w:jc w:val="right"/>
              <w:rPr>
                <w:color w:val="000000"/>
                <w:sz w:val="16"/>
                <w:szCs w:val="16"/>
              </w:rPr>
            </w:pPr>
            <w:r>
              <w:rPr>
                <w:color w:val="000000"/>
                <w:sz w:val="16"/>
                <w:szCs w:val="16"/>
              </w:rPr>
              <w:t>(63</w:t>
            </w:r>
          </w:p>
        </w:tc>
        <w:tc>
          <w:tcPr>
            <w:tcW w:w="50" w:type="pct"/>
            <w:shd w:val="clear" w:color="auto" w:fill="FFFFFF"/>
            <w:noWrap/>
            <w:tcMar>
              <w:top w:w="15" w:type="dxa"/>
              <w:left w:w="0" w:type="dxa"/>
              <w:bottom w:w="0" w:type="dxa"/>
              <w:right w:w="15" w:type="dxa"/>
            </w:tcMar>
            <w:vAlign w:val="bottom"/>
            <w:hideMark/>
          </w:tcPr>
          <w:p w14:paraId="4D86CCAD"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49D32316" w14:textId="77777777">
        <w:trPr>
          <w:divId w:val="245966486"/>
          <w:jc w:val="center"/>
        </w:trPr>
        <w:tc>
          <w:tcPr>
            <w:tcW w:w="3349" w:type="pct"/>
            <w:shd w:val="clear" w:color="auto" w:fill="CFF0FC"/>
            <w:tcMar>
              <w:top w:w="15" w:type="dxa"/>
              <w:left w:w="0" w:type="dxa"/>
              <w:bottom w:w="0" w:type="dxa"/>
              <w:right w:w="15" w:type="dxa"/>
            </w:tcMar>
            <w:hideMark/>
          </w:tcPr>
          <w:p w14:paraId="4F5B7F65" w14:textId="77777777" w:rsidR="00000000" w:rsidRDefault="007125B5">
            <w:pPr>
              <w:pStyle w:val="a3"/>
              <w:spacing w:before="0" w:beforeAutospacing="0" w:after="0" w:afterAutospacing="0"/>
              <w:ind w:left="547"/>
              <w:rPr>
                <w:color w:val="000000"/>
                <w:sz w:val="16"/>
                <w:szCs w:val="16"/>
              </w:rPr>
            </w:pPr>
            <w:r>
              <w:rPr>
                <w:color w:val="000000"/>
                <w:sz w:val="16"/>
                <w:szCs w:val="16"/>
              </w:rPr>
              <w:t>Proceeds from net working capital adjustment related to acquisitions</w:t>
            </w:r>
          </w:p>
        </w:tc>
        <w:tc>
          <w:tcPr>
            <w:tcW w:w="81" w:type="pct"/>
            <w:shd w:val="clear" w:color="auto" w:fill="CFF0FC"/>
            <w:tcMar>
              <w:top w:w="15" w:type="dxa"/>
              <w:left w:w="0" w:type="dxa"/>
              <w:bottom w:w="0" w:type="dxa"/>
              <w:right w:w="15" w:type="dxa"/>
            </w:tcMar>
            <w:vAlign w:val="bottom"/>
            <w:hideMark/>
          </w:tcPr>
          <w:p w14:paraId="04332FC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ABD3A0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086778EF" w14:textId="77777777" w:rsidR="00000000" w:rsidRDefault="007125B5">
            <w:pPr>
              <w:pStyle w:val="a3"/>
              <w:spacing w:before="0" w:beforeAutospacing="0" w:after="0" w:afterAutospacing="0"/>
              <w:jc w:val="right"/>
              <w:rPr>
                <w:color w:val="000000"/>
                <w:sz w:val="16"/>
                <w:szCs w:val="16"/>
              </w:rPr>
            </w:pPr>
            <w:r>
              <w:rPr>
                <w:color w:val="000000"/>
                <w:sz w:val="16"/>
                <w:szCs w:val="16"/>
              </w:rPr>
              <w:t>2,819</w:t>
            </w:r>
          </w:p>
        </w:tc>
        <w:tc>
          <w:tcPr>
            <w:tcW w:w="50" w:type="pct"/>
            <w:shd w:val="clear" w:color="auto" w:fill="CFF0FC"/>
            <w:noWrap/>
            <w:tcMar>
              <w:top w:w="15" w:type="dxa"/>
              <w:left w:w="0" w:type="dxa"/>
              <w:bottom w:w="0" w:type="dxa"/>
              <w:right w:w="15" w:type="dxa"/>
            </w:tcMar>
            <w:vAlign w:val="bottom"/>
            <w:hideMark/>
          </w:tcPr>
          <w:p w14:paraId="0497154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331753C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0F6BC9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34AE7E0C"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5264FE1"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3F9A7DCB" w14:textId="77777777">
        <w:trPr>
          <w:divId w:val="245966486"/>
          <w:jc w:val="center"/>
        </w:trPr>
        <w:tc>
          <w:tcPr>
            <w:tcW w:w="3349" w:type="pct"/>
            <w:shd w:val="clear" w:color="auto" w:fill="FFFFFF"/>
            <w:tcMar>
              <w:top w:w="15" w:type="dxa"/>
              <w:left w:w="0" w:type="dxa"/>
              <w:bottom w:w="0" w:type="dxa"/>
              <w:right w:w="15" w:type="dxa"/>
            </w:tcMar>
            <w:hideMark/>
          </w:tcPr>
          <w:p w14:paraId="43F5CD3F" w14:textId="77777777" w:rsidR="00000000" w:rsidRDefault="007125B5">
            <w:pPr>
              <w:pStyle w:val="a3"/>
              <w:spacing w:before="0" w:beforeAutospacing="0" w:after="0" w:afterAutospacing="0"/>
              <w:ind w:left="547"/>
              <w:rPr>
                <w:color w:val="000000"/>
                <w:sz w:val="16"/>
                <w:szCs w:val="16"/>
              </w:rPr>
            </w:pPr>
            <w:r>
              <w:rPr>
                <w:color w:val="000000"/>
                <w:sz w:val="16"/>
                <w:szCs w:val="16"/>
              </w:rPr>
              <w:t>Cash paid for acquisitions—net of cash acquired</w:t>
            </w:r>
          </w:p>
        </w:tc>
        <w:tc>
          <w:tcPr>
            <w:tcW w:w="81" w:type="pct"/>
            <w:shd w:val="clear" w:color="auto" w:fill="FFFFFF"/>
            <w:tcMar>
              <w:top w:w="15" w:type="dxa"/>
              <w:left w:w="0" w:type="dxa"/>
              <w:bottom w:w="0" w:type="dxa"/>
              <w:right w:w="15" w:type="dxa"/>
            </w:tcMar>
            <w:vAlign w:val="bottom"/>
            <w:hideMark/>
          </w:tcPr>
          <w:p w14:paraId="47CFC3F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9D27D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100EC997" w14:textId="77777777" w:rsidR="00000000" w:rsidRDefault="007125B5">
            <w:pPr>
              <w:pStyle w:val="a3"/>
              <w:spacing w:before="0" w:beforeAutospacing="0" w:after="0" w:afterAutospacing="0"/>
              <w:jc w:val="right"/>
              <w:rPr>
                <w:color w:val="000000"/>
                <w:sz w:val="16"/>
                <w:szCs w:val="16"/>
              </w:rPr>
            </w:pPr>
            <w:r>
              <w:rPr>
                <w:color w:val="000000"/>
                <w:sz w:val="16"/>
                <w:szCs w:val="16"/>
              </w:rPr>
              <w:t>(173,473</w:t>
            </w:r>
          </w:p>
        </w:tc>
        <w:tc>
          <w:tcPr>
            <w:tcW w:w="50" w:type="pct"/>
            <w:shd w:val="clear" w:color="auto" w:fill="FFFFFF"/>
            <w:noWrap/>
            <w:tcMar>
              <w:top w:w="15" w:type="dxa"/>
              <w:left w:w="0" w:type="dxa"/>
              <w:bottom w:w="0" w:type="dxa"/>
              <w:right w:w="15" w:type="dxa"/>
            </w:tcMar>
            <w:vAlign w:val="bottom"/>
            <w:hideMark/>
          </w:tcPr>
          <w:p w14:paraId="22584ED8"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30D575A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0F88E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70485DF" w14:textId="77777777" w:rsidR="00000000" w:rsidRDefault="007125B5">
            <w:pPr>
              <w:pStyle w:val="a3"/>
              <w:spacing w:before="0" w:beforeAutospacing="0" w:after="0" w:afterAutospacing="0"/>
              <w:jc w:val="right"/>
              <w:rPr>
                <w:color w:val="000000"/>
                <w:sz w:val="16"/>
                <w:szCs w:val="16"/>
              </w:rPr>
            </w:pPr>
            <w:r>
              <w:rPr>
                <w:color w:val="000000"/>
                <w:sz w:val="16"/>
                <w:szCs w:val="16"/>
              </w:rPr>
              <w:t>(26,699</w:t>
            </w:r>
          </w:p>
        </w:tc>
        <w:tc>
          <w:tcPr>
            <w:tcW w:w="50" w:type="pct"/>
            <w:shd w:val="clear" w:color="auto" w:fill="FFFFFF"/>
            <w:noWrap/>
            <w:tcMar>
              <w:top w:w="15" w:type="dxa"/>
              <w:left w:w="0" w:type="dxa"/>
              <w:bottom w:w="0" w:type="dxa"/>
              <w:right w:w="15" w:type="dxa"/>
            </w:tcMar>
            <w:vAlign w:val="bottom"/>
            <w:hideMark/>
          </w:tcPr>
          <w:p w14:paraId="6390A86E"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195AD08B" w14:textId="77777777">
        <w:trPr>
          <w:divId w:val="245966486"/>
          <w:jc w:val="center"/>
        </w:trPr>
        <w:tc>
          <w:tcPr>
            <w:tcW w:w="3349" w:type="pct"/>
            <w:shd w:val="clear" w:color="auto" w:fill="CFF0FC"/>
            <w:tcMar>
              <w:top w:w="15" w:type="dxa"/>
              <w:left w:w="0" w:type="dxa"/>
              <w:bottom w:w="0" w:type="dxa"/>
              <w:right w:w="15" w:type="dxa"/>
            </w:tcMar>
            <w:hideMark/>
          </w:tcPr>
          <w:p w14:paraId="24D8BBED" w14:textId="77777777" w:rsidR="00000000" w:rsidRDefault="007125B5">
            <w:pPr>
              <w:pStyle w:val="a3"/>
              <w:spacing w:before="0" w:beforeAutospacing="0" w:after="0" w:afterAutospacing="0"/>
              <w:ind w:left="1094"/>
              <w:rPr>
                <w:color w:val="000000"/>
                <w:sz w:val="16"/>
                <w:szCs w:val="16"/>
              </w:rPr>
            </w:pPr>
            <w:r>
              <w:rPr>
                <w:color w:val="000000"/>
                <w:sz w:val="16"/>
                <w:szCs w:val="16"/>
              </w:rPr>
              <w:t>Net cash used in investing activities</w:t>
            </w:r>
          </w:p>
        </w:tc>
        <w:tc>
          <w:tcPr>
            <w:tcW w:w="81" w:type="pct"/>
            <w:shd w:val="clear" w:color="auto" w:fill="CFF0FC"/>
            <w:tcMar>
              <w:top w:w="15" w:type="dxa"/>
              <w:left w:w="0" w:type="dxa"/>
              <w:bottom w:w="0" w:type="dxa"/>
              <w:right w:w="15" w:type="dxa"/>
            </w:tcMar>
            <w:vAlign w:val="bottom"/>
            <w:hideMark/>
          </w:tcPr>
          <w:p w14:paraId="29AE2B2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B9FF3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7F98A0" w14:textId="77777777" w:rsidR="00000000" w:rsidRDefault="007125B5">
            <w:pPr>
              <w:pStyle w:val="a3"/>
              <w:spacing w:before="0" w:beforeAutospacing="0" w:after="0" w:afterAutospacing="0"/>
              <w:jc w:val="right"/>
              <w:rPr>
                <w:color w:val="000000"/>
                <w:sz w:val="16"/>
                <w:szCs w:val="16"/>
              </w:rPr>
            </w:pPr>
            <w:r>
              <w:rPr>
                <w:color w:val="000000"/>
                <w:sz w:val="16"/>
                <w:szCs w:val="16"/>
              </w:rPr>
              <w:t>(173,969</w:t>
            </w:r>
          </w:p>
        </w:tc>
        <w:tc>
          <w:tcPr>
            <w:tcW w:w="50" w:type="pct"/>
            <w:shd w:val="clear" w:color="auto" w:fill="CFF0FC"/>
            <w:noWrap/>
            <w:tcMar>
              <w:top w:w="15" w:type="dxa"/>
              <w:left w:w="0" w:type="dxa"/>
              <w:bottom w:w="0" w:type="dxa"/>
              <w:right w:w="15" w:type="dxa"/>
            </w:tcMar>
            <w:vAlign w:val="bottom"/>
            <w:hideMark/>
          </w:tcPr>
          <w:p w14:paraId="2D0EF0D7"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313A433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31906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7D0606" w14:textId="77777777" w:rsidR="00000000" w:rsidRDefault="007125B5">
            <w:pPr>
              <w:pStyle w:val="a3"/>
              <w:spacing w:before="0" w:beforeAutospacing="0" w:after="0" w:afterAutospacing="0"/>
              <w:jc w:val="right"/>
              <w:rPr>
                <w:color w:val="000000"/>
                <w:sz w:val="16"/>
                <w:szCs w:val="16"/>
              </w:rPr>
            </w:pPr>
            <w:r>
              <w:rPr>
                <w:color w:val="000000"/>
                <w:sz w:val="16"/>
                <w:szCs w:val="16"/>
              </w:rPr>
              <w:t>(27,941</w:t>
            </w:r>
          </w:p>
        </w:tc>
        <w:tc>
          <w:tcPr>
            <w:tcW w:w="50" w:type="pct"/>
            <w:shd w:val="clear" w:color="auto" w:fill="CFF0FC"/>
            <w:noWrap/>
            <w:tcMar>
              <w:top w:w="15" w:type="dxa"/>
              <w:left w:w="0" w:type="dxa"/>
              <w:bottom w:w="0" w:type="dxa"/>
              <w:right w:w="15" w:type="dxa"/>
            </w:tcMar>
            <w:vAlign w:val="bottom"/>
            <w:hideMark/>
          </w:tcPr>
          <w:p w14:paraId="3A5CE8C6"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1E978CDE" w14:textId="77777777">
        <w:trPr>
          <w:divId w:val="245966486"/>
          <w:jc w:val="center"/>
        </w:trPr>
        <w:tc>
          <w:tcPr>
            <w:tcW w:w="3349" w:type="pct"/>
            <w:shd w:val="clear" w:color="auto" w:fill="FFFFFF"/>
            <w:tcMar>
              <w:top w:w="15" w:type="dxa"/>
              <w:left w:w="0" w:type="dxa"/>
              <w:bottom w:w="0" w:type="dxa"/>
              <w:right w:w="15" w:type="dxa"/>
            </w:tcMar>
            <w:hideMark/>
          </w:tcPr>
          <w:p w14:paraId="4BFF2B74" w14:textId="77777777" w:rsidR="00000000" w:rsidRDefault="007125B5">
            <w:pPr>
              <w:pStyle w:val="a3"/>
              <w:spacing w:before="0" w:beforeAutospacing="0" w:after="0" w:afterAutospacing="0"/>
              <w:rPr>
                <w:color w:val="000000"/>
                <w:sz w:val="16"/>
                <w:szCs w:val="16"/>
              </w:rPr>
            </w:pPr>
            <w:r>
              <w:rPr>
                <w:color w:val="000000"/>
                <w:sz w:val="16"/>
                <w:szCs w:val="16"/>
              </w:rPr>
              <w:t>FINANCING ACTIVITIES:</w:t>
            </w:r>
          </w:p>
        </w:tc>
        <w:tc>
          <w:tcPr>
            <w:tcW w:w="81" w:type="pct"/>
            <w:shd w:val="clear" w:color="auto" w:fill="FFFFFF"/>
            <w:tcMar>
              <w:top w:w="15" w:type="dxa"/>
              <w:left w:w="0" w:type="dxa"/>
              <w:bottom w:w="0" w:type="dxa"/>
              <w:right w:w="15" w:type="dxa"/>
            </w:tcMar>
            <w:vAlign w:val="bottom"/>
            <w:hideMark/>
          </w:tcPr>
          <w:p w14:paraId="1732DB8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51BBFF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649FB02E"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D36CBE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1A39F63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CA6D7B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67AE9BD6"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09D5375"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66D67F38" w14:textId="77777777">
        <w:trPr>
          <w:divId w:val="245966486"/>
          <w:jc w:val="center"/>
        </w:trPr>
        <w:tc>
          <w:tcPr>
            <w:tcW w:w="3349" w:type="pct"/>
            <w:shd w:val="clear" w:color="auto" w:fill="CFF0FC"/>
            <w:tcMar>
              <w:top w:w="15" w:type="dxa"/>
              <w:left w:w="0" w:type="dxa"/>
              <w:bottom w:w="0" w:type="dxa"/>
              <w:right w:w="15" w:type="dxa"/>
            </w:tcMar>
            <w:hideMark/>
          </w:tcPr>
          <w:p w14:paraId="3703E090" w14:textId="77777777" w:rsidR="00000000" w:rsidRDefault="007125B5">
            <w:pPr>
              <w:pStyle w:val="a3"/>
              <w:spacing w:before="0" w:beforeAutospacing="0" w:after="0" w:afterAutospacing="0"/>
              <w:ind w:left="274"/>
              <w:rPr>
                <w:color w:val="000000"/>
                <w:sz w:val="16"/>
                <w:szCs w:val="16"/>
              </w:rPr>
            </w:pPr>
            <w:r>
              <w:rPr>
                <w:color w:val="000000"/>
                <w:sz w:val="16"/>
                <w:szCs w:val="16"/>
              </w:rPr>
              <w:t>Proceeds from line of credit</w:t>
            </w:r>
          </w:p>
        </w:tc>
        <w:tc>
          <w:tcPr>
            <w:tcW w:w="81" w:type="pct"/>
            <w:shd w:val="clear" w:color="auto" w:fill="CFF0FC"/>
            <w:tcMar>
              <w:top w:w="15" w:type="dxa"/>
              <w:left w:w="0" w:type="dxa"/>
              <w:bottom w:w="0" w:type="dxa"/>
              <w:right w:w="15" w:type="dxa"/>
            </w:tcMar>
            <w:vAlign w:val="bottom"/>
            <w:hideMark/>
          </w:tcPr>
          <w:p w14:paraId="2ACACBD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0FA63D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60D561E2" w14:textId="77777777" w:rsidR="00000000" w:rsidRDefault="007125B5">
            <w:pPr>
              <w:pStyle w:val="a3"/>
              <w:spacing w:before="0" w:beforeAutospacing="0" w:after="0" w:afterAutospacing="0"/>
              <w:jc w:val="right"/>
              <w:rPr>
                <w:color w:val="000000"/>
                <w:sz w:val="16"/>
                <w:szCs w:val="16"/>
              </w:rPr>
            </w:pPr>
            <w:r>
              <w:rPr>
                <w:color w:val="000000"/>
                <w:sz w:val="16"/>
                <w:szCs w:val="16"/>
              </w:rPr>
              <w:t>104,390</w:t>
            </w:r>
          </w:p>
        </w:tc>
        <w:tc>
          <w:tcPr>
            <w:tcW w:w="50" w:type="pct"/>
            <w:shd w:val="clear" w:color="auto" w:fill="CFF0FC"/>
            <w:noWrap/>
            <w:tcMar>
              <w:top w:w="15" w:type="dxa"/>
              <w:left w:w="0" w:type="dxa"/>
              <w:bottom w:w="0" w:type="dxa"/>
              <w:right w:w="15" w:type="dxa"/>
            </w:tcMar>
            <w:vAlign w:val="bottom"/>
            <w:hideMark/>
          </w:tcPr>
          <w:p w14:paraId="7519041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5BBE391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BA1590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67E09544" w14:textId="77777777" w:rsidR="00000000" w:rsidRDefault="007125B5">
            <w:pPr>
              <w:pStyle w:val="a3"/>
              <w:spacing w:before="0" w:beforeAutospacing="0" w:after="0" w:afterAutospacing="0"/>
              <w:jc w:val="right"/>
              <w:rPr>
                <w:color w:val="000000"/>
                <w:sz w:val="16"/>
                <w:szCs w:val="16"/>
              </w:rPr>
            </w:pPr>
            <w:r>
              <w:rPr>
                <w:color w:val="000000"/>
                <w:sz w:val="16"/>
                <w:szCs w:val="16"/>
              </w:rPr>
              <w:t>64,628</w:t>
            </w:r>
          </w:p>
        </w:tc>
        <w:tc>
          <w:tcPr>
            <w:tcW w:w="50" w:type="pct"/>
            <w:shd w:val="clear" w:color="auto" w:fill="CFF0FC"/>
            <w:noWrap/>
            <w:tcMar>
              <w:top w:w="15" w:type="dxa"/>
              <w:left w:w="0" w:type="dxa"/>
              <w:bottom w:w="0" w:type="dxa"/>
              <w:right w:w="15" w:type="dxa"/>
            </w:tcMar>
            <w:vAlign w:val="bottom"/>
            <w:hideMark/>
          </w:tcPr>
          <w:p w14:paraId="2DCB2EFE"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52E59C30" w14:textId="77777777">
        <w:trPr>
          <w:divId w:val="245966486"/>
          <w:jc w:val="center"/>
        </w:trPr>
        <w:tc>
          <w:tcPr>
            <w:tcW w:w="3349" w:type="pct"/>
            <w:shd w:val="clear" w:color="auto" w:fill="FFFFFF"/>
            <w:tcMar>
              <w:top w:w="15" w:type="dxa"/>
              <w:left w:w="0" w:type="dxa"/>
              <w:bottom w:w="0" w:type="dxa"/>
              <w:right w:w="15" w:type="dxa"/>
            </w:tcMar>
            <w:hideMark/>
          </w:tcPr>
          <w:p w14:paraId="4DDB62FB" w14:textId="77777777" w:rsidR="00000000" w:rsidRDefault="007125B5">
            <w:pPr>
              <w:pStyle w:val="a3"/>
              <w:spacing w:before="0" w:beforeAutospacing="0" w:after="0" w:afterAutospacing="0"/>
              <w:ind w:left="274"/>
              <w:rPr>
                <w:color w:val="000000"/>
                <w:sz w:val="16"/>
                <w:szCs w:val="16"/>
              </w:rPr>
            </w:pPr>
            <w:r>
              <w:rPr>
                <w:color w:val="000000"/>
                <w:sz w:val="16"/>
                <w:szCs w:val="16"/>
              </w:rPr>
              <w:t>Payments on line of credit</w:t>
            </w:r>
          </w:p>
        </w:tc>
        <w:tc>
          <w:tcPr>
            <w:tcW w:w="81" w:type="pct"/>
            <w:shd w:val="clear" w:color="auto" w:fill="FFFFFF"/>
            <w:tcMar>
              <w:top w:w="15" w:type="dxa"/>
              <w:left w:w="0" w:type="dxa"/>
              <w:bottom w:w="0" w:type="dxa"/>
              <w:right w:w="15" w:type="dxa"/>
            </w:tcMar>
            <w:vAlign w:val="bottom"/>
            <w:hideMark/>
          </w:tcPr>
          <w:p w14:paraId="747116A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17E7B2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5C475E75" w14:textId="77777777" w:rsidR="00000000" w:rsidRDefault="007125B5">
            <w:pPr>
              <w:pStyle w:val="a3"/>
              <w:spacing w:before="0" w:beforeAutospacing="0" w:after="0" w:afterAutospacing="0"/>
              <w:jc w:val="right"/>
              <w:rPr>
                <w:color w:val="000000"/>
                <w:sz w:val="16"/>
                <w:szCs w:val="16"/>
              </w:rPr>
            </w:pPr>
            <w:r>
              <w:rPr>
                <w:color w:val="000000"/>
                <w:sz w:val="16"/>
                <w:szCs w:val="16"/>
              </w:rPr>
              <w:t>(176,980</w:t>
            </w:r>
          </w:p>
        </w:tc>
        <w:tc>
          <w:tcPr>
            <w:tcW w:w="50" w:type="pct"/>
            <w:shd w:val="clear" w:color="auto" w:fill="FFFFFF"/>
            <w:noWrap/>
            <w:tcMar>
              <w:top w:w="15" w:type="dxa"/>
              <w:left w:w="0" w:type="dxa"/>
              <w:bottom w:w="0" w:type="dxa"/>
              <w:right w:w="15" w:type="dxa"/>
            </w:tcMar>
            <w:vAlign w:val="bottom"/>
            <w:hideMark/>
          </w:tcPr>
          <w:p w14:paraId="38FF9FCC"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41A2212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DF09C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1E85B4CA" w14:textId="77777777" w:rsidR="00000000" w:rsidRDefault="007125B5">
            <w:pPr>
              <w:pStyle w:val="a3"/>
              <w:spacing w:before="0" w:beforeAutospacing="0" w:after="0" w:afterAutospacing="0"/>
              <w:jc w:val="right"/>
              <w:rPr>
                <w:color w:val="000000"/>
                <w:sz w:val="16"/>
                <w:szCs w:val="16"/>
              </w:rPr>
            </w:pPr>
            <w:r>
              <w:rPr>
                <w:color w:val="000000"/>
                <w:sz w:val="16"/>
                <w:szCs w:val="16"/>
              </w:rPr>
              <w:t>(40,628</w:t>
            </w:r>
          </w:p>
        </w:tc>
        <w:tc>
          <w:tcPr>
            <w:tcW w:w="50" w:type="pct"/>
            <w:shd w:val="clear" w:color="auto" w:fill="FFFFFF"/>
            <w:noWrap/>
            <w:tcMar>
              <w:top w:w="15" w:type="dxa"/>
              <w:left w:w="0" w:type="dxa"/>
              <w:bottom w:w="0" w:type="dxa"/>
              <w:right w:w="15" w:type="dxa"/>
            </w:tcMar>
            <w:vAlign w:val="bottom"/>
            <w:hideMark/>
          </w:tcPr>
          <w:p w14:paraId="0A75590A"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1B5BE01F" w14:textId="77777777">
        <w:trPr>
          <w:divId w:val="245966486"/>
          <w:jc w:val="center"/>
        </w:trPr>
        <w:tc>
          <w:tcPr>
            <w:tcW w:w="3349" w:type="pct"/>
            <w:shd w:val="clear" w:color="auto" w:fill="CFF0FC"/>
            <w:tcMar>
              <w:top w:w="15" w:type="dxa"/>
              <w:left w:w="0" w:type="dxa"/>
              <w:bottom w:w="0" w:type="dxa"/>
              <w:right w:w="15" w:type="dxa"/>
            </w:tcMar>
            <w:hideMark/>
          </w:tcPr>
          <w:p w14:paraId="4DA5C92F" w14:textId="77777777" w:rsidR="00000000" w:rsidRDefault="007125B5">
            <w:pPr>
              <w:pStyle w:val="a3"/>
              <w:spacing w:before="0" w:beforeAutospacing="0" w:after="0" w:afterAutospacing="0"/>
              <w:ind w:left="274"/>
              <w:rPr>
                <w:color w:val="000000"/>
                <w:sz w:val="16"/>
                <w:szCs w:val="16"/>
              </w:rPr>
            </w:pPr>
            <w:r>
              <w:rPr>
                <w:color w:val="000000"/>
                <w:sz w:val="16"/>
                <w:szCs w:val="16"/>
              </w:rPr>
              <w:t>Proceeds from term loans</w:t>
            </w:r>
          </w:p>
        </w:tc>
        <w:tc>
          <w:tcPr>
            <w:tcW w:w="81" w:type="pct"/>
            <w:shd w:val="clear" w:color="auto" w:fill="CFF0FC"/>
            <w:tcMar>
              <w:top w:w="15" w:type="dxa"/>
              <w:left w:w="0" w:type="dxa"/>
              <w:bottom w:w="0" w:type="dxa"/>
              <w:right w:w="15" w:type="dxa"/>
            </w:tcMar>
            <w:vAlign w:val="bottom"/>
            <w:hideMark/>
          </w:tcPr>
          <w:p w14:paraId="6C23F18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9F6BA7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495D2873" w14:textId="77777777" w:rsidR="00000000" w:rsidRDefault="007125B5">
            <w:pPr>
              <w:pStyle w:val="a3"/>
              <w:spacing w:before="0" w:beforeAutospacing="0" w:after="0" w:afterAutospacing="0"/>
              <w:jc w:val="right"/>
              <w:rPr>
                <w:color w:val="000000"/>
                <w:sz w:val="16"/>
                <w:szCs w:val="16"/>
              </w:rPr>
            </w:pPr>
            <w:r>
              <w:rPr>
                <w:color w:val="000000"/>
                <w:sz w:val="16"/>
                <w:szCs w:val="16"/>
              </w:rPr>
              <w:t>175,000</w:t>
            </w:r>
          </w:p>
        </w:tc>
        <w:tc>
          <w:tcPr>
            <w:tcW w:w="50" w:type="pct"/>
            <w:shd w:val="clear" w:color="auto" w:fill="CFF0FC"/>
            <w:noWrap/>
            <w:tcMar>
              <w:top w:w="15" w:type="dxa"/>
              <w:left w:w="0" w:type="dxa"/>
              <w:bottom w:w="0" w:type="dxa"/>
              <w:right w:w="15" w:type="dxa"/>
            </w:tcMar>
            <w:vAlign w:val="bottom"/>
            <w:hideMark/>
          </w:tcPr>
          <w:p w14:paraId="15E591D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23193C6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A2E031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72398FD9"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55079C2"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571C223C" w14:textId="77777777">
        <w:trPr>
          <w:divId w:val="245966486"/>
          <w:jc w:val="center"/>
        </w:trPr>
        <w:tc>
          <w:tcPr>
            <w:tcW w:w="3349" w:type="pct"/>
            <w:shd w:val="clear" w:color="auto" w:fill="FFFFFF"/>
            <w:tcMar>
              <w:top w:w="15" w:type="dxa"/>
              <w:left w:w="0" w:type="dxa"/>
              <w:bottom w:w="0" w:type="dxa"/>
              <w:right w:w="15" w:type="dxa"/>
            </w:tcMar>
            <w:hideMark/>
          </w:tcPr>
          <w:p w14:paraId="2EB1B42B" w14:textId="77777777" w:rsidR="00000000" w:rsidRDefault="007125B5">
            <w:pPr>
              <w:pStyle w:val="a3"/>
              <w:spacing w:before="0" w:beforeAutospacing="0" w:after="0" w:afterAutospacing="0"/>
              <w:ind w:left="274"/>
              <w:rPr>
                <w:color w:val="000000"/>
                <w:sz w:val="16"/>
                <w:szCs w:val="16"/>
              </w:rPr>
            </w:pPr>
            <w:r>
              <w:rPr>
                <w:color w:val="000000"/>
                <w:sz w:val="16"/>
                <w:szCs w:val="16"/>
              </w:rPr>
              <w:t>Repayment of term loans</w:t>
            </w:r>
          </w:p>
        </w:tc>
        <w:tc>
          <w:tcPr>
            <w:tcW w:w="81" w:type="pct"/>
            <w:shd w:val="clear" w:color="auto" w:fill="FFFFFF"/>
            <w:tcMar>
              <w:top w:w="15" w:type="dxa"/>
              <w:left w:w="0" w:type="dxa"/>
              <w:bottom w:w="0" w:type="dxa"/>
              <w:right w:w="15" w:type="dxa"/>
            </w:tcMar>
            <w:vAlign w:val="bottom"/>
            <w:hideMark/>
          </w:tcPr>
          <w:p w14:paraId="7259A43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FDE6E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6E9162EC" w14:textId="77777777" w:rsidR="00000000" w:rsidRDefault="007125B5">
            <w:pPr>
              <w:pStyle w:val="a3"/>
              <w:spacing w:before="0" w:beforeAutospacing="0" w:after="0" w:afterAutospacing="0"/>
              <w:jc w:val="right"/>
              <w:rPr>
                <w:color w:val="000000"/>
                <w:sz w:val="16"/>
                <w:szCs w:val="16"/>
              </w:rPr>
            </w:pPr>
            <w:r>
              <w:rPr>
                <w:color w:val="000000"/>
                <w:sz w:val="16"/>
                <w:szCs w:val="16"/>
              </w:rPr>
              <w:t>(48,750</w:t>
            </w:r>
          </w:p>
        </w:tc>
        <w:tc>
          <w:tcPr>
            <w:tcW w:w="50" w:type="pct"/>
            <w:shd w:val="clear" w:color="auto" w:fill="FFFFFF"/>
            <w:noWrap/>
            <w:tcMar>
              <w:top w:w="15" w:type="dxa"/>
              <w:left w:w="0" w:type="dxa"/>
              <w:bottom w:w="0" w:type="dxa"/>
              <w:right w:w="15" w:type="dxa"/>
            </w:tcMar>
            <w:vAlign w:val="bottom"/>
            <w:hideMark/>
          </w:tcPr>
          <w:p w14:paraId="5A8CDA90"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68A9B6A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1D0230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8DD2DB2"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82ED132"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5A51E552" w14:textId="77777777">
        <w:trPr>
          <w:divId w:val="245966486"/>
          <w:jc w:val="center"/>
        </w:trPr>
        <w:tc>
          <w:tcPr>
            <w:tcW w:w="3349" w:type="pct"/>
            <w:shd w:val="clear" w:color="auto" w:fill="CFF0FC"/>
            <w:tcMar>
              <w:top w:w="15" w:type="dxa"/>
              <w:left w:w="0" w:type="dxa"/>
              <w:bottom w:w="0" w:type="dxa"/>
              <w:right w:w="15" w:type="dxa"/>
            </w:tcMar>
            <w:hideMark/>
          </w:tcPr>
          <w:p w14:paraId="6D5A450A" w14:textId="77777777" w:rsidR="00000000" w:rsidRDefault="007125B5">
            <w:pPr>
              <w:pStyle w:val="a3"/>
              <w:spacing w:before="0" w:beforeAutospacing="0" w:after="0" w:afterAutospacing="0"/>
              <w:ind w:left="274"/>
              <w:rPr>
                <w:color w:val="000000"/>
                <w:sz w:val="16"/>
                <w:szCs w:val="16"/>
              </w:rPr>
            </w:pPr>
            <w:r>
              <w:rPr>
                <w:color w:val="000000"/>
                <w:sz w:val="16"/>
                <w:szCs w:val="16"/>
              </w:rPr>
              <w:t>Payment of contingent consideration and other assumed purchase price obligations</w:t>
            </w:r>
          </w:p>
        </w:tc>
        <w:tc>
          <w:tcPr>
            <w:tcW w:w="81" w:type="pct"/>
            <w:shd w:val="clear" w:color="auto" w:fill="CFF0FC"/>
            <w:tcMar>
              <w:top w:w="15" w:type="dxa"/>
              <w:left w:w="0" w:type="dxa"/>
              <w:bottom w:w="0" w:type="dxa"/>
              <w:right w:w="15" w:type="dxa"/>
            </w:tcMar>
            <w:vAlign w:val="bottom"/>
            <w:hideMark/>
          </w:tcPr>
          <w:p w14:paraId="3B178A6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124FE9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5348902C" w14:textId="77777777" w:rsidR="00000000" w:rsidRDefault="007125B5">
            <w:pPr>
              <w:pStyle w:val="a3"/>
              <w:spacing w:before="0" w:beforeAutospacing="0" w:after="0" w:afterAutospacing="0"/>
              <w:jc w:val="right"/>
              <w:rPr>
                <w:color w:val="000000"/>
                <w:sz w:val="16"/>
                <w:szCs w:val="16"/>
              </w:rPr>
            </w:pPr>
            <w:r>
              <w:rPr>
                <w:color w:val="000000"/>
                <w:sz w:val="16"/>
                <w:szCs w:val="16"/>
              </w:rPr>
              <w:t>(6,005</w:t>
            </w:r>
          </w:p>
        </w:tc>
        <w:tc>
          <w:tcPr>
            <w:tcW w:w="50" w:type="pct"/>
            <w:shd w:val="clear" w:color="auto" w:fill="CFF0FC"/>
            <w:noWrap/>
            <w:tcMar>
              <w:top w:w="15" w:type="dxa"/>
              <w:left w:w="0" w:type="dxa"/>
              <w:bottom w:w="0" w:type="dxa"/>
              <w:right w:w="15" w:type="dxa"/>
            </w:tcMar>
            <w:vAlign w:val="bottom"/>
            <w:hideMark/>
          </w:tcPr>
          <w:p w14:paraId="21CFB83C"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38DB9DE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C44908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4D69C2C4" w14:textId="77777777" w:rsidR="00000000" w:rsidRDefault="007125B5">
            <w:pPr>
              <w:pStyle w:val="a3"/>
              <w:spacing w:before="0" w:beforeAutospacing="0" w:after="0" w:afterAutospacing="0"/>
              <w:jc w:val="right"/>
              <w:rPr>
                <w:color w:val="000000"/>
                <w:sz w:val="16"/>
                <w:szCs w:val="16"/>
              </w:rPr>
            </w:pPr>
            <w:r>
              <w:rPr>
                <w:color w:val="000000"/>
                <w:sz w:val="16"/>
                <w:szCs w:val="16"/>
              </w:rPr>
              <w:t>(532</w:t>
            </w:r>
          </w:p>
        </w:tc>
        <w:tc>
          <w:tcPr>
            <w:tcW w:w="50" w:type="pct"/>
            <w:shd w:val="clear" w:color="auto" w:fill="CFF0FC"/>
            <w:noWrap/>
            <w:tcMar>
              <w:top w:w="15" w:type="dxa"/>
              <w:left w:w="0" w:type="dxa"/>
              <w:bottom w:w="0" w:type="dxa"/>
              <w:right w:w="15" w:type="dxa"/>
            </w:tcMar>
            <w:vAlign w:val="bottom"/>
            <w:hideMark/>
          </w:tcPr>
          <w:p w14:paraId="6D61C1BA"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34B3B014" w14:textId="77777777">
        <w:trPr>
          <w:divId w:val="245966486"/>
          <w:jc w:val="center"/>
        </w:trPr>
        <w:tc>
          <w:tcPr>
            <w:tcW w:w="3349" w:type="pct"/>
            <w:shd w:val="clear" w:color="auto" w:fill="FFFFFF"/>
            <w:tcMar>
              <w:top w:w="15" w:type="dxa"/>
              <w:left w:w="0" w:type="dxa"/>
              <w:bottom w:w="0" w:type="dxa"/>
              <w:right w:w="15" w:type="dxa"/>
            </w:tcMar>
            <w:hideMark/>
          </w:tcPr>
          <w:p w14:paraId="12D7523C" w14:textId="77777777" w:rsidR="00000000" w:rsidRDefault="007125B5">
            <w:pPr>
              <w:pStyle w:val="a3"/>
              <w:spacing w:before="0" w:beforeAutospacing="0" w:after="0" w:afterAutospacing="0"/>
              <w:ind w:left="274"/>
              <w:rPr>
                <w:color w:val="000000"/>
                <w:sz w:val="16"/>
                <w:szCs w:val="16"/>
              </w:rPr>
            </w:pPr>
            <w:r>
              <w:rPr>
                <w:color w:val="000000"/>
                <w:sz w:val="16"/>
                <w:szCs w:val="16"/>
              </w:rPr>
              <w:t>Repayment of capital leases</w:t>
            </w:r>
          </w:p>
        </w:tc>
        <w:tc>
          <w:tcPr>
            <w:tcW w:w="81" w:type="pct"/>
            <w:shd w:val="clear" w:color="auto" w:fill="FFFFFF"/>
            <w:tcMar>
              <w:top w:w="15" w:type="dxa"/>
              <w:left w:w="0" w:type="dxa"/>
              <w:bottom w:w="0" w:type="dxa"/>
              <w:right w:w="15" w:type="dxa"/>
            </w:tcMar>
            <w:vAlign w:val="bottom"/>
            <w:hideMark/>
          </w:tcPr>
          <w:p w14:paraId="697A7A4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B29FC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51A8A441" w14:textId="77777777" w:rsidR="00000000" w:rsidRDefault="007125B5">
            <w:pPr>
              <w:pStyle w:val="a3"/>
              <w:spacing w:before="0" w:beforeAutospacing="0" w:after="0" w:afterAutospacing="0"/>
              <w:jc w:val="right"/>
              <w:rPr>
                <w:color w:val="000000"/>
                <w:sz w:val="16"/>
                <w:szCs w:val="16"/>
              </w:rPr>
            </w:pPr>
            <w:r>
              <w:rPr>
                <w:color w:val="000000"/>
                <w:sz w:val="16"/>
                <w:szCs w:val="16"/>
              </w:rPr>
              <w:t>(1,249</w:t>
            </w:r>
          </w:p>
        </w:tc>
        <w:tc>
          <w:tcPr>
            <w:tcW w:w="50" w:type="pct"/>
            <w:shd w:val="clear" w:color="auto" w:fill="FFFFFF"/>
            <w:noWrap/>
            <w:tcMar>
              <w:top w:w="15" w:type="dxa"/>
              <w:left w:w="0" w:type="dxa"/>
              <w:bottom w:w="0" w:type="dxa"/>
              <w:right w:w="15" w:type="dxa"/>
            </w:tcMar>
            <w:vAlign w:val="bottom"/>
            <w:hideMark/>
          </w:tcPr>
          <w:p w14:paraId="4DB24155"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4A812D0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AA170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10423014" w14:textId="77777777" w:rsidR="00000000" w:rsidRDefault="007125B5">
            <w:pPr>
              <w:pStyle w:val="a3"/>
              <w:spacing w:before="0" w:beforeAutospacing="0" w:after="0" w:afterAutospacing="0"/>
              <w:jc w:val="right"/>
              <w:rPr>
                <w:color w:val="000000"/>
                <w:sz w:val="16"/>
                <w:szCs w:val="16"/>
              </w:rPr>
            </w:pPr>
            <w:r>
              <w:rPr>
                <w:color w:val="000000"/>
                <w:sz w:val="16"/>
                <w:szCs w:val="16"/>
              </w:rPr>
              <w:t>(821</w:t>
            </w:r>
          </w:p>
        </w:tc>
        <w:tc>
          <w:tcPr>
            <w:tcW w:w="50" w:type="pct"/>
            <w:shd w:val="clear" w:color="auto" w:fill="FFFFFF"/>
            <w:noWrap/>
            <w:tcMar>
              <w:top w:w="15" w:type="dxa"/>
              <w:left w:w="0" w:type="dxa"/>
              <w:bottom w:w="0" w:type="dxa"/>
              <w:right w:w="15" w:type="dxa"/>
            </w:tcMar>
            <w:vAlign w:val="bottom"/>
            <w:hideMark/>
          </w:tcPr>
          <w:p w14:paraId="563B1C26"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17611EF8" w14:textId="77777777">
        <w:trPr>
          <w:divId w:val="245966486"/>
          <w:jc w:val="center"/>
        </w:trPr>
        <w:tc>
          <w:tcPr>
            <w:tcW w:w="3349" w:type="pct"/>
            <w:shd w:val="clear" w:color="auto" w:fill="CFF0FC"/>
            <w:tcMar>
              <w:top w:w="15" w:type="dxa"/>
              <w:left w:w="0" w:type="dxa"/>
              <w:bottom w:w="0" w:type="dxa"/>
              <w:right w:w="15" w:type="dxa"/>
            </w:tcMar>
            <w:hideMark/>
          </w:tcPr>
          <w:p w14:paraId="6C76B3AC" w14:textId="77777777" w:rsidR="00000000" w:rsidRDefault="007125B5">
            <w:pPr>
              <w:pStyle w:val="a3"/>
              <w:spacing w:before="0" w:beforeAutospacing="0" w:after="0" w:afterAutospacing="0"/>
              <w:ind w:left="274"/>
              <w:rPr>
                <w:color w:val="000000"/>
                <w:sz w:val="16"/>
                <w:szCs w:val="16"/>
              </w:rPr>
            </w:pPr>
            <w:r>
              <w:rPr>
                <w:color w:val="000000"/>
                <w:sz w:val="16"/>
                <w:szCs w:val="16"/>
              </w:rPr>
              <w:t>Payments on deferred offering costs</w:t>
            </w:r>
          </w:p>
        </w:tc>
        <w:tc>
          <w:tcPr>
            <w:tcW w:w="81" w:type="pct"/>
            <w:shd w:val="clear" w:color="auto" w:fill="CFF0FC"/>
            <w:tcMar>
              <w:top w:w="15" w:type="dxa"/>
              <w:left w:w="0" w:type="dxa"/>
              <w:bottom w:w="0" w:type="dxa"/>
              <w:right w:w="15" w:type="dxa"/>
            </w:tcMar>
            <w:vAlign w:val="bottom"/>
            <w:hideMark/>
          </w:tcPr>
          <w:p w14:paraId="20D7C77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10C155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179BA724" w14:textId="77777777" w:rsidR="00000000" w:rsidRDefault="007125B5">
            <w:pPr>
              <w:pStyle w:val="a3"/>
              <w:spacing w:before="0" w:beforeAutospacing="0" w:after="0" w:afterAutospacing="0"/>
              <w:jc w:val="right"/>
              <w:rPr>
                <w:color w:val="000000"/>
                <w:sz w:val="16"/>
                <w:szCs w:val="16"/>
              </w:rPr>
            </w:pPr>
            <w:r>
              <w:rPr>
                <w:color w:val="000000"/>
                <w:sz w:val="16"/>
                <w:szCs w:val="16"/>
              </w:rPr>
              <w:t>(1,462</w:t>
            </w:r>
          </w:p>
        </w:tc>
        <w:tc>
          <w:tcPr>
            <w:tcW w:w="50" w:type="pct"/>
            <w:shd w:val="clear" w:color="auto" w:fill="CFF0FC"/>
            <w:noWrap/>
            <w:tcMar>
              <w:top w:w="15" w:type="dxa"/>
              <w:left w:w="0" w:type="dxa"/>
              <w:bottom w:w="0" w:type="dxa"/>
              <w:right w:w="15" w:type="dxa"/>
            </w:tcMar>
            <w:vAlign w:val="bottom"/>
            <w:hideMark/>
          </w:tcPr>
          <w:p w14:paraId="4967BF35"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2C1F37C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4AAEFB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6CBAD19C"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6084C3A"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1CD2A0B3" w14:textId="77777777">
        <w:trPr>
          <w:divId w:val="245966486"/>
          <w:jc w:val="center"/>
        </w:trPr>
        <w:tc>
          <w:tcPr>
            <w:tcW w:w="3349" w:type="pct"/>
            <w:shd w:val="clear" w:color="auto" w:fill="FFFFFF"/>
            <w:tcMar>
              <w:top w:w="15" w:type="dxa"/>
              <w:left w:w="0" w:type="dxa"/>
              <w:bottom w:w="0" w:type="dxa"/>
              <w:right w:w="15" w:type="dxa"/>
            </w:tcMar>
            <w:hideMark/>
          </w:tcPr>
          <w:p w14:paraId="03EDD807" w14:textId="77777777" w:rsidR="00000000" w:rsidRDefault="007125B5">
            <w:pPr>
              <w:pStyle w:val="a3"/>
              <w:spacing w:before="0" w:beforeAutospacing="0" w:after="0" w:afterAutospacing="0"/>
              <w:ind w:left="274"/>
              <w:rPr>
                <w:color w:val="000000"/>
                <w:sz w:val="16"/>
                <w:szCs w:val="16"/>
              </w:rPr>
            </w:pPr>
            <w:r>
              <w:rPr>
                <w:color w:val="000000"/>
                <w:sz w:val="16"/>
                <w:szCs w:val="16"/>
              </w:rPr>
              <w:t>Debt issuance cost</w:t>
            </w:r>
          </w:p>
        </w:tc>
        <w:tc>
          <w:tcPr>
            <w:tcW w:w="81" w:type="pct"/>
            <w:shd w:val="clear" w:color="auto" w:fill="FFFFFF"/>
            <w:tcMar>
              <w:top w:w="15" w:type="dxa"/>
              <w:left w:w="0" w:type="dxa"/>
              <w:bottom w:w="0" w:type="dxa"/>
              <w:right w:w="15" w:type="dxa"/>
            </w:tcMar>
            <w:vAlign w:val="bottom"/>
            <w:hideMark/>
          </w:tcPr>
          <w:p w14:paraId="5685466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1EAD0A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853A4CF" w14:textId="77777777" w:rsidR="00000000" w:rsidRDefault="007125B5">
            <w:pPr>
              <w:pStyle w:val="a3"/>
              <w:spacing w:before="0" w:beforeAutospacing="0" w:after="0" w:afterAutospacing="0"/>
              <w:jc w:val="right"/>
              <w:rPr>
                <w:color w:val="000000"/>
                <w:sz w:val="16"/>
                <w:szCs w:val="16"/>
              </w:rPr>
            </w:pPr>
            <w:r>
              <w:rPr>
                <w:color w:val="000000"/>
                <w:sz w:val="16"/>
                <w:szCs w:val="16"/>
              </w:rPr>
              <w:t>(4,866</w:t>
            </w:r>
          </w:p>
        </w:tc>
        <w:tc>
          <w:tcPr>
            <w:tcW w:w="50" w:type="pct"/>
            <w:shd w:val="clear" w:color="auto" w:fill="FFFFFF"/>
            <w:noWrap/>
            <w:tcMar>
              <w:top w:w="15" w:type="dxa"/>
              <w:left w:w="0" w:type="dxa"/>
              <w:bottom w:w="0" w:type="dxa"/>
              <w:right w:w="15" w:type="dxa"/>
            </w:tcMar>
            <w:vAlign w:val="bottom"/>
            <w:hideMark/>
          </w:tcPr>
          <w:p w14:paraId="7BE662A0"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14:paraId="506294A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ECABB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42858E43"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8AF6C18"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348B4E5B" w14:textId="77777777">
        <w:trPr>
          <w:divId w:val="245966486"/>
          <w:jc w:val="center"/>
        </w:trPr>
        <w:tc>
          <w:tcPr>
            <w:tcW w:w="3349" w:type="pct"/>
            <w:shd w:val="clear" w:color="auto" w:fill="CFF0FC"/>
            <w:tcMar>
              <w:top w:w="15" w:type="dxa"/>
              <w:left w:w="0" w:type="dxa"/>
              <w:bottom w:w="0" w:type="dxa"/>
              <w:right w:w="15" w:type="dxa"/>
            </w:tcMar>
            <w:hideMark/>
          </w:tcPr>
          <w:p w14:paraId="576BAD8C" w14:textId="77777777" w:rsidR="00000000" w:rsidRDefault="007125B5">
            <w:pPr>
              <w:pStyle w:val="a3"/>
              <w:spacing w:before="0" w:beforeAutospacing="0" w:after="0" w:afterAutospacing="0"/>
              <w:ind w:left="274"/>
              <w:rPr>
                <w:color w:val="000000"/>
                <w:sz w:val="16"/>
                <w:szCs w:val="16"/>
              </w:rPr>
            </w:pPr>
            <w:r>
              <w:rPr>
                <w:color w:val="000000"/>
                <w:sz w:val="16"/>
                <w:szCs w:val="16"/>
              </w:rPr>
              <w:t>Debt extinguishment costs</w:t>
            </w:r>
          </w:p>
        </w:tc>
        <w:tc>
          <w:tcPr>
            <w:tcW w:w="81" w:type="pct"/>
            <w:shd w:val="clear" w:color="auto" w:fill="CFF0FC"/>
            <w:tcMar>
              <w:top w:w="15" w:type="dxa"/>
              <w:left w:w="0" w:type="dxa"/>
              <w:bottom w:w="0" w:type="dxa"/>
              <w:right w:w="15" w:type="dxa"/>
            </w:tcMar>
            <w:vAlign w:val="bottom"/>
            <w:hideMark/>
          </w:tcPr>
          <w:p w14:paraId="58EDA86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06166E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23B4B72F" w14:textId="77777777" w:rsidR="00000000" w:rsidRDefault="007125B5">
            <w:pPr>
              <w:pStyle w:val="a3"/>
              <w:spacing w:before="0" w:beforeAutospacing="0" w:after="0" w:afterAutospacing="0"/>
              <w:jc w:val="right"/>
              <w:rPr>
                <w:color w:val="000000"/>
                <w:sz w:val="16"/>
                <w:szCs w:val="16"/>
              </w:rPr>
            </w:pPr>
            <w:r>
              <w:rPr>
                <w:color w:val="000000"/>
                <w:sz w:val="16"/>
                <w:szCs w:val="16"/>
              </w:rPr>
              <w:t>(351</w:t>
            </w:r>
          </w:p>
        </w:tc>
        <w:tc>
          <w:tcPr>
            <w:tcW w:w="50" w:type="pct"/>
            <w:shd w:val="clear" w:color="auto" w:fill="CFF0FC"/>
            <w:noWrap/>
            <w:tcMar>
              <w:top w:w="15" w:type="dxa"/>
              <w:left w:w="0" w:type="dxa"/>
              <w:bottom w:w="0" w:type="dxa"/>
              <w:right w:w="15" w:type="dxa"/>
            </w:tcMar>
            <w:vAlign w:val="bottom"/>
            <w:hideMark/>
          </w:tcPr>
          <w:p w14:paraId="66E439B3"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14:paraId="5C8667A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B42A95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376823C3"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130B48D"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65ADFA53" w14:textId="77777777">
        <w:trPr>
          <w:divId w:val="245966486"/>
          <w:jc w:val="center"/>
        </w:trPr>
        <w:tc>
          <w:tcPr>
            <w:tcW w:w="3349" w:type="pct"/>
            <w:shd w:val="clear" w:color="auto" w:fill="FFFFFF"/>
            <w:tcMar>
              <w:top w:w="15" w:type="dxa"/>
              <w:left w:w="0" w:type="dxa"/>
              <w:bottom w:w="0" w:type="dxa"/>
              <w:right w:w="15" w:type="dxa"/>
            </w:tcMar>
            <w:hideMark/>
          </w:tcPr>
          <w:p w14:paraId="5F49B753" w14:textId="77777777" w:rsidR="00000000" w:rsidRDefault="007125B5">
            <w:pPr>
              <w:pStyle w:val="a3"/>
              <w:spacing w:before="0" w:beforeAutospacing="0" w:after="0" w:afterAutospacing="0"/>
              <w:ind w:left="274"/>
              <w:rPr>
                <w:color w:val="000000"/>
                <w:sz w:val="16"/>
                <w:szCs w:val="16"/>
              </w:rPr>
            </w:pPr>
            <w:r>
              <w:rPr>
                <w:color w:val="000000"/>
                <w:sz w:val="16"/>
                <w:szCs w:val="16"/>
              </w:rPr>
              <w:t>Proceeds from issuance of common stock</w:t>
            </w:r>
          </w:p>
        </w:tc>
        <w:tc>
          <w:tcPr>
            <w:tcW w:w="81" w:type="pct"/>
            <w:shd w:val="clear" w:color="auto" w:fill="FFFFFF"/>
            <w:tcMar>
              <w:top w:w="15" w:type="dxa"/>
              <w:left w:w="0" w:type="dxa"/>
              <w:bottom w:w="0" w:type="dxa"/>
              <w:right w:w="15" w:type="dxa"/>
            </w:tcMar>
            <w:vAlign w:val="bottom"/>
            <w:hideMark/>
          </w:tcPr>
          <w:p w14:paraId="2A0AC2D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9E0B9B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D40BF7A" w14:textId="77777777" w:rsidR="00000000" w:rsidRDefault="007125B5">
            <w:pPr>
              <w:pStyle w:val="a3"/>
              <w:spacing w:before="0" w:beforeAutospacing="0" w:after="0" w:afterAutospacing="0"/>
              <w:jc w:val="right"/>
              <w:rPr>
                <w:color w:val="000000"/>
                <w:sz w:val="16"/>
                <w:szCs w:val="16"/>
              </w:rPr>
            </w:pPr>
            <w:r>
              <w:rPr>
                <w:color w:val="000000"/>
                <w:sz w:val="16"/>
                <w:szCs w:val="16"/>
              </w:rPr>
              <w:t>21</w:t>
            </w:r>
          </w:p>
        </w:tc>
        <w:tc>
          <w:tcPr>
            <w:tcW w:w="50" w:type="pct"/>
            <w:shd w:val="clear" w:color="auto" w:fill="FFFFFF"/>
            <w:noWrap/>
            <w:tcMar>
              <w:top w:w="15" w:type="dxa"/>
              <w:left w:w="0" w:type="dxa"/>
              <w:bottom w:w="0" w:type="dxa"/>
              <w:right w:w="15" w:type="dxa"/>
            </w:tcMar>
            <w:vAlign w:val="bottom"/>
            <w:hideMark/>
          </w:tcPr>
          <w:p w14:paraId="77FE6EA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76E8EE5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0D480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5590A063" w14:textId="77777777" w:rsidR="00000000" w:rsidRDefault="007125B5">
            <w:pPr>
              <w:pStyle w:val="a3"/>
              <w:spacing w:before="0" w:beforeAutospacing="0" w:after="0" w:afterAutospacing="0"/>
              <w:jc w:val="right"/>
              <w:rPr>
                <w:color w:val="000000"/>
                <w:sz w:val="16"/>
                <w:szCs w:val="16"/>
              </w:rPr>
            </w:pPr>
            <w:r>
              <w:rPr>
                <w:color w:val="000000"/>
                <w:sz w:val="16"/>
                <w:szCs w:val="16"/>
              </w:rPr>
              <w:t>95</w:t>
            </w:r>
          </w:p>
        </w:tc>
        <w:tc>
          <w:tcPr>
            <w:tcW w:w="50" w:type="pct"/>
            <w:shd w:val="clear" w:color="auto" w:fill="FFFFFF"/>
            <w:noWrap/>
            <w:tcMar>
              <w:top w:w="15" w:type="dxa"/>
              <w:left w:w="0" w:type="dxa"/>
              <w:bottom w:w="0" w:type="dxa"/>
              <w:right w:w="15" w:type="dxa"/>
            </w:tcMar>
            <w:vAlign w:val="bottom"/>
            <w:hideMark/>
          </w:tcPr>
          <w:p w14:paraId="2865D520"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5A5093A6" w14:textId="77777777">
        <w:trPr>
          <w:divId w:val="245966486"/>
          <w:jc w:val="center"/>
        </w:trPr>
        <w:tc>
          <w:tcPr>
            <w:tcW w:w="3349" w:type="pct"/>
            <w:shd w:val="clear" w:color="auto" w:fill="CFF0FC"/>
            <w:tcMar>
              <w:top w:w="15" w:type="dxa"/>
              <w:left w:w="0" w:type="dxa"/>
              <w:bottom w:w="0" w:type="dxa"/>
              <w:right w:w="15" w:type="dxa"/>
            </w:tcMar>
            <w:hideMark/>
          </w:tcPr>
          <w:p w14:paraId="5E6929DA" w14:textId="77777777" w:rsidR="00000000" w:rsidRDefault="007125B5">
            <w:pPr>
              <w:pStyle w:val="a3"/>
              <w:spacing w:before="0" w:beforeAutospacing="0" w:after="0" w:afterAutospacing="0"/>
              <w:ind w:left="274"/>
              <w:rPr>
                <w:color w:val="000000"/>
                <w:sz w:val="16"/>
                <w:szCs w:val="16"/>
              </w:rPr>
            </w:pPr>
            <w:r>
              <w:rPr>
                <w:color w:val="000000"/>
                <w:sz w:val="16"/>
                <w:szCs w:val="16"/>
              </w:rPr>
              <w:t>Issuance of convertible and redeemable Series A-2 preferred stock and warrant</w:t>
            </w:r>
          </w:p>
        </w:tc>
        <w:tc>
          <w:tcPr>
            <w:tcW w:w="81" w:type="pct"/>
            <w:shd w:val="clear" w:color="auto" w:fill="CFF0FC"/>
            <w:tcMar>
              <w:top w:w="15" w:type="dxa"/>
              <w:left w:w="0" w:type="dxa"/>
              <w:bottom w:w="0" w:type="dxa"/>
              <w:right w:w="15" w:type="dxa"/>
            </w:tcMar>
            <w:vAlign w:val="bottom"/>
            <w:hideMark/>
          </w:tcPr>
          <w:p w14:paraId="0377790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6A931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28992D13" w14:textId="77777777" w:rsidR="00000000" w:rsidRDefault="007125B5">
            <w:pPr>
              <w:pStyle w:val="a3"/>
              <w:spacing w:before="0" w:beforeAutospacing="0" w:after="0" w:afterAutospacing="0"/>
              <w:jc w:val="right"/>
              <w:rPr>
                <w:color w:val="000000"/>
                <w:sz w:val="16"/>
                <w:szCs w:val="16"/>
              </w:rPr>
            </w:pPr>
            <w:r>
              <w:rPr>
                <w:color w:val="000000"/>
                <w:sz w:val="16"/>
                <w:szCs w:val="16"/>
              </w:rPr>
              <w:t>173,664</w:t>
            </w:r>
          </w:p>
        </w:tc>
        <w:tc>
          <w:tcPr>
            <w:tcW w:w="50" w:type="pct"/>
            <w:shd w:val="clear" w:color="auto" w:fill="CFF0FC"/>
            <w:noWrap/>
            <w:tcMar>
              <w:top w:w="15" w:type="dxa"/>
              <w:left w:w="0" w:type="dxa"/>
              <w:bottom w:w="0" w:type="dxa"/>
              <w:right w:w="15" w:type="dxa"/>
            </w:tcMar>
            <w:vAlign w:val="bottom"/>
            <w:hideMark/>
          </w:tcPr>
          <w:p w14:paraId="1762FE5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4BC3C0D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CA00A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386D203"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633BFC5"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32B14E2E" w14:textId="77777777">
        <w:trPr>
          <w:divId w:val="245966486"/>
          <w:jc w:val="center"/>
        </w:trPr>
        <w:tc>
          <w:tcPr>
            <w:tcW w:w="3349" w:type="pct"/>
            <w:shd w:val="clear" w:color="auto" w:fill="FFFFFF"/>
            <w:tcMar>
              <w:top w:w="15" w:type="dxa"/>
              <w:left w:w="0" w:type="dxa"/>
              <w:bottom w:w="0" w:type="dxa"/>
              <w:right w:w="15" w:type="dxa"/>
            </w:tcMar>
            <w:hideMark/>
          </w:tcPr>
          <w:p w14:paraId="603D3227" w14:textId="77777777" w:rsidR="00000000" w:rsidRDefault="007125B5">
            <w:pPr>
              <w:pStyle w:val="a3"/>
              <w:spacing w:before="0" w:beforeAutospacing="0" w:after="0" w:afterAutospacing="0"/>
              <w:ind w:left="1094"/>
              <w:rPr>
                <w:color w:val="000000"/>
                <w:sz w:val="16"/>
                <w:szCs w:val="16"/>
              </w:rPr>
            </w:pPr>
            <w:r>
              <w:rPr>
                <w:color w:val="000000"/>
                <w:sz w:val="16"/>
                <w:szCs w:val="16"/>
              </w:rPr>
              <w:t>Net cash provided by financing activities</w:t>
            </w:r>
          </w:p>
        </w:tc>
        <w:tc>
          <w:tcPr>
            <w:tcW w:w="81" w:type="pct"/>
            <w:shd w:val="clear" w:color="auto" w:fill="FFFFFF"/>
            <w:tcMar>
              <w:top w:w="15" w:type="dxa"/>
              <w:left w:w="0" w:type="dxa"/>
              <w:bottom w:w="0" w:type="dxa"/>
              <w:right w:w="15" w:type="dxa"/>
            </w:tcMar>
            <w:vAlign w:val="bottom"/>
            <w:hideMark/>
          </w:tcPr>
          <w:p w14:paraId="26B9DCC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356C91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6DE759" w14:textId="77777777" w:rsidR="00000000" w:rsidRDefault="007125B5">
            <w:pPr>
              <w:pStyle w:val="a3"/>
              <w:spacing w:before="0" w:beforeAutospacing="0" w:after="0" w:afterAutospacing="0"/>
              <w:jc w:val="right"/>
              <w:rPr>
                <w:color w:val="000000"/>
                <w:sz w:val="16"/>
                <w:szCs w:val="16"/>
              </w:rPr>
            </w:pPr>
            <w:r>
              <w:rPr>
                <w:color w:val="000000"/>
                <w:sz w:val="16"/>
                <w:szCs w:val="16"/>
              </w:rPr>
              <w:t>213,412</w:t>
            </w:r>
          </w:p>
        </w:tc>
        <w:tc>
          <w:tcPr>
            <w:tcW w:w="50" w:type="pct"/>
            <w:shd w:val="clear" w:color="auto" w:fill="FFFFFF"/>
            <w:noWrap/>
            <w:tcMar>
              <w:top w:w="15" w:type="dxa"/>
              <w:left w:w="0" w:type="dxa"/>
              <w:bottom w:w="0" w:type="dxa"/>
              <w:right w:w="15" w:type="dxa"/>
            </w:tcMar>
            <w:vAlign w:val="bottom"/>
            <w:hideMark/>
          </w:tcPr>
          <w:p w14:paraId="5A5139A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791E242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5E77A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2179EC" w14:textId="77777777" w:rsidR="00000000" w:rsidRDefault="007125B5">
            <w:pPr>
              <w:pStyle w:val="a3"/>
              <w:spacing w:before="0" w:beforeAutospacing="0" w:after="0" w:afterAutospacing="0"/>
              <w:jc w:val="right"/>
              <w:rPr>
                <w:color w:val="000000"/>
                <w:sz w:val="16"/>
                <w:szCs w:val="16"/>
              </w:rPr>
            </w:pPr>
            <w:r>
              <w:rPr>
                <w:color w:val="000000"/>
                <w:sz w:val="16"/>
                <w:szCs w:val="16"/>
              </w:rPr>
              <w:t>22,742</w:t>
            </w:r>
          </w:p>
        </w:tc>
        <w:tc>
          <w:tcPr>
            <w:tcW w:w="50" w:type="pct"/>
            <w:shd w:val="clear" w:color="auto" w:fill="FFFFFF"/>
            <w:noWrap/>
            <w:tcMar>
              <w:top w:w="15" w:type="dxa"/>
              <w:left w:w="0" w:type="dxa"/>
              <w:bottom w:w="0" w:type="dxa"/>
              <w:right w:w="15" w:type="dxa"/>
            </w:tcMar>
            <w:vAlign w:val="bottom"/>
            <w:hideMark/>
          </w:tcPr>
          <w:p w14:paraId="2A4EF8F3"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A53E200" w14:textId="77777777">
        <w:trPr>
          <w:divId w:val="245966486"/>
          <w:jc w:val="center"/>
        </w:trPr>
        <w:tc>
          <w:tcPr>
            <w:tcW w:w="3349" w:type="pct"/>
            <w:shd w:val="clear" w:color="auto" w:fill="CFF0FC"/>
            <w:tcMar>
              <w:top w:w="15" w:type="dxa"/>
              <w:left w:w="0" w:type="dxa"/>
              <w:bottom w:w="0" w:type="dxa"/>
              <w:right w:w="15" w:type="dxa"/>
            </w:tcMar>
            <w:hideMark/>
          </w:tcPr>
          <w:p w14:paraId="571114A0" w14:textId="77777777" w:rsidR="00000000" w:rsidRDefault="007125B5">
            <w:pPr>
              <w:pStyle w:val="a3"/>
              <w:spacing w:before="0" w:beforeAutospacing="0" w:after="0" w:afterAutospacing="0"/>
              <w:rPr>
                <w:color w:val="000000"/>
                <w:sz w:val="16"/>
                <w:szCs w:val="16"/>
              </w:rPr>
            </w:pPr>
            <w:r>
              <w:rPr>
                <w:color w:val="000000"/>
                <w:sz w:val="16"/>
                <w:szCs w:val="16"/>
              </w:rPr>
              <w:t>CHANGE IN CASH, CASH EQUIVALENTS AND RESTRICTED CASH</w:t>
            </w:r>
          </w:p>
        </w:tc>
        <w:tc>
          <w:tcPr>
            <w:tcW w:w="81" w:type="pct"/>
            <w:shd w:val="clear" w:color="auto" w:fill="CFF0FC"/>
            <w:tcMar>
              <w:top w:w="15" w:type="dxa"/>
              <w:left w:w="0" w:type="dxa"/>
              <w:bottom w:w="0" w:type="dxa"/>
              <w:right w:w="15" w:type="dxa"/>
            </w:tcMar>
            <w:vAlign w:val="bottom"/>
            <w:hideMark/>
          </w:tcPr>
          <w:p w14:paraId="455116C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E3327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1141A8E" w14:textId="77777777" w:rsidR="00000000" w:rsidRDefault="007125B5">
            <w:pPr>
              <w:pStyle w:val="a3"/>
              <w:spacing w:before="0" w:beforeAutospacing="0" w:after="0" w:afterAutospacing="0"/>
              <w:jc w:val="right"/>
              <w:rPr>
                <w:color w:val="000000"/>
                <w:sz w:val="16"/>
                <w:szCs w:val="16"/>
              </w:rPr>
            </w:pPr>
            <w:r>
              <w:rPr>
                <w:color w:val="000000"/>
                <w:sz w:val="16"/>
                <w:szCs w:val="16"/>
              </w:rPr>
              <w:t>37,859</w:t>
            </w:r>
          </w:p>
        </w:tc>
        <w:tc>
          <w:tcPr>
            <w:tcW w:w="50" w:type="pct"/>
            <w:shd w:val="clear" w:color="auto" w:fill="CFF0FC"/>
            <w:noWrap/>
            <w:tcMar>
              <w:top w:w="15" w:type="dxa"/>
              <w:left w:w="0" w:type="dxa"/>
              <w:bottom w:w="0" w:type="dxa"/>
              <w:right w:w="15" w:type="dxa"/>
            </w:tcMar>
            <w:vAlign w:val="bottom"/>
            <w:hideMark/>
          </w:tcPr>
          <w:p w14:paraId="2B4BA82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107FCA7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865A2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A3E0CE5" w14:textId="77777777" w:rsidR="00000000" w:rsidRDefault="007125B5">
            <w:pPr>
              <w:pStyle w:val="a3"/>
              <w:spacing w:before="0" w:beforeAutospacing="0" w:after="0" w:afterAutospacing="0"/>
              <w:jc w:val="right"/>
              <w:rPr>
                <w:color w:val="000000"/>
                <w:sz w:val="16"/>
                <w:szCs w:val="16"/>
              </w:rPr>
            </w:pPr>
            <w:r>
              <w:rPr>
                <w:color w:val="000000"/>
                <w:sz w:val="16"/>
                <w:szCs w:val="16"/>
              </w:rPr>
              <w:t>(808</w:t>
            </w:r>
          </w:p>
        </w:tc>
        <w:tc>
          <w:tcPr>
            <w:tcW w:w="50" w:type="pct"/>
            <w:shd w:val="clear" w:color="auto" w:fill="CFF0FC"/>
            <w:noWrap/>
            <w:tcMar>
              <w:top w:w="15" w:type="dxa"/>
              <w:left w:w="0" w:type="dxa"/>
              <w:bottom w:w="0" w:type="dxa"/>
              <w:right w:w="15" w:type="dxa"/>
            </w:tcMar>
            <w:vAlign w:val="bottom"/>
            <w:hideMark/>
          </w:tcPr>
          <w:p w14:paraId="69818EE5"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3948C25C" w14:textId="77777777">
        <w:trPr>
          <w:divId w:val="245966486"/>
          <w:jc w:val="center"/>
        </w:trPr>
        <w:tc>
          <w:tcPr>
            <w:tcW w:w="3349" w:type="pct"/>
            <w:shd w:val="clear" w:color="auto" w:fill="FFFFFF"/>
            <w:tcMar>
              <w:top w:w="15" w:type="dxa"/>
              <w:left w:w="0" w:type="dxa"/>
              <w:bottom w:w="0" w:type="dxa"/>
              <w:right w:w="15" w:type="dxa"/>
            </w:tcMar>
            <w:hideMark/>
          </w:tcPr>
          <w:p w14:paraId="6F11E8AC" w14:textId="77777777" w:rsidR="00000000" w:rsidRDefault="007125B5">
            <w:pPr>
              <w:pStyle w:val="a3"/>
              <w:spacing w:before="0" w:beforeAutospacing="0" w:after="0" w:afterAutospacing="0"/>
              <w:ind w:left="274"/>
              <w:rPr>
                <w:color w:val="000000"/>
                <w:sz w:val="16"/>
                <w:szCs w:val="16"/>
              </w:rPr>
            </w:pPr>
            <w:r>
              <w:rPr>
                <w:color w:val="000000"/>
                <w:sz w:val="16"/>
                <w:szCs w:val="16"/>
              </w:rPr>
              <w:t>Foreign exchange impact on cash balance</w:t>
            </w:r>
          </w:p>
        </w:tc>
        <w:tc>
          <w:tcPr>
            <w:tcW w:w="81" w:type="pct"/>
            <w:shd w:val="clear" w:color="auto" w:fill="FFFFFF"/>
            <w:tcMar>
              <w:top w:w="15" w:type="dxa"/>
              <w:left w:w="0" w:type="dxa"/>
              <w:bottom w:w="0" w:type="dxa"/>
              <w:right w:w="15" w:type="dxa"/>
            </w:tcMar>
            <w:vAlign w:val="bottom"/>
            <w:hideMark/>
          </w:tcPr>
          <w:p w14:paraId="1D18040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D601A0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2AD42876" w14:textId="77777777" w:rsidR="00000000" w:rsidRDefault="007125B5">
            <w:pPr>
              <w:pStyle w:val="a3"/>
              <w:spacing w:before="0" w:beforeAutospacing="0" w:after="0" w:afterAutospacing="0"/>
              <w:jc w:val="right"/>
              <w:rPr>
                <w:color w:val="000000"/>
                <w:sz w:val="16"/>
                <w:szCs w:val="16"/>
              </w:rPr>
            </w:pPr>
            <w:r>
              <w:rPr>
                <w:color w:val="000000"/>
                <w:sz w:val="16"/>
                <w:szCs w:val="16"/>
              </w:rPr>
              <w:t>71</w:t>
            </w:r>
          </w:p>
        </w:tc>
        <w:tc>
          <w:tcPr>
            <w:tcW w:w="50" w:type="pct"/>
            <w:shd w:val="clear" w:color="auto" w:fill="FFFFFF"/>
            <w:noWrap/>
            <w:tcMar>
              <w:top w:w="15" w:type="dxa"/>
              <w:left w:w="0" w:type="dxa"/>
              <w:bottom w:w="0" w:type="dxa"/>
              <w:right w:w="15" w:type="dxa"/>
            </w:tcMar>
            <w:vAlign w:val="bottom"/>
            <w:hideMark/>
          </w:tcPr>
          <w:p w14:paraId="2820F22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12F5F63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F2889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736F2467" w14:textId="77777777" w:rsidR="00000000" w:rsidRDefault="007125B5">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FFFFFF"/>
            <w:noWrap/>
            <w:tcMar>
              <w:top w:w="15" w:type="dxa"/>
              <w:left w:w="0" w:type="dxa"/>
              <w:bottom w:w="0" w:type="dxa"/>
              <w:right w:w="15" w:type="dxa"/>
            </w:tcMar>
            <w:vAlign w:val="bottom"/>
            <w:hideMark/>
          </w:tcPr>
          <w:p w14:paraId="09D486EC" w14:textId="77777777" w:rsidR="00000000" w:rsidRDefault="007125B5">
            <w:pPr>
              <w:pStyle w:val="a3"/>
              <w:spacing w:before="0" w:beforeAutospacing="0" w:after="0" w:afterAutospacing="0"/>
              <w:rPr>
                <w:color w:val="000000"/>
                <w:sz w:val="16"/>
                <w:szCs w:val="16"/>
              </w:rPr>
            </w:pPr>
            <w:r>
              <w:rPr>
                <w:color w:val="000000"/>
                <w:sz w:val="16"/>
                <w:szCs w:val="16"/>
              </w:rPr>
              <w:t>)</w:t>
            </w:r>
          </w:p>
        </w:tc>
      </w:tr>
      <w:tr w:rsidR="00000000" w14:paraId="302620E9" w14:textId="77777777">
        <w:trPr>
          <w:divId w:val="245966486"/>
          <w:jc w:val="center"/>
        </w:trPr>
        <w:tc>
          <w:tcPr>
            <w:tcW w:w="3349" w:type="pct"/>
            <w:shd w:val="clear" w:color="auto" w:fill="CFF0FC"/>
            <w:tcMar>
              <w:top w:w="15" w:type="dxa"/>
              <w:left w:w="0" w:type="dxa"/>
              <w:bottom w:w="0" w:type="dxa"/>
              <w:right w:w="15" w:type="dxa"/>
            </w:tcMar>
            <w:hideMark/>
          </w:tcPr>
          <w:p w14:paraId="375506DC" w14:textId="77777777" w:rsidR="00000000" w:rsidRDefault="007125B5">
            <w:pPr>
              <w:pStyle w:val="a3"/>
              <w:spacing w:before="0" w:beforeAutospacing="0" w:after="0" w:afterAutospacing="0"/>
              <w:rPr>
                <w:color w:val="000000"/>
                <w:sz w:val="16"/>
                <w:szCs w:val="16"/>
              </w:rPr>
            </w:pPr>
            <w:r>
              <w:rPr>
                <w:color w:val="000000"/>
                <w:sz w:val="16"/>
                <w:szCs w:val="16"/>
              </w:rPr>
              <w:t>CASH, CASH EQUIVALENTS AND RESTRICTED CASH:</w:t>
            </w:r>
          </w:p>
        </w:tc>
        <w:tc>
          <w:tcPr>
            <w:tcW w:w="81" w:type="pct"/>
            <w:shd w:val="clear" w:color="auto" w:fill="CFF0FC"/>
            <w:tcMar>
              <w:top w:w="15" w:type="dxa"/>
              <w:left w:w="0" w:type="dxa"/>
              <w:bottom w:w="0" w:type="dxa"/>
              <w:right w:w="15" w:type="dxa"/>
            </w:tcMar>
            <w:vAlign w:val="bottom"/>
            <w:hideMark/>
          </w:tcPr>
          <w:p w14:paraId="53F4EBA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602502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51CA7948"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F9B9C2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6FC1FAE0"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FC24F7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5C70992C"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6B10553"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002CC606" w14:textId="77777777">
        <w:trPr>
          <w:divId w:val="245966486"/>
          <w:jc w:val="center"/>
        </w:trPr>
        <w:tc>
          <w:tcPr>
            <w:tcW w:w="3349" w:type="pct"/>
            <w:shd w:val="clear" w:color="auto" w:fill="FFFFFF"/>
            <w:tcMar>
              <w:top w:w="15" w:type="dxa"/>
              <w:left w:w="0" w:type="dxa"/>
              <w:bottom w:w="0" w:type="dxa"/>
              <w:right w:w="15" w:type="dxa"/>
            </w:tcMar>
            <w:hideMark/>
          </w:tcPr>
          <w:p w14:paraId="41C969BB" w14:textId="77777777" w:rsidR="00000000" w:rsidRDefault="007125B5">
            <w:pPr>
              <w:pStyle w:val="a3"/>
              <w:spacing w:before="0" w:beforeAutospacing="0" w:after="0" w:afterAutospacing="0"/>
              <w:ind w:left="274"/>
              <w:rPr>
                <w:color w:val="000000"/>
                <w:sz w:val="16"/>
                <w:szCs w:val="16"/>
              </w:rPr>
            </w:pPr>
            <w:r>
              <w:rPr>
                <w:color w:val="000000"/>
                <w:sz w:val="16"/>
                <w:szCs w:val="16"/>
              </w:rPr>
              <w:t>Beginning of year</w:t>
            </w:r>
          </w:p>
        </w:tc>
        <w:tc>
          <w:tcPr>
            <w:tcW w:w="81" w:type="pct"/>
            <w:shd w:val="clear" w:color="auto" w:fill="FFFFFF"/>
            <w:tcMar>
              <w:top w:w="15" w:type="dxa"/>
              <w:left w:w="0" w:type="dxa"/>
              <w:bottom w:w="0" w:type="dxa"/>
              <w:right w:w="15" w:type="dxa"/>
            </w:tcMar>
            <w:vAlign w:val="bottom"/>
            <w:hideMark/>
          </w:tcPr>
          <w:p w14:paraId="66E9F1A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7E8F29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7EAF0036" w14:textId="77777777" w:rsidR="00000000" w:rsidRDefault="007125B5">
            <w:pPr>
              <w:pStyle w:val="a3"/>
              <w:spacing w:before="0" w:beforeAutospacing="0" w:after="0" w:afterAutospacing="0"/>
              <w:jc w:val="right"/>
              <w:rPr>
                <w:color w:val="000000"/>
                <w:sz w:val="16"/>
                <w:szCs w:val="16"/>
              </w:rPr>
            </w:pPr>
            <w:r>
              <w:rPr>
                <w:color w:val="000000"/>
                <w:sz w:val="16"/>
                <w:szCs w:val="16"/>
              </w:rPr>
              <w:t>6,884</w:t>
            </w:r>
          </w:p>
        </w:tc>
        <w:tc>
          <w:tcPr>
            <w:tcW w:w="50" w:type="pct"/>
            <w:shd w:val="clear" w:color="auto" w:fill="FFFFFF"/>
            <w:noWrap/>
            <w:tcMar>
              <w:top w:w="15" w:type="dxa"/>
              <w:left w:w="0" w:type="dxa"/>
              <w:bottom w:w="0" w:type="dxa"/>
              <w:right w:w="15" w:type="dxa"/>
            </w:tcMar>
            <w:vAlign w:val="bottom"/>
            <w:hideMark/>
          </w:tcPr>
          <w:p w14:paraId="1AA81FC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3ED7575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63E0309"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74076215" w14:textId="77777777" w:rsidR="00000000" w:rsidRDefault="007125B5">
            <w:pPr>
              <w:pStyle w:val="a3"/>
              <w:spacing w:before="0" w:beforeAutospacing="0" w:after="0" w:afterAutospacing="0"/>
              <w:jc w:val="right"/>
              <w:rPr>
                <w:color w:val="000000"/>
                <w:sz w:val="16"/>
                <w:szCs w:val="16"/>
              </w:rPr>
            </w:pPr>
            <w:r>
              <w:rPr>
                <w:color w:val="000000"/>
                <w:sz w:val="16"/>
                <w:szCs w:val="16"/>
              </w:rPr>
              <w:t>2,489</w:t>
            </w:r>
          </w:p>
        </w:tc>
        <w:tc>
          <w:tcPr>
            <w:tcW w:w="50" w:type="pct"/>
            <w:shd w:val="clear" w:color="auto" w:fill="FFFFFF"/>
            <w:noWrap/>
            <w:tcMar>
              <w:top w:w="15" w:type="dxa"/>
              <w:left w:w="0" w:type="dxa"/>
              <w:bottom w:w="0" w:type="dxa"/>
              <w:right w:w="15" w:type="dxa"/>
            </w:tcMar>
            <w:vAlign w:val="bottom"/>
            <w:hideMark/>
          </w:tcPr>
          <w:p w14:paraId="5A4ABC75"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73D7E41B" w14:textId="77777777">
        <w:trPr>
          <w:divId w:val="245966486"/>
          <w:jc w:val="center"/>
        </w:trPr>
        <w:tc>
          <w:tcPr>
            <w:tcW w:w="3349" w:type="pct"/>
            <w:shd w:val="clear" w:color="auto" w:fill="CFF0FC"/>
            <w:tcMar>
              <w:top w:w="15" w:type="dxa"/>
              <w:left w:w="0" w:type="dxa"/>
              <w:bottom w:w="0" w:type="dxa"/>
              <w:right w:w="15" w:type="dxa"/>
            </w:tcMar>
            <w:hideMark/>
          </w:tcPr>
          <w:p w14:paraId="50B58EC6" w14:textId="77777777" w:rsidR="00000000" w:rsidRDefault="007125B5">
            <w:pPr>
              <w:pStyle w:val="a3"/>
              <w:spacing w:before="0" w:beforeAutospacing="0" w:after="0" w:afterAutospacing="0"/>
              <w:ind w:left="274"/>
              <w:rPr>
                <w:color w:val="000000"/>
                <w:sz w:val="16"/>
                <w:szCs w:val="16"/>
              </w:rPr>
            </w:pPr>
            <w:r>
              <w:rPr>
                <w:color w:val="000000"/>
                <w:sz w:val="16"/>
                <w:szCs w:val="16"/>
              </w:rPr>
              <w:t>End of period</w:t>
            </w:r>
          </w:p>
        </w:tc>
        <w:tc>
          <w:tcPr>
            <w:tcW w:w="81" w:type="pct"/>
            <w:shd w:val="clear" w:color="auto" w:fill="CFF0FC"/>
            <w:tcMar>
              <w:top w:w="15" w:type="dxa"/>
              <w:left w:w="0" w:type="dxa"/>
              <w:bottom w:w="0" w:type="dxa"/>
              <w:right w:w="15" w:type="dxa"/>
            </w:tcMar>
            <w:vAlign w:val="bottom"/>
            <w:hideMark/>
          </w:tcPr>
          <w:p w14:paraId="60331D6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FC71C8"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A5CC51" w14:textId="77777777" w:rsidR="00000000" w:rsidRDefault="007125B5">
            <w:pPr>
              <w:pStyle w:val="a3"/>
              <w:spacing w:before="0" w:beforeAutospacing="0" w:after="0" w:afterAutospacing="0"/>
              <w:jc w:val="right"/>
              <w:rPr>
                <w:color w:val="000000"/>
                <w:sz w:val="16"/>
                <w:szCs w:val="16"/>
              </w:rPr>
            </w:pPr>
            <w:r>
              <w:rPr>
                <w:color w:val="000000"/>
                <w:sz w:val="16"/>
                <w:szCs w:val="16"/>
              </w:rPr>
              <w:t>44,814</w:t>
            </w:r>
          </w:p>
        </w:tc>
        <w:tc>
          <w:tcPr>
            <w:tcW w:w="50" w:type="pct"/>
            <w:shd w:val="clear" w:color="auto" w:fill="CFF0FC"/>
            <w:noWrap/>
            <w:tcMar>
              <w:top w:w="15" w:type="dxa"/>
              <w:left w:w="0" w:type="dxa"/>
              <w:bottom w:w="0" w:type="dxa"/>
              <w:right w:w="15" w:type="dxa"/>
            </w:tcMar>
            <w:vAlign w:val="bottom"/>
            <w:hideMark/>
          </w:tcPr>
          <w:p w14:paraId="419BFDEB"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1868E69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629D2D"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347FEB" w14:textId="77777777" w:rsidR="00000000" w:rsidRDefault="007125B5">
            <w:pPr>
              <w:pStyle w:val="a3"/>
              <w:spacing w:before="0" w:beforeAutospacing="0" w:after="0" w:afterAutospacing="0"/>
              <w:jc w:val="right"/>
              <w:rPr>
                <w:color w:val="000000"/>
                <w:sz w:val="16"/>
                <w:szCs w:val="16"/>
              </w:rPr>
            </w:pPr>
            <w:r>
              <w:rPr>
                <w:color w:val="000000"/>
                <w:sz w:val="16"/>
                <w:szCs w:val="16"/>
              </w:rPr>
              <w:t>1,677</w:t>
            </w:r>
          </w:p>
        </w:tc>
        <w:tc>
          <w:tcPr>
            <w:tcW w:w="50" w:type="pct"/>
            <w:shd w:val="clear" w:color="auto" w:fill="CFF0FC"/>
            <w:noWrap/>
            <w:tcMar>
              <w:top w:w="15" w:type="dxa"/>
              <w:left w:w="0" w:type="dxa"/>
              <w:bottom w:w="0" w:type="dxa"/>
              <w:right w:w="15" w:type="dxa"/>
            </w:tcMar>
            <w:vAlign w:val="bottom"/>
            <w:hideMark/>
          </w:tcPr>
          <w:p w14:paraId="361C3988"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392A4EAF" w14:textId="77777777">
        <w:trPr>
          <w:divId w:val="245966486"/>
          <w:jc w:val="center"/>
        </w:trPr>
        <w:tc>
          <w:tcPr>
            <w:tcW w:w="3349" w:type="pct"/>
            <w:shd w:val="clear" w:color="auto" w:fill="FFFFFF"/>
            <w:tcMar>
              <w:top w:w="15" w:type="dxa"/>
              <w:left w:w="0" w:type="dxa"/>
              <w:bottom w:w="0" w:type="dxa"/>
              <w:right w:w="15" w:type="dxa"/>
            </w:tcMar>
            <w:hideMark/>
          </w:tcPr>
          <w:p w14:paraId="3C56C783" w14:textId="77777777" w:rsidR="00000000" w:rsidRDefault="007125B5">
            <w:pPr>
              <w:pStyle w:val="a3"/>
              <w:spacing w:before="0" w:beforeAutospacing="0" w:after="0" w:afterAutospacing="0"/>
              <w:rPr>
                <w:color w:val="000000"/>
                <w:sz w:val="16"/>
                <w:szCs w:val="16"/>
              </w:rPr>
            </w:pPr>
            <w:r>
              <w:rPr>
                <w:color w:val="000000"/>
                <w:sz w:val="16"/>
                <w:szCs w:val="16"/>
              </w:rPr>
              <w:t>SUPPLEMENTAL DISCLOSURES OF CASH FLOWS INFORMATION:</w:t>
            </w:r>
          </w:p>
        </w:tc>
        <w:tc>
          <w:tcPr>
            <w:tcW w:w="81" w:type="pct"/>
            <w:shd w:val="clear" w:color="auto" w:fill="FFFFFF"/>
            <w:tcMar>
              <w:top w:w="15" w:type="dxa"/>
              <w:left w:w="0" w:type="dxa"/>
              <w:bottom w:w="0" w:type="dxa"/>
              <w:right w:w="15" w:type="dxa"/>
            </w:tcMar>
            <w:vAlign w:val="bottom"/>
            <w:hideMark/>
          </w:tcPr>
          <w:p w14:paraId="6830AF0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EB863F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72E0815A"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9CF4C7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10B6156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45EE60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37AB98CC"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11A66C"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217919F2" w14:textId="77777777">
        <w:trPr>
          <w:divId w:val="245966486"/>
          <w:jc w:val="center"/>
        </w:trPr>
        <w:tc>
          <w:tcPr>
            <w:tcW w:w="3349" w:type="pct"/>
            <w:shd w:val="clear" w:color="auto" w:fill="CFF0FC"/>
            <w:tcMar>
              <w:top w:w="15" w:type="dxa"/>
              <w:left w:w="0" w:type="dxa"/>
              <w:bottom w:w="0" w:type="dxa"/>
              <w:right w:w="15" w:type="dxa"/>
            </w:tcMar>
            <w:hideMark/>
          </w:tcPr>
          <w:p w14:paraId="2719540F" w14:textId="77777777" w:rsidR="00000000" w:rsidRDefault="007125B5">
            <w:pPr>
              <w:pStyle w:val="a3"/>
              <w:spacing w:before="0" w:beforeAutospacing="0" w:after="0" w:afterAutospacing="0"/>
              <w:ind w:left="274"/>
              <w:rPr>
                <w:color w:val="000000"/>
                <w:sz w:val="16"/>
                <w:szCs w:val="16"/>
              </w:rPr>
            </w:pPr>
            <w:r>
              <w:rPr>
                <w:color w:val="000000"/>
                <w:sz w:val="16"/>
                <w:szCs w:val="16"/>
              </w:rPr>
              <w:t>Cash paid for interest</w:t>
            </w:r>
          </w:p>
        </w:tc>
        <w:tc>
          <w:tcPr>
            <w:tcW w:w="81" w:type="pct"/>
            <w:shd w:val="clear" w:color="auto" w:fill="CFF0FC"/>
            <w:tcMar>
              <w:top w:w="15" w:type="dxa"/>
              <w:left w:w="0" w:type="dxa"/>
              <w:bottom w:w="0" w:type="dxa"/>
              <w:right w:w="15" w:type="dxa"/>
            </w:tcMar>
            <w:vAlign w:val="bottom"/>
            <w:hideMark/>
          </w:tcPr>
          <w:p w14:paraId="11BA9E0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F4DB043"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226FD0E2" w14:textId="77777777" w:rsidR="00000000" w:rsidRDefault="007125B5">
            <w:pPr>
              <w:pStyle w:val="a3"/>
              <w:spacing w:before="0" w:beforeAutospacing="0" w:after="0" w:afterAutospacing="0"/>
              <w:jc w:val="right"/>
              <w:rPr>
                <w:color w:val="000000"/>
                <w:sz w:val="16"/>
                <w:szCs w:val="16"/>
              </w:rPr>
            </w:pPr>
            <w:r>
              <w:rPr>
                <w:color w:val="000000"/>
                <w:sz w:val="16"/>
                <w:szCs w:val="16"/>
              </w:rPr>
              <w:t>6,539</w:t>
            </w:r>
          </w:p>
        </w:tc>
        <w:tc>
          <w:tcPr>
            <w:tcW w:w="50" w:type="pct"/>
            <w:shd w:val="clear" w:color="auto" w:fill="CFF0FC"/>
            <w:noWrap/>
            <w:tcMar>
              <w:top w:w="15" w:type="dxa"/>
              <w:left w:w="0" w:type="dxa"/>
              <w:bottom w:w="0" w:type="dxa"/>
              <w:right w:w="15" w:type="dxa"/>
            </w:tcMar>
            <w:vAlign w:val="bottom"/>
            <w:hideMark/>
          </w:tcPr>
          <w:p w14:paraId="36AD4013"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2F7FE7C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8EC8793"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051A0605" w14:textId="77777777" w:rsidR="00000000" w:rsidRDefault="007125B5">
            <w:pPr>
              <w:pStyle w:val="a3"/>
              <w:spacing w:before="0" w:beforeAutospacing="0" w:after="0" w:afterAutospacing="0"/>
              <w:jc w:val="right"/>
              <w:rPr>
                <w:color w:val="000000"/>
                <w:sz w:val="16"/>
                <w:szCs w:val="16"/>
              </w:rPr>
            </w:pPr>
            <w:r>
              <w:rPr>
                <w:color w:val="000000"/>
                <w:sz w:val="16"/>
                <w:szCs w:val="16"/>
              </w:rPr>
              <w:t>2,025</w:t>
            </w:r>
          </w:p>
        </w:tc>
        <w:tc>
          <w:tcPr>
            <w:tcW w:w="50" w:type="pct"/>
            <w:shd w:val="clear" w:color="auto" w:fill="CFF0FC"/>
            <w:noWrap/>
            <w:tcMar>
              <w:top w:w="15" w:type="dxa"/>
              <w:left w:w="0" w:type="dxa"/>
              <w:bottom w:w="0" w:type="dxa"/>
              <w:right w:w="15" w:type="dxa"/>
            </w:tcMar>
            <w:vAlign w:val="bottom"/>
            <w:hideMark/>
          </w:tcPr>
          <w:p w14:paraId="5265ABB5"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0D82EB4B" w14:textId="77777777">
        <w:trPr>
          <w:divId w:val="245966486"/>
          <w:jc w:val="center"/>
        </w:trPr>
        <w:tc>
          <w:tcPr>
            <w:tcW w:w="3349" w:type="pct"/>
            <w:shd w:val="clear" w:color="auto" w:fill="FFFFFF"/>
            <w:tcMar>
              <w:top w:w="15" w:type="dxa"/>
              <w:left w:w="0" w:type="dxa"/>
              <w:bottom w:w="0" w:type="dxa"/>
              <w:right w:w="15" w:type="dxa"/>
            </w:tcMar>
            <w:hideMark/>
          </w:tcPr>
          <w:p w14:paraId="3DE50E90" w14:textId="77777777" w:rsidR="00000000" w:rsidRDefault="007125B5">
            <w:pPr>
              <w:pStyle w:val="a3"/>
              <w:spacing w:before="0" w:beforeAutospacing="0" w:after="0" w:afterAutospacing="0"/>
              <w:ind w:left="274"/>
              <w:rPr>
                <w:color w:val="000000"/>
                <w:sz w:val="16"/>
                <w:szCs w:val="16"/>
              </w:rPr>
            </w:pPr>
            <w:r>
              <w:rPr>
                <w:color w:val="000000"/>
                <w:sz w:val="16"/>
                <w:szCs w:val="16"/>
              </w:rPr>
              <w:t>Cash paid for income tax</w:t>
            </w:r>
          </w:p>
        </w:tc>
        <w:tc>
          <w:tcPr>
            <w:tcW w:w="81" w:type="pct"/>
            <w:shd w:val="clear" w:color="auto" w:fill="FFFFFF"/>
            <w:tcMar>
              <w:top w:w="15" w:type="dxa"/>
              <w:left w:w="0" w:type="dxa"/>
              <w:bottom w:w="0" w:type="dxa"/>
              <w:right w:w="15" w:type="dxa"/>
            </w:tcMar>
            <w:vAlign w:val="bottom"/>
            <w:hideMark/>
          </w:tcPr>
          <w:p w14:paraId="176C8641"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9671A38"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4365AF6F" w14:textId="77777777" w:rsidR="00000000" w:rsidRDefault="007125B5">
            <w:pPr>
              <w:pStyle w:val="a3"/>
              <w:spacing w:before="0" w:beforeAutospacing="0" w:after="0" w:afterAutospacing="0"/>
              <w:jc w:val="right"/>
              <w:rPr>
                <w:color w:val="000000"/>
                <w:sz w:val="16"/>
                <w:szCs w:val="16"/>
              </w:rPr>
            </w:pPr>
            <w:r>
              <w:rPr>
                <w:color w:val="000000"/>
                <w:sz w:val="16"/>
                <w:szCs w:val="16"/>
              </w:rPr>
              <w:t>72</w:t>
            </w:r>
          </w:p>
        </w:tc>
        <w:tc>
          <w:tcPr>
            <w:tcW w:w="50" w:type="pct"/>
            <w:shd w:val="clear" w:color="auto" w:fill="FFFFFF"/>
            <w:noWrap/>
            <w:tcMar>
              <w:top w:w="15" w:type="dxa"/>
              <w:left w:w="0" w:type="dxa"/>
              <w:bottom w:w="0" w:type="dxa"/>
              <w:right w:w="15" w:type="dxa"/>
            </w:tcMar>
            <w:vAlign w:val="bottom"/>
            <w:hideMark/>
          </w:tcPr>
          <w:p w14:paraId="2F080E0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630F71D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290427D"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5353A461" w14:textId="77777777" w:rsidR="00000000" w:rsidRDefault="007125B5">
            <w:pPr>
              <w:pStyle w:val="a3"/>
              <w:spacing w:before="0" w:beforeAutospacing="0" w:after="0" w:afterAutospacing="0"/>
              <w:jc w:val="right"/>
              <w:rPr>
                <w:color w:val="000000"/>
                <w:sz w:val="16"/>
                <w:szCs w:val="16"/>
              </w:rPr>
            </w:pPr>
            <w:r>
              <w:rPr>
                <w:color w:val="000000"/>
                <w:sz w:val="16"/>
                <w:szCs w:val="16"/>
              </w:rPr>
              <w:t>859</w:t>
            </w:r>
          </w:p>
        </w:tc>
        <w:tc>
          <w:tcPr>
            <w:tcW w:w="50" w:type="pct"/>
            <w:shd w:val="clear" w:color="auto" w:fill="FFFFFF"/>
            <w:noWrap/>
            <w:tcMar>
              <w:top w:w="15" w:type="dxa"/>
              <w:left w:w="0" w:type="dxa"/>
              <w:bottom w:w="0" w:type="dxa"/>
              <w:right w:w="15" w:type="dxa"/>
            </w:tcMar>
            <w:vAlign w:val="bottom"/>
            <w:hideMark/>
          </w:tcPr>
          <w:p w14:paraId="4AD5F774"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476D7DAB" w14:textId="77777777">
        <w:trPr>
          <w:divId w:val="245966486"/>
          <w:jc w:val="center"/>
        </w:trPr>
        <w:tc>
          <w:tcPr>
            <w:tcW w:w="3349" w:type="pct"/>
            <w:shd w:val="clear" w:color="auto" w:fill="CFF0FC"/>
            <w:tcMar>
              <w:top w:w="15" w:type="dxa"/>
              <w:left w:w="0" w:type="dxa"/>
              <w:bottom w:w="0" w:type="dxa"/>
              <w:right w:w="15" w:type="dxa"/>
            </w:tcMar>
            <w:hideMark/>
          </w:tcPr>
          <w:p w14:paraId="72896107" w14:textId="77777777" w:rsidR="00000000" w:rsidRDefault="007125B5">
            <w:pPr>
              <w:pStyle w:val="a3"/>
              <w:spacing w:before="0" w:beforeAutospacing="0" w:after="0" w:afterAutospacing="0"/>
              <w:rPr>
                <w:color w:val="000000"/>
                <w:sz w:val="16"/>
                <w:szCs w:val="16"/>
              </w:rPr>
            </w:pPr>
            <w:r>
              <w:rPr>
                <w:color w:val="000000"/>
                <w:sz w:val="16"/>
                <w:szCs w:val="16"/>
              </w:rPr>
              <w:t>SUPPLEMENTAL DISCLOSURES OF NON-CASH INVESTING AND FINANCING</w:t>
            </w:r>
          </w:p>
          <w:p w14:paraId="1B5C4002" w14:textId="77777777" w:rsidR="00000000" w:rsidRDefault="007125B5">
            <w:pPr>
              <w:pStyle w:val="a3"/>
              <w:spacing w:before="0" w:beforeAutospacing="0" w:after="0" w:afterAutospacing="0"/>
              <w:rPr>
                <w:color w:val="000000"/>
                <w:sz w:val="16"/>
                <w:szCs w:val="16"/>
              </w:rPr>
            </w:pPr>
            <w:r>
              <w:rPr>
                <w:color w:val="000000"/>
                <w:sz w:val="16"/>
                <w:szCs w:val="16"/>
              </w:rPr>
              <w:t>   ACTIVITIES:</w:t>
            </w:r>
          </w:p>
        </w:tc>
        <w:tc>
          <w:tcPr>
            <w:tcW w:w="81" w:type="pct"/>
            <w:shd w:val="clear" w:color="auto" w:fill="CFF0FC"/>
            <w:tcMar>
              <w:top w:w="15" w:type="dxa"/>
              <w:left w:w="0" w:type="dxa"/>
              <w:bottom w:w="0" w:type="dxa"/>
              <w:right w:w="15" w:type="dxa"/>
            </w:tcMar>
            <w:vAlign w:val="bottom"/>
            <w:hideMark/>
          </w:tcPr>
          <w:p w14:paraId="3D1046F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47E90E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768A93DC"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D574ED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59795C8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FDEDA78"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14:paraId="436FEF02" w14:textId="77777777" w:rsidR="00000000" w:rsidRDefault="007125B5">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830E928"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0CC247D4" w14:textId="77777777">
        <w:trPr>
          <w:divId w:val="245966486"/>
          <w:jc w:val="center"/>
        </w:trPr>
        <w:tc>
          <w:tcPr>
            <w:tcW w:w="3349" w:type="pct"/>
            <w:shd w:val="clear" w:color="auto" w:fill="FFFFFF"/>
            <w:tcMar>
              <w:top w:w="15" w:type="dxa"/>
              <w:left w:w="0" w:type="dxa"/>
              <w:bottom w:w="0" w:type="dxa"/>
              <w:right w:w="15" w:type="dxa"/>
            </w:tcMar>
            <w:hideMark/>
          </w:tcPr>
          <w:p w14:paraId="4E7AF6AA" w14:textId="77777777" w:rsidR="00000000" w:rsidRDefault="007125B5">
            <w:pPr>
              <w:pStyle w:val="a3"/>
              <w:spacing w:before="0" w:beforeAutospacing="0" w:after="0" w:afterAutospacing="0"/>
              <w:ind w:left="274"/>
              <w:rPr>
                <w:color w:val="000000"/>
                <w:sz w:val="16"/>
                <w:szCs w:val="16"/>
              </w:rPr>
            </w:pPr>
            <w:r>
              <w:rPr>
                <w:color w:val="000000"/>
                <w:sz w:val="16"/>
                <w:szCs w:val="16"/>
              </w:rPr>
              <w:t>Accrued purchases of property and equipment</w:t>
            </w:r>
          </w:p>
        </w:tc>
        <w:tc>
          <w:tcPr>
            <w:tcW w:w="81" w:type="pct"/>
            <w:shd w:val="clear" w:color="auto" w:fill="FFFFFF"/>
            <w:tcMar>
              <w:top w:w="15" w:type="dxa"/>
              <w:left w:w="0" w:type="dxa"/>
              <w:bottom w:w="0" w:type="dxa"/>
              <w:right w:w="15" w:type="dxa"/>
            </w:tcMar>
            <w:vAlign w:val="bottom"/>
            <w:hideMark/>
          </w:tcPr>
          <w:p w14:paraId="5E55C70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BC12745"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5C0C3FBB" w14:textId="77777777" w:rsidR="00000000" w:rsidRDefault="007125B5">
            <w:pPr>
              <w:pStyle w:val="a3"/>
              <w:spacing w:before="0" w:beforeAutospacing="0" w:after="0" w:afterAutospacing="0"/>
              <w:jc w:val="right"/>
              <w:rPr>
                <w:color w:val="000000"/>
                <w:sz w:val="16"/>
                <w:szCs w:val="16"/>
              </w:rPr>
            </w:pPr>
            <w:r>
              <w:rPr>
                <w:color w:val="000000"/>
                <w:sz w:val="16"/>
                <w:szCs w:val="16"/>
              </w:rPr>
              <w:t>814</w:t>
            </w:r>
          </w:p>
        </w:tc>
        <w:tc>
          <w:tcPr>
            <w:tcW w:w="50" w:type="pct"/>
            <w:shd w:val="clear" w:color="auto" w:fill="FFFFFF"/>
            <w:noWrap/>
            <w:tcMar>
              <w:top w:w="15" w:type="dxa"/>
              <w:left w:w="0" w:type="dxa"/>
              <w:bottom w:w="0" w:type="dxa"/>
              <w:right w:w="15" w:type="dxa"/>
            </w:tcMar>
            <w:vAlign w:val="bottom"/>
            <w:hideMark/>
          </w:tcPr>
          <w:p w14:paraId="5CF5D59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E0F7724"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25A7AE5"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34295C5D" w14:textId="77777777" w:rsidR="00000000" w:rsidRDefault="007125B5">
            <w:pPr>
              <w:pStyle w:val="a3"/>
              <w:spacing w:before="0" w:beforeAutospacing="0" w:after="0" w:afterAutospacing="0"/>
              <w:jc w:val="right"/>
              <w:rPr>
                <w:color w:val="000000"/>
                <w:sz w:val="16"/>
                <w:szCs w:val="16"/>
              </w:rPr>
            </w:pPr>
            <w:r>
              <w:rPr>
                <w:color w:val="000000"/>
                <w:sz w:val="16"/>
                <w:szCs w:val="16"/>
              </w:rPr>
              <w:t>555</w:t>
            </w:r>
          </w:p>
        </w:tc>
        <w:tc>
          <w:tcPr>
            <w:tcW w:w="50" w:type="pct"/>
            <w:shd w:val="clear" w:color="auto" w:fill="FFFFFF"/>
            <w:noWrap/>
            <w:tcMar>
              <w:top w:w="15" w:type="dxa"/>
              <w:left w:w="0" w:type="dxa"/>
              <w:bottom w:w="0" w:type="dxa"/>
              <w:right w:w="15" w:type="dxa"/>
            </w:tcMar>
            <w:vAlign w:val="bottom"/>
            <w:hideMark/>
          </w:tcPr>
          <w:p w14:paraId="31C925F7"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182F0C72" w14:textId="77777777">
        <w:trPr>
          <w:divId w:val="245966486"/>
          <w:jc w:val="center"/>
        </w:trPr>
        <w:tc>
          <w:tcPr>
            <w:tcW w:w="3349" w:type="pct"/>
            <w:shd w:val="clear" w:color="auto" w:fill="CFF0FC"/>
            <w:tcMar>
              <w:top w:w="15" w:type="dxa"/>
              <w:left w:w="0" w:type="dxa"/>
              <w:bottom w:w="0" w:type="dxa"/>
              <w:right w:w="15" w:type="dxa"/>
            </w:tcMar>
            <w:hideMark/>
          </w:tcPr>
          <w:p w14:paraId="144A545A" w14:textId="77777777" w:rsidR="00000000" w:rsidRDefault="007125B5">
            <w:pPr>
              <w:pStyle w:val="a3"/>
              <w:spacing w:before="0" w:beforeAutospacing="0" w:after="0" w:afterAutospacing="0"/>
              <w:ind w:left="274"/>
              <w:rPr>
                <w:color w:val="000000"/>
                <w:sz w:val="16"/>
                <w:szCs w:val="16"/>
              </w:rPr>
            </w:pPr>
            <w:r>
              <w:rPr>
                <w:color w:val="000000"/>
                <w:sz w:val="16"/>
                <w:szCs w:val="16"/>
              </w:rPr>
              <w:t>Property and equipment purchased under capital leases</w:t>
            </w:r>
          </w:p>
        </w:tc>
        <w:tc>
          <w:tcPr>
            <w:tcW w:w="81" w:type="pct"/>
            <w:shd w:val="clear" w:color="auto" w:fill="CFF0FC"/>
            <w:tcMar>
              <w:top w:w="15" w:type="dxa"/>
              <w:left w:w="0" w:type="dxa"/>
              <w:bottom w:w="0" w:type="dxa"/>
              <w:right w:w="15" w:type="dxa"/>
            </w:tcMar>
            <w:vAlign w:val="bottom"/>
            <w:hideMark/>
          </w:tcPr>
          <w:p w14:paraId="0292CD5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4DCA234"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2F477AB0" w14:textId="77777777" w:rsidR="00000000" w:rsidRDefault="007125B5">
            <w:pPr>
              <w:pStyle w:val="a3"/>
              <w:spacing w:before="0" w:beforeAutospacing="0" w:after="0" w:afterAutospacing="0"/>
              <w:jc w:val="right"/>
              <w:rPr>
                <w:color w:val="000000"/>
                <w:sz w:val="16"/>
                <w:szCs w:val="16"/>
              </w:rPr>
            </w:pPr>
            <w:r>
              <w:rPr>
                <w:color w:val="000000"/>
                <w:sz w:val="16"/>
                <w:szCs w:val="16"/>
              </w:rPr>
              <w:t>1,704</w:t>
            </w:r>
          </w:p>
        </w:tc>
        <w:tc>
          <w:tcPr>
            <w:tcW w:w="50" w:type="pct"/>
            <w:shd w:val="clear" w:color="auto" w:fill="CFF0FC"/>
            <w:noWrap/>
            <w:tcMar>
              <w:top w:w="15" w:type="dxa"/>
              <w:left w:w="0" w:type="dxa"/>
              <w:bottom w:w="0" w:type="dxa"/>
              <w:right w:w="15" w:type="dxa"/>
            </w:tcMar>
            <w:vAlign w:val="bottom"/>
            <w:hideMark/>
          </w:tcPr>
          <w:p w14:paraId="643A7B97"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32A43EE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20DDEBC"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4926C2B0" w14:textId="77777777" w:rsidR="00000000" w:rsidRDefault="007125B5">
            <w:pPr>
              <w:pStyle w:val="a3"/>
              <w:spacing w:before="0" w:beforeAutospacing="0" w:after="0" w:afterAutospacing="0"/>
              <w:jc w:val="right"/>
              <w:rPr>
                <w:color w:val="000000"/>
                <w:sz w:val="16"/>
                <w:szCs w:val="16"/>
              </w:rPr>
            </w:pPr>
            <w:r>
              <w:rPr>
                <w:color w:val="000000"/>
                <w:sz w:val="16"/>
                <w:szCs w:val="16"/>
              </w:rPr>
              <w:t>2,136</w:t>
            </w:r>
          </w:p>
        </w:tc>
        <w:tc>
          <w:tcPr>
            <w:tcW w:w="50" w:type="pct"/>
            <w:shd w:val="clear" w:color="auto" w:fill="CFF0FC"/>
            <w:noWrap/>
            <w:tcMar>
              <w:top w:w="15" w:type="dxa"/>
              <w:left w:w="0" w:type="dxa"/>
              <w:bottom w:w="0" w:type="dxa"/>
              <w:right w:w="15" w:type="dxa"/>
            </w:tcMar>
            <w:vAlign w:val="bottom"/>
            <w:hideMark/>
          </w:tcPr>
          <w:p w14:paraId="6F07C575"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510AB403" w14:textId="77777777">
        <w:trPr>
          <w:divId w:val="245966486"/>
          <w:jc w:val="center"/>
        </w:trPr>
        <w:tc>
          <w:tcPr>
            <w:tcW w:w="3349" w:type="pct"/>
            <w:shd w:val="clear" w:color="auto" w:fill="FFFFFF"/>
            <w:tcMar>
              <w:top w:w="15" w:type="dxa"/>
              <w:left w:w="0" w:type="dxa"/>
              <w:bottom w:w="0" w:type="dxa"/>
              <w:right w:w="15" w:type="dxa"/>
            </w:tcMar>
            <w:hideMark/>
          </w:tcPr>
          <w:p w14:paraId="5FFD3D77" w14:textId="77777777" w:rsidR="00000000" w:rsidRDefault="007125B5">
            <w:pPr>
              <w:pStyle w:val="a3"/>
              <w:spacing w:before="0" w:beforeAutospacing="0" w:after="0" w:afterAutospacing="0"/>
              <w:ind w:left="274"/>
              <w:rPr>
                <w:color w:val="000000"/>
                <w:sz w:val="16"/>
                <w:szCs w:val="16"/>
              </w:rPr>
            </w:pPr>
            <w:r>
              <w:rPr>
                <w:color w:val="000000"/>
                <w:sz w:val="16"/>
                <w:szCs w:val="16"/>
              </w:rPr>
              <w:t>Accretion of the Redeemable Series A-1 Preferred Stock to redeemable value</w:t>
            </w:r>
          </w:p>
        </w:tc>
        <w:tc>
          <w:tcPr>
            <w:tcW w:w="81" w:type="pct"/>
            <w:shd w:val="clear" w:color="auto" w:fill="FFFFFF"/>
            <w:tcMar>
              <w:top w:w="15" w:type="dxa"/>
              <w:left w:w="0" w:type="dxa"/>
              <w:bottom w:w="0" w:type="dxa"/>
              <w:right w:w="15" w:type="dxa"/>
            </w:tcMar>
            <w:vAlign w:val="bottom"/>
            <w:hideMark/>
          </w:tcPr>
          <w:p w14:paraId="112BE616"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C268407"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4CA3D68F" w14:textId="77777777" w:rsidR="00000000" w:rsidRDefault="007125B5">
            <w:pPr>
              <w:pStyle w:val="a3"/>
              <w:spacing w:before="0" w:beforeAutospacing="0" w:after="0" w:afterAutospacing="0"/>
              <w:jc w:val="right"/>
              <w:rPr>
                <w:color w:val="000000"/>
                <w:sz w:val="16"/>
                <w:szCs w:val="16"/>
              </w:rPr>
            </w:pPr>
            <w:r>
              <w:rPr>
                <w:color w:val="000000"/>
                <w:sz w:val="16"/>
                <w:szCs w:val="16"/>
              </w:rPr>
              <w:t>11,059</w:t>
            </w:r>
          </w:p>
        </w:tc>
        <w:tc>
          <w:tcPr>
            <w:tcW w:w="50" w:type="pct"/>
            <w:shd w:val="clear" w:color="auto" w:fill="FFFFFF"/>
            <w:noWrap/>
            <w:tcMar>
              <w:top w:w="15" w:type="dxa"/>
              <w:left w:w="0" w:type="dxa"/>
              <w:bottom w:w="0" w:type="dxa"/>
              <w:right w:w="15" w:type="dxa"/>
            </w:tcMar>
            <w:vAlign w:val="bottom"/>
            <w:hideMark/>
          </w:tcPr>
          <w:p w14:paraId="446B19D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BCC4565"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68F152C"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7A2C1EE2" w14:textId="77777777" w:rsidR="00000000" w:rsidRDefault="007125B5">
            <w:pPr>
              <w:pStyle w:val="a3"/>
              <w:spacing w:before="0" w:beforeAutospacing="0" w:after="0" w:afterAutospacing="0"/>
              <w:jc w:val="right"/>
              <w:rPr>
                <w:color w:val="000000"/>
                <w:sz w:val="16"/>
                <w:szCs w:val="16"/>
              </w:rPr>
            </w:pPr>
            <w:r>
              <w:rPr>
                <w:color w:val="000000"/>
                <w:sz w:val="16"/>
                <w:szCs w:val="16"/>
              </w:rPr>
              <w:t>9,311</w:t>
            </w:r>
          </w:p>
        </w:tc>
        <w:tc>
          <w:tcPr>
            <w:tcW w:w="50" w:type="pct"/>
            <w:shd w:val="clear" w:color="auto" w:fill="FFFFFF"/>
            <w:noWrap/>
            <w:tcMar>
              <w:top w:w="15" w:type="dxa"/>
              <w:left w:w="0" w:type="dxa"/>
              <w:bottom w:w="0" w:type="dxa"/>
              <w:right w:w="15" w:type="dxa"/>
            </w:tcMar>
            <w:vAlign w:val="bottom"/>
            <w:hideMark/>
          </w:tcPr>
          <w:p w14:paraId="09A9C582"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69998AB4" w14:textId="77777777">
        <w:trPr>
          <w:divId w:val="245966486"/>
          <w:jc w:val="center"/>
        </w:trPr>
        <w:tc>
          <w:tcPr>
            <w:tcW w:w="3349" w:type="pct"/>
            <w:shd w:val="clear" w:color="auto" w:fill="CFF0FC"/>
            <w:tcMar>
              <w:top w:w="15" w:type="dxa"/>
              <w:left w:w="0" w:type="dxa"/>
              <w:bottom w:w="0" w:type="dxa"/>
              <w:right w:w="15" w:type="dxa"/>
            </w:tcMar>
            <w:hideMark/>
          </w:tcPr>
          <w:p w14:paraId="22A8C23D" w14:textId="77777777" w:rsidR="00000000" w:rsidRDefault="007125B5">
            <w:pPr>
              <w:pStyle w:val="a3"/>
              <w:spacing w:before="0" w:beforeAutospacing="0" w:after="0" w:afterAutospacing="0"/>
              <w:ind w:left="274"/>
              <w:rPr>
                <w:color w:val="000000"/>
                <w:sz w:val="16"/>
                <w:szCs w:val="16"/>
              </w:rPr>
            </w:pPr>
            <w:r>
              <w:rPr>
                <w:color w:val="000000"/>
                <w:sz w:val="16"/>
                <w:szCs w:val="16"/>
              </w:rPr>
              <w:t>Acquisitions unpaid contingent liabilities</w:t>
            </w:r>
          </w:p>
        </w:tc>
        <w:tc>
          <w:tcPr>
            <w:tcW w:w="81" w:type="pct"/>
            <w:shd w:val="clear" w:color="auto" w:fill="CFF0FC"/>
            <w:tcMar>
              <w:top w:w="15" w:type="dxa"/>
              <w:left w:w="0" w:type="dxa"/>
              <w:bottom w:w="0" w:type="dxa"/>
              <w:right w:w="15" w:type="dxa"/>
            </w:tcMar>
            <w:vAlign w:val="bottom"/>
            <w:hideMark/>
          </w:tcPr>
          <w:p w14:paraId="3F306E4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002BA7C"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43B8FF16" w14:textId="77777777" w:rsidR="00000000" w:rsidRDefault="007125B5">
            <w:pPr>
              <w:pStyle w:val="a3"/>
              <w:spacing w:before="0" w:beforeAutospacing="0" w:after="0" w:afterAutospacing="0"/>
              <w:jc w:val="right"/>
              <w:rPr>
                <w:color w:val="000000"/>
                <w:sz w:val="16"/>
                <w:szCs w:val="16"/>
              </w:rPr>
            </w:pPr>
            <w:r>
              <w:rPr>
                <w:color w:val="000000"/>
                <w:sz w:val="16"/>
                <w:szCs w:val="16"/>
              </w:rPr>
              <w:t>44,994</w:t>
            </w:r>
          </w:p>
        </w:tc>
        <w:tc>
          <w:tcPr>
            <w:tcW w:w="50" w:type="pct"/>
            <w:shd w:val="clear" w:color="auto" w:fill="CFF0FC"/>
            <w:noWrap/>
            <w:tcMar>
              <w:top w:w="15" w:type="dxa"/>
              <w:left w:w="0" w:type="dxa"/>
              <w:bottom w:w="0" w:type="dxa"/>
              <w:right w:w="15" w:type="dxa"/>
            </w:tcMar>
            <w:vAlign w:val="bottom"/>
            <w:hideMark/>
          </w:tcPr>
          <w:p w14:paraId="2B1ED93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5980E8B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16D132B"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10852C2B" w14:textId="77777777" w:rsidR="00000000" w:rsidRDefault="007125B5">
            <w:pPr>
              <w:pStyle w:val="a3"/>
              <w:spacing w:before="0" w:beforeAutospacing="0" w:after="0" w:afterAutospacing="0"/>
              <w:jc w:val="right"/>
              <w:rPr>
                <w:color w:val="000000"/>
                <w:sz w:val="16"/>
                <w:szCs w:val="16"/>
              </w:rPr>
            </w:pPr>
            <w:r>
              <w:rPr>
                <w:color w:val="000000"/>
                <w:sz w:val="16"/>
                <w:szCs w:val="16"/>
              </w:rPr>
              <w:t>5,388</w:t>
            </w:r>
          </w:p>
        </w:tc>
        <w:tc>
          <w:tcPr>
            <w:tcW w:w="50" w:type="pct"/>
            <w:shd w:val="clear" w:color="auto" w:fill="CFF0FC"/>
            <w:noWrap/>
            <w:tcMar>
              <w:top w:w="15" w:type="dxa"/>
              <w:left w:w="0" w:type="dxa"/>
              <w:bottom w:w="0" w:type="dxa"/>
              <w:right w:w="15" w:type="dxa"/>
            </w:tcMar>
            <w:vAlign w:val="bottom"/>
            <w:hideMark/>
          </w:tcPr>
          <w:p w14:paraId="5FFC3567"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63A3FED9" w14:textId="77777777">
        <w:trPr>
          <w:divId w:val="245966486"/>
          <w:jc w:val="center"/>
        </w:trPr>
        <w:tc>
          <w:tcPr>
            <w:tcW w:w="3349" w:type="pct"/>
            <w:shd w:val="clear" w:color="auto" w:fill="FFFFFF"/>
            <w:tcMar>
              <w:top w:w="15" w:type="dxa"/>
              <w:left w:w="0" w:type="dxa"/>
              <w:bottom w:w="0" w:type="dxa"/>
              <w:right w:w="15" w:type="dxa"/>
            </w:tcMar>
            <w:hideMark/>
          </w:tcPr>
          <w:p w14:paraId="426B16DF" w14:textId="77777777" w:rsidR="00000000" w:rsidRDefault="007125B5">
            <w:pPr>
              <w:pStyle w:val="a3"/>
              <w:spacing w:before="0" w:beforeAutospacing="0" w:after="0" w:afterAutospacing="0"/>
              <w:ind w:left="274"/>
              <w:rPr>
                <w:color w:val="000000"/>
                <w:sz w:val="16"/>
                <w:szCs w:val="16"/>
              </w:rPr>
            </w:pPr>
            <w:r>
              <w:rPr>
                <w:color w:val="000000"/>
                <w:sz w:val="16"/>
                <w:szCs w:val="16"/>
              </w:rPr>
              <w:t>Common stock issued to acquire new businesses</w:t>
            </w:r>
          </w:p>
        </w:tc>
        <w:tc>
          <w:tcPr>
            <w:tcW w:w="81" w:type="pct"/>
            <w:shd w:val="clear" w:color="auto" w:fill="FFFFFF"/>
            <w:tcMar>
              <w:top w:w="15" w:type="dxa"/>
              <w:left w:w="0" w:type="dxa"/>
              <w:bottom w:w="0" w:type="dxa"/>
              <w:right w:w="15" w:type="dxa"/>
            </w:tcMar>
            <w:vAlign w:val="bottom"/>
            <w:hideMark/>
          </w:tcPr>
          <w:p w14:paraId="2159500A"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A60601A"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5E53C8CB" w14:textId="77777777" w:rsidR="00000000" w:rsidRDefault="007125B5">
            <w:pPr>
              <w:pStyle w:val="a3"/>
              <w:spacing w:before="0" w:beforeAutospacing="0" w:after="0" w:afterAutospacing="0"/>
              <w:jc w:val="right"/>
              <w:rPr>
                <w:color w:val="000000"/>
                <w:sz w:val="16"/>
                <w:szCs w:val="16"/>
              </w:rPr>
            </w:pPr>
            <w:r>
              <w:rPr>
                <w:color w:val="000000"/>
                <w:sz w:val="16"/>
                <w:szCs w:val="16"/>
              </w:rPr>
              <w:t>25,000</w:t>
            </w:r>
          </w:p>
        </w:tc>
        <w:tc>
          <w:tcPr>
            <w:tcW w:w="50" w:type="pct"/>
            <w:shd w:val="clear" w:color="auto" w:fill="FFFFFF"/>
            <w:noWrap/>
            <w:tcMar>
              <w:top w:w="15" w:type="dxa"/>
              <w:left w:w="0" w:type="dxa"/>
              <w:bottom w:w="0" w:type="dxa"/>
              <w:right w:w="15" w:type="dxa"/>
            </w:tcMar>
            <w:vAlign w:val="bottom"/>
            <w:hideMark/>
          </w:tcPr>
          <w:p w14:paraId="4F4AFD9F"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0AF0897E"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8D75A40"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14:paraId="08AE1AED" w14:textId="77777777" w:rsidR="00000000" w:rsidRDefault="007125B5">
            <w:pPr>
              <w:pStyle w:val="a3"/>
              <w:spacing w:before="0" w:beforeAutospacing="0" w:after="0" w:afterAutospacing="0"/>
              <w:jc w:val="right"/>
              <w:rPr>
                <w:color w:val="000000"/>
                <w:sz w:val="16"/>
                <w:szCs w:val="16"/>
              </w:rPr>
            </w:pPr>
            <w:r>
              <w:rPr>
                <w:color w:val="000000"/>
                <w:sz w:val="16"/>
                <w:szCs w:val="16"/>
              </w:rPr>
              <w:t>3,363</w:t>
            </w:r>
          </w:p>
        </w:tc>
        <w:tc>
          <w:tcPr>
            <w:tcW w:w="50" w:type="pct"/>
            <w:shd w:val="clear" w:color="auto" w:fill="FFFFFF"/>
            <w:noWrap/>
            <w:tcMar>
              <w:top w:w="15" w:type="dxa"/>
              <w:left w:w="0" w:type="dxa"/>
              <w:bottom w:w="0" w:type="dxa"/>
              <w:right w:w="15" w:type="dxa"/>
            </w:tcMar>
            <w:vAlign w:val="bottom"/>
            <w:hideMark/>
          </w:tcPr>
          <w:p w14:paraId="1A4BA920" w14:textId="77777777" w:rsidR="00000000" w:rsidRDefault="007125B5">
            <w:pPr>
              <w:pStyle w:val="a3"/>
              <w:spacing w:before="0" w:beforeAutospacing="0" w:after="0" w:afterAutospacing="0"/>
              <w:rPr>
                <w:color w:val="000000"/>
                <w:sz w:val="16"/>
                <w:szCs w:val="16"/>
              </w:rPr>
            </w:pPr>
            <w:r>
              <w:rPr>
                <w:color w:val="000000"/>
                <w:sz w:val="16"/>
                <w:szCs w:val="16"/>
              </w:rPr>
              <w:t> </w:t>
            </w:r>
          </w:p>
        </w:tc>
      </w:tr>
      <w:tr w:rsidR="00000000" w14:paraId="6AB4F074" w14:textId="77777777">
        <w:trPr>
          <w:divId w:val="245966486"/>
          <w:jc w:val="center"/>
        </w:trPr>
        <w:tc>
          <w:tcPr>
            <w:tcW w:w="3349" w:type="pct"/>
            <w:shd w:val="clear" w:color="auto" w:fill="CFF0FC"/>
            <w:tcMar>
              <w:top w:w="15" w:type="dxa"/>
              <w:left w:w="0" w:type="dxa"/>
              <w:bottom w:w="0" w:type="dxa"/>
              <w:right w:w="15" w:type="dxa"/>
            </w:tcMar>
            <w:hideMark/>
          </w:tcPr>
          <w:p w14:paraId="2574BCF3" w14:textId="77777777" w:rsidR="00000000" w:rsidRDefault="007125B5">
            <w:pPr>
              <w:pStyle w:val="a3"/>
              <w:spacing w:before="0" w:beforeAutospacing="0" w:after="0" w:afterAutospacing="0"/>
              <w:ind w:left="274"/>
              <w:rPr>
                <w:color w:val="000000"/>
                <w:sz w:val="16"/>
                <w:szCs w:val="16"/>
              </w:rPr>
            </w:pPr>
            <w:r>
              <w:rPr>
                <w:color w:val="000000"/>
                <w:sz w:val="16"/>
                <w:szCs w:val="16"/>
              </w:rPr>
              <w:t>Offering costs included in accounts payable and other accrued liabilities</w:t>
            </w:r>
          </w:p>
        </w:tc>
        <w:tc>
          <w:tcPr>
            <w:tcW w:w="81" w:type="pct"/>
            <w:shd w:val="clear" w:color="auto" w:fill="CFF0FC"/>
            <w:tcMar>
              <w:top w:w="15" w:type="dxa"/>
              <w:left w:w="0" w:type="dxa"/>
              <w:bottom w:w="0" w:type="dxa"/>
              <w:right w:w="15" w:type="dxa"/>
            </w:tcMar>
            <w:vAlign w:val="bottom"/>
            <w:hideMark/>
          </w:tcPr>
          <w:p w14:paraId="0A818242"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56ED87F"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287454A8" w14:textId="77777777" w:rsidR="00000000" w:rsidRDefault="007125B5">
            <w:pPr>
              <w:pStyle w:val="a3"/>
              <w:spacing w:before="0" w:beforeAutospacing="0" w:after="0" w:afterAutospacing="0"/>
              <w:jc w:val="right"/>
              <w:rPr>
                <w:color w:val="000000"/>
                <w:sz w:val="16"/>
                <w:szCs w:val="16"/>
              </w:rPr>
            </w:pPr>
            <w:r>
              <w:rPr>
                <w:color w:val="000000"/>
                <w:sz w:val="16"/>
                <w:szCs w:val="16"/>
              </w:rPr>
              <w:t>941</w:t>
            </w:r>
          </w:p>
        </w:tc>
        <w:tc>
          <w:tcPr>
            <w:tcW w:w="50" w:type="pct"/>
            <w:shd w:val="clear" w:color="auto" w:fill="CFF0FC"/>
            <w:noWrap/>
            <w:tcMar>
              <w:top w:w="15" w:type="dxa"/>
              <w:left w:w="0" w:type="dxa"/>
              <w:bottom w:w="0" w:type="dxa"/>
              <w:right w:w="15" w:type="dxa"/>
            </w:tcMar>
            <w:vAlign w:val="bottom"/>
            <w:hideMark/>
          </w:tcPr>
          <w:p w14:paraId="11E086A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14:paraId="6D9B65EC"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DA20F15" w14:textId="77777777" w:rsidR="00000000" w:rsidRDefault="007125B5">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14:paraId="4D299EAD" w14:textId="77777777" w:rsidR="00000000" w:rsidRDefault="007125B5">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0B92B0A"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3A797978" w14:textId="77777777" w:rsidR="00000000" w:rsidRDefault="007125B5">
      <w:pPr>
        <w:pStyle w:val="a3"/>
        <w:spacing w:before="0" w:beforeAutospacing="0" w:after="0" w:afterAutospacing="0"/>
        <w:rPr>
          <w:sz w:val="20"/>
          <w:szCs w:val="20"/>
        </w:rPr>
      </w:pPr>
      <w:r>
        <w:rPr>
          <w:sz w:val="20"/>
          <w:szCs w:val="20"/>
        </w:rPr>
        <w:t> </w:t>
      </w:r>
    </w:p>
    <w:p w14:paraId="6135B693" w14:textId="77777777" w:rsidR="00000000" w:rsidRDefault="007125B5">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p>
    <w:p w14:paraId="64AA1844" w14:textId="77777777" w:rsidR="00000000" w:rsidRDefault="007125B5">
      <w:pPr>
        <w:pStyle w:val="a3"/>
        <w:spacing w:before="240" w:beforeAutospacing="0" w:after="0" w:afterAutospacing="0"/>
        <w:jc w:val="center"/>
        <w:rPr>
          <w:sz w:val="20"/>
          <w:szCs w:val="20"/>
        </w:rPr>
      </w:pPr>
      <w:r>
        <w:rPr>
          <w:sz w:val="20"/>
          <w:szCs w:val="20"/>
        </w:rPr>
        <w:t>4</w:t>
      </w:r>
    </w:p>
    <w:p w14:paraId="6C71D400" w14:textId="77777777" w:rsidR="00000000" w:rsidRDefault="007125B5">
      <w:pPr>
        <w:rPr>
          <w:rFonts w:eastAsia="Times New Roman"/>
        </w:rPr>
      </w:pPr>
      <w:r>
        <w:rPr>
          <w:rFonts w:eastAsia="Times New Roman"/>
        </w:rPr>
        <w:pict w14:anchorId="2ED4EDB4">
          <v:rect id="_x0000_i1030" style="width:415.3pt;height:1.5pt" o:hralign="center" o:hrstd="t" o:hr="t" fillcolor="#a0a0a0" stroked="f"/>
        </w:pict>
      </w:r>
    </w:p>
    <w:p w14:paraId="65DEE208" w14:textId="77777777" w:rsidR="00000000" w:rsidRDefault="007125B5">
      <w:pPr>
        <w:pStyle w:val="a3"/>
        <w:spacing w:before="0" w:beforeAutospacing="0" w:after="0" w:afterAutospacing="0"/>
        <w:rPr>
          <w:sz w:val="20"/>
          <w:szCs w:val="20"/>
        </w:rPr>
      </w:pPr>
      <w:r>
        <w:rPr>
          <w:sz w:val="20"/>
          <w:szCs w:val="20"/>
        </w:rPr>
        <w:t> </w:t>
      </w:r>
    </w:p>
    <w:p w14:paraId="32924B9C" w14:textId="77777777" w:rsidR="00000000" w:rsidRDefault="007125B5">
      <w:pPr>
        <w:pStyle w:val="a3"/>
        <w:spacing w:before="0" w:beforeAutospacing="0" w:after="0" w:afterAutospacing="0"/>
        <w:jc w:val="center"/>
        <w:rPr>
          <w:b/>
          <w:bCs/>
          <w:color w:val="000000"/>
          <w:sz w:val="20"/>
          <w:szCs w:val="20"/>
        </w:rPr>
      </w:pPr>
      <w:bookmarkStart w:id="12" w:name="_AEIOULastRenderedPageBreakAEIOU7"/>
      <w:bookmarkEnd w:id="12"/>
      <w:r>
        <w:rPr>
          <w:b/>
          <w:bCs/>
          <w:color w:val="000000"/>
          <w:sz w:val="20"/>
          <w:szCs w:val="20"/>
        </w:rPr>
        <w:t>Montrose Environmental Group, Inc.</w:t>
      </w:r>
    </w:p>
    <w:p w14:paraId="316B7F6E" w14:textId="77777777" w:rsidR="00000000" w:rsidRDefault="007125B5">
      <w:pPr>
        <w:pStyle w:val="a3"/>
        <w:spacing w:before="0" w:beforeAutospacing="0" w:after="0" w:afterAutospacing="0"/>
        <w:jc w:val="center"/>
        <w:rPr>
          <w:b/>
          <w:bCs/>
          <w:color w:val="000000"/>
          <w:sz w:val="20"/>
          <w:szCs w:val="20"/>
        </w:rPr>
      </w:pPr>
      <w:bookmarkStart w:id="13" w:name="NOTES_TO_UNAUDITED_CONDENSED_CONSOLIDATE"/>
      <w:bookmarkEnd w:id="13"/>
      <w:r>
        <w:rPr>
          <w:b/>
          <w:bCs/>
          <w:color w:val="000000"/>
          <w:sz w:val="20"/>
          <w:szCs w:val="20"/>
        </w:rPr>
        <w:t>Notes to Unaudited Condensed Consolidated Financial Statements</w:t>
      </w:r>
    </w:p>
    <w:p w14:paraId="04047E0D" w14:textId="77777777" w:rsidR="00000000" w:rsidRDefault="007125B5">
      <w:pPr>
        <w:pStyle w:val="a3"/>
        <w:spacing w:before="0" w:beforeAutospacing="0" w:after="0" w:afterAutospacing="0"/>
        <w:jc w:val="center"/>
        <w:rPr>
          <w:b/>
          <w:bCs/>
          <w:color w:val="000000"/>
          <w:sz w:val="20"/>
          <w:szCs w:val="20"/>
        </w:rPr>
      </w:pPr>
      <w:r>
        <w:rPr>
          <w:b/>
          <w:bCs/>
          <w:color w:val="000000"/>
          <w:sz w:val="20"/>
          <w:szCs w:val="20"/>
        </w:rPr>
        <w:t>(In thousands, except share data)</w:t>
      </w:r>
    </w:p>
    <w:p w14:paraId="3B645918" w14:textId="77777777" w:rsidR="00000000" w:rsidRDefault="007125B5">
      <w:pPr>
        <w:pStyle w:val="a3"/>
        <w:shd w:val="clear" w:color="auto" w:fill="FFFFFF"/>
        <w:spacing w:before="240" w:beforeAutospacing="0" w:after="0" w:afterAutospacing="0"/>
        <w:rPr>
          <w:b/>
          <w:bCs/>
          <w:color w:val="000000"/>
          <w:sz w:val="20"/>
          <w:szCs w:val="20"/>
        </w:rPr>
      </w:pPr>
      <w:r>
        <w:rPr>
          <w:b/>
          <w:bCs/>
          <w:color w:val="000000"/>
          <w:sz w:val="20"/>
          <w:szCs w:val="20"/>
        </w:rPr>
        <w:t>1. DESCRIPTION OF THE BUSINESS AND BASIS OF PRESENTATION</w:t>
      </w:r>
    </w:p>
    <w:p w14:paraId="13BAB32E" w14:textId="77777777" w:rsidR="00000000" w:rsidRDefault="007125B5">
      <w:pPr>
        <w:pStyle w:val="a3"/>
        <w:shd w:val="clear" w:color="auto" w:fill="FFFFFF"/>
        <w:spacing w:before="120" w:beforeAutospacing="0" w:after="0" w:afterAutospacing="0"/>
        <w:ind w:firstLine="556"/>
        <w:rPr>
          <w:b/>
          <w:bCs/>
          <w:color w:val="000000"/>
          <w:sz w:val="20"/>
          <w:szCs w:val="20"/>
        </w:rPr>
      </w:pPr>
      <w:r>
        <w:rPr>
          <w:b/>
          <w:bCs/>
          <w:color w:val="000000"/>
          <w:sz w:val="20"/>
          <w:szCs w:val="20"/>
        </w:rPr>
        <w:t>Description of the Business</w:t>
      </w:r>
      <w:r>
        <w:rPr>
          <w:color w:val="000000"/>
          <w:sz w:val="20"/>
          <w:szCs w:val="20"/>
        </w:rPr>
        <w:t>—Montrose Environmental Group, Inc. (“Montrose” or the “Company”) is a corporation formed on November 2013, under the laws of the State of Delaware. The Company has approxi</w:t>
      </w:r>
      <w:r>
        <w:rPr>
          <w:color w:val="000000"/>
          <w:sz w:val="20"/>
          <w:szCs w:val="20"/>
        </w:rPr>
        <w:t>mately 70 offices across the United States, Canada and Australia and over 1,700 employees. Montrose is highly acquisitive and, as of June 30, 2020, had completed 54 acquisitions since its inception.</w:t>
      </w:r>
    </w:p>
    <w:p w14:paraId="7C78ADCB"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Montrose is an environmental services company serving the</w:t>
      </w:r>
      <w:r>
        <w:rPr>
          <w:color w:val="000000"/>
          <w:sz w:val="20"/>
          <w:szCs w:val="20"/>
        </w:rPr>
        <w:t xml:space="preserve"> recurring environmental needs of a diverse client base, including Fortune 500 companies and federal, state and local governments through the following three segments:</w:t>
      </w:r>
    </w:p>
    <w:p w14:paraId="3CB04CE4" w14:textId="77777777" w:rsidR="00000000" w:rsidRDefault="007125B5">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Assessment, Permitting and Response</w:t>
      </w:r>
      <w:r>
        <w:rPr>
          <w:color w:val="000000"/>
          <w:sz w:val="20"/>
          <w:szCs w:val="20"/>
        </w:rPr>
        <w:t>—Through its Assessment, Permitting and Response segm</w:t>
      </w:r>
      <w:r>
        <w:rPr>
          <w:color w:val="000000"/>
          <w:sz w:val="20"/>
          <w:szCs w:val="20"/>
        </w:rPr>
        <w:t>ent, Montrose provides scientific advisory and consulting services to support environmental assessments, environmental emergency response, and environmental audits and permits for current operations, facility upgrades, new projects, decommissioning project</w:t>
      </w:r>
      <w:r>
        <w:rPr>
          <w:color w:val="000000"/>
          <w:sz w:val="20"/>
          <w:szCs w:val="20"/>
        </w:rPr>
        <w:t>s and development projects. Montrose’s technical advisory and consulting offerings include regulatory compliance support and planning, environmental, ecosystem and toxicological assessments and support during responses to environmental disruption. Montrose</w:t>
      </w:r>
      <w:r>
        <w:rPr>
          <w:color w:val="000000"/>
          <w:sz w:val="20"/>
          <w:szCs w:val="20"/>
        </w:rPr>
        <w:t xml:space="preserve"> helps clients navigate regulations at the local, state, provincial and federal levels.</w:t>
      </w:r>
    </w:p>
    <w:p w14:paraId="5282A251" w14:textId="77777777" w:rsidR="00000000" w:rsidRDefault="007125B5">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Measurement and Analysis</w:t>
      </w:r>
      <w:r>
        <w:rPr>
          <w:color w:val="000000"/>
          <w:sz w:val="20"/>
          <w:szCs w:val="20"/>
        </w:rPr>
        <w:t>—Through its Measurement and Analysis segment, Montrose’s teams test and analyze air, water and soil to determine concentrations of contaminants</w:t>
      </w:r>
      <w:r>
        <w:rPr>
          <w:color w:val="000000"/>
          <w:sz w:val="20"/>
          <w:szCs w:val="20"/>
        </w:rPr>
        <w:t xml:space="preserve"> as well as the toxicological impact of contaminants on flora, fauna and human health. Montrose’s offerings include source and ambient air testing and monitoring, leak detection and repair (“LDAR”) and advanced analytical laboratory services such as air, s</w:t>
      </w:r>
      <w:r>
        <w:rPr>
          <w:color w:val="000000"/>
          <w:sz w:val="20"/>
          <w:szCs w:val="20"/>
        </w:rPr>
        <w:t>torm water, wastewater and drinking water analysis.</w:t>
      </w:r>
    </w:p>
    <w:p w14:paraId="7899CEF2" w14:textId="77777777" w:rsidR="00000000" w:rsidRDefault="007125B5">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Remediation and Reuse</w:t>
      </w:r>
      <w:r>
        <w:rPr>
          <w:color w:val="000000"/>
          <w:sz w:val="20"/>
          <w:szCs w:val="20"/>
        </w:rPr>
        <w:t>—Through its Remediation and Reuse segment, Montrose provides clients with engineering, design, implementation and operations and maintenance (“O&amp;M”) services, primarily to treat cont</w:t>
      </w:r>
      <w:r>
        <w:rPr>
          <w:color w:val="000000"/>
          <w:sz w:val="20"/>
          <w:szCs w:val="20"/>
        </w:rPr>
        <w:t xml:space="preserve">aminated water, remove contaminants from soil or create biogas from waste. The Company does not own the properties or facilities at which it implements these projects or the underlying liabilities, nor does it own material amounts of the equipment used in </w:t>
      </w:r>
      <w:r>
        <w:rPr>
          <w:color w:val="000000"/>
          <w:sz w:val="20"/>
          <w:szCs w:val="20"/>
        </w:rPr>
        <w:t>projects; instead, the Company assists clients in designing solutions, managing projects and mitigating their environmental risks and liabilities at their locations.</w:t>
      </w:r>
    </w:p>
    <w:p w14:paraId="3FA50BBB"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Initial Public Offering</w:t>
      </w:r>
      <w:r>
        <w:rPr>
          <w:color w:val="000000"/>
          <w:sz w:val="20"/>
          <w:szCs w:val="20"/>
        </w:rPr>
        <w:t>—On July 27, 2020, the Company completed its initial public offerin</w:t>
      </w:r>
      <w:r>
        <w:rPr>
          <w:color w:val="000000"/>
          <w:sz w:val="20"/>
          <w:szCs w:val="20"/>
        </w:rPr>
        <w:t>g (“IPO”) of common stock, in which it sold 11,500,000 shares, including 1,500,000 shares issued pursuant to the underwriters full exercise on July 24, 2020 of the underwriters’ option to purchase additional shares, at a price to the public of $15.00 per s</w:t>
      </w:r>
      <w:r>
        <w:rPr>
          <w:color w:val="000000"/>
          <w:sz w:val="20"/>
          <w:szCs w:val="20"/>
        </w:rPr>
        <w:t>hare, resulting in net proceeds to the Company of approximately $161.3 million after deducting underwriting discounts and commissions and estimated offering expenses payable by the Company. The Company’s common stock began trading on the New York Stock Exc</w:t>
      </w:r>
      <w:r>
        <w:rPr>
          <w:color w:val="000000"/>
          <w:sz w:val="20"/>
          <w:szCs w:val="20"/>
        </w:rPr>
        <w:t>hange on July 23, 2020.</w:t>
      </w:r>
    </w:p>
    <w:p w14:paraId="39BFDB7A"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Basis of Presentation</w:t>
      </w:r>
      <w:r>
        <w:rPr>
          <w:color w:val="000000"/>
          <w:sz w:val="20"/>
          <w:szCs w:val="20"/>
        </w:rPr>
        <w:t>—The unaudited condensed consolidated financial statements include the operations of the Company and its wholly-owned subsidiaries. These condensed consolidated financial statements are presented in conformity w</w:t>
      </w:r>
      <w:r>
        <w:rPr>
          <w:color w:val="000000"/>
          <w:sz w:val="20"/>
          <w:szCs w:val="20"/>
        </w:rPr>
        <w:t>ith accounting principles generally accepted in the United States (“U.S. GAAP”) and have been prepared pursuant to the rules and regulations of the U.S. Securities and Exchange Commission (“SEC”) that permit reduced disclosure for interim periods. The unau</w:t>
      </w:r>
      <w:r>
        <w:rPr>
          <w:color w:val="000000"/>
          <w:sz w:val="20"/>
          <w:szCs w:val="20"/>
        </w:rPr>
        <w:t>dited condensed consolidated financial statements include all accounts of the Company and, in the opinion of management, include all recurring adjustments and normal accruals necessary for a fair statement of the Company’s financial position, results of op</w:t>
      </w:r>
      <w:r>
        <w:rPr>
          <w:color w:val="000000"/>
          <w:sz w:val="20"/>
          <w:szCs w:val="20"/>
        </w:rPr>
        <w:t>erations and cash flows for the dates and periods presented. These unaudited condensed consolidated financial statements should be read in conjunction with the Company’s audited financial statements as of and for the year ended December 31, 2019. Results f</w:t>
      </w:r>
      <w:r>
        <w:rPr>
          <w:color w:val="000000"/>
          <w:sz w:val="20"/>
          <w:szCs w:val="20"/>
        </w:rPr>
        <w:t>or interim periods are not necessarily indicative of the results to be expected during the remainder of the current year or for any future period. All intercompany transactions, accounts and profits, have been eliminated in the condensed consolidated finan</w:t>
      </w:r>
      <w:r>
        <w:rPr>
          <w:color w:val="000000"/>
          <w:sz w:val="20"/>
          <w:szCs w:val="20"/>
        </w:rPr>
        <w:t>cial statements.</w:t>
      </w:r>
    </w:p>
    <w:p w14:paraId="1053A94C"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2. SUMMARY OF NEW ACCOUNTING PRONOUNCEMENTS</w:t>
      </w:r>
    </w:p>
    <w:p w14:paraId="74927125" w14:textId="77777777" w:rsidR="00000000" w:rsidRDefault="007125B5">
      <w:pPr>
        <w:pStyle w:val="a3"/>
        <w:shd w:val="clear" w:color="auto" w:fill="FFFFFF"/>
        <w:spacing w:before="120" w:beforeAutospacing="0" w:after="0" w:afterAutospacing="0"/>
        <w:ind w:firstLine="556"/>
        <w:rPr>
          <w:b/>
          <w:bCs/>
          <w:color w:val="000000"/>
          <w:sz w:val="20"/>
          <w:szCs w:val="20"/>
        </w:rPr>
      </w:pPr>
      <w:r>
        <w:rPr>
          <w:b/>
          <w:bCs/>
          <w:color w:val="000000"/>
          <w:sz w:val="20"/>
          <w:szCs w:val="20"/>
        </w:rPr>
        <w:t>Recently Adopted Accounting Pronouncements</w:t>
      </w:r>
      <w:r>
        <w:rPr>
          <w:color w:val="000000"/>
          <w:sz w:val="20"/>
          <w:szCs w:val="20"/>
        </w:rPr>
        <w:t xml:space="preserve">—The Company qualifies as an emerging growth company as defined in the Jumpstart Our Business Startups Act of 2012 (“JOBS Act”) and therefore intends to </w:t>
      </w:r>
      <w:r>
        <w:rPr>
          <w:color w:val="000000"/>
          <w:sz w:val="20"/>
          <w:szCs w:val="20"/>
        </w:rPr>
        <w:t>take advantage of certain exemptions from various public company reporting requirements, including delaying adoption of new or revised accounting standards until those standards apply to private companies. The Company has elected to use this extended trans</w:t>
      </w:r>
      <w:r>
        <w:rPr>
          <w:color w:val="000000"/>
          <w:sz w:val="20"/>
          <w:szCs w:val="20"/>
        </w:rPr>
        <w:t>ition period under the JOBS Act. The effective dates shown below reflect the election to use the extended transition period.</w:t>
      </w:r>
    </w:p>
    <w:p w14:paraId="310B7C8C" w14:textId="77777777" w:rsidR="00000000" w:rsidRDefault="007125B5">
      <w:pPr>
        <w:pStyle w:val="a3"/>
        <w:shd w:val="clear" w:color="auto" w:fill="FFFFFF"/>
        <w:spacing w:before="240" w:beforeAutospacing="0" w:after="0" w:afterAutospacing="0"/>
        <w:ind w:firstLine="556"/>
        <w:rPr>
          <w:color w:val="000000"/>
          <w:sz w:val="20"/>
          <w:szCs w:val="20"/>
        </w:rPr>
      </w:pPr>
      <w:bookmarkStart w:id="14" w:name="_AEIOULastRenderedPageBreakAEIOU8"/>
      <w:bookmarkEnd w:id="14"/>
      <w:r>
        <w:rPr>
          <w:color w:val="000000"/>
          <w:sz w:val="20"/>
          <w:szCs w:val="20"/>
        </w:rPr>
        <w:t>In June 2018, the Financial Accounting Standards Board (“FASB”) issued Accounting Standard Update (“ASU”) 2018-07, Compensation—Sto</w:t>
      </w:r>
      <w:r>
        <w:rPr>
          <w:color w:val="000000"/>
          <w:sz w:val="20"/>
          <w:szCs w:val="20"/>
        </w:rPr>
        <w:t xml:space="preserve">ck Compensation: Improvements to Nonemployee Share-Based Payment Accounting. Under the revised </w:t>
      </w:r>
    </w:p>
    <w:p w14:paraId="20B5D41D" w14:textId="77777777" w:rsidR="00000000" w:rsidRDefault="007125B5">
      <w:pPr>
        <w:pStyle w:val="a3"/>
        <w:spacing w:before="240" w:beforeAutospacing="0" w:after="0" w:afterAutospacing="0"/>
        <w:jc w:val="center"/>
        <w:rPr>
          <w:sz w:val="20"/>
          <w:szCs w:val="20"/>
        </w:rPr>
      </w:pPr>
      <w:r>
        <w:rPr>
          <w:sz w:val="20"/>
          <w:szCs w:val="20"/>
        </w:rPr>
        <w:t>5</w:t>
      </w:r>
    </w:p>
    <w:p w14:paraId="7A971A6C" w14:textId="77777777" w:rsidR="00000000" w:rsidRDefault="007125B5">
      <w:pPr>
        <w:rPr>
          <w:rFonts w:eastAsia="Times New Roman"/>
        </w:rPr>
      </w:pPr>
      <w:r>
        <w:rPr>
          <w:rFonts w:eastAsia="Times New Roman"/>
        </w:rPr>
        <w:pict w14:anchorId="39AFE3FD">
          <v:rect id="_x0000_i1031" style="width:415.3pt;height:1.5pt" o:hralign="center" o:hrstd="t" o:hr="t" fillcolor="#a0a0a0" stroked="f"/>
        </w:pict>
      </w:r>
    </w:p>
    <w:p w14:paraId="11DDA2CA" w14:textId="77777777" w:rsidR="00000000" w:rsidRDefault="007125B5">
      <w:pPr>
        <w:pStyle w:val="a3"/>
        <w:spacing w:before="0" w:beforeAutospacing="0" w:after="0" w:afterAutospacing="0"/>
        <w:rPr>
          <w:sz w:val="20"/>
          <w:szCs w:val="20"/>
        </w:rPr>
      </w:pPr>
      <w:r>
        <w:rPr>
          <w:sz w:val="20"/>
          <w:szCs w:val="20"/>
        </w:rPr>
        <w:t> </w:t>
      </w:r>
    </w:p>
    <w:p w14:paraId="7EBAD51A" w14:textId="77777777" w:rsidR="00000000" w:rsidRDefault="007125B5">
      <w:pPr>
        <w:pStyle w:val="a3"/>
        <w:shd w:val="clear" w:color="auto" w:fill="FFFFFF"/>
        <w:spacing w:before="240" w:beforeAutospacing="0" w:after="0" w:afterAutospacing="0"/>
        <w:rPr>
          <w:color w:val="000000"/>
          <w:sz w:val="20"/>
          <w:szCs w:val="20"/>
        </w:rPr>
      </w:pPr>
      <w:r>
        <w:rPr>
          <w:color w:val="000000"/>
          <w:sz w:val="20"/>
          <w:szCs w:val="20"/>
        </w:rPr>
        <w:t>guidance, the accounting for awards issued to non-employees </w:t>
      </w:r>
      <w:r>
        <w:rPr>
          <w:color w:val="000000"/>
          <w:sz w:val="20"/>
          <w:szCs w:val="20"/>
        </w:rPr>
        <w:t>will be similar to the accounting for employee awards. The new guidance is effective for fiscal years beginning after December 15, 2019. The standard was adopted as of January 1, 2020 and did not have a material impact on the Company’s condensed consolidat</w:t>
      </w:r>
      <w:r>
        <w:rPr>
          <w:color w:val="000000"/>
          <w:sz w:val="20"/>
          <w:szCs w:val="20"/>
        </w:rPr>
        <w:t>ed financial statements.</w:t>
      </w:r>
    </w:p>
    <w:p w14:paraId="608E4FB6"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In January 2017, the FASB issued ASU 2017-04, Intangibles—Goodwill and Other (Topic 350): Simplifying the Accounting for Goodwill Impairment. The revised guidance eliminates Step 2 of the current goodwill impairment analysis test, </w:t>
      </w:r>
      <w:r>
        <w:rPr>
          <w:color w:val="000000"/>
          <w:sz w:val="20"/>
          <w:szCs w:val="20"/>
        </w:rPr>
        <w:t>which requires hypothetical purchase price allocation to measure goodwill impairment. A goodwill impairment loss will instead be measured at the amount by which a reporting unit’s carrying amount exceeds its fair value, not to exceed the carrying amount of</w:t>
      </w:r>
      <w:r>
        <w:rPr>
          <w:color w:val="000000"/>
          <w:sz w:val="20"/>
          <w:szCs w:val="20"/>
        </w:rPr>
        <w:t xml:space="preserve"> goodwill. The revised guidance was adopted as of January 1, 2020 and did not have a material impact on the Company’s condensed consolidated financial statements.</w:t>
      </w:r>
    </w:p>
    <w:p w14:paraId="4E94F054"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Recently Issued Accounting Pronouncements Not Yet Adopted</w:t>
      </w:r>
      <w:r>
        <w:rPr>
          <w:color w:val="000000"/>
          <w:sz w:val="20"/>
          <w:szCs w:val="20"/>
        </w:rPr>
        <w:t>— In August 2020, the FASB issued AS</w:t>
      </w:r>
      <w:r>
        <w:rPr>
          <w:color w:val="000000"/>
          <w:sz w:val="20"/>
          <w:szCs w:val="20"/>
        </w:rPr>
        <w:t>U 2020-06, Debt—Debt with Conversion and Other Options (Subtopic 470-20) and Derivatives and Hedging—Contracts in Entity's Own Equity (Subtopic 815-40)—Accounting for Convertible Instruments and Contracts in an Entity's Own Equity. The ASU simplifies accou</w:t>
      </w:r>
      <w:r>
        <w:rPr>
          <w:color w:val="000000"/>
          <w:sz w:val="20"/>
          <w:szCs w:val="20"/>
        </w:rPr>
        <w:t>nting for convertible instruments by removing major separation models required under current GAAP. Consequently, more convertible debt instruments will be reported as a single liability instrument with no separate accounting for embedded conversion feature</w:t>
      </w:r>
      <w:r>
        <w:rPr>
          <w:color w:val="000000"/>
          <w:sz w:val="20"/>
          <w:szCs w:val="20"/>
        </w:rPr>
        <w:t xml:space="preserve">s. The ASU removes certain settlement conditions that are required for equity contracts to qualify for the derivative scope exception, which will permit more equity contracts to qualify for the exception. The ASU also simplifies the diluted net income per </w:t>
      </w:r>
      <w:r>
        <w:rPr>
          <w:color w:val="000000"/>
          <w:sz w:val="20"/>
          <w:szCs w:val="20"/>
        </w:rPr>
        <w:t>share calculation in certain areas. The new guidance is effective for fiscal years beginning after December 15, 2023, including interim periods within those fiscal years, and early adoption is permitted. The Company is currently evaluating the impact of th</w:t>
      </w:r>
      <w:r>
        <w:rPr>
          <w:color w:val="000000"/>
          <w:sz w:val="20"/>
          <w:szCs w:val="20"/>
        </w:rPr>
        <w:t>e adoption of the standard on the condensed consolidated financial statements.</w:t>
      </w:r>
    </w:p>
    <w:p w14:paraId="42D49FFB"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In March 2020, the FASB issued ASU 2020-04, Reference Rate Reform (Topic 848): Facilitation of the Effects of Reference Rate Reform on Financial Reporting. ASU 2020-04 provides </w:t>
      </w:r>
      <w:r>
        <w:rPr>
          <w:color w:val="000000"/>
          <w:sz w:val="20"/>
          <w:szCs w:val="20"/>
        </w:rPr>
        <w:t>optional expedients and exceptions for applying GAAP to contracts, hedging relationships and other transactions affected by the expected transition away from reference rates that are expected to be discontinued, such as LIBOR. ASU 2020-04 was effective upo</w:t>
      </w:r>
      <w:r>
        <w:rPr>
          <w:color w:val="000000"/>
          <w:sz w:val="20"/>
          <w:szCs w:val="20"/>
        </w:rPr>
        <w:t>n issuance. The Company may elect to apply the guidance prospectively through December 31, 2022. The Company is evaluating the impact of the standard on its condensed consolidated financial statements.</w:t>
      </w:r>
    </w:p>
    <w:p w14:paraId="720A356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In December 2019, the FASB issued ASU 2019-12, Income </w:t>
      </w:r>
      <w:r>
        <w:rPr>
          <w:color w:val="000000"/>
          <w:sz w:val="20"/>
          <w:szCs w:val="20"/>
        </w:rPr>
        <w:t>Taxes (Topic 740): Simplifying the Accounting for Income Taxes. ASU 2019-12 removes certain exceptions to the general principles in ASC 740 and clarifies and amends certain guidance to promote consistent application. ASU 2019-12 is effective for the Compan</w:t>
      </w:r>
      <w:r>
        <w:rPr>
          <w:color w:val="000000"/>
          <w:sz w:val="20"/>
          <w:szCs w:val="20"/>
        </w:rPr>
        <w:t>y’s annual and interim periods beginning on January 1, 2021, with early adoption permitted. Depending on the amendment, adoption may be applied on a retrospective, modified retrospective or prospective basis. The Company is evaluating the impact of the sta</w:t>
      </w:r>
      <w:r>
        <w:rPr>
          <w:color w:val="000000"/>
          <w:sz w:val="20"/>
          <w:szCs w:val="20"/>
        </w:rPr>
        <w:t>ndard on its condensed consolidated financial statements.</w:t>
      </w:r>
    </w:p>
    <w:p w14:paraId="0CAE91E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In June 2016, the FASB issued ASU 2016-13, Financial Instruments—Credit Losses (Topic 326). The standard introduces a new model for recognizing credit losses on financial instruments based on an est</w:t>
      </w:r>
      <w:r>
        <w:rPr>
          <w:color w:val="000000"/>
          <w:sz w:val="20"/>
          <w:szCs w:val="20"/>
        </w:rPr>
        <w:t>imate of current expected credit losses and will apply to trade receivables. The new guidance will be effective for the Company’s annual and interim periods beginning after December 15, 2022. The Company is currently evaluating the impact of the adoption o</w:t>
      </w:r>
      <w:r>
        <w:rPr>
          <w:color w:val="000000"/>
          <w:sz w:val="20"/>
          <w:szCs w:val="20"/>
        </w:rPr>
        <w:t>f the standard on the condensed consolidated financial statements.</w:t>
      </w:r>
    </w:p>
    <w:p w14:paraId="201EE45E"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In February 2016, the FASB issued ASU 2016-2, Leases (Topic 842), to improve financial reporting regarding leasing transactions. The ASU primarily affects the accounting by the lessee in th</w:t>
      </w:r>
      <w:r>
        <w:rPr>
          <w:color w:val="000000"/>
          <w:sz w:val="20"/>
          <w:szCs w:val="20"/>
        </w:rPr>
        <w:t>at it requires a lessee to recognize lease assets and liabilities, initially measured at the present value of the lease payments, on the balance sheets for those leases classified as operating leases under previous guidance. The new leasing standard is eff</w:t>
      </w:r>
      <w:r>
        <w:rPr>
          <w:color w:val="000000"/>
          <w:sz w:val="20"/>
          <w:szCs w:val="20"/>
        </w:rPr>
        <w:t>ective for the Company’s annual and interim periods beginning after December 15, 2021. The new leasing standard requires modified retrospective transition. The Company is currently evaluating the impact of the adoption of the updated standard on the conden</w:t>
      </w:r>
      <w:r>
        <w:rPr>
          <w:color w:val="000000"/>
          <w:sz w:val="20"/>
          <w:szCs w:val="20"/>
        </w:rPr>
        <w:t>sed consolidated financial statements.</w:t>
      </w:r>
    </w:p>
    <w:p w14:paraId="5C2BA125" w14:textId="77777777" w:rsidR="00000000" w:rsidRDefault="007125B5">
      <w:pPr>
        <w:pStyle w:val="a3"/>
        <w:shd w:val="clear" w:color="auto" w:fill="FFFFFF"/>
        <w:spacing w:before="360" w:beforeAutospacing="0" w:after="0" w:afterAutospacing="0"/>
        <w:rPr>
          <w:b/>
          <w:bCs/>
          <w:sz w:val="20"/>
          <w:szCs w:val="20"/>
        </w:rPr>
      </w:pPr>
      <w:r>
        <w:rPr>
          <w:b/>
          <w:bCs/>
          <w:sz w:val="20"/>
          <w:szCs w:val="20"/>
        </w:rPr>
        <w:t>3. REVENUES AND ACCOUNTS RECEIVABLE</w:t>
      </w:r>
    </w:p>
    <w:p w14:paraId="10D1EEB9"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The Company’s main revenue sources derive from the following revenue streams:</w:t>
      </w:r>
    </w:p>
    <w:p w14:paraId="60BFE05C"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Assessment, Permitting and Response Revenues</w:t>
      </w:r>
      <w:r>
        <w:rPr>
          <w:color w:val="000000"/>
          <w:sz w:val="20"/>
          <w:szCs w:val="20"/>
        </w:rPr>
        <w:t>—Assessment, Permitting and Response revenues are generated</w:t>
      </w:r>
      <w:r>
        <w:rPr>
          <w:color w:val="000000"/>
          <w:sz w:val="20"/>
          <w:szCs w:val="20"/>
        </w:rPr>
        <w:t xml:space="preserve"> from multidisciplinary environmental consulting services. The majority of the contracts are fixed-price or time and material based.</w:t>
      </w:r>
    </w:p>
    <w:p w14:paraId="3C0F0941"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Measurement and Analysis Revenues</w:t>
      </w:r>
      <w:r>
        <w:rPr>
          <w:color w:val="000000"/>
          <w:sz w:val="20"/>
          <w:szCs w:val="20"/>
        </w:rPr>
        <w:t>—Measurement and Analysis revenues are generated from emissions sampling, testing and repo</w:t>
      </w:r>
      <w:r>
        <w:rPr>
          <w:color w:val="000000"/>
          <w:sz w:val="20"/>
          <w:szCs w:val="20"/>
        </w:rPr>
        <w:t>rting services, leak detection services, ambient air monitoring services and laboratory testing services. The majority of the contracts are fixed-price or time-and-materials based.</w:t>
      </w:r>
    </w:p>
    <w:p w14:paraId="27E2E8AB" w14:textId="77777777" w:rsidR="00000000" w:rsidRDefault="007125B5">
      <w:pPr>
        <w:pStyle w:val="a3"/>
        <w:shd w:val="clear" w:color="auto" w:fill="FFFFFF"/>
        <w:spacing w:before="240" w:beforeAutospacing="0" w:after="0" w:afterAutospacing="0"/>
        <w:ind w:firstLine="556"/>
        <w:rPr>
          <w:b/>
          <w:bCs/>
          <w:color w:val="000000"/>
          <w:sz w:val="20"/>
          <w:szCs w:val="20"/>
        </w:rPr>
      </w:pPr>
      <w:bookmarkStart w:id="15" w:name="_AEIOULastRenderedPageBreakAEIOU9"/>
      <w:bookmarkStart w:id="16" w:name="_Hlk49289581"/>
      <w:bookmarkEnd w:id="15"/>
      <w:r>
        <w:rPr>
          <w:b/>
          <w:bCs/>
          <w:color w:val="000000"/>
          <w:sz w:val="20"/>
          <w:szCs w:val="20"/>
        </w:rPr>
        <w:t>Remediation and Reuse Revenues</w:t>
      </w:r>
      <w:r>
        <w:rPr>
          <w:color w:val="000000"/>
          <w:sz w:val="20"/>
          <w:szCs w:val="20"/>
        </w:rPr>
        <w:t>—Remediation and Reuse revenues are generated</w:t>
      </w:r>
      <w:r>
        <w:rPr>
          <w:color w:val="000000"/>
          <w:sz w:val="20"/>
          <w:szCs w:val="20"/>
        </w:rPr>
        <w:t xml:space="preserve"> from O&amp;M services (on biogas and water treatment facilities), as well as remediation, monitoring and environmental compliance services. Services on the majority of O&amp;M </w:t>
      </w:r>
    </w:p>
    <w:p w14:paraId="4704AABB" w14:textId="77777777" w:rsidR="00000000" w:rsidRDefault="007125B5">
      <w:pPr>
        <w:pStyle w:val="a3"/>
        <w:spacing w:before="240" w:beforeAutospacing="0" w:after="0" w:afterAutospacing="0"/>
        <w:jc w:val="center"/>
        <w:rPr>
          <w:sz w:val="20"/>
          <w:szCs w:val="20"/>
        </w:rPr>
      </w:pPr>
      <w:r>
        <w:rPr>
          <w:sz w:val="20"/>
          <w:szCs w:val="20"/>
        </w:rPr>
        <w:t>6</w:t>
      </w:r>
    </w:p>
    <w:p w14:paraId="1916B422" w14:textId="77777777" w:rsidR="00000000" w:rsidRDefault="007125B5">
      <w:pPr>
        <w:rPr>
          <w:rFonts w:eastAsia="Times New Roman"/>
        </w:rPr>
      </w:pPr>
      <w:r>
        <w:rPr>
          <w:rFonts w:eastAsia="Times New Roman"/>
        </w:rPr>
        <w:pict w14:anchorId="2BCA3355">
          <v:rect id="_x0000_i1032" style="width:415.3pt;height:1.5pt" o:hralign="center" o:hrstd="t" o:hr="t" fillcolor="#a0a0a0" stroked="f"/>
        </w:pict>
      </w:r>
    </w:p>
    <w:p w14:paraId="17093AEB" w14:textId="77777777" w:rsidR="00000000" w:rsidRDefault="007125B5">
      <w:pPr>
        <w:pStyle w:val="a3"/>
        <w:spacing w:before="0" w:beforeAutospacing="0" w:after="0" w:afterAutospacing="0"/>
        <w:rPr>
          <w:sz w:val="20"/>
          <w:szCs w:val="20"/>
        </w:rPr>
      </w:pPr>
      <w:r>
        <w:rPr>
          <w:sz w:val="20"/>
          <w:szCs w:val="20"/>
        </w:rPr>
        <w:t> </w:t>
      </w:r>
    </w:p>
    <w:bookmarkEnd w:id="16"/>
    <w:p w14:paraId="5826168C" w14:textId="77777777" w:rsidR="00000000" w:rsidRDefault="007125B5">
      <w:pPr>
        <w:pStyle w:val="a3"/>
        <w:shd w:val="clear" w:color="auto" w:fill="FFFFFF"/>
        <w:spacing w:before="240" w:beforeAutospacing="0" w:after="0" w:afterAutospacing="0"/>
        <w:rPr>
          <w:b/>
          <w:bCs/>
          <w:color w:val="000000"/>
          <w:sz w:val="20"/>
          <w:szCs w:val="20"/>
        </w:rPr>
      </w:pPr>
      <w:r>
        <w:rPr>
          <w:color w:val="000000"/>
          <w:sz w:val="20"/>
          <w:szCs w:val="20"/>
        </w:rPr>
        <w:t>contracts are provided under long-term fixed-fee contracts. The majority of the remediation, monitoring and environmental compliance contracts are fixed price</w:t>
      </w:r>
      <w:r>
        <w:rPr>
          <w:color w:val="000000"/>
          <w:sz w:val="20"/>
          <w:szCs w:val="20"/>
        </w:rPr>
        <w:t> or time-and-materials based.</w:t>
      </w:r>
    </w:p>
    <w:p w14:paraId="483BD625"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Disaggregation of Revenue</w:t>
      </w:r>
      <w:r>
        <w:rPr>
          <w:color w:val="000000"/>
          <w:sz w:val="20"/>
          <w:szCs w:val="20"/>
        </w:rPr>
        <w:t>—The Company disaggregates revenue by its operating segments</w:t>
      </w:r>
      <w:r>
        <w:rPr>
          <w:b/>
          <w:bCs/>
          <w:color w:val="000000"/>
          <w:sz w:val="20"/>
          <w:szCs w:val="20"/>
        </w:rPr>
        <w:t>.</w:t>
      </w:r>
      <w:r>
        <w:rPr>
          <w:color w:val="000000"/>
          <w:sz w:val="20"/>
          <w:szCs w:val="20"/>
        </w:rPr>
        <w:t xml:space="preserve"> The Company believes disaggregating revenue into these categories achieves the disclosure objectives to depict how the nature, amount, and </w:t>
      </w:r>
      <w:r>
        <w:rPr>
          <w:color w:val="000000"/>
          <w:sz w:val="20"/>
          <w:szCs w:val="20"/>
        </w:rPr>
        <w:t>uncertainty of revenue and cash flows are affected by economic factors. Disaggregated revenue disclosures are provided in Note 20, Segment Information.</w:t>
      </w:r>
    </w:p>
    <w:p w14:paraId="3A9328C0"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Contract Balances</w:t>
      </w:r>
      <w:r>
        <w:rPr>
          <w:color w:val="000000"/>
          <w:sz w:val="20"/>
          <w:szCs w:val="20"/>
        </w:rPr>
        <w:t xml:space="preserve">—The Company presents contract balances for unbilled receivables (contract assets), as </w:t>
      </w:r>
      <w:r>
        <w:rPr>
          <w:color w:val="000000"/>
          <w:sz w:val="20"/>
          <w:szCs w:val="20"/>
        </w:rPr>
        <w:t xml:space="preserve">well as customer advances, deposits and deferred revenue (contract liabilities) within contract assets and accounts payable and accrued expenses, respectively, on the condensed consolidated statements of financial position. Amounts are generally billed at </w:t>
      </w:r>
      <w:r>
        <w:rPr>
          <w:color w:val="000000"/>
          <w:sz w:val="20"/>
          <w:szCs w:val="20"/>
        </w:rPr>
        <w:t>periodic intervals (e.g., weekly, bi-weekly or monthly) as work progresses in accordance with agreed-upon contractual terms. The Company utilizes the practical expedient to not adjust the promised amount of consideration for the effects of a significant fi</w:t>
      </w:r>
      <w:r>
        <w:rPr>
          <w:color w:val="000000"/>
          <w:sz w:val="20"/>
          <w:szCs w:val="20"/>
        </w:rPr>
        <w:t xml:space="preserve">nancing component as the period between when the Company transfers services to a customer and when the customer pays for those services is one year or less. Amounts recorded as unbilled receivables are generally for services the Company is not entitled to </w:t>
      </w:r>
      <w:r>
        <w:rPr>
          <w:color w:val="000000"/>
          <w:sz w:val="20"/>
          <w:szCs w:val="20"/>
        </w:rPr>
        <w:t>bill based on the passage of time. Under certain contracts, billing occurs subsequent to revenue recognition, resulting in contract assets. The Company sometimes receives advances or deposits from customers before revenue is recognized, resulting in contra</w:t>
      </w:r>
      <w:r>
        <w:rPr>
          <w:color w:val="000000"/>
          <w:sz w:val="20"/>
          <w:szCs w:val="20"/>
        </w:rPr>
        <w:t>ct liabilities.</w:t>
      </w:r>
    </w:p>
    <w:p w14:paraId="3A8F2963"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following table presents the Company’s contract balances:</w:t>
      </w:r>
    </w:p>
    <w:p w14:paraId="21339A6D"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68"/>
        <w:gridCol w:w="115"/>
        <w:gridCol w:w="723"/>
        <w:gridCol w:w="65"/>
        <w:gridCol w:w="69"/>
        <w:gridCol w:w="116"/>
        <w:gridCol w:w="724"/>
        <w:gridCol w:w="65"/>
      </w:tblGrid>
      <w:tr w:rsidR="00000000" w14:paraId="0965F0CB" w14:textId="77777777">
        <w:trPr>
          <w:divId w:val="2118403565"/>
          <w:jc w:val="center"/>
        </w:trPr>
        <w:tc>
          <w:tcPr>
            <w:tcW w:w="3349" w:type="pct"/>
            <w:shd w:val="clear" w:color="auto" w:fill="FFFFFF"/>
            <w:tcMar>
              <w:top w:w="15" w:type="dxa"/>
              <w:left w:w="0" w:type="dxa"/>
              <w:bottom w:w="0" w:type="dxa"/>
              <w:right w:w="15" w:type="dxa"/>
            </w:tcMar>
            <w:vAlign w:val="bottom"/>
            <w:hideMark/>
          </w:tcPr>
          <w:p w14:paraId="53B80ACF"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56837E6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0D9592D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p w14:paraId="3E2EC58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35D99B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8DE3BF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60AE9D8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p w14:paraId="25DE7CD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36734E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6B80684" w14:textId="77777777">
        <w:trPr>
          <w:divId w:val="2118403565"/>
          <w:jc w:val="center"/>
        </w:trPr>
        <w:tc>
          <w:tcPr>
            <w:tcW w:w="3349" w:type="pct"/>
            <w:shd w:val="clear" w:color="auto" w:fill="CFF0FC"/>
            <w:tcMar>
              <w:top w:w="15" w:type="dxa"/>
              <w:left w:w="0" w:type="dxa"/>
              <w:bottom w:w="0" w:type="dxa"/>
              <w:right w:w="15" w:type="dxa"/>
            </w:tcMar>
            <w:hideMark/>
          </w:tcPr>
          <w:p w14:paraId="26D351EC" w14:textId="77777777" w:rsidR="00000000" w:rsidRDefault="007125B5">
            <w:pPr>
              <w:pStyle w:val="a3"/>
              <w:spacing w:before="0" w:beforeAutospacing="0" w:after="0" w:afterAutospacing="0"/>
              <w:rPr>
                <w:color w:val="000000"/>
                <w:sz w:val="20"/>
                <w:szCs w:val="20"/>
              </w:rPr>
            </w:pPr>
            <w:r>
              <w:rPr>
                <w:color w:val="000000"/>
                <w:sz w:val="20"/>
                <w:szCs w:val="20"/>
              </w:rPr>
              <w:t>Contract assets</w:t>
            </w:r>
          </w:p>
        </w:tc>
        <w:tc>
          <w:tcPr>
            <w:tcW w:w="81" w:type="pct"/>
            <w:shd w:val="clear" w:color="auto" w:fill="CFF0FC"/>
            <w:tcMar>
              <w:top w:w="15" w:type="dxa"/>
              <w:left w:w="0" w:type="dxa"/>
              <w:bottom w:w="0" w:type="dxa"/>
              <w:right w:w="15" w:type="dxa"/>
            </w:tcMar>
            <w:vAlign w:val="bottom"/>
            <w:hideMark/>
          </w:tcPr>
          <w:p w14:paraId="13FA8A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A8B9B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CE89704" w14:textId="77777777" w:rsidR="00000000" w:rsidRDefault="007125B5">
            <w:pPr>
              <w:pStyle w:val="a3"/>
              <w:spacing w:before="0" w:beforeAutospacing="0" w:after="0" w:afterAutospacing="0"/>
              <w:jc w:val="right"/>
              <w:rPr>
                <w:color w:val="000000"/>
                <w:sz w:val="20"/>
                <w:szCs w:val="20"/>
              </w:rPr>
            </w:pPr>
            <w:r>
              <w:rPr>
                <w:color w:val="000000"/>
                <w:sz w:val="20"/>
                <w:szCs w:val="20"/>
              </w:rPr>
              <w:t>22,775</w:t>
            </w:r>
          </w:p>
        </w:tc>
        <w:tc>
          <w:tcPr>
            <w:tcW w:w="50" w:type="pct"/>
            <w:shd w:val="clear" w:color="auto" w:fill="CFF0FC"/>
            <w:noWrap/>
            <w:tcMar>
              <w:top w:w="15" w:type="dxa"/>
              <w:left w:w="0" w:type="dxa"/>
              <w:bottom w:w="0" w:type="dxa"/>
              <w:right w:w="15" w:type="dxa"/>
            </w:tcMar>
            <w:vAlign w:val="bottom"/>
            <w:hideMark/>
          </w:tcPr>
          <w:p w14:paraId="21F634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D4991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5C1A6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0A6C9564" w14:textId="77777777" w:rsidR="00000000" w:rsidRDefault="007125B5">
            <w:pPr>
              <w:pStyle w:val="a3"/>
              <w:spacing w:before="0" w:beforeAutospacing="0" w:after="0" w:afterAutospacing="0"/>
              <w:jc w:val="right"/>
              <w:rPr>
                <w:color w:val="000000"/>
                <w:sz w:val="20"/>
                <w:szCs w:val="20"/>
              </w:rPr>
            </w:pPr>
            <w:r>
              <w:rPr>
                <w:color w:val="000000"/>
                <w:sz w:val="20"/>
                <w:szCs w:val="20"/>
              </w:rPr>
              <w:t>13,605</w:t>
            </w:r>
          </w:p>
        </w:tc>
        <w:tc>
          <w:tcPr>
            <w:tcW w:w="50" w:type="pct"/>
            <w:shd w:val="clear" w:color="auto" w:fill="CFF0FC"/>
            <w:noWrap/>
            <w:tcMar>
              <w:top w:w="15" w:type="dxa"/>
              <w:left w:w="0" w:type="dxa"/>
              <w:bottom w:w="0" w:type="dxa"/>
              <w:right w:w="15" w:type="dxa"/>
            </w:tcMar>
            <w:vAlign w:val="bottom"/>
            <w:hideMark/>
          </w:tcPr>
          <w:p w14:paraId="02ABDFD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DD831E5" w14:textId="77777777">
        <w:trPr>
          <w:divId w:val="2118403565"/>
          <w:jc w:val="center"/>
        </w:trPr>
        <w:tc>
          <w:tcPr>
            <w:tcW w:w="3349" w:type="pct"/>
            <w:shd w:val="clear" w:color="auto" w:fill="FFFFFF"/>
            <w:tcMar>
              <w:top w:w="15" w:type="dxa"/>
              <w:left w:w="0" w:type="dxa"/>
              <w:bottom w:w="0" w:type="dxa"/>
              <w:right w:w="15" w:type="dxa"/>
            </w:tcMar>
            <w:hideMark/>
          </w:tcPr>
          <w:p w14:paraId="2CDEB8A5" w14:textId="77777777" w:rsidR="00000000" w:rsidRDefault="007125B5">
            <w:pPr>
              <w:pStyle w:val="a3"/>
              <w:spacing w:before="0" w:beforeAutospacing="0" w:after="0" w:afterAutospacing="0"/>
              <w:rPr>
                <w:color w:val="000000"/>
                <w:sz w:val="20"/>
                <w:szCs w:val="20"/>
              </w:rPr>
            </w:pPr>
            <w:r>
              <w:rPr>
                <w:color w:val="000000"/>
                <w:sz w:val="20"/>
                <w:szCs w:val="20"/>
              </w:rPr>
              <w:t>Contract liabilities</w:t>
            </w:r>
          </w:p>
        </w:tc>
        <w:tc>
          <w:tcPr>
            <w:tcW w:w="81" w:type="pct"/>
            <w:shd w:val="clear" w:color="auto" w:fill="FFFFFF"/>
            <w:tcMar>
              <w:top w:w="15" w:type="dxa"/>
              <w:left w:w="0" w:type="dxa"/>
              <w:bottom w:w="0" w:type="dxa"/>
              <w:right w:w="15" w:type="dxa"/>
            </w:tcMar>
            <w:vAlign w:val="bottom"/>
            <w:hideMark/>
          </w:tcPr>
          <w:p w14:paraId="775E4F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183A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483106B" w14:textId="77777777" w:rsidR="00000000" w:rsidRDefault="007125B5">
            <w:pPr>
              <w:pStyle w:val="a3"/>
              <w:spacing w:before="0" w:beforeAutospacing="0" w:after="0" w:afterAutospacing="0"/>
              <w:jc w:val="right"/>
              <w:rPr>
                <w:color w:val="000000"/>
                <w:sz w:val="20"/>
                <w:szCs w:val="20"/>
              </w:rPr>
            </w:pPr>
            <w:r>
              <w:rPr>
                <w:color w:val="000000"/>
                <w:sz w:val="20"/>
                <w:szCs w:val="20"/>
              </w:rPr>
              <w:t>7,736</w:t>
            </w:r>
          </w:p>
        </w:tc>
        <w:tc>
          <w:tcPr>
            <w:tcW w:w="50" w:type="pct"/>
            <w:shd w:val="clear" w:color="auto" w:fill="FFFFFF"/>
            <w:noWrap/>
            <w:tcMar>
              <w:top w:w="15" w:type="dxa"/>
              <w:left w:w="0" w:type="dxa"/>
              <w:bottom w:w="0" w:type="dxa"/>
              <w:right w:w="15" w:type="dxa"/>
            </w:tcMar>
            <w:vAlign w:val="bottom"/>
            <w:hideMark/>
          </w:tcPr>
          <w:p w14:paraId="4319B9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CF235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0A49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CBABBCF" w14:textId="77777777" w:rsidR="00000000" w:rsidRDefault="007125B5">
            <w:pPr>
              <w:pStyle w:val="a3"/>
              <w:spacing w:before="0" w:beforeAutospacing="0" w:after="0" w:afterAutospacing="0"/>
              <w:jc w:val="right"/>
              <w:rPr>
                <w:color w:val="000000"/>
                <w:sz w:val="20"/>
                <w:szCs w:val="20"/>
              </w:rPr>
            </w:pPr>
            <w:r>
              <w:rPr>
                <w:color w:val="000000"/>
                <w:sz w:val="20"/>
                <w:szCs w:val="20"/>
              </w:rPr>
              <w:t>3,314</w:t>
            </w:r>
          </w:p>
        </w:tc>
        <w:tc>
          <w:tcPr>
            <w:tcW w:w="50" w:type="pct"/>
            <w:shd w:val="clear" w:color="auto" w:fill="FFFFFF"/>
            <w:noWrap/>
            <w:tcMar>
              <w:top w:w="15" w:type="dxa"/>
              <w:left w:w="0" w:type="dxa"/>
              <w:bottom w:w="0" w:type="dxa"/>
              <w:right w:w="15" w:type="dxa"/>
            </w:tcMar>
            <w:vAlign w:val="bottom"/>
            <w:hideMark/>
          </w:tcPr>
          <w:p w14:paraId="62C3D53B"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39FEE287" w14:textId="77777777" w:rsidR="00000000" w:rsidRDefault="007125B5">
      <w:pPr>
        <w:pStyle w:val="a3"/>
        <w:shd w:val="clear" w:color="auto" w:fill="FFFFFF"/>
        <w:spacing w:before="0" w:beforeAutospacing="0" w:after="0" w:afterAutospacing="0"/>
        <w:rPr>
          <w:sz w:val="20"/>
          <w:szCs w:val="20"/>
        </w:rPr>
      </w:pPr>
      <w:r>
        <w:rPr>
          <w:sz w:val="20"/>
          <w:szCs w:val="20"/>
        </w:rPr>
        <w:t> </w:t>
      </w:r>
    </w:p>
    <w:p w14:paraId="024521B3" w14:textId="77777777" w:rsidR="00000000" w:rsidRDefault="007125B5">
      <w:pPr>
        <w:pStyle w:val="a3"/>
        <w:shd w:val="clear" w:color="auto" w:fill="FFFFFF"/>
        <w:spacing w:before="40" w:beforeAutospacing="0" w:after="0" w:afterAutospacing="0"/>
        <w:ind w:firstLine="556"/>
        <w:rPr>
          <w:color w:val="000000"/>
          <w:sz w:val="20"/>
          <w:szCs w:val="20"/>
        </w:rPr>
      </w:pPr>
      <w:bookmarkStart w:id="17" w:name="_Hlk47078802"/>
      <w:bookmarkEnd w:id="17"/>
      <w:r>
        <w:rPr>
          <w:color w:val="000000"/>
          <w:sz w:val="20"/>
          <w:szCs w:val="20"/>
        </w:rPr>
        <w:t>Contracts assets acquired through business acquisitions amounted to $6.5 million and $0.7 million as of June 30, 2020 and December 31, 2019, respectively. Contract liabilities acquired through business acquisitions amounted to $2.2 million as of December 3</w:t>
      </w:r>
      <w:r>
        <w:rPr>
          <w:color w:val="000000"/>
          <w:sz w:val="20"/>
          <w:szCs w:val="20"/>
        </w:rPr>
        <w:t>1, 2019. Contract liabilities acquired through business acquisitions were not material as of June 30, 2020. Revenue recognized during the three and six months ended June 30, 2020, included in the contract liability balance at the beginning of the year was </w:t>
      </w:r>
      <w:r>
        <w:rPr>
          <w:color w:val="000000"/>
          <w:sz w:val="20"/>
          <w:szCs w:val="20"/>
        </w:rPr>
        <w:t>$0.3 million and $1.6 million, respectively. The revenue recognized from the contract liabilities consisted of the Company satisfying performance obligations during the normal course of business.</w:t>
      </w:r>
    </w:p>
    <w:p w14:paraId="312A7C89"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amount of revenue recognized from changes in the transac</w:t>
      </w:r>
      <w:r>
        <w:rPr>
          <w:color w:val="000000"/>
          <w:sz w:val="20"/>
          <w:szCs w:val="20"/>
        </w:rPr>
        <w:t>tion price associated with performance obligations satisfied in prior periods during the three and six months ended June 30, 2020 was not material.</w:t>
      </w:r>
    </w:p>
    <w:p w14:paraId="45F86991"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Remaining Unsatisfied Performance Obligations</w:t>
      </w:r>
      <w:r>
        <w:rPr>
          <w:color w:val="000000"/>
          <w:sz w:val="20"/>
          <w:szCs w:val="20"/>
        </w:rPr>
        <w:t>—Remaining unsatisfied performance obligations represent the to</w:t>
      </w:r>
      <w:r>
        <w:rPr>
          <w:color w:val="000000"/>
          <w:sz w:val="20"/>
          <w:szCs w:val="20"/>
        </w:rPr>
        <w:t>tal dollar value of work to be performed on contracts awarded and in progress. The amount of remaining unsatisfied performance obligations increases with new contracts or additions to existing contracts and decreases as revenue is recognized on existing co</w:t>
      </w:r>
      <w:r>
        <w:rPr>
          <w:color w:val="000000"/>
          <w:sz w:val="20"/>
          <w:szCs w:val="20"/>
        </w:rPr>
        <w:t xml:space="preserve">ntracts. Contracts are included in the amount of remaining unsatisfied performance obligations when an enforceable agreement has been reached. As of June 30, 2020 and December 31, 2019, the estimated revenue expected to be recognized in the future related </w:t>
      </w:r>
      <w:r>
        <w:rPr>
          <w:color w:val="000000"/>
          <w:sz w:val="20"/>
          <w:szCs w:val="20"/>
        </w:rPr>
        <w:t>to performance obligations that are unsatisfied was approximately $15.3 million and $13.0 million, respectively. As of June 30, 2020, the Company expected to recognize approximately $14.0 million of this amount as revenue within the next year and $1.3 mill</w:t>
      </w:r>
      <w:r>
        <w:rPr>
          <w:color w:val="000000"/>
          <w:sz w:val="20"/>
          <w:szCs w:val="20"/>
        </w:rPr>
        <w:t>ion the year after.</w:t>
      </w:r>
    </w:p>
    <w:p w14:paraId="65F6A954"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Accounts Receivable, Net</w:t>
      </w:r>
      <w:r>
        <w:rPr>
          <w:color w:val="000000"/>
          <w:sz w:val="20"/>
          <w:szCs w:val="20"/>
        </w:rPr>
        <w:t>—Accounts receivable, net as of June 30, 2020 and December 31, 2019 consisted of the following:</w:t>
      </w:r>
    </w:p>
    <w:p w14:paraId="42CAEA8F"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2"/>
        <w:gridCol w:w="65"/>
        <w:gridCol w:w="115"/>
        <w:gridCol w:w="713"/>
        <w:gridCol w:w="82"/>
        <w:gridCol w:w="65"/>
        <w:gridCol w:w="116"/>
        <w:gridCol w:w="714"/>
        <w:gridCol w:w="82"/>
      </w:tblGrid>
      <w:tr w:rsidR="00000000" w14:paraId="61C66A44" w14:textId="77777777">
        <w:trPr>
          <w:divId w:val="269363735"/>
          <w:jc w:val="center"/>
        </w:trPr>
        <w:tc>
          <w:tcPr>
            <w:tcW w:w="3349" w:type="pct"/>
            <w:shd w:val="clear" w:color="auto" w:fill="FFFFFF"/>
            <w:tcMar>
              <w:top w:w="15" w:type="dxa"/>
              <w:left w:w="0" w:type="dxa"/>
              <w:bottom w:w="0" w:type="dxa"/>
              <w:right w:w="15" w:type="dxa"/>
            </w:tcMar>
            <w:vAlign w:val="bottom"/>
            <w:hideMark/>
          </w:tcPr>
          <w:p w14:paraId="7D955121"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64564F6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5E3027C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p w14:paraId="7872306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FB844C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6B3339E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2741CBF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p w14:paraId="223B2D5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346E4D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A6194DA" w14:textId="77777777">
        <w:trPr>
          <w:divId w:val="269363735"/>
          <w:jc w:val="center"/>
        </w:trPr>
        <w:tc>
          <w:tcPr>
            <w:tcW w:w="3349" w:type="pct"/>
            <w:shd w:val="clear" w:color="auto" w:fill="CFF0FC"/>
            <w:tcMar>
              <w:top w:w="15" w:type="dxa"/>
              <w:left w:w="0" w:type="dxa"/>
              <w:bottom w:w="0" w:type="dxa"/>
              <w:right w:w="15" w:type="dxa"/>
            </w:tcMar>
            <w:hideMark/>
          </w:tcPr>
          <w:p w14:paraId="13E7A233" w14:textId="77777777" w:rsidR="00000000" w:rsidRDefault="007125B5">
            <w:pPr>
              <w:pStyle w:val="a3"/>
              <w:spacing w:before="0" w:beforeAutospacing="0" w:after="0" w:afterAutospacing="0"/>
              <w:rPr>
                <w:color w:val="000000"/>
                <w:sz w:val="20"/>
                <w:szCs w:val="20"/>
              </w:rPr>
            </w:pPr>
            <w:r>
              <w:rPr>
                <w:color w:val="000000"/>
                <w:sz w:val="20"/>
                <w:szCs w:val="20"/>
              </w:rPr>
              <w:t>Accounts receivable, invoiced</w:t>
            </w:r>
          </w:p>
        </w:tc>
        <w:tc>
          <w:tcPr>
            <w:tcW w:w="81" w:type="pct"/>
            <w:shd w:val="clear" w:color="auto" w:fill="CFF0FC"/>
            <w:tcMar>
              <w:top w:w="15" w:type="dxa"/>
              <w:left w:w="0" w:type="dxa"/>
              <w:bottom w:w="0" w:type="dxa"/>
              <w:right w:w="15" w:type="dxa"/>
            </w:tcMar>
            <w:vAlign w:val="bottom"/>
            <w:hideMark/>
          </w:tcPr>
          <w:p w14:paraId="38463C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970F6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3371CEA" w14:textId="77777777" w:rsidR="00000000" w:rsidRDefault="007125B5">
            <w:pPr>
              <w:pStyle w:val="a3"/>
              <w:spacing w:before="0" w:beforeAutospacing="0" w:after="0" w:afterAutospacing="0"/>
              <w:jc w:val="right"/>
              <w:rPr>
                <w:color w:val="000000"/>
                <w:sz w:val="20"/>
                <w:szCs w:val="20"/>
              </w:rPr>
            </w:pPr>
            <w:r>
              <w:rPr>
                <w:color w:val="000000"/>
                <w:sz w:val="20"/>
                <w:szCs w:val="20"/>
              </w:rPr>
              <w:t>50,359</w:t>
            </w:r>
          </w:p>
        </w:tc>
        <w:tc>
          <w:tcPr>
            <w:tcW w:w="50" w:type="pct"/>
            <w:shd w:val="clear" w:color="auto" w:fill="CFF0FC"/>
            <w:noWrap/>
            <w:tcMar>
              <w:top w:w="15" w:type="dxa"/>
              <w:left w:w="0" w:type="dxa"/>
              <w:bottom w:w="0" w:type="dxa"/>
              <w:right w:w="15" w:type="dxa"/>
            </w:tcMar>
            <w:vAlign w:val="bottom"/>
            <w:hideMark/>
          </w:tcPr>
          <w:p w14:paraId="645D1A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2DD8D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8B085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8CC20CA" w14:textId="77777777" w:rsidR="00000000" w:rsidRDefault="007125B5">
            <w:pPr>
              <w:pStyle w:val="a3"/>
              <w:spacing w:before="0" w:beforeAutospacing="0" w:after="0" w:afterAutospacing="0"/>
              <w:jc w:val="right"/>
              <w:rPr>
                <w:color w:val="000000"/>
                <w:sz w:val="20"/>
                <w:szCs w:val="20"/>
              </w:rPr>
            </w:pPr>
            <w:r>
              <w:rPr>
                <w:color w:val="000000"/>
                <w:sz w:val="20"/>
                <w:szCs w:val="20"/>
              </w:rPr>
              <w:t>46,643</w:t>
            </w:r>
          </w:p>
        </w:tc>
        <w:tc>
          <w:tcPr>
            <w:tcW w:w="50" w:type="pct"/>
            <w:shd w:val="clear" w:color="auto" w:fill="CFF0FC"/>
            <w:noWrap/>
            <w:tcMar>
              <w:top w:w="15" w:type="dxa"/>
              <w:left w:w="0" w:type="dxa"/>
              <w:bottom w:w="0" w:type="dxa"/>
              <w:right w:w="15" w:type="dxa"/>
            </w:tcMar>
            <w:vAlign w:val="bottom"/>
            <w:hideMark/>
          </w:tcPr>
          <w:p w14:paraId="0A12B2C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704BE4B" w14:textId="77777777">
        <w:trPr>
          <w:divId w:val="269363735"/>
          <w:jc w:val="center"/>
        </w:trPr>
        <w:tc>
          <w:tcPr>
            <w:tcW w:w="3349" w:type="pct"/>
            <w:shd w:val="clear" w:color="auto" w:fill="FFFFFF"/>
            <w:tcMar>
              <w:top w:w="15" w:type="dxa"/>
              <w:left w:w="0" w:type="dxa"/>
              <w:bottom w:w="0" w:type="dxa"/>
              <w:right w:w="15" w:type="dxa"/>
            </w:tcMar>
            <w:hideMark/>
          </w:tcPr>
          <w:p w14:paraId="5C981BC7" w14:textId="77777777" w:rsidR="00000000" w:rsidRDefault="007125B5">
            <w:pPr>
              <w:pStyle w:val="a3"/>
              <w:spacing w:before="0" w:beforeAutospacing="0" w:after="0" w:afterAutospacing="0"/>
              <w:rPr>
                <w:color w:val="000000"/>
                <w:sz w:val="20"/>
                <w:szCs w:val="20"/>
              </w:rPr>
            </w:pPr>
            <w:r>
              <w:rPr>
                <w:color w:val="000000"/>
                <w:sz w:val="20"/>
                <w:szCs w:val="20"/>
              </w:rPr>
              <w:t>Accounts receivable, other</w:t>
            </w:r>
          </w:p>
        </w:tc>
        <w:tc>
          <w:tcPr>
            <w:tcW w:w="81" w:type="pct"/>
            <w:shd w:val="clear" w:color="auto" w:fill="FFFFFF"/>
            <w:tcMar>
              <w:top w:w="15" w:type="dxa"/>
              <w:left w:w="0" w:type="dxa"/>
              <w:bottom w:w="0" w:type="dxa"/>
              <w:right w:w="15" w:type="dxa"/>
            </w:tcMar>
            <w:vAlign w:val="bottom"/>
            <w:hideMark/>
          </w:tcPr>
          <w:p w14:paraId="526E7E0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E6B3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493764D" w14:textId="77777777" w:rsidR="00000000" w:rsidRDefault="007125B5">
            <w:pPr>
              <w:pStyle w:val="a3"/>
              <w:spacing w:before="0" w:beforeAutospacing="0" w:after="0" w:afterAutospacing="0"/>
              <w:jc w:val="right"/>
              <w:rPr>
                <w:color w:val="000000"/>
                <w:sz w:val="20"/>
                <w:szCs w:val="20"/>
              </w:rPr>
            </w:pPr>
            <w:r>
              <w:rPr>
                <w:color w:val="000000"/>
                <w:sz w:val="20"/>
                <w:szCs w:val="20"/>
              </w:rPr>
              <w:t>1,402</w:t>
            </w:r>
          </w:p>
        </w:tc>
        <w:tc>
          <w:tcPr>
            <w:tcW w:w="50" w:type="pct"/>
            <w:shd w:val="clear" w:color="auto" w:fill="FFFFFF"/>
            <w:noWrap/>
            <w:tcMar>
              <w:top w:w="15" w:type="dxa"/>
              <w:left w:w="0" w:type="dxa"/>
              <w:bottom w:w="0" w:type="dxa"/>
              <w:right w:w="15" w:type="dxa"/>
            </w:tcMar>
            <w:vAlign w:val="bottom"/>
            <w:hideMark/>
          </w:tcPr>
          <w:p w14:paraId="582E6B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7D252E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C3FC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BC25E7B" w14:textId="77777777" w:rsidR="00000000" w:rsidRDefault="007125B5">
            <w:pPr>
              <w:pStyle w:val="a3"/>
              <w:spacing w:before="0" w:beforeAutospacing="0" w:after="0" w:afterAutospacing="0"/>
              <w:jc w:val="right"/>
              <w:rPr>
                <w:color w:val="000000"/>
                <w:sz w:val="20"/>
                <w:szCs w:val="20"/>
              </w:rPr>
            </w:pPr>
            <w:r>
              <w:rPr>
                <w:color w:val="000000"/>
                <w:sz w:val="20"/>
                <w:szCs w:val="20"/>
              </w:rPr>
              <w:t>611</w:t>
            </w:r>
          </w:p>
        </w:tc>
        <w:tc>
          <w:tcPr>
            <w:tcW w:w="50" w:type="pct"/>
            <w:shd w:val="clear" w:color="auto" w:fill="FFFFFF"/>
            <w:noWrap/>
            <w:tcMar>
              <w:top w:w="15" w:type="dxa"/>
              <w:left w:w="0" w:type="dxa"/>
              <w:bottom w:w="0" w:type="dxa"/>
              <w:right w:w="15" w:type="dxa"/>
            </w:tcMar>
            <w:vAlign w:val="bottom"/>
            <w:hideMark/>
          </w:tcPr>
          <w:p w14:paraId="2AAF6D6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06187E2" w14:textId="77777777">
        <w:trPr>
          <w:divId w:val="269363735"/>
          <w:jc w:val="center"/>
        </w:trPr>
        <w:tc>
          <w:tcPr>
            <w:tcW w:w="3349" w:type="pct"/>
            <w:shd w:val="clear" w:color="auto" w:fill="CFF0FC"/>
            <w:tcMar>
              <w:top w:w="15" w:type="dxa"/>
              <w:left w:w="0" w:type="dxa"/>
              <w:bottom w:w="0" w:type="dxa"/>
              <w:right w:w="15" w:type="dxa"/>
            </w:tcMar>
            <w:hideMark/>
          </w:tcPr>
          <w:p w14:paraId="7C050DB9" w14:textId="77777777" w:rsidR="00000000" w:rsidRDefault="007125B5">
            <w:pPr>
              <w:pStyle w:val="a3"/>
              <w:spacing w:before="0" w:beforeAutospacing="0" w:after="0" w:afterAutospacing="0"/>
              <w:rPr>
                <w:color w:val="000000"/>
                <w:sz w:val="20"/>
                <w:szCs w:val="20"/>
              </w:rPr>
            </w:pPr>
            <w:r>
              <w:rPr>
                <w:color w:val="000000"/>
                <w:sz w:val="20"/>
                <w:szCs w:val="20"/>
              </w:rPr>
              <w:t>Allowance for doubtful accounts</w:t>
            </w:r>
          </w:p>
        </w:tc>
        <w:tc>
          <w:tcPr>
            <w:tcW w:w="81" w:type="pct"/>
            <w:shd w:val="clear" w:color="auto" w:fill="CFF0FC"/>
            <w:tcMar>
              <w:top w:w="15" w:type="dxa"/>
              <w:left w:w="0" w:type="dxa"/>
              <w:bottom w:w="0" w:type="dxa"/>
              <w:right w:w="15" w:type="dxa"/>
            </w:tcMar>
            <w:vAlign w:val="bottom"/>
            <w:hideMark/>
          </w:tcPr>
          <w:p w14:paraId="68EC61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58D5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1E08A356" w14:textId="77777777" w:rsidR="00000000" w:rsidRDefault="007125B5">
            <w:pPr>
              <w:pStyle w:val="a3"/>
              <w:spacing w:before="0" w:beforeAutospacing="0" w:after="0" w:afterAutospacing="0"/>
              <w:jc w:val="right"/>
              <w:rPr>
                <w:color w:val="000000"/>
                <w:sz w:val="20"/>
                <w:szCs w:val="20"/>
              </w:rPr>
            </w:pPr>
            <w:r>
              <w:rPr>
                <w:color w:val="000000"/>
                <w:sz w:val="20"/>
                <w:szCs w:val="20"/>
              </w:rPr>
              <w:t>(8,506</w:t>
            </w:r>
          </w:p>
        </w:tc>
        <w:tc>
          <w:tcPr>
            <w:tcW w:w="50" w:type="pct"/>
            <w:shd w:val="clear" w:color="auto" w:fill="CFF0FC"/>
            <w:noWrap/>
            <w:tcMar>
              <w:top w:w="15" w:type="dxa"/>
              <w:left w:w="0" w:type="dxa"/>
              <w:bottom w:w="0" w:type="dxa"/>
              <w:right w:w="15" w:type="dxa"/>
            </w:tcMar>
            <w:vAlign w:val="bottom"/>
            <w:hideMark/>
          </w:tcPr>
          <w:p w14:paraId="4C6EDAE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53D0C6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65B7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82E23E1" w14:textId="77777777" w:rsidR="00000000" w:rsidRDefault="007125B5">
            <w:pPr>
              <w:pStyle w:val="a3"/>
              <w:spacing w:before="0" w:beforeAutospacing="0" w:after="0" w:afterAutospacing="0"/>
              <w:jc w:val="right"/>
              <w:rPr>
                <w:color w:val="000000"/>
                <w:sz w:val="20"/>
                <w:szCs w:val="20"/>
              </w:rPr>
            </w:pPr>
            <w:r>
              <w:rPr>
                <w:color w:val="000000"/>
                <w:sz w:val="20"/>
                <w:szCs w:val="20"/>
              </w:rPr>
              <w:t>(1,327</w:t>
            </w:r>
          </w:p>
        </w:tc>
        <w:tc>
          <w:tcPr>
            <w:tcW w:w="50" w:type="pct"/>
            <w:shd w:val="clear" w:color="auto" w:fill="CFF0FC"/>
            <w:noWrap/>
            <w:tcMar>
              <w:top w:w="15" w:type="dxa"/>
              <w:left w:w="0" w:type="dxa"/>
              <w:bottom w:w="0" w:type="dxa"/>
              <w:right w:w="15" w:type="dxa"/>
            </w:tcMar>
            <w:vAlign w:val="bottom"/>
            <w:hideMark/>
          </w:tcPr>
          <w:p w14:paraId="7D235ADB"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93C271C" w14:textId="77777777">
        <w:trPr>
          <w:divId w:val="269363735"/>
          <w:jc w:val="center"/>
        </w:trPr>
        <w:tc>
          <w:tcPr>
            <w:tcW w:w="3349" w:type="pct"/>
            <w:shd w:val="clear" w:color="auto" w:fill="FFFFFF"/>
            <w:tcMar>
              <w:top w:w="15" w:type="dxa"/>
              <w:left w:w="0" w:type="dxa"/>
              <w:bottom w:w="0" w:type="dxa"/>
              <w:right w:w="15" w:type="dxa"/>
            </w:tcMar>
            <w:hideMark/>
          </w:tcPr>
          <w:p w14:paraId="48A6BA8C" w14:textId="77777777" w:rsidR="00000000" w:rsidRDefault="007125B5">
            <w:pPr>
              <w:pStyle w:val="a3"/>
              <w:spacing w:before="0" w:beforeAutospacing="0" w:after="0" w:afterAutospacing="0"/>
              <w:rPr>
                <w:color w:val="000000"/>
                <w:sz w:val="20"/>
                <w:szCs w:val="20"/>
              </w:rPr>
            </w:pPr>
            <w:r>
              <w:rPr>
                <w:color w:val="000000"/>
                <w:sz w:val="20"/>
                <w:szCs w:val="20"/>
              </w:rPr>
              <w:t>Accounts receivable—net</w:t>
            </w:r>
          </w:p>
        </w:tc>
        <w:tc>
          <w:tcPr>
            <w:tcW w:w="81" w:type="pct"/>
            <w:shd w:val="clear" w:color="auto" w:fill="FFFFFF"/>
            <w:tcMar>
              <w:top w:w="15" w:type="dxa"/>
              <w:left w:w="0" w:type="dxa"/>
              <w:bottom w:w="0" w:type="dxa"/>
              <w:right w:w="15" w:type="dxa"/>
            </w:tcMar>
            <w:vAlign w:val="bottom"/>
            <w:hideMark/>
          </w:tcPr>
          <w:p w14:paraId="3F4F77B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B0355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FB3B9A" w14:textId="77777777" w:rsidR="00000000" w:rsidRDefault="007125B5">
            <w:pPr>
              <w:pStyle w:val="a3"/>
              <w:spacing w:before="0" w:beforeAutospacing="0" w:after="0" w:afterAutospacing="0"/>
              <w:jc w:val="right"/>
              <w:rPr>
                <w:color w:val="000000"/>
                <w:sz w:val="20"/>
                <w:szCs w:val="20"/>
              </w:rPr>
            </w:pPr>
            <w:r>
              <w:rPr>
                <w:color w:val="000000"/>
                <w:sz w:val="20"/>
                <w:szCs w:val="20"/>
              </w:rPr>
              <w:t>43,255</w:t>
            </w:r>
          </w:p>
        </w:tc>
        <w:tc>
          <w:tcPr>
            <w:tcW w:w="50" w:type="pct"/>
            <w:shd w:val="clear" w:color="auto" w:fill="FFFFFF"/>
            <w:noWrap/>
            <w:tcMar>
              <w:top w:w="15" w:type="dxa"/>
              <w:left w:w="0" w:type="dxa"/>
              <w:bottom w:w="0" w:type="dxa"/>
              <w:right w:w="15" w:type="dxa"/>
            </w:tcMar>
            <w:vAlign w:val="bottom"/>
            <w:hideMark/>
          </w:tcPr>
          <w:p w14:paraId="112A332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AF824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A0D07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6AE2CB" w14:textId="77777777" w:rsidR="00000000" w:rsidRDefault="007125B5">
            <w:pPr>
              <w:pStyle w:val="a3"/>
              <w:spacing w:before="0" w:beforeAutospacing="0" w:after="0" w:afterAutospacing="0"/>
              <w:jc w:val="right"/>
              <w:rPr>
                <w:color w:val="000000"/>
                <w:sz w:val="20"/>
                <w:szCs w:val="20"/>
              </w:rPr>
            </w:pPr>
            <w:r>
              <w:rPr>
                <w:color w:val="000000"/>
                <w:sz w:val="20"/>
                <w:szCs w:val="20"/>
              </w:rPr>
              <w:t>45,927</w:t>
            </w:r>
          </w:p>
        </w:tc>
        <w:tc>
          <w:tcPr>
            <w:tcW w:w="50" w:type="pct"/>
            <w:shd w:val="clear" w:color="auto" w:fill="FFFFFF"/>
            <w:noWrap/>
            <w:tcMar>
              <w:top w:w="15" w:type="dxa"/>
              <w:left w:w="0" w:type="dxa"/>
              <w:bottom w:w="0" w:type="dxa"/>
              <w:right w:w="15" w:type="dxa"/>
            </w:tcMar>
            <w:vAlign w:val="bottom"/>
            <w:hideMark/>
          </w:tcPr>
          <w:p w14:paraId="1F8B2CA3"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53B51D7F"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6397BD5" w14:textId="77777777" w:rsidR="00000000" w:rsidRDefault="007125B5">
      <w:pPr>
        <w:pStyle w:val="a3"/>
        <w:shd w:val="clear" w:color="auto" w:fill="FFFFFF"/>
        <w:spacing w:before="40" w:beforeAutospacing="0" w:after="0" w:afterAutospacing="0"/>
        <w:ind w:firstLine="556"/>
        <w:rPr>
          <w:color w:val="000000"/>
          <w:sz w:val="20"/>
          <w:szCs w:val="20"/>
        </w:rPr>
      </w:pPr>
      <w:bookmarkStart w:id="18" w:name="_AEIOULastRenderedPageBreakAEIOU10"/>
      <w:bookmarkEnd w:id="18"/>
      <w:r>
        <w:rPr>
          <w:color w:val="000000"/>
          <w:sz w:val="20"/>
          <w:szCs w:val="20"/>
        </w:rPr>
        <w:t>The Company extends non-interest-bearing </w:t>
      </w:r>
      <w:r>
        <w:rPr>
          <w:color w:val="000000"/>
          <w:sz w:val="20"/>
          <w:szCs w:val="20"/>
        </w:rPr>
        <w:t>trade credit to its customers in the ordinary course of business. Accounts receivable are shown on the face of the condensed consolidated statements of financial position, net of an allowance for doubtful accounts. In determining the allowance for doubtful</w:t>
      </w:r>
      <w:r>
        <w:rPr>
          <w:color w:val="000000"/>
          <w:sz w:val="20"/>
          <w:szCs w:val="20"/>
        </w:rPr>
        <w:t xml:space="preserve"> accounts, the Company analyzes the aging of accounts receivable, historical bad debts, customer creditworthiness and current economic trends. Subsequent to December 31, 2019, there was a global outbreak of a new strain of coronavirus, COVID-19. The COVID-</w:t>
      </w:r>
      <w:r>
        <w:rPr>
          <w:color w:val="000000"/>
          <w:sz w:val="20"/>
          <w:szCs w:val="20"/>
        </w:rPr>
        <w:t>19 pandemic has added uncertainty to the collectability of certain receivables, particularly in industries hard hit by the pandemic. As a result, the Company recorded a $6.3 million bad debt reserve during the first quarter of 2020. The bad debt adjustment</w:t>
      </w:r>
      <w:r>
        <w:rPr>
          <w:color w:val="000000"/>
          <w:sz w:val="20"/>
          <w:szCs w:val="20"/>
        </w:rPr>
        <w:t xml:space="preserve"> included a $5.5 million reserve for one customer in the Company’s Remediation and Reuse </w:t>
      </w:r>
    </w:p>
    <w:p w14:paraId="46508D65" w14:textId="77777777" w:rsidR="00000000" w:rsidRDefault="007125B5">
      <w:pPr>
        <w:pStyle w:val="a3"/>
        <w:spacing w:before="240" w:beforeAutospacing="0" w:after="0" w:afterAutospacing="0"/>
        <w:jc w:val="center"/>
        <w:rPr>
          <w:sz w:val="20"/>
          <w:szCs w:val="20"/>
        </w:rPr>
      </w:pPr>
      <w:r>
        <w:rPr>
          <w:sz w:val="20"/>
          <w:szCs w:val="20"/>
        </w:rPr>
        <w:t>7</w:t>
      </w:r>
    </w:p>
    <w:p w14:paraId="1B4D2E91" w14:textId="77777777" w:rsidR="00000000" w:rsidRDefault="007125B5">
      <w:pPr>
        <w:rPr>
          <w:rFonts w:eastAsia="Times New Roman"/>
        </w:rPr>
      </w:pPr>
      <w:r>
        <w:rPr>
          <w:rFonts w:eastAsia="Times New Roman"/>
        </w:rPr>
        <w:pict w14:anchorId="0720163B">
          <v:rect id="_x0000_i1033" style="width:415.3pt;height:1.5pt" o:hralign="center" o:hrstd="t" o:hr="t" fillcolor="#a0a0a0" stroked="f"/>
        </w:pict>
      </w:r>
    </w:p>
    <w:p w14:paraId="7B00201A" w14:textId="77777777" w:rsidR="00000000" w:rsidRDefault="007125B5">
      <w:pPr>
        <w:pStyle w:val="a3"/>
        <w:spacing w:before="0" w:beforeAutospacing="0" w:after="0" w:afterAutospacing="0"/>
        <w:rPr>
          <w:sz w:val="20"/>
          <w:szCs w:val="20"/>
        </w:rPr>
      </w:pPr>
      <w:r>
        <w:rPr>
          <w:sz w:val="20"/>
          <w:szCs w:val="20"/>
        </w:rPr>
        <w:t> </w:t>
      </w:r>
    </w:p>
    <w:p w14:paraId="4EDC84D3" w14:textId="77777777" w:rsidR="00000000" w:rsidRDefault="007125B5">
      <w:pPr>
        <w:pStyle w:val="a3"/>
        <w:shd w:val="clear" w:color="auto" w:fill="FFFFFF"/>
        <w:spacing w:before="40" w:beforeAutospacing="0" w:after="0" w:afterAutospacing="0"/>
        <w:rPr>
          <w:color w:val="000000"/>
          <w:sz w:val="20"/>
          <w:szCs w:val="20"/>
        </w:rPr>
      </w:pPr>
      <w:r>
        <w:rPr>
          <w:color w:val="000000"/>
          <w:sz w:val="20"/>
          <w:szCs w:val="20"/>
        </w:rPr>
        <w:t xml:space="preserve">segment in which management concluded to discontinue select service lines as of March 31, 2020 (Note 20). </w:t>
      </w:r>
      <w:r>
        <w:rPr>
          <w:color w:val="000000"/>
          <w:sz w:val="20"/>
          <w:szCs w:val="20"/>
        </w:rPr>
        <w:t>For all periods presented, no customer accounted for more than 10% of revenue or accounts receivable, net.</w:t>
      </w:r>
    </w:p>
    <w:p w14:paraId="7CE06465"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allowance for doubtful accounts as of June 30, 2020 and December 31, 2019 consisted of the following:</w:t>
      </w:r>
    </w:p>
    <w:p w14:paraId="47787D6A"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714"/>
        <w:gridCol w:w="80"/>
        <w:gridCol w:w="116"/>
        <w:gridCol w:w="649"/>
        <w:gridCol w:w="73"/>
        <w:gridCol w:w="80"/>
        <w:gridCol w:w="115"/>
        <w:gridCol w:w="649"/>
        <w:gridCol w:w="73"/>
        <w:gridCol w:w="80"/>
        <w:gridCol w:w="116"/>
        <w:gridCol w:w="649"/>
        <w:gridCol w:w="82"/>
        <w:gridCol w:w="71"/>
        <w:gridCol w:w="115"/>
        <w:gridCol w:w="650"/>
        <w:gridCol w:w="74"/>
        <w:gridCol w:w="81"/>
        <w:gridCol w:w="115"/>
        <w:gridCol w:w="650"/>
        <w:gridCol w:w="74"/>
      </w:tblGrid>
      <w:tr w:rsidR="00000000" w14:paraId="445FDE5F" w14:textId="77777777">
        <w:trPr>
          <w:divId w:val="1049383333"/>
          <w:jc w:val="center"/>
        </w:trPr>
        <w:tc>
          <w:tcPr>
            <w:tcW w:w="2239" w:type="pct"/>
            <w:shd w:val="clear" w:color="auto" w:fill="FFFFFF"/>
            <w:tcMar>
              <w:top w:w="15" w:type="dxa"/>
              <w:left w:w="0" w:type="dxa"/>
              <w:bottom w:w="0" w:type="dxa"/>
              <w:right w:w="15" w:type="dxa"/>
            </w:tcMar>
            <w:vAlign w:val="bottom"/>
            <w:hideMark/>
          </w:tcPr>
          <w:p w14:paraId="747015C2" w14:textId="77777777" w:rsidR="00000000" w:rsidRDefault="007125B5">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14:paraId="0AFFB3E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EA58BA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Beginning</w:t>
            </w:r>
          </w:p>
          <w:p w14:paraId="7FEB13E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14:paraId="7867726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339C285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8C46C7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Bad Debt</w:t>
            </w:r>
          </w:p>
          <w:p w14:paraId="7283044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Expen</w:t>
            </w:r>
            <w:r>
              <w:rPr>
                <w:b/>
                <w:bCs/>
                <w:color w:val="000000"/>
                <w:sz w:val="16"/>
                <w:szCs w:val="16"/>
              </w:rPr>
              <w:t>se</w:t>
            </w:r>
          </w:p>
        </w:tc>
        <w:tc>
          <w:tcPr>
            <w:tcW w:w="50" w:type="pct"/>
            <w:shd w:val="clear" w:color="auto" w:fill="FFFFFF"/>
            <w:noWrap/>
            <w:tcMar>
              <w:top w:w="15" w:type="dxa"/>
              <w:left w:w="0" w:type="dxa"/>
              <w:bottom w:w="0" w:type="dxa"/>
              <w:right w:w="15" w:type="dxa"/>
            </w:tcMar>
            <w:vAlign w:val="bottom"/>
            <w:hideMark/>
          </w:tcPr>
          <w:p w14:paraId="2747DDD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0B16C7B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3F98BC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Charged to</w:t>
            </w:r>
          </w:p>
          <w:p w14:paraId="1775382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Allowance</w:t>
            </w:r>
          </w:p>
        </w:tc>
        <w:tc>
          <w:tcPr>
            <w:tcW w:w="50" w:type="pct"/>
            <w:shd w:val="clear" w:color="auto" w:fill="FFFFFF"/>
            <w:noWrap/>
            <w:tcMar>
              <w:top w:w="15" w:type="dxa"/>
              <w:left w:w="0" w:type="dxa"/>
              <w:bottom w:w="0" w:type="dxa"/>
              <w:right w:w="15" w:type="dxa"/>
            </w:tcMar>
            <w:vAlign w:val="bottom"/>
            <w:hideMark/>
          </w:tcPr>
          <w:p w14:paraId="06F6F8B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4BB1780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2575B3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Other</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14:paraId="1C526A27"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4" w:type="pct"/>
            <w:shd w:val="clear" w:color="auto" w:fill="FFFFFF"/>
            <w:tcMar>
              <w:top w:w="15" w:type="dxa"/>
              <w:left w:w="0" w:type="dxa"/>
              <w:bottom w:w="0" w:type="dxa"/>
              <w:right w:w="15" w:type="dxa"/>
            </w:tcMar>
            <w:vAlign w:val="bottom"/>
            <w:hideMark/>
          </w:tcPr>
          <w:p w14:paraId="20BF1DA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5EE268F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Ending</w:t>
            </w:r>
          </w:p>
          <w:p w14:paraId="2EE0990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14:paraId="795B733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C74B937" w14:textId="77777777">
        <w:trPr>
          <w:divId w:val="1049383333"/>
          <w:jc w:val="center"/>
        </w:trPr>
        <w:tc>
          <w:tcPr>
            <w:tcW w:w="2239" w:type="pct"/>
            <w:shd w:val="clear" w:color="auto" w:fill="CFF0FC"/>
            <w:tcMar>
              <w:top w:w="15" w:type="dxa"/>
              <w:left w:w="0" w:type="dxa"/>
              <w:bottom w:w="0" w:type="dxa"/>
              <w:right w:w="15" w:type="dxa"/>
            </w:tcMar>
            <w:hideMark/>
          </w:tcPr>
          <w:p w14:paraId="2CE2B0D0" w14:textId="77777777" w:rsidR="00000000" w:rsidRDefault="007125B5">
            <w:pPr>
              <w:pStyle w:val="a3"/>
              <w:spacing w:before="0" w:beforeAutospacing="0" w:after="0" w:afterAutospacing="0"/>
              <w:rPr>
                <w:color w:val="000000"/>
                <w:sz w:val="20"/>
                <w:szCs w:val="20"/>
              </w:rPr>
            </w:pPr>
            <w:r>
              <w:rPr>
                <w:color w:val="000000"/>
                <w:sz w:val="20"/>
                <w:szCs w:val="20"/>
              </w:rPr>
              <w:t>Six months ended June 30, 2020</w:t>
            </w:r>
          </w:p>
        </w:tc>
        <w:tc>
          <w:tcPr>
            <w:tcW w:w="54" w:type="pct"/>
            <w:shd w:val="clear" w:color="auto" w:fill="CFF0FC"/>
            <w:tcMar>
              <w:top w:w="15" w:type="dxa"/>
              <w:left w:w="0" w:type="dxa"/>
              <w:bottom w:w="0" w:type="dxa"/>
              <w:right w:w="15" w:type="dxa"/>
            </w:tcMar>
            <w:vAlign w:val="bottom"/>
            <w:hideMark/>
          </w:tcPr>
          <w:p w14:paraId="0FA5EE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B32E6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5406FA22" w14:textId="77777777" w:rsidR="00000000" w:rsidRDefault="007125B5">
            <w:pPr>
              <w:pStyle w:val="a3"/>
              <w:spacing w:before="0" w:beforeAutospacing="0" w:after="0" w:afterAutospacing="0"/>
              <w:jc w:val="right"/>
              <w:rPr>
                <w:color w:val="000000"/>
                <w:sz w:val="20"/>
                <w:szCs w:val="20"/>
              </w:rPr>
            </w:pPr>
            <w:r>
              <w:rPr>
                <w:color w:val="000000"/>
                <w:sz w:val="20"/>
                <w:szCs w:val="20"/>
              </w:rPr>
              <w:t>1,327</w:t>
            </w:r>
          </w:p>
        </w:tc>
        <w:tc>
          <w:tcPr>
            <w:tcW w:w="50" w:type="pct"/>
            <w:shd w:val="clear" w:color="auto" w:fill="CFF0FC"/>
            <w:noWrap/>
            <w:tcMar>
              <w:top w:w="15" w:type="dxa"/>
              <w:left w:w="0" w:type="dxa"/>
              <w:bottom w:w="0" w:type="dxa"/>
              <w:right w:w="15" w:type="dxa"/>
            </w:tcMar>
            <w:vAlign w:val="bottom"/>
            <w:hideMark/>
          </w:tcPr>
          <w:p w14:paraId="2AB6BB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F43EC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D3C90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6D40109" w14:textId="77777777" w:rsidR="00000000" w:rsidRDefault="007125B5">
            <w:pPr>
              <w:pStyle w:val="a3"/>
              <w:spacing w:before="0" w:beforeAutospacing="0" w:after="0" w:afterAutospacing="0"/>
              <w:jc w:val="right"/>
              <w:rPr>
                <w:color w:val="000000"/>
                <w:sz w:val="20"/>
                <w:szCs w:val="20"/>
              </w:rPr>
            </w:pPr>
            <w:r>
              <w:rPr>
                <w:color w:val="000000"/>
                <w:sz w:val="20"/>
                <w:szCs w:val="20"/>
              </w:rPr>
              <w:t>6,263</w:t>
            </w:r>
          </w:p>
        </w:tc>
        <w:tc>
          <w:tcPr>
            <w:tcW w:w="50" w:type="pct"/>
            <w:shd w:val="clear" w:color="auto" w:fill="CFF0FC"/>
            <w:noWrap/>
            <w:tcMar>
              <w:top w:w="15" w:type="dxa"/>
              <w:left w:w="0" w:type="dxa"/>
              <w:bottom w:w="0" w:type="dxa"/>
              <w:right w:w="15" w:type="dxa"/>
            </w:tcMar>
            <w:vAlign w:val="bottom"/>
            <w:hideMark/>
          </w:tcPr>
          <w:p w14:paraId="3E389A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C9B41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24CEF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E25733D" w14:textId="77777777" w:rsidR="00000000" w:rsidRDefault="007125B5">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CFF0FC"/>
            <w:noWrap/>
            <w:tcMar>
              <w:top w:w="15" w:type="dxa"/>
              <w:left w:w="0" w:type="dxa"/>
              <w:bottom w:w="0" w:type="dxa"/>
              <w:right w:w="15" w:type="dxa"/>
            </w:tcMar>
            <w:vAlign w:val="bottom"/>
            <w:hideMark/>
          </w:tcPr>
          <w:p w14:paraId="1DC2AEE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50BC68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0E342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6F2A8C9" w14:textId="77777777" w:rsidR="00000000" w:rsidRDefault="007125B5">
            <w:pPr>
              <w:pStyle w:val="a3"/>
              <w:spacing w:before="0" w:beforeAutospacing="0" w:after="0" w:afterAutospacing="0"/>
              <w:jc w:val="right"/>
              <w:rPr>
                <w:color w:val="000000"/>
                <w:sz w:val="20"/>
                <w:szCs w:val="20"/>
              </w:rPr>
            </w:pPr>
            <w:r>
              <w:rPr>
                <w:color w:val="000000"/>
                <w:sz w:val="20"/>
                <w:szCs w:val="20"/>
              </w:rPr>
              <w:t>1,038</w:t>
            </w:r>
          </w:p>
        </w:tc>
        <w:tc>
          <w:tcPr>
            <w:tcW w:w="50" w:type="pct"/>
            <w:shd w:val="clear" w:color="auto" w:fill="CFF0FC"/>
            <w:noWrap/>
            <w:tcMar>
              <w:top w:w="15" w:type="dxa"/>
              <w:left w:w="0" w:type="dxa"/>
              <w:bottom w:w="0" w:type="dxa"/>
              <w:right w:w="15" w:type="dxa"/>
            </w:tcMar>
            <w:vAlign w:val="bottom"/>
            <w:hideMark/>
          </w:tcPr>
          <w:p w14:paraId="4641F5D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B813C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FED7A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6A5123D" w14:textId="77777777" w:rsidR="00000000" w:rsidRDefault="007125B5">
            <w:pPr>
              <w:pStyle w:val="a3"/>
              <w:spacing w:before="0" w:beforeAutospacing="0" w:after="0" w:afterAutospacing="0"/>
              <w:jc w:val="right"/>
              <w:rPr>
                <w:color w:val="000000"/>
                <w:sz w:val="20"/>
                <w:szCs w:val="20"/>
              </w:rPr>
            </w:pPr>
            <w:r>
              <w:rPr>
                <w:color w:val="000000"/>
                <w:sz w:val="20"/>
                <w:szCs w:val="20"/>
              </w:rPr>
              <w:t>8,506</w:t>
            </w:r>
          </w:p>
        </w:tc>
        <w:tc>
          <w:tcPr>
            <w:tcW w:w="50" w:type="pct"/>
            <w:shd w:val="clear" w:color="auto" w:fill="CFF0FC"/>
            <w:noWrap/>
            <w:tcMar>
              <w:top w:w="15" w:type="dxa"/>
              <w:left w:w="0" w:type="dxa"/>
              <w:bottom w:w="0" w:type="dxa"/>
              <w:right w:w="15" w:type="dxa"/>
            </w:tcMar>
            <w:vAlign w:val="bottom"/>
            <w:hideMark/>
          </w:tcPr>
          <w:p w14:paraId="65B99AC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F20AD26" w14:textId="77777777">
        <w:trPr>
          <w:divId w:val="1049383333"/>
          <w:jc w:val="center"/>
        </w:trPr>
        <w:tc>
          <w:tcPr>
            <w:tcW w:w="2239" w:type="pct"/>
            <w:shd w:val="clear" w:color="auto" w:fill="FFFFFF"/>
            <w:tcMar>
              <w:top w:w="15" w:type="dxa"/>
              <w:left w:w="0" w:type="dxa"/>
              <w:bottom w:w="0" w:type="dxa"/>
              <w:right w:w="15" w:type="dxa"/>
            </w:tcMar>
            <w:hideMark/>
          </w:tcPr>
          <w:p w14:paraId="44F2276E" w14:textId="77777777" w:rsidR="00000000" w:rsidRDefault="007125B5">
            <w:pPr>
              <w:pStyle w:val="a3"/>
              <w:spacing w:before="0" w:beforeAutospacing="0" w:after="0" w:afterAutospacing="0"/>
              <w:rPr>
                <w:color w:val="000000"/>
                <w:sz w:val="20"/>
                <w:szCs w:val="20"/>
              </w:rPr>
            </w:pPr>
            <w:r>
              <w:rPr>
                <w:color w:val="000000"/>
                <w:sz w:val="20"/>
                <w:szCs w:val="20"/>
              </w:rPr>
              <w:t>Year ended December 31, 2019</w:t>
            </w:r>
          </w:p>
        </w:tc>
        <w:tc>
          <w:tcPr>
            <w:tcW w:w="54" w:type="pct"/>
            <w:shd w:val="clear" w:color="auto" w:fill="FFFFFF"/>
            <w:tcMar>
              <w:top w:w="15" w:type="dxa"/>
              <w:left w:w="0" w:type="dxa"/>
              <w:bottom w:w="0" w:type="dxa"/>
              <w:right w:w="15" w:type="dxa"/>
            </w:tcMar>
            <w:vAlign w:val="bottom"/>
            <w:hideMark/>
          </w:tcPr>
          <w:p w14:paraId="18DF867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3780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36427686" w14:textId="77777777" w:rsidR="00000000" w:rsidRDefault="007125B5">
            <w:pPr>
              <w:pStyle w:val="a3"/>
              <w:spacing w:before="0" w:beforeAutospacing="0" w:after="0" w:afterAutospacing="0"/>
              <w:jc w:val="right"/>
              <w:rPr>
                <w:color w:val="000000"/>
                <w:sz w:val="20"/>
                <w:szCs w:val="20"/>
              </w:rPr>
            </w:pPr>
            <w:r>
              <w:rPr>
                <w:color w:val="000000"/>
                <w:sz w:val="20"/>
                <w:szCs w:val="20"/>
              </w:rPr>
              <w:t>453</w:t>
            </w:r>
          </w:p>
        </w:tc>
        <w:tc>
          <w:tcPr>
            <w:tcW w:w="50" w:type="pct"/>
            <w:shd w:val="clear" w:color="auto" w:fill="FFFFFF"/>
            <w:noWrap/>
            <w:tcMar>
              <w:top w:w="15" w:type="dxa"/>
              <w:left w:w="0" w:type="dxa"/>
              <w:bottom w:w="0" w:type="dxa"/>
              <w:right w:w="15" w:type="dxa"/>
            </w:tcMar>
            <w:vAlign w:val="bottom"/>
            <w:hideMark/>
          </w:tcPr>
          <w:p w14:paraId="2EC9B7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B7EE1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8E9B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2F73802" w14:textId="77777777" w:rsidR="00000000" w:rsidRDefault="007125B5">
            <w:pPr>
              <w:pStyle w:val="a3"/>
              <w:spacing w:before="0" w:beforeAutospacing="0" w:after="0" w:afterAutospacing="0"/>
              <w:jc w:val="right"/>
              <w:rPr>
                <w:color w:val="000000"/>
                <w:sz w:val="20"/>
                <w:szCs w:val="20"/>
              </w:rPr>
            </w:pPr>
            <w:r>
              <w:rPr>
                <w:color w:val="000000"/>
                <w:sz w:val="20"/>
                <w:szCs w:val="20"/>
              </w:rPr>
              <w:t>1,246</w:t>
            </w:r>
          </w:p>
        </w:tc>
        <w:tc>
          <w:tcPr>
            <w:tcW w:w="50" w:type="pct"/>
            <w:shd w:val="clear" w:color="auto" w:fill="FFFFFF"/>
            <w:noWrap/>
            <w:tcMar>
              <w:top w:w="15" w:type="dxa"/>
              <w:left w:w="0" w:type="dxa"/>
              <w:bottom w:w="0" w:type="dxa"/>
              <w:right w:w="15" w:type="dxa"/>
            </w:tcMar>
            <w:vAlign w:val="bottom"/>
            <w:hideMark/>
          </w:tcPr>
          <w:p w14:paraId="612C57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D20F5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89BB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2FA9AC1" w14:textId="77777777" w:rsidR="00000000" w:rsidRDefault="007125B5">
            <w:pPr>
              <w:pStyle w:val="a3"/>
              <w:spacing w:before="0" w:beforeAutospacing="0" w:after="0" w:afterAutospacing="0"/>
              <w:jc w:val="right"/>
              <w:rPr>
                <w:color w:val="000000"/>
                <w:sz w:val="20"/>
                <w:szCs w:val="20"/>
              </w:rPr>
            </w:pPr>
            <w:r>
              <w:rPr>
                <w:color w:val="000000"/>
                <w:sz w:val="20"/>
                <w:szCs w:val="20"/>
              </w:rPr>
              <w:t>(556</w:t>
            </w:r>
          </w:p>
        </w:tc>
        <w:tc>
          <w:tcPr>
            <w:tcW w:w="50" w:type="pct"/>
            <w:shd w:val="clear" w:color="auto" w:fill="FFFFFF"/>
            <w:noWrap/>
            <w:tcMar>
              <w:top w:w="15" w:type="dxa"/>
              <w:left w:w="0" w:type="dxa"/>
              <w:bottom w:w="0" w:type="dxa"/>
              <w:right w:w="15" w:type="dxa"/>
            </w:tcMar>
            <w:vAlign w:val="bottom"/>
            <w:hideMark/>
          </w:tcPr>
          <w:p w14:paraId="430FD87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51F065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66A4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2AE6B5F" w14:textId="77777777" w:rsidR="00000000" w:rsidRDefault="007125B5">
            <w:pPr>
              <w:pStyle w:val="a3"/>
              <w:spacing w:before="0" w:beforeAutospacing="0" w:after="0" w:afterAutospacing="0"/>
              <w:jc w:val="right"/>
              <w:rPr>
                <w:color w:val="000000"/>
                <w:sz w:val="20"/>
                <w:szCs w:val="20"/>
              </w:rPr>
            </w:pPr>
            <w:r>
              <w:rPr>
                <w:color w:val="000000"/>
                <w:sz w:val="20"/>
                <w:szCs w:val="20"/>
              </w:rPr>
              <w:t>184</w:t>
            </w:r>
          </w:p>
        </w:tc>
        <w:tc>
          <w:tcPr>
            <w:tcW w:w="50" w:type="pct"/>
            <w:shd w:val="clear" w:color="auto" w:fill="FFFFFF"/>
            <w:noWrap/>
            <w:tcMar>
              <w:top w:w="15" w:type="dxa"/>
              <w:left w:w="0" w:type="dxa"/>
              <w:bottom w:w="0" w:type="dxa"/>
              <w:right w:w="15" w:type="dxa"/>
            </w:tcMar>
            <w:vAlign w:val="bottom"/>
            <w:hideMark/>
          </w:tcPr>
          <w:p w14:paraId="4859C7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735DF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C402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291B90D" w14:textId="77777777" w:rsidR="00000000" w:rsidRDefault="007125B5">
            <w:pPr>
              <w:pStyle w:val="a3"/>
              <w:spacing w:before="0" w:beforeAutospacing="0" w:after="0" w:afterAutospacing="0"/>
              <w:jc w:val="right"/>
              <w:rPr>
                <w:color w:val="000000"/>
                <w:sz w:val="20"/>
                <w:szCs w:val="20"/>
              </w:rPr>
            </w:pPr>
            <w:r>
              <w:rPr>
                <w:color w:val="000000"/>
                <w:sz w:val="20"/>
                <w:szCs w:val="20"/>
              </w:rPr>
              <w:t>1,327</w:t>
            </w:r>
          </w:p>
        </w:tc>
        <w:tc>
          <w:tcPr>
            <w:tcW w:w="50" w:type="pct"/>
            <w:shd w:val="clear" w:color="auto" w:fill="FFFFFF"/>
            <w:noWrap/>
            <w:tcMar>
              <w:top w:w="15" w:type="dxa"/>
              <w:left w:w="0" w:type="dxa"/>
              <w:bottom w:w="0" w:type="dxa"/>
              <w:right w:w="15" w:type="dxa"/>
            </w:tcMar>
            <w:vAlign w:val="bottom"/>
            <w:hideMark/>
          </w:tcPr>
          <w:p w14:paraId="2B74E923"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639F5595"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67FF2211" w14:textId="77777777">
        <w:tc>
          <w:tcPr>
            <w:tcW w:w="227" w:type="pct"/>
            <w:noWrap/>
            <w:hideMark/>
          </w:tcPr>
          <w:p w14:paraId="72A3199B" w14:textId="77777777" w:rsidR="00000000" w:rsidRDefault="007125B5">
            <w:pPr>
              <w:pStyle w:val="a3"/>
              <w:spacing w:before="40" w:beforeAutospacing="0" w:after="0" w:afterAutospacing="0"/>
              <w:rPr>
                <w:sz w:val="20"/>
                <w:szCs w:val="20"/>
              </w:rPr>
            </w:pPr>
            <w:r>
              <w:rPr>
                <w:sz w:val="20"/>
                <w:szCs w:val="20"/>
              </w:rPr>
              <w:t>(1)</w:t>
            </w:r>
          </w:p>
        </w:tc>
        <w:tc>
          <w:tcPr>
            <w:tcW w:w="0" w:type="auto"/>
            <w:hideMark/>
          </w:tcPr>
          <w:p w14:paraId="761A3F66" w14:textId="77777777" w:rsidR="00000000" w:rsidRDefault="007125B5">
            <w:pPr>
              <w:pStyle w:val="a3"/>
              <w:spacing w:before="40" w:beforeAutospacing="0" w:after="0" w:afterAutospacing="0"/>
              <w:rPr>
                <w:sz w:val="20"/>
                <w:szCs w:val="20"/>
              </w:rPr>
            </w:pPr>
            <w:r>
              <w:rPr>
                <w:sz w:val="20"/>
                <w:szCs w:val="20"/>
              </w:rPr>
              <w:t>This amount consists of additions to the allowance due to business acquisitions.</w:t>
            </w:r>
          </w:p>
        </w:tc>
      </w:tr>
    </w:tbl>
    <w:p w14:paraId="41CAC350"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4. PREPAID AND OTHER CURRENT ASSETS</w:t>
      </w:r>
    </w:p>
    <w:p w14:paraId="1AB3A570"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Prepaid and other current assets as of June 30, 2020 and December 31, 2019 consisted of the following:</w:t>
      </w:r>
    </w:p>
    <w:p w14:paraId="78DE7733"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68"/>
        <w:gridCol w:w="115"/>
        <w:gridCol w:w="723"/>
        <w:gridCol w:w="65"/>
        <w:gridCol w:w="69"/>
        <w:gridCol w:w="116"/>
        <w:gridCol w:w="724"/>
        <w:gridCol w:w="65"/>
      </w:tblGrid>
      <w:tr w:rsidR="00000000" w14:paraId="5211A744" w14:textId="77777777">
        <w:trPr>
          <w:divId w:val="1423406162"/>
          <w:jc w:val="center"/>
        </w:trPr>
        <w:tc>
          <w:tcPr>
            <w:tcW w:w="3349" w:type="pct"/>
            <w:shd w:val="clear" w:color="auto" w:fill="FFFFFF"/>
            <w:tcMar>
              <w:top w:w="15" w:type="dxa"/>
              <w:left w:w="0" w:type="dxa"/>
              <w:bottom w:w="0" w:type="dxa"/>
              <w:right w:w="15" w:type="dxa"/>
            </w:tcMar>
            <w:vAlign w:val="bottom"/>
            <w:hideMark/>
          </w:tcPr>
          <w:p w14:paraId="098FE49B"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7041B23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235E289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6E480F9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D8AA21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2A7939F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07B1FBB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0C733E8" w14:textId="77777777">
        <w:trPr>
          <w:divId w:val="1423406162"/>
          <w:jc w:val="center"/>
        </w:trPr>
        <w:tc>
          <w:tcPr>
            <w:tcW w:w="3349" w:type="pct"/>
            <w:shd w:val="clear" w:color="auto" w:fill="FFFFFF"/>
            <w:tcMar>
              <w:top w:w="15" w:type="dxa"/>
              <w:left w:w="0" w:type="dxa"/>
              <w:bottom w:w="0" w:type="dxa"/>
              <w:right w:w="15" w:type="dxa"/>
            </w:tcMar>
            <w:vAlign w:val="bottom"/>
            <w:hideMark/>
          </w:tcPr>
          <w:p w14:paraId="0A4AC01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70B8B4E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902089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E108C0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3BD9D10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2E34A82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52392E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60DFFF6" w14:textId="77777777">
        <w:trPr>
          <w:divId w:val="1423406162"/>
          <w:jc w:val="center"/>
        </w:trPr>
        <w:tc>
          <w:tcPr>
            <w:tcW w:w="3349" w:type="pct"/>
            <w:shd w:val="clear" w:color="auto" w:fill="CFF0FC"/>
            <w:tcMar>
              <w:top w:w="15" w:type="dxa"/>
              <w:left w:w="0" w:type="dxa"/>
              <w:bottom w:w="0" w:type="dxa"/>
              <w:right w:w="15" w:type="dxa"/>
            </w:tcMar>
            <w:hideMark/>
          </w:tcPr>
          <w:p w14:paraId="651F2784" w14:textId="77777777" w:rsidR="00000000" w:rsidRDefault="007125B5">
            <w:pPr>
              <w:pStyle w:val="a3"/>
              <w:spacing w:before="0" w:beforeAutospacing="0" w:after="0" w:afterAutospacing="0"/>
              <w:rPr>
                <w:color w:val="000000"/>
                <w:sz w:val="20"/>
                <w:szCs w:val="20"/>
              </w:rPr>
            </w:pPr>
            <w:r>
              <w:rPr>
                <w:color w:val="000000"/>
                <w:sz w:val="20"/>
                <w:szCs w:val="20"/>
              </w:rPr>
              <w:t>Deposits</w:t>
            </w:r>
          </w:p>
        </w:tc>
        <w:tc>
          <w:tcPr>
            <w:tcW w:w="81" w:type="pct"/>
            <w:shd w:val="clear" w:color="auto" w:fill="CFF0FC"/>
            <w:tcMar>
              <w:top w:w="15" w:type="dxa"/>
              <w:left w:w="0" w:type="dxa"/>
              <w:bottom w:w="0" w:type="dxa"/>
              <w:right w:w="15" w:type="dxa"/>
            </w:tcMar>
            <w:vAlign w:val="bottom"/>
            <w:hideMark/>
          </w:tcPr>
          <w:p w14:paraId="773BE3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9ED1B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AE033C6" w14:textId="77777777" w:rsidR="00000000" w:rsidRDefault="007125B5">
            <w:pPr>
              <w:pStyle w:val="a3"/>
              <w:spacing w:before="0" w:beforeAutospacing="0" w:after="0" w:afterAutospacing="0"/>
              <w:jc w:val="right"/>
              <w:rPr>
                <w:color w:val="000000"/>
                <w:sz w:val="20"/>
                <w:szCs w:val="20"/>
              </w:rPr>
            </w:pPr>
            <w:r>
              <w:rPr>
                <w:color w:val="000000"/>
                <w:sz w:val="20"/>
                <w:szCs w:val="20"/>
              </w:rPr>
              <w:t>662</w:t>
            </w:r>
          </w:p>
        </w:tc>
        <w:tc>
          <w:tcPr>
            <w:tcW w:w="50" w:type="pct"/>
            <w:shd w:val="clear" w:color="auto" w:fill="CFF0FC"/>
            <w:noWrap/>
            <w:tcMar>
              <w:top w:w="15" w:type="dxa"/>
              <w:left w:w="0" w:type="dxa"/>
              <w:bottom w:w="0" w:type="dxa"/>
              <w:right w:w="15" w:type="dxa"/>
            </w:tcMar>
            <w:vAlign w:val="bottom"/>
            <w:hideMark/>
          </w:tcPr>
          <w:p w14:paraId="262EE1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F94DD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062D6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1093F02" w14:textId="77777777" w:rsidR="00000000" w:rsidRDefault="007125B5">
            <w:pPr>
              <w:pStyle w:val="a3"/>
              <w:spacing w:before="0" w:beforeAutospacing="0" w:after="0" w:afterAutospacing="0"/>
              <w:jc w:val="right"/>
              <w:rPr>
                <w:color w:val="000000"/>
                <w:sz w:val="20"/>
                <w:szCs w:val="20"/>
              </w:rPr>
            </w:pPr>
            <w:r>
              <w:rPr>
                <w:color w:val="000000"/>
                <w:sz w:val="20"/>
                <w:szCs w:val="20"/>
              </w:rPr>
              <w:t>605</w:t>
            </w:r>
          </w:p>
        </w:tc>
        <w:tc>
          <w:tcPr>
            <w:tcW w:w="50" w:type="pct"/>
            <w:shd w:val="clear" w:color="auto" w:fill="CFF0FC"/>
            <w:noWrap/>
            <w:tcMar>
              <w:top w:w="15" w:type="dxa"/>
              <w:left w:w="0" w:type="dxa"/>
              <w:bottom w:w="0" w:type="dxa"/>
              <w:right w:w="15" w:type="dxa"/>
            </w:tcMar>
            <w:vAlign w:val="bottom"/>
            <w:hideMark/>
          </w:tcPr>
          <w:p w14:paraId="4AC3011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5CCC376" w14:textId="77777777">
        <w:trPr>
          <w:divId w:val="1423406162"/>
          <w:jc w:val="center"/>
        </w:trPr>
        <w:tc>
          <w:tcPr>
            <w:tcW w:w="3349" w:type="pct"/>
            <w:shd w:val="clear" w:color="auto" w:fill="FFFFFF"/>
            <w:tcMar>
              <w:top w:w="15" w:type="dxa"/>
              <w:left w:w="0" w:type="dxa"/>
              <w:bottom w:w="0" w:type="dxa"/>
              <w:right w:w="15" w:type="dxa"/>
            </w:tcMar>
            <w:hideMark/>
          </w:tcPr>
          <w:p w14:paraId="52215F13" w14:textId="77777777" w:rsidR="00000000" w:rsidRDefault="007125B5">
            <w:pPr>
              <w:pStyle w:val="a3"/>
              <w:spacing w:before="0" w:beforeAutospacing="0" w:after="0" w:afterAutospacing="0"/>
              <w:rPr>
                <w:color w:val="000000"/>
                <w:sz w:val="20"/>
                <w:szCs w:val="20"/>
              </w:rPr>
            </w:pPr>
            <w:r>
              <w:rPr>
                <w:color w:val="000000"/>
                <w:sz w:val="20"/>
                <w:szCs w:val="20"/>
              </w:rPr>
              <w:t>Prepaid expenses</w:t>
            </w:r>
          </w:p>
        </w:tc>
        <w:tc>
          <w:tcPr>
            <w:tcW w:w="81" w:type="pct"/>
            <w:shd w:val="clear" w:color="auto" w:fill="FFFFFF"/>
            <w:tcMar>
              <w:top w:w="15" w:type="dxa"/>
              <w:left w:w="0" w:type="dxa"/>
              <w:bottom w:w="0" w:type="dxa"/>
              <w:right w:w="15" w:type="dxa"/>
            </w:tcMar>
            <w:vAlign w:val="bottom"/>
            <w:hideMark/>
          </w:tcPr>
          <w:p w14:paraId="65494C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0964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B5CC3D1" w14:textId="77777777" w:rsidR="00000000" w:rsidRDefault="007125B5">
            <w:pPr>
              <w:pStyle w:val="a3"/>
              <w:spacing w:before="0" w:beforeAutospacing="0" w:after="0" w:afterAutospacing="0"/>
              <w:jc w:val="right"/>
              <w:rPr>
                <w:color w:val="000000"/>
                <w:sz w:val="20"/>
                <w:szCs w:val="20"/>
              </w:rPr>
            </w:pPr>
            <w:r>
              <w:rPr>
                <w:color w:val="000000"/>
                <w:sz w:val="20"/>
                <w:szCs w:val="20"/>
              </w:rPr>
              <w:t>1,288</w:t>
            </w:r>
          </w:p>
        </w:tc>
        <w:tc>
          <w:tcPr>
            <w:tcW w:w="50" w:type="pct"/>
            <w:shd w:val="clear" w:color="auto" w:fill="FFFFFF"/>
            <w:noWrap/>
            <w:tcMar>
              <w:top w:w="15" w:type="dxa"/>
              <w:left w:w="0" w:type="dxa"/>
              <w:bottom w:w="0" w:type="dxa"/>
              <w:right w:w="15" w:type="dxa"/>
            </w:tcMar>
            <w:vAlign w:val="bottom"/>
            <w:hideMark/>
          </w:tcPr>
          <w:p w14:paraId="20D0F5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B7860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2DB1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7FDD6C2" w14:textId="77777777" w:rsidR="00000000" w:rsidRDefault="007125B5">
            <w:pPr>
              <w:pStyle w:val="a3"/>
              <w:spacing w:before="0" w:beforeAutospacing="0" w:after="0" w:afterAutospacing="0"/>
              <w:jc w:val="right"/>
              <w:rPr>
                <w:color w:val="000000"/>
                <w:sz w:val="20"/>
                <w:szCs w:val="20"/>
              </w:rPr>
            </w:pPr>
            <w:r>
              <w:rPr>
                <w:color w:val="000000"/>
                <w:sz w:val="20"/>
                <w:szCs w:val="20"/>
              </w:rPr>
              <w:t>1,235</w:t>
            </w:r>
          </w:p>
        </w:tc>
        <w:tc>
          <w:tcPr>
            <w:tcW w:w="50" w:type="pct"/>
            <w:shd w:val="clear" w:color="auto" w:fill="FFFFFF"/>
            <w:noWrap/>
            <w:tcMar>
              <w:top w:w="15" w:type="dxa"/>
              <w:left w:w="0" w:type="dxa"/>
              <w:bottom w:w="0" w:type="dxa"/>
              <w:right w:w="15" w:type="dxa"/>
            </w:tcMar>
            <w:vAlign w:val="bottom"/>
            <w:hideMark/>
          </w:tcPr>
          <w:p w14:paraId="3024909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83AB03D" w14:textId="77777777">
        <w:trPr>
          <w:divId w:val="1423406162"/>
          <w:jc w:val="center"/>
        </w:trPr>
        <w:tc>
          <w:tcPr>
            <w:tcW w:w="3349" w:type="pct"/>
            <w:shd w:val="clear" w:color="auto" w:fill="CFF0FC"/>
            <w:tcMar>
              <w:top w:w="15" w:type="dxa"/>
              <w:left w:w="0" w:type="dxa"/>
              <w:bottom w:w="0" w:type="dxa"/>
              <w:right w:w="15" w:type="dxa"/>
            </w:tcMar>
            <w:hideMark/>
          </w:tcPr>
          <w:p w14:paraId="1B7332FA" w14:textId="77777777" w:rsidR="00000000" w:rsidRDefault="007125B5">
            <w:pPr>
              <w:pStyle w:val="a3"/>
              <w:spacing w:before="0" w:beforeAutospacing="0" w:after="0" w:afterAutospacing="0"/>
              <w:rPr>
                <w:color w:val="000000"/>
                <w:sz w:val="20"/>
                <w:szCs w:val="20"/>
              </w:rPr>
            </w:pPr>
            <w:r>
              <w:rPr>
                <w:color w:val="000000"/>
                <w:sz w:val="20"/>
                <w:szCs w:val="20"/>
              </w:rPr>
              <w:t>Prepaid insurance</w:t>
            </w:r>
          </w:p>
        </w:tc>
        <w:tc>
          <w:tcPr>
            <w:tcW w:w="81" w:type="pct"/>
            <w:shd w:val="clear" w:color="auto" w:fill="CFF0FC"/>
            <w:tcMar>
              <w:top w:w="15" w:type="dxa"/>
              <w:left w:w="0" w:type="dxa"/>
              <w:bottom w:w="0" w:type="dxa"/>
              <w:right w:w="15" w:type="dxa"/>
            </w:tcMar>
            <w:vAlign w:val="bottom"/>
            <w:hideMark/>
          </w:tcPr>
          <w:p w14:paraId="2D7761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E962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F6B7916" w14:textId="77777777" w:rsidR="00000000" w:rsidRDefault="007125B5">
            <w:pPr>
              <w:pStyle w:val="a3"/>
              <w:spacing w:before="0" w:beforeAutospacing="0" w:after="0" w:afterAutospacing="0"/>
              <w:jc w:val="right"/>
              <w:rPr>
                <w:color w:val="000000"/>
                <w:sz w:val="20"/>
                <w:szCs w:val="20"/>
              </w:rPr>
            </w:pPr>
            <w:r>
              <w:rPr>
                <w:color w:val="000000"/>
                <w:sz w:val="20"/>
                <w:szCs w:val="20"/>
              </w:rPr>
              <w:t>2,539</w:t>
            </w:r>
          </w:p>
        </w:tc>
        <w:tc>
          <w:tcPr>
            <w:tcW w:w="50" w:type="pct"/>
            <w:shd w:val="clear" w:color="auto" w:fill="CFF0FC"/>
            <w:noWrap/>
            <w:tcMar>
              <w:top w:w="15" w:type="dxa"/>
              <w:left w:w="0" w:type="dxa"/>
              <w:bottom w:w="0" w:type="dxa"/>
              <w:right w:w="15" w:type="dxa"/>
            </w:tcMar>
            <w:vAlign w:val="bottom"/>
            <w:hideMark/>
          </w:tcPr>
          <w:p w14:paraId="4911052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D0074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7F54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0E19F2A" w14:textId="77777777" w:rsidR="00000000" w:rsidRDefault="007125B5">
            <w:pPr>
              <w:pStyle w:val="a3"/>
              <w:spacing w:before="0" w:beforeAutospacing="0" w:after="0" w:afterAutospacing="0"/>
              <w:jc w:val="right"/>
              <w:rPr>
                <w:color w:val="000000"/>
                <w:sz w:val="20"/>
                <w:szCs w:val="20"/>
              </w:rPr>
            </w:pPr>
            <w:r>
              <w:rPr>
                <w:color w:val="000000"/>
                <w:sz w:val="20"/>
                <w:szCs w:val="20"/>
              </w:rPr>
              <w:t>170</w:t>
            </w:r>
          </w:p>
        </w:tc>
        <w:tc>
          <w:tcPr>
            <w:tcW w:w="50" w:type="pct"/>
            <w:shd w:val="clear" w:color="auto" w:fill="CFF0FC"/>
            <w:noWrap/>
            <w:tcMar>
              <w:top w:w="15" w:type="dxa"/>
              <w:left w:w="0" w:type="dxa"/>
              <w:bottom w:w="0" w:type="dxa"/>
              <w:right w:w="15" w:type="dxa"/>
            </w:tcMar>
            <w:vAlign w:val="bottom"/>
            <w:hideMark/>
          </w:tcPr>
          <w:p w14:paraId="6AA3C7F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9B76A06" w14:textId="77777777">
        <w:trPr>
          <w:divId w:val="1423406162"/>
          <w:jc w:val="center"/>
        </w:trPr>
        <w:tc>
          <w:tcPr>
            <w:tcW w:w="3349" w:type="pct"/>
            <w:shd w:val="clear" w:color="auto" w:fill="FFFFFF"/>
            <w:tcMar>
              <w:top w:w="15" w:type="dxa"/>
              <w:left w:w="0" w:type="dxa"/>
              <w:bottom w:w="0" w:type="dxa"/>
              <w:right w:w="15" w:type="dxa"/>
            </w:tcMar>
            <w:hideMark/>
          </w:tcPr>
          <w:p w14:paraId="6E87D5DF" w14:textId="77777777" w:rsidR="00000000" w:rsidRDefault="007125B5">
            <w:pPr>
              <w:pStyle w:val="a3"/>
              <w:spacing w:before="0" w:beforeAutospacing="0" w:after="0" w:afterAutospacing="0"/>
              <w:rPr>
                <w:color w:val="000000"/>
                <w:sz w:val="20"/>
                <w:szCs w:val="20"/>
              </w:rPr>
            </w:pPr>
            <w:r>
              <w:rPr>
                <w:color w:val="000000"/>
                <w:sz w:val="20"/>
                <w:szCs w:val="20"/>
              </w:rPr>
              <w:t>Supplies</w:t>
            </w:r>
          </w:p>
        </w:tc>
        <w:tc>
          <w:tcPr>
            <w:tcW w:w="81" w:type="pct"/>
            <w:shd w:val="clear" w:color="auto" w:fill="FFFFFF"/>
            <w:tcMar>
              <w:top w:w="15" w:type="dxa"/>
              <w:left w:w="0" w:type="dxa"/>
              <w:bottom w:w="0" w:type="dxa"/>
              <w:right w:w="15" w:type="dxa"/>
            </w:tcMar>
            <w:vAlign w:val="bottom"/>
            <w:hideMark/>
          </w:tcPr>
          <w:p w14:paraId="6C24B1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B33A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4C80063" w14:textId="77777777" w:rsidR="00000000" w:rsidRDefault="007125B5">
            <w:pPr>
              <w:pStyle w:val="a3"/>
              <w:spacing w:before="0" w:beforeAutospacing="0" w:after="0" w:afterAutospacing="0"/>
              <w:jc w:val="right"/>
              <w:rPr>
                <w:color w:val="000000"/>
                <w:sz w:val="20"/>
                <w:szCs w:val="20"/>
              </w:rPr>
            </w:pPr>
            <w:r>
              <w:rPr>
                <w:color w:val="000000"/>
                <w:sz w:val="20"/>
                <w:szCs w:val="20"/>
              </w:rPr>
              <w:t>2,313</w:t>
            </w:r>
          </w:p>
        </w:tc>
        <w:tc>
          <w:tcPr>
            <w:tcW w:w="50" w:type="pct"/>
            <w:shd w:val="clear" w:color="auto" w:fill="FFFFFF"/>
            <w:noWrap/>
            <w:tcMar>
              <w:top w:w="15" w:type="dxa"/>
              <w:left w:w="0" w:type="dxa"/>
              <w:bottom w:w="0" w:type="dxa"/>
              <w:right w:w="15" w:type="dxa"/>
            </w:tcMar>
            <w:vAlign w:val="bottom"/>
            <w:hideMark/>
          </w:tcPr>
          <w:p w14:paraId="77C397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5A18D0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ABE4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A74E967" w14:textId="77777777" w:rsidR="00000000" w:rsidRDefault="007125B5">
            <w:pPr>
              <w:pStyle w:val="a3"/>
              <w:spacing w:before="0" w:beforeAutospacing="0" w:after="0" w:afterAutospacing="0"/>
              <w:jc w:val="right"/>
              <w:rPr>
                <w:color w:val="000000"/>
                <w:sz w:val="20"/>
                <w:szCs w:val="20"/>
              </w:rPr>
            </w:pPr>
            <w:r>
              <w:rPr>
                <w:color w:val="000000"/>
                <w:sz w:val="20"/>
                <w:szCs w:val="20"/>
              </w:rPr>
              <w:t>2,368</w:t>
            </w:r>
          </w:p>
        </w:tc>
        <w:tc>
          <w:tcPr>
            <w:tcW w:w="50" w:type="pct"/>
            <w:shd w:val="clear" w:color="auto" w:fill="FFFFFF"/>
            <w:noWrap/>
            <w:tcMar>
              <w:top w:w="15" w:type="dxa"/>
              <w:left w:w="0" w:type="dxa"/>
              <w:bottom w:w="0" w:type="dxa"/>
              <w:right w:w="15" w:type="dxa"/>
            </w:tcMar>
            <w:vAlign w:val="bottom"/>
            <w:hideMark/>
          </w:tcPr>
          <w:p w14:paraId="722B145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1767158" w14:textId="77777777">
        <w:trPr>
          <w:divId w:val="1423406162"/>
          <w:jc w:val="center"/>
        </w:trPr>
        <w:tc>
          <w:tcPr>
            <w:tcW w:w="3349" w:type="pct"/>
            <w:shd w:val="clear" w:color="auto" w:fill="CFF0FC"/>
            <w:tcMar>
              <w:top w:w="15" w:type="dxa"/>
              <w:left w:w="0" w:type="dxa"/>
              <w:bottom w:w="0" w:type="dxa"/>
              <w:right w:w="15" w:type="dxa"/>
            </w:tcMar>
            <w:hideMark/>
          </w:tcPr>
          <w:p w14:paraId="0C6B591A" w14:textId="77777777" w:rsidR="00000000" w:rsidRDefault="007125B5">
            <w:pPr>
              <w:pStyle w:val="a3"/>
              <w:spacing w:before="0" w:beforeAutospacing="0" w:after="0" w:afterAutospacing="0"/>
              <w:rPr>
                <w:color w:val="000000"/>
                <w:sz w:val="20"/>
                <w:szCs w:val="20"/>
              </w:rPr>
            </w:pPr>
            <w:r>
              <w:rPr>
                <w:color w:val="000000"/>
                <w:sz w:val="20"/>
                <w:szCs w:val="20"/>
              </w:rPr>
              <w:t>Offering costs</w:t>
            </w:r>
          </w:p>
        </w:tc>
        <w:tc>
          <w:tcPr>
            <w:tcW w:w="81" w:type="pct"/>
            <w:shd w:val="clear" w:color="auto" w:fill="CFF0FC"/>
            <w:tcMar>
              <w:top w:w="15" w:type="dxa"/>
              <w:left w:w="0" w:type="dxa"/>
              <w:bottom w:w="0" w:type="dxa"/>
              <w:right w:w="15" w:type="dxa"/>
            </w:tcMar>
            <w:vAlign w:val="bottom"/>
            <w:hideMark/>
          </w:tcPr>
          <w:p w14:paraId="0D45E3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3E59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C0F560A" w14:textId="77777777" w:rsidR="00000000" w:rsidRDefault="007125B5">
            <w:pPr>
              <w:pStyle w:val="a3"/>
              <w:spacing w:before="0" w:beforeAutospacing="0" w:after="0" w:afterAutospacing="0"/>
              <w:jc w:val="right"/>
              <w:rPr>
                <w:color w:val="000000"/>
                <w:sz w:val="20"/>
                <w:szCs w:val="20"/>
              </w:rPr>
            </w:pPr>
            <w:r>
              <w:rPr>
                <w:color w:val="000000"/>
                <w:sz w:val="20"/>
                <w:szCs w:val="20"/>
              </w:rPr>
              <w:t>2,403</w:t>
            </w:r>
          </w:p>
        </w:tc>
        <w:tc>
          <w:tcPr>
            <w:tcW w:w="50" w:type="pct"/>
            <w:shd w:val="clear" w:color="auto" w:fill="CFF0FC"/>
            <w:noWrap/>
            <w:tcMar>
              <w:top w:w="15" w:type="dxa"/>
              <w:left w:w="0" w:type="dxa"/>
              <w:bottom w:w="0" w:type="dxa"/>
              <w:right w:w="15" w:type="dxa"/>
            </w:tcMar>
            <w:vAlign w:val="bottom"/>
            <w:hideMark/>
          </w:tcPr>
          <w:p w14:paraId="2364A5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73316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E6FD3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18CEF4A" w14:textId="77777777" w:rsidR="00000000" w:rsidRDefault="007125B5">
            <w:pPr>
              <w:pStyle w:val="a3"/>
              <w:spacing w:before="0" w:beforeAutospacing="0" w:after="0" w:afterAutospacing="0"/>
              <w:jc w:val="right"/>
              <w:rPr>
                <w:color w:val="000000"/>
                <w:sz w:val="20"/>
                <w:szCs w:val="20"/>
              </w:rPr>
            </w:pPr>
            <w:r>
              <w:rPr>
                <w:color w:val="000000"/>
                <w:sz w:val="20"/>
                <w:szCs w:val="20"/>
              </w:rPr>
              <w:t>1,240</w:t>
            </w:r>
          </w:p>
        </w:tc>
        <w:tc>
          <w:tcPr>
            <w:tcW w:w="50" w:type="pct"/>
            <w:shd w:val="clear" w:color="auto" w:fill="CFF0FC"/>
            <w:noWrap/>
            <w:tcMar>
              <w:top w:w="15" w:type="dxa"/>
              <w:left w:w="0" w:type="dxa"/>
              <w:bottom w:w="0" w:type="dxa"/>
              <w:right w:w="15" w:type="dxa"/>
            </w:tcMar>
            <w:vAlign w:val="bottom"/>
            <w:hideMark/>
          </w:tcPr>
          <w:p w14:paraId="66C4A83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334F4A7" w14:textId="77777777">
        <w:trPr>
          <w:divId w:val="1423406162"/>
          <w:jc w:val="center"/>
        </w:trPr>
        <w:tc>
          <w:tcPr>
            <w:tcW w:w="3349" w:type="pct"/>
            <w:shd w:val="clear" w:color="auto" w:fill="FFFFFF"/>
            <w:tcMar>
              <w:top w:w="15" w:type="dxa"/>
              <w:left w:w="0" w:type="dxa"/>
              <w:bottom w:w="0" w:type="dxa"/>
              <w:right w:w="15" w:type="dxa"/>
            </w:tcMar>
            <w:hideMark/>
          </w:tcPr>
          <w:p w14:paraId="57E70041" w14:textId="77777777" w:rsidR="00000000" w:rsidRDefault="007125B5">
            <w:pPr>
              <w:pStyle w:val="a3"/>
              <w:spacing w:before="0" w:beforeAutospacing="0" w:after="0" w:afterAutospacing="0"/>
              <w:rPr>
                <w:color w:val="000000"/>
                <w:sz w:val="20"/>
                <w:szCs w:val="20"/>
              </w:rPr>
            </w:pPr>
            <w:r>
              <w:rPr>
                <w:color w:val="000000"/>
                <w:sz w:val="20"/>
                <w:szCs w:val="20"/>
              </w:rPr>
              <w:t>Income tax receivable</w:t>
            </w:r>
          </w:p>
        </w:tc>
        <w:tc>
          <w:tcPr>
            <w:tcW w:w="81" w:type="pct"/>
            <w:shd w:val="clear" w:color="auto" w:fill="FFFFFF"/>
            <w:tcMar>
              <w:top w:w="15" w:type="dxa"/>
              <w:left w:w="0" w:type="dxa"/>
              <w:bottom w:w="0" w:type="dxa"/>
              <w:right w:w="15" w:type="dxa"/>
            </w:tcMar>
            <w:vAlign w:val="bottom"/>
            <w:hideMark/>
          </w:tcPr>
          <w:p w14:paraId="54019B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CC2C7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765189C" w14:textId="77777777" w:rsidR="00000000" w:rsidRDefault="007125B5">
            <w:pPr>
              <w:pStyle w:val="a3"/>
              <w:spacing w:before="0" w:beforeAutospacing="0" w:after="0" w:afterAutospacing="0"/>
              <w:jc w:val="right"/>
              <w:rPr>
                <w:color w:val="000000"/>
                <w:sz w:val="20"/>
                <w:szCs w:val="20"/>
              </w:rPr>
            </w:pPr>
            <w:r>
              <w:rPr>
                <w:color w:val="000000"/>
                <w:sz w:val="20"/>
                <w:szCs w:val="20"/>
              </w:rPr>
              <w:t>989</w:t>
            </w:r>
          </w:p>
        </w:tc>
        <w:tc>
          <w:tcPr>
            <w:tcW w:w="50" w:type="pct"/>
            <w:shd w:val="clear" w:color="auto" w:fill="FFFFFF"/>
            <w:noWrap/>
            <w:tcMar>
              <w:top w:w="15" w:type="dxa"/>
              <w:left w:w="0" w:type="dxa"/>
              <w:bottom w:w="0" w:type="dxa"/>
              <w:right w:w="15" w:type="dxa"/>
            </w:tcMar>
            <w:vAlign w:val="bottom"/>
            <w:hideMark/>
          </w:tcPr>
          <w:p w14:paraId="3C6DFC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2816B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1183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D009B89" w14:textId="77777777" w:rsidR="00000000" w:rsidRDefault="007125B5">
            <w:pPr>
              <w:pStyle w:val="a3"/>
              <w:spacing w:before="0" w:beforeAutospacing="0" w:after="0" w:afterAutospacing="0"/>
              <w:jc w:val="right"/>
              <w:rPr>
                <w:color w:val="000000"/>
                <w:sz w:val="20"/>
                <w:szCs w:val="20"/>
              </w:rPr>
            </w:pPr>
            <w:r>
              <w:rPr>
                <w:color w:val="000000"/>
                <w:sz w:val="20"/>
                <w:szCs w:val="20"/>
              </w:rPr>
              <w:t>1,205</w:t>
            </w:r>
          </w:p>
        </w:tc>
        <w:tc>
          <w:tcPr>
            <w:tcW w:w="50" w:type="pct"/>
            <w:shd w:val="clear" w:color="auto" w:fill="FFFFFF"/>
            <w:noWrap/>
            <w:tcMar>
              <w:top w:w="15" w:type="dxa"/>
              <w:left w:w="0" w:type="dxa"/>
              <w:bottom w:w="0" w:type="dxa"/>
              <w:right w:w="15" w:type="dxa"/>
            </w:tcMar>
            <w:vAlign w:val="bottom"/>
            <w:hideMark/>
          </w:tcPr>
          <w:p w14:paraId="0B5B937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E975D7C" w14:textId="77777777">
        <w:trPr>
          <w:divId w:val="1423406162"/>
          <w:jc w:val="center"/>
        </w:trPr>
        <w:tc>
          <w:tcPr>
            <w:tcW w:w="3349" w:type="pct"/>
            <w:shd w:val="clear" w:color="auto" w:fill="CFF0FC"/>
            <w:tcMar>
              <w:top w:w="15" w:type="dxa"/>
              <w:left w:w="0" w:type="dxa"/>
              <w:bottom w:w="0" w:type="dxa"/>
              <w:right w:w="15" w:type="dxa"/>
            </w:tcMar>
            <w:hideMark/>
          </w:tcPr>
          <w:p w14:paraId="319A7BE4" w14:textId="77777777" w:rsidR="00000000" w:rsidRDefault="007125B5">
            <w:pPr>
              <w:pStyle w:val="a3"/>
              <w:spacing w:before="0" w:beforeAutospacing="0" w:after="0" w:afterAutospacing="0"/>
              <w:rPr>
                <w:color w:val="000000"/>
                <w:sz w:val="20"/>
                <w:szCs w:val="20"/>
              </w:rPr>
            </w:pPr>
            <w:r>
              <w:rPr>
                <w:color w:val="000000"/>
                <w:sz w:val="20"/>
                <w:szCs w:val="20"/>
              </w:rPr>
              <w:t>Prepaid and other current assets</w:t>
            </w:r>
          </w:p>
        </w:tc>
        <w:tc>
          <w:tcPr>
            <w:tcW w:w="81" w:type="pct"/>
            <w:shd w:val="clear" w:color="auto" w:fill="CFF0FC"/>
            <w:tcMar>
              <w:top w:w="15" w:type="dxa"/>
              <w:left w:w="0" w:type="dxa"/>
              <w:bottom w:w="0" w:type="dxa"/>
              <w:right w:w="15" w:type="dxa"/>
            </w:tcMar>
            <w:vAlign w:val="bottom"/>
            <w:hideMark/>
          </w:tcPr>
          <w:p w14:paraId="0E8FAFC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56FF8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955AD2" w14:textId="77777777" w:rsidR="00000000" w:rsidRDefault="007125B5">
            <w:pPr>
              <w:pStyle w:val="a3"/>
              <w:spacing w:before="0" w:beforeAutospacing="0" w:after="0" w:afterAutospacing="0"/>
              <w:jc w:val="right"/>
              <w:rPr>
                <w:color w:val="000000"/>
                <w:sz w:val="20"/>
                <w:szCs w:val="20"/>
              </w:rPr>
            </w:pPr>
            <w:r>
              <w:rPr>
                <w:color w:val="000000"/>
                <w:sz w:val="20"/>
                <w:szCs w:val="20"/>
              </w:rPr>
              <w:t>10,194</w:t>
            </w:r>
          </w:p>
        </w:tc>
        <w:tc>
          <w:tcPr>
            <w:tcW w:w="50" w:type="pct"/>
            <w:shd w:val="clear" w:color="auto" w:fill="CFF0FC"/>
            <w:noWrap/>
            <w:tcMar>
              <w:top w:w="15" w:type="dxa"/>
              <w:left w:w="0" w:type="dxa"/>
              <w:bottom w:w="0" w:type="dxa"/>
              <w:right w:w="15" w:type="dxa"/>
            </w:tcMar>
            <w:vAlign w:val="bottom"/>
            <w:hideMark/>
          </w:tcPr>
          <w:p w14:paraId="51CA0B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F240B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CB472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767BE9" w14:textId="77777777" w:rsidR="00000000" w:rsidRDefault="007125B5">
            <w:pPr>
              <w:pStyle w:val="a3"/>
              <w:spacing w:before="0" w:beforeAutospacing="0" w:after="0" w:afterAutospacing="0"/>
              <w:jc w:val="right"/>
              <w:rPr>
                <w:color w:val="000000"/>
                <w:sz w:val="20"/>
                <w:szCs w:val="20"/>
              </w:rPr>
            </w:pPr>
            <w:r>
              <w:rPr>
                <w:color w:val="000000"/>
                <w:sz w:val="20"/>
                <w:szCs w:val="20"/>
              </w:rPr>
              <w:t>6,823</w:t>
            </w:r>
          </w:p>
        </w:tc>
        <w:tc>
          <w:tcPr>
            <w:tcW w:w="50" w:type="pct"/>
            <w:shd w:val="clear" w:color="auto" w:fill="CFF0FC"/>
            <w:noWrap/>
            <w:tcMar>
              <w:top w:w="15" w:type="dxa"/>
              <w:left w:w="0" w:type="dxa"/>
              <w:bottom w:w="0" w:type="dxa"/>
              <w:right w:w="15" w:type="dxa"/>
            </w:tcMar>
            <w:vAlign w:val="bottom"/>
            <w:hideMark/>
          </w:tcPr>
          <w:p w14:paraId="5D7C8F6E"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5FEA0E73" w14:textId="77777777" w:rsidR="00000000" w:rsidRDefault="007125B5">
      <w:pPr>
        <w:pStyle w:val="a3"/>
        <w:shd w:val="clear" w:color="auto" w:fill="FFFFFF"/>
        <w:spacing w:before="0" w:beforeAutospacing="0" w:after="0" w:afterAutospacing="0"/>
        <w:rPr>
          <w:b/>
          <w:bCs/>
          <w:sz w:val="20"/>
          <w:szCs w:val="20"/>
        </w:rPr>
      </w:pPr>
      <w:r>
        <w:rPr>
          <w:b/>
          <w:bCs/>
          <w:sz w:val="20"/>
          <w:szCs w:val="20"/>
        </w:rPr>
        <w:t> </w:t>
      </w:r>
    </w:p>
    <w:p w14:paraId="313938A8" w14:textId="77777777" w:rsidR="00000000" w:rsidRDefault="007125B5">
      <w:pPr>
        <w:pStyle w:val="a3"/>
        <w:shd w:val="clear" w:color="auto" w:fill="FFFFFF"/>
        <w:spacing w:before="160" w:beforeAutospacing="0" w:after="0" w:afterAutospacing="0"/>
        <w:rPr>
          <w:b/>
          <w:bCs/>
          <w:color w:val="000000"/>
          <w:sz w:val="20"/>
          <w:szCs w:val="20"/>
        </w:rPr>
      </w:pPr>
      <w:r>
        <w:rPr>
          <w:b/>
          <w:bCs/>
          <w:color w:val="000000"/>
          <w:sz w:val="20"/>
          <w:szCs w:val="20"/>
          <w:shd w:val="clear" w:color="auto" w:fill="FFFFFF"/>
        </w:rPr>
        <w:t>5. PROPERTY AND EQUIPMENT</w:t>
      </w:r>
      <w:r>
        <w:rPr>
          <w:color w:val="000000"/>
          <w:sz w:val="20"/>
          <w:szCs w:val="20"/>
        </w:rPr>
        <w:t xml:space="preserve"> </w:t>
      </w:r>
    </w:p>
    <w:p w14:paraId="7B3F4790" w14:textId="77777777" w:rsidR="00000000" w:rsidRDefault="007125B5">
      <w:pPr>
        <w:pStyle w:val="a3"/>
        <w:shd w:val="clear" w:color="auto" w:fill="FFFFFF"/>
        <w:spacing w:before="160" w:beforeAutospacing="0" w:after="0" w:afterAutospacing="0"/>
        <w:ind w:firstLine="556"/>
        <w:rPr>
          <w:color w:val="000000"/>
          <w:sz w:val="20"/>
          <w:szCs w:val="20"/>
        </w:rPr>
      </w:pPr>
      <w:r>
        <w:rPr>
          <w:color w:val="000000"/>
          <w:sz w:val="20"/>
          <w:szCs w:val="20"/>
          <w:shd w:val="clear" w:color="auto" w:fill="FFFFFF"/>
        </w:rPr>
        <w:t xml:space="preserve">Property and equipment are stated at cost or estimated fair value for assets acquired through business combinations. Depreciation and amortization is provided using the straight-line method over the estimated useful lives of the </w:t>
      </w:r>
      <w:r>
        <w:rPr>
          <w:color w:val="000000"/>
          <w:sz w:val="20"/>
          <w:szCs w:val="20"/>
          <w:shd w:val="clear" w:color="auto" w:fill="FFFFFF"/>
        </w:rPr>
        <w:t>assets. Leasehold improvements are amortized using the straight-line method over the shorter of the remaining lease term, including options that are deemed to be reasonably assured, or the estimated useful life of the improvement.</w:t>
      </w:r>
    </w:p>
    <w:p w14:paraId="45A96AE7" w14:textId="77777777" w:rsidR="00000000" w:rsidRDefault="007125B5">
      <w:pPr>
        <w:pStyle w:val="a3"/>
        <w:shd w:val="clear" w:color="auto" w:fill="FFFFFF"/>
        <w:spacing w:before="160" w:beforeAutospacing="0" w:after="0" w:afterAutospacing="0"/>
        <w:ind w:firstLine="556"/>
        <w:rPr>
          <w:color w:val="000000"/>
          <w:sz w:val="20"/>
          <w:szCs w:val="20"/>
        </w:rPr>
      </w:pPr>
      <w:r>
        <w:rPr>
          <w:color w:val="000000"/>
          <w:sz w:val="20"/>
          <w:szCs w:val="20"/>
          <w:shd w:val="clear" w:color="auto" w:fill="FFFFFF"/>
        </w:rPr>
        <w:t>Property and equipment, n</w:t>
      </w:r>
      <w:r>
        <w:rPr>
          <w:color w:val="000000"/>
          <w:sz w:val="20"/>
          <w:szCs w:val="20"/>
          <w:shd w:val="clear" w:color="auto" w:fill="FFFFFF"/>
        </w:rPr>
        <w:t>et, as of June 30, 2020 and December 31, 2019 consisted of the following:</w:t>
      </w:r>
    </w:p>
    <w:tbl>
      <w:tblPr>
        <w:tblW w:w="5000" w:type="pct"/>
        <w:jc w:val="center"/>
        <w:tblCellMar>
          <w:left w:w="0" w:type="dxa"/>
          <w:right w:w="0" w:type="dxa"/>
        </w:tblCellMar>
        <w:tblLook w:val="04A0" w:firstRow="1" w:lastRow="0" w:firstColumn="1" w:lastColumn="0" w:noHBand="0" w:noVBand="1"/>
      </w:tblPr>
      <w:tblGrid>
        <w:gridCol w:w="4770"/>
        <w:gridCol w:w="106"/>
        <w:gridCol w:w="1053"/>
        <w:gridCol w:w="107"/>
        <w:gridCol w:w="115"/>
        <w:gridCol w:w="887"/>
        <w:gridCol w:w="82"/>
        <w:gridCol w:w="101"/>
        <w:gridCol w:w="115"/>
        <w:gridCol w:w="888"/>
        <w:gridCol w:w="82"/>
      </w:tblGrid>
      <w:tr w:rsidR="00000000" w14:paraId="599DCEA9" w14:textId="77777777">
        <w:trPr>
          <w:divId w:val="472413268"/>
          <w:jc w:val="center"/>
        </w:trPr>
        <w:tc>
          <w:tcPr>
            <w:tcW w:w="2874" w:type="pct"/>
            <w:shd w:val="clear" w:color="auto" w:fill="FFFFFF"/>
            <w:tcMar>
              <w:top w:w="15" w:type="dxa"/>
              <w:left w:w="0" w:type="dxa"/>
              <w:bottom w:w="0" w:type="dxa"/>
              <w:right w:w="15" w:type="dxa"/>
            </w:tcMar>
            <w:vAlign w:val="bottom"/>
            <w:hideMark/>
          </w:tcPr>
          <w:p w14:paraId="0F77090C" w14:textId="77777777" w:rsidR="00000000" w:rsidRDefault="007125B5">
            <w:pPr>
              <w:pStyle w:val="a3"/>
              <w:spacing w:before="0" w:beforeAutospacing="0" w:after="0" w:afterAutospacing="0"/>
              <w:rPr>
                <w:sz w:val="20"/>
                <w:szCs w:val="20"/>
              </w:rPr>
            </w:pPr>
            <w:r>
              <w:rPr>
                <w:sz w:val="20"/>
                <w:szCs w:val="20"/>
              </w:rPr>
              <w:t> </w:t>
            </w:r>
          </w:p>
        </w:tc>
        <w:tc>
          <w:tcPr>
            <w:tcW w:w="69" w:type="pct"/>
            <w:shd w:val="clear" w:color="auto" w:fill="FFFFFF"/>
            <w:tcMar>
              <w:top w:w="15" w:type="dxa"/>
              <w:left w:w="0" w:type="dxa"/>
              <w:bottom w:w="0" w:type="dxa"/>
              <w:right w:w="15" w:type="dxa"/>
            </w:tcMar>
            <w:vAlign w:val="bottom"/>
            <w:hideMark/>
          </w:tcPr>
          <w:p w14:paraId="64A2BEC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38" w:type="pct"/>
            <w:tcBorders>
              <w:bottom w:val="single" w:sz="6" w:space="0" w:color="000000"/>
            </w:tcBorders>
            <w:shd w:val="clear" w:color="auto" w:fill="FFFFFF"/>
            <w:tcMar>
              <w:top w:w="15" w:type="dxa"/>
              <w:left w:w="0" w:type="dxa"/>
              <w:bottom w:w="0" w:type="dxa"/>
              <w:right w:w="15" w:type="dxa"/>
            </w:tcMar>
            <w:vAlign w:val="bottom"/>
            <w:hideMark/>
          </w:tcPr>
          <w:p w14:paraId="527D41E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Estimated</w:t>
            </w:r>
          </w:p>
          <w:p w14:paraId="2A5595C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Useful Life</w:t>
            </w:r>
          </w:p>
        </w:tc>
        <w:tc>
          <w:tcPr>
            <w:tcW w:w="69" w:type="pct"/>
            <w:shd w:val="clear" w:color="auto" w:fill="FFFFFF"/>
            <w:tcMar>
              <w:top w:w="15" w:type="dxa"/>
              <w:left w:w="0" w:type="dxa"/>
              <w:bottom w:w="0" w:type="dxa"/>
              <w:right w:w="15" w:type="dxa"/>
            </w:tcMar>
            <w:vAlign w:val="bottom"/>
            <w:hideMark/>
          </w:tcPr>
          <w:p w14:paraId="305EE35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4344F68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shd w:val="clear" w:color="auto" w:fill="FFFFFF"/>
            <w:noWrap/>
            <w:tcMar>
              <w:top w:w="15" w:type="dxa"/>
              <w:left w:w="0" w:type="dxa"/>
              <w:bottom w:w="0" w:type="dxa"/>
              <w:right w:w="15" w:type="dxa"/>
            </w:tcMar>
            <w:vAlign w:val="bottom"/>
            <w:hideMark/>
          </w:tcPr>
          <w:p w14:paraId="47B22BB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14:paraId="194354A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4712A63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14:paraId="317E696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CAFE0D9" w14:textId="77777777">
        <w:trPr>
          <w:divId w:val="472413268"/>
          <w:jc w:val="center"/>
        </w:trPr>
        <w:tc>
          <w:tcPr>
            <w:tcW w:w="2874" w:type="pct"/>
            <w:shd w:val="clear" w:color="auto" w:fill="CFF0FC"/>
            <w:tcMar>
              <w:top w:w="15" w:type="dxa"/>
              <w:left w:w="0" w:type="dxa"/>
              <w:bottom w:w="0" w:type="dxa"/>
              <w:right w:w="15" w:type="dxa"/>
            </w:tcMar>
            <w:hideMark/>
          </w:tcPr>
          <w:p w14:paraId="160DFF1E" w14:textId="77777777" w:rsidR="00000000" w:rsidRDefault="007125B5">
            <w:pPr>
              <w:pStyle w:val="a3"/>
              <w:spacing w:before="0" w:beforeAutospacing="0" w:after="0" w:afterAutospacing="0"/>
              <w:rPr>
                <w:color w:val="000000"/>
                <w:sz w:val="20"/>
                <w:szCs w:val="20"/>
              </w:rPr>
            </w:pPr>
            <w:r>
              <w:rPr>
                <w:color w:val="000000"/>
                <w:sz w:val="20"/>
                <w:szCs w:val="20"/>
              </w:rPr>
              <w:t>Lab and test equipment</w:t>
            </w:r>
          </w:p>
        </w:tc>
        <w:tc>
          <w:tcPr>
            <w:tcW w:w="69" w:type="pct"/>
            <w:shd w:val="clear" w:color="auto" w:fill="CFF0FC"/>
            <w:tcMar>
              <w:top w:w="15" w:type="dxa"/>
              <w:left w:w="0" w:type="dxa"/>
              <w:bottom w:w="0" w:type="dxa"/>
              <w:right w:w="15" w:type="dxa"/>
            </w:tcMar>
            <w:vAlign w:val="bottom"/>
            <w:hideMark/>
          </w:tcPr>
          <w:p w14:paraId="3200CD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tcBorders>
            <w:shd w:val="clear" w:color="auto" w:fill="CFF0FC"/>
            <w:tcMar>
              <w:top w:w="15" w:type="dxa"/>
              <w:left w:w="0" w:type="dxa"/>
              <w:bottom w:w="0" w:type="dxa"/>
              <w:right w:w="15" w:type="dxa"/>
            </w:tcMar>
            <w:vAlign w:val="bottom"/>
            <w:hideMark/>
          </w:tcPr>
          <w:p w14:paraId="63DBA2FF" w14:textId="77777777" w:rsidR="00000000" w:rsidRDefault="007125B5">
            <w:pPr>
              <w:pStyle w:val="a3"/>
              <w:spacing w:before="0" w:beforeAutospacing="0" w:after="0" w:afterAutospacing="0"/>
              <w:jc w:val="center"/>
              <w:rPr>
                <w:color w:val="000000"/>
                <w:sz w:val="20"/>
                <w:szCs w:val="20"/>
              </w:rPr>
            </w:pPr>
            <w:r>
              <w:rPr>
                <w:color w:val="000000"/>
                <w:sz w:val="20"/>
                <w:szCs w:val="20"/>
              </w:rPr>
              <w:t>7 years</w:t>
            </w:r>
          </w:p>
        </w:tc>
        <w:tc>
          <w:tcPr>
            <w:tcW w:w="69" w:type="pct"/>
            <w:shd w:val="clear" w:color="auto" w:fill="CFF0FC"/>
            <w:tcMar>
              <w:top w:w="15" w:type="dxa"/>
              <w:left w:w="0" w:type="dxa"/>
              <w:bottom w:w="0" w:type="dxa"/>
              <w:right w:w="15" w:type="dxa"/>
            </w:tcMar>
            <w:vAlign w:val="bottom"/>
            <w:hideMark/>
          </w:tcPr>
          <w:p w14:paraId="7C08F09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03D16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7384A3B2" w14:textId="77777777" w:rsidR="00000000" w:rsidRDefault="007125B5">
            <w:pPr>
              <w:pStyle w:val="a3"/>
              <w:spacing w:before="0" w:beforeAutospacing="0" w:after="0" w:afterAutospacing="0"/>
              <w:jc w:val="right"/>
              <w:rPr>
                <w:color w:val="000000"/>
                <w:sz w:val="20"/>
                <w:szCs w:val="20"/>
              </w:rPr>
            </w:pPr>
            <w:r>
              <w:rPr>
                <w:color w:val="000000"/>
                <w:sz w:val="20"/>
                <w:szCs w:val="20"/>
              </w:rPr>
              <w:t>17,219</w:t>
            </w:r>
          </w:p>
        </w:tc>
        <w:tc>
          <w:tcPr>
            <w:tcW w:w="50" w:type="pct"/>
            <w:shd w:val="clear" w:color="auto" w:fill="CFF0FC"/>
            <w:noWrap/>
            <w:tcMar>
              <w:top w:w="15" w:type="dxa"/>
              <w:left w:w="0" w:type="dxa"/>
              <w:bottom w:w="0" w:type="dxa"/>
              <w:right w:w="15" w:type="dxa"/>
            </w:tcMar>
            <w:vAlign w:val="bottom"/>
            <w:hideMark/>
          </w:tcPr>
          <w:p w14:paraId="4288D0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15BAAE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C5580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6ECF54EA" w14:textId="77777777" w:rsidR="00000000" w:rsidRDefault="007125B5">
            <w:pPr>
              <w:pStyle w:val="a3"/>
              <w:spacing w:before="0" w:beforeAutospacing="0" w:after="0" w:afterAutospacing="0"/>
              <w:jc w:val="right"/>
              <w:rPr>
                <w:color w:val="000000"/>
                <w:sz w:val="20"/>
                <w:szCs w:val="20"/>
              </w:rPr>
            </w:pPr>
            <w:r>
              <w:rPr>
                <w:color w:val="000000"/>
                <w:sz w:val="20"/>
                <w:szCs w:val="20"/>
              </w:rPr>
              <w:t>14,810</w:t>
            </w:r>
          </w:p>
        </w:tc>
        <w:tc>
          <w:tcPr>
            <w:tcW w:w="50" w:type="pct"/>
            <w:shd w:val="clear" w:color="auto" w:fill="CFF0FC"/>
            <w:noWrap/>
            <w:tcMar>
              <w:top w:w="15" w:type="dxa"/>
              <w:left w:w="0" w:type="dxa"/>
              <w:bottom w:w="0" w:type="dxa"/>
              <w:right w:w="15" w:type="dxa"/>
            </w:tcMar>
            <w:vAlign w:val="bottom"/>
            <w:hideMark/>
          </w:tcPr>
          <w:p w14:paraId="22F99AA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B0BD8DF" w14:textId="77777777">
        <w:trPr>
          <w:divId w:val="472413268"/>
          <w:jc w:val="center"/>
        </w:trPr>
        <w:tc>
          <w:tcPr>
            <w:tcW w:w="2874" w:type="pct"/>
            <w:shd w:val="clear" w:color="auto" w:fill="FFFFFF"/>
            <w:tcMar>
              <w:top w:w="15" w:type="dxa"/>
              <w:left w:w="0" w:type="dxa"/>
              <w:bottom w:w="0" w:type="dxa"/>
              <w:right w:w="15" w:type="dxa"/>
            </w:tcMar>
            <w:hideMark/>
          </w:tcPr>
          <w:p w14:paraId="6251C44A" w14:textId="77777777" w:rsidR="00000000" w:rsidRDefault="007125B5">
            <w:pPr>
              <w:pStyle w:val="a3"/>
              <w:spacing w:before="0" w:beforeAutospacing="0" w:after="0" w:afterAutospacing="0"/>
              <w:rPr>
                <w:color w:val="000000"/>
                <w:sz w:val="20"/>
                <w:szCs w:val="20"/>
              </w:rPr>
            </w:pPr>
            <w:r>
              <w:rPr>
                <w:color w:val="000000"/>
                <w:sz w:val="20"/>
                <w:szCs w:val="20"/>
              </w:rPr>
              <w:t>Vehicles</w:t>
            </w:r>
          </w:p>
        </w:tc>
        <w:tc>
          <w:tcPr>
            <w:tcW w:w="69" w:type="pct"/>
            <w:shd w:val="clear" w:color="auto" w:fill="FFFFFF"/>
            <w:tcMar>
              <w:top w:w="15" w:type="dxa"/>
              <w:left w:w="0" w:type="dxa"/>
              <w:bottom w:w="0" w:type="dxa"/>
              <w:right w:w="15" w:type="dxa"/>
            </w:tcMar>
            <w:vAlign w:val="bottom"/>
            <w:hideMark/>
          </w:tcPr>
          <w:p w14:paraId="75E4347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14:paraId="4EBD43B8" w14:textId="77777777" w:rsidR="00000000" w:rsidRDefault="007125B5">
            <w:pPr>
              <w:pStyle w:val="a3"/>
              <w:spacing w:before="0" w:beforeAutospacing="0" w:after="0" w:afterAutospacing="0"/>
              <w:jc w:val="center"/>
              <w:rPr>
                <w:color w:val="000000"/>
                <w:sz w:val="20"/>
                <w:szCs w:val="20"/>
              </w:rPr>
            </w:pPr>
            <w:r>
              <w:rPr>
                <w:color w:val="000000"/>
                <w:sz w:val="20"/>
                <w:szCs w:val="20"/>
              </w:rPr>
              <w:t>5 years</w:t>
            </w:r>
          </w:p>
        </w:tc>
        <w:tc>
          <w:tcPr>
            <w:tcW w:w="69" w:type="pct"/>
            <w:shd w:val="clear" w:color="auto" w:fill="FFFFFF"/>
            <w:tcMar>
              <w:top w:w="15" w:type="dxa"/>
              <w:left w:w="0" w:type="dxa"/>
              <w:bottom w:w="0" w:type="dxa"/>
              <w:right w:w="15" w:type="dxa"/>
            </w:tcMar>
            <w:vAlign w:val="bottom"/>
            <w:hideMark/>
          </w:tcPr>
          <w:p w14:paraId="4DDBD42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6745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65ED6438" w14:textId="77777777" w:rsidR="00000000" w:rsidRDefault="007125B5">
            <w:pPr>
              <w:pStyle w:val="a3"/>
              <w:spacing w:before="0" w:beforeAutospacing="0" w:after="0" w:afterAutospacing="0"/>
              <w:jc w:val="right"/>
              <w:rPr>
                <w:color w:val="000000"/>
                <w:sz w:val="20"/>
                <w:szCs w:val="20"/>
              </w:rPr>
            </w:pPr>
            <w:r>
              <w:rPr>
                <w:color w:val="000000"/>
                <w:sz w:val="20"/>
                <w:szCs w:val="20"/>
              </w:rPr>
              <w:t>12,658</w:t>
            </w:r>
          </w:p>
        </w:tc>
        <w:tc>
          <w:tcPr>
            <w:tcW w:w="50" w:type="pct"/>
            <w:shd w:val="clear" w:color="auto" w:fill="FFFFFF"/>
            <w:noWrap/>
            <w:tcMar>
              <w:top w:w="15" w:type="dxa"/>
              <w:left w:w="0" w:type="dxa"/>
              <w:bottom w:w="0" w:type="dxa"/>
              <w:right w:w="15" w:type="dxa"/>
            </w:tcMar>
            <w:vAlign w:val="bottom"/>
            <w:hideMark/>
          </w:tcPr>
          <w:p w14:paraId="5F2AB2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04138E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5821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39077651" w14:textId="77777777" w:rsidR="00000000" w:rsidRDefault="007125B5">
            <w:pPr>
              <w:pStyle w:val="a3"/>
              <w:spacing w:before="0" w:beforeAutospacing="0" w:after="0" w:afterAutospacing="0"/>
              <w:jc w:val="right"/>
              <w:rPr>
                <w:color w:val="000000"/>
                <w:sz w:val="20"/>
                <w:szCs w:val="20"/>
              </w:rPr>
            </w:pPr>
            <w:r>
              <w:rPr>
                <w:color w:val="000000"/>
                <w:sz w:val="20"/>
                <w:szCs w:val="20"/>
              </w:rPr>
              <w:t>11,073</w:t>
            </w:r>
          </w:p>
        </w:tc>
        <w:tc>
          <w:tcPr>
            <w:tcW w:w="50" w:type="pct"/>
            <w:shd w:val="clear" w:color="auto" w:fill="FFFFFF"/>
            <w:noWrap/>
            <w:tcMar>
              <w:top w:w="15" w:type="dxa"/>
              <w:left w:w="0" w:type="dxa"/>
              <w:bottom w:w="0" w:type="dxa"/>
              <w:right w:w="15" w:type="dxa"/>
            </w:tcMar>
            <w:vAlign w:val="bottom"/>
            <w:hideMark/>
          </w:tcPr>
          <w:p w14:paraId="6E52D6E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0CCE8C4" w14:textId="77777777">
        <w:trPr>
          <w:divId w:val="472413268"/>
          <w:jc w:val="center"/>
        </w:trPr>
        <w:tc>
          <w:tcPr>
            <w:tcW w:w="2874" w:type="pct"/>
            <w:shd w:val="clear" w:color="auto" w:fill="CFF0FC"/>
            <w:tcMar>
              <w:top w:w="15" w:type="dxa"/>
              <w:left w:w="0" w:type="dxa"/>
              <w:bottom w:w="0" w:type="dxa"/>
              <w:right w:w="15" w:type="dxa"/>
            </w:tcMar>
            <w:hideMark/>
          </w:tcPr>
          <w:p w14:paraId="108BEB9C" w14:textId="77777777" w:rsidR="00000000" w:rsidRDefault="007125B5">
            <w:pPr>
              <w:pStyle w:val="a3"/>
              <w:spacing w:before="0" w:beforeAutospacing="0" w:after="0" w:afterAutospacing="0"/>
              <w:rPr>
                <w:color w:val="000000"/>
                <w:sz w:val="20"/>
                <w:szCs w:val="20"/>
              </w:rPr>
            </w:pPr>
            <w:r>
              <w:rPr>
                <w:color w:val="000000"/>
                <w:sz w:val="20"/>
                <w:szCs w:val="20"/>
              </w:rPr>
              <w:t>Equipment</w:t>
            </w:r>
          </w:p>
        </w:tc>
        <w:tc>
          <w:tcPr>
            <w:tcW w:w="69" w:type="pct"/>
            <w:shd w:val="clear" w:color="auto" w:fill="CFF0FC"/>
            <w:tcMar>
              <w:top w:w="15" w:type="dxa"/>
              <w:left w:w="0" w:type="dxa"/>
              <w:bottom w:w="0" w:type="dxa"/>
              <w:right w:w="15" w:type="dxa"/>
            </w:tcMar>
            <w:vAlign w:val="bottom"/>
            <w:hideMark/>
          </w:tcPr>
          <w:p w14:paraId="62DA78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14:paraId="7243C1AE" w14:textId="77777777" w:rsidR="00000000" w:rsidRDefault="007125B5">
            <w:pPr>
              <w:pStyle w:val="a3"/>
              <w:spacing w:before="0" w:beforeAutospacing="0" w:after="0" w:afterAutospacing="0"/>
              <w:jc w:val="center"/>
              <w:rPr>
                <w:color w:val="000000"/>
                <w:sz w:val="20"/>
                <w:szCs w:val="20"/>
              </w:rPr>
            </w:pPr>
            <w:r>
              <w:rPr>
                <w:color w:val="000000"/>
                <w:sz w:val="20"/>
                <w:szCs w:val="20"/>
              </w:rPr>
              <w:t>3–7 years</w:t>
            </w:r>
          </w:p>
        </w:tc>
        <w:tc>
          <w:tcPr>
            <w:tcW w:w="69" w:type="pct"/>
            <w:shd w:val="clear" w:color="auto" w:fill="CFF0FC"/>
            <w:tcMar>
              <w:top w:w="15" w:type="dxa"/>
              <w:left w:w="0" w:type="dxa"/>
              <w:bottom w:w="0" w:type="dxa"/>
              <w:right w:w="15" w:type="dxa"/>
            </w:tcMar>
            <w:vAlign w:val="bottom"/>
            <w:hideMark/>
          </w:tcPr>
          <w:p w14:paraId="2C6A24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FE793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037CAFB0" w14:textId="77777777" w:rsidR="00000000" w:rsidRDefault="007125B5">
            <w:pPr>
              <w:pStyle w:val="a3"/>
              <w:spacing w:before="0" w:beforeAutospacing="0" w:after="0" w:afterAutospacing="0"/>
              <w:jc w:val="right"/>
              <w:rPr>
                <w:color w:val="000000"/>
                <w:sz w:val="20"/>
                <w:szCs w:val="20"/>
              </w:rPr>
            </w:pPr>
            <w:r>
              <w:rPr>
                <w:color w:val="000000"/>
                <w:sz w:val="20"/>
                <w:szCs w:val="20"/>
              </w:rPr>
              <w:t>30,747</w:t>
            </w:r>
          </w:p>
        </w:tc>
        <w:tc>
          <w:tcPr>
            <w:tcW w:w="50" w:type="pct"/>
            <w:shd w:val="clear" w:color="auto" w:fill="CFF0FC"/>
            <w:noWrap/>
            <w:tcMar>
              <w:top w:w="15" w:type="dxa"/>
              <w:left w:w="0" w:type="dxa"/>
              <w:bottom w:w="0" w:type="dxa"/>
              <w:right w:w="15" w:type="dxa"/>
            </w:tcMar>
            <w:vAlign w:val="bottom"/>
            <w:hideMark/>
          </w:tcPr>
          <w:p w14:paraId="616CA6B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204481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2F1F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4DDE8C7B" w14:textId="77777777" w:rsidR="00000000" w:rsidRDefault="007125B5">
            <w:pPr>
              <w:pStyle w:val="a3"/>
              <w:spacing w:before="0" w:beforeAutospacing="0" w:after="0" w:afterAutospacing="0"/>
              <w:jc w:val="right"/>
              <w:rPr>
                <w:color w:val="000000"/>
                <w:sz w:val="20"/>
                <w:szCs w:val="20"/>
              </w:rPr>
            </w:pPr>
            <w:r>
              <w:rPr>
                <w:color w:val="000000"/>
                <w:sz w:val="20"/>
                <w:szCs w:val="20"/>
              </w:rPr>
              <w:t>29,922</w:t>
            </w:r>
          </w:p>
        </w:tc>
        <w:tc>
          <w:tcPr>
            <w:tcW w:w="50" w:type="pct"/>
            <w:shd w:val="clear" w:color="auto" w:fill="CFF0FC"/>
            <w:noWrap/>
            <w:tcMar>
              <w:top w:w="15" w:type="dxa"/>
              <w:left w:w="0" w:type="dxa"/>
              <w:bottom w:w="0" w:type="dxa"/>
              <w:right w:w="15" w:type="dxa"/>
            </w:tcMar>
            <w:vAlign w:val="bottom"/>
            <w:hideMark/>
          </w:tcPr>
          <w:p w14:paraId="6DC02EB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9066F6D" w14:textId="77777777">
        <w:trPr>
          <w:divId w:val="472413268"/>
          <w:jc w:val="center"/>
        </w:trPr>
        <w:tc>
          <w:tcPr>
            <w:tcW w:w="2874" w:type="pct"/>
            <w:shd w:val="clear" w:color="auto" w:fill="FFFFFF"/>
            <w:tcMar>
              <w:top w:w="15" w:type="dxa"/>
              <w:left w:w="0" w:type="dxa"/>
              <w:bottom w:w="0" w:type="dxa"/>
              <w:right w:w="15" w:type="dxa"/>
            </w:tcMar>
            <w:hideMark/>
          </w:tcPr>
          <w:p w14:paraId="500A695D" w14:textId="77777777" w:rsidR="00000000" w:rsidRDefault="007125B5">
            <w:pPr>
              <w:pStyle w:val="a3"/>
              <w:spacing w:before="0" w:beforeAutospacing="0" w:after="0" w:afterAutospacing="0"/>
              <w:rPr>
                <w:color w:val="000000"/>
                <w:sz w:val="20"/>
                <w:szCs w:val="20"/>
              </w:rPr>
            </w:pPr>
            <w:r>
              <w:rPr>
                <w:color w:val="000000"/>
                <w:sz w:val="20"/>
                <w:szCs w:val="20"/>
              </w:rPr>
              <w:t>Furniture and fixtures</w:t>
            </w:r>
          </w:p>
        </w:tc>
        <w:tc>
          <w:tcPr>
            <w:tcW w:w="69" w:type="pct"/>
            <w:shd w:val="clear" w:color="auto" w:fill="FFFFFF"/>
            <w:tcMar>
              <w:top w:w="15" w:type="dxa"/>
              <w:left w:w="0" w:type="dxa"/>
              <w:bottom w:w="0" w:type="dxa"/>
              <w:right w:w="15" w:type="dxa"/>
            </w:tcMar>
            <w:vAlign w:val="bottom"/>
            <w:hideMark/>
          </w:tcPr>
          <w:p w14:paraId="3A78FD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14:paraId="4EA35386" w14:textId="77777777" w:rsidR="00000000" w:rsidRDefault="007125B5">
            <w:pPr>
              <w:pStyle w:val="a3"/>
              <w:spacing w:before="0" w:beforeAutospacing="0" w:after="0" w:afterAutospacing="0"/>
              <w:jc w:val="center"/>
              <w:rPr>
                <w:color w:val="000000"/>
                <w:sz w:val="20"/>
                <w:szCs w:val="20"/>
              </w:rPr>
            </w:pPr>
            <w:r>
              <w:rPr>
                <w:color w:val="000000"/>
                <w:sz w:val="20"/>
                <w:szCs w:val="20"/>
              </w:rPr>
              <w:t>7 years</w:t>
            </w:r>
          </w:p>
        </w:tc>
        <w:tc>
          <w:tcPr>
            <w:tcW w:w="69" w:type="pct"/>
            <w:shd w:val="clear" w:color="auto" w:fill="FFFFFF"/>
            <w:tcMar>
              <w:top w:w="15" w:type="dxa"/>
              <w:left w:w="0" w:type="dxa"/>
              <w:bottom w:w="0" w:type="dxa"/>
              <w:right w:w="15" w:type="dxa"/>
            </w:tcMar>
            <w:vAlign w:val="bottom"/>
            <w:hideMark/>
          </w:tcPr>
          <w:p w14:paraId="6AC824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3E86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48B4D8C7" w14:textId="77777777" w:rsidR="00000000" w:rsidRDefault="007125B5">
            <w:pPr>
              <w:pStyle w:val="a3"/>
              <w:spacing w:before="0" w:beforeAutospacing="0" w:after="0" w:afterAutospacing="0"/>
              <w:jc w:val="right"/>
              <w:rPr>
                <w:color w:val="000000"/>
                <w:sz w:val="20"/>
                <w:szCs w:val="20"/>
              </w:rPr>
            </w:pPr>
            <w:r>
              <w:rPr>
                <w:color w:val="000000"/>
                <w:sz w:val="20"/>
                <w:szCs w:val="20"/>
              </w:rPr>
              <w:t>2,798</w:t>
            </w:r>
          </w:p>
        </w:tc>
        <w:tc>
          <w:tcPr>
            <w:tcW w:w="50" w:type="pct"/>
            <w:shd w:val="clear" w:color="auto" w:fill="FFFFFF"/>
            <w:noWrap/>
            <w:tcMar>
              <w:top w:w="15" w:type="dxa"/>
              <w:left w:w="0" w:type="dxa"/>
              <w:bottom w:w="0" w:type="dxa"/>
              <w:right w:w="15" w:type="dxa"/>
            </w:tcMar>
            <w:vAlign w:val="bottom"/>
            <w:hideMark/>
          </w:tcPr>
          <w:p w14:paraId="5CED18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0EE3B1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1563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5FA4D20D" w14:textId="77777777" w:rsidR="00000000" w:rsidRDefault="007125B5">
            <w:pPr>
              <w:pStyle w:val="a3"/>
              <w:spacing w:before="0" w:beforeAutospacing="0" w:after="0" w:afterAutospacing="0"/>
              <w:jc w:val="right"/>
              <w:rPr>
                <w:color w:val="000000"/>
                <w:sz w:val="20"/>
                <w:szCs w:val="20"/>
              </w:rPr>
            </w:pPr>
            <w:r>
              <w:rPr>
                <w:color w:val="000000"/>
                <w:sz w:val="20"/>
                <w:szCs w:val="20"/>
              </w:rPr>
              <w:t>1,119</w:t>
            </w:r>
          </w:p>
        </w:tc>
        <w:tc>
          <w:tcPr>
            <w:tcW w:w="50" w:type="pct"/>
            <w:shd w:val="clear" w:color="auto" w:fill="FFFFFF"/>
            <w:noWrap/>
            <w:tcMar>
              <w:top w:w="15" w:type="dxa"/>
              <w:left w:w="0" w:type="dxa"/>
              <w:bottom w:w="0" w:type="dxa"/>
              <w:right w:w="15" w:type="dxa"/>
            </w:tcMar>
            <w:vAlign w:val="bottom"/>
            <w:hideMark/>
          </w:tcPr>
          <w:p w14:paraId="511B227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E2F25B4" w14:textId="77777777">
        <w:trPr>
          <w:divId w:val="472413268"/>
          <w:jc w:val="center"/>
        </w:trPr>
        <w:tc>
          <w:tcPr>
            <w:tcW w:w="2874" w:type="pct"/>
            <w:shd w:val="clear" w:color="auto" w:fill="CFF0FC"/>
            <w:tcMar>
              <w:top w:w="15" w:type="dxa"/>
              <w:left w:w="0" w:type="dxa"/>
              <w:bottom w:w="0" w:type="dxa"/>
              <w:right w:w="15" w:type="dxa"/>
            </w:tcMar>
            <w:hideMark/>
          </w:tcPr>
          <w:p w14:paraId="26ED588E" w14:textId="77777777" w:rsidR="00000000" w:rsidRDefault="007125B5">
            <w:pPr>
              <w:pStyle w:val="a3"/>
              <w:spacing w:before="0" w:beforeAutospacing="0" w:after="0" w:afterAutospacing="0"/>
              <w:rPr>
                <w:color w:val="000000"/>
                <w:sz w:val="20"/>
                <w:szCs w:val="20"/>
              </w:rPr>
            </w:pPr>
            <w:r>
              <w:rPr>
                <w:color w:val="000000"/>
                <w:sz w:val="20"/>
                <w:szCs w:val="20"/>
              </w:rPr>
              <w:t>Leasehold improvements</w:t>
            </w:r>
          </w:p>
        </w:tc>
        <w:tc>
          <w:tcPr>
            <w:tcW w:w="69" w:type="pct"/>
            <w:shd w:val="clear" w:color="auto" w:fill="CFF0FC"/>
            <w:tcMar>
              <w:top w:w="15" w:type="dxa"/>
              <w:left w:w="0" w:type="dxa"/>
              <w:bottom w:w="0" w:type="dxa"/>
              <w:right w:w="15" w:type="dxa"/>
            </w:tcMar>
            <w:vAlign w:val="bottom"/>
            <w:hideMark/>
          </w:tcPr>
          <w:p w14:paraId="7A6AFC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14:paraId="756B6DED" w14:textId="77777777" w:rsidR="00000000" w:rsidRDefault="007125B5">
            <w:pPr>
              <w:pStyle w:val="a3"/>
              <w:spacing w:before="0" w:beforeAutospacing="0" w:after="0" w:afterAutospacing="0"/>
              <w:jc w:val="center"/>
              <w:rPr>
                <w:color w:val="000000"/>
                <w:sz w:val="20"/>
                <w:szCs w:val="20"/>
              </w:rPr>
            </w:pPr>
            <w:r>
              <w:rPr>
                <w:color w:val="000000"/>
                <w:sz w:val="20"/>
                <w:szCs w:val="20"/>
              </w:rPr>
              <w:t>7 years</w:t>
            </w:r>
          </w:p>
        </w:tc>
        <w:tc>
          <w:tcPr>
            <w:tcW w:w="69" w:type="pct"/>
            <w:shd w:val="clear" w:color="auto" w:fill="CFF0FC"/>
            <w:tcMar>
              <w:top w:w="15" w:type="dxa"/>
              <w:left w:w="0" w:type="dxa"/>
              <w:bottom w:w="0" w:type="dxa"/>
              <w:right w:w="15" w:type="dxa"/>
            </w:tcMar>
            <w:vAlign w:val="bottom"/>
            <w:hideMark/>
          </w:tcPr>
          <w:p w14:paraId="356526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8654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306B91A5" w14:textId="77777777" w:rsidR="00000000" w:rsidRDefault="007125B5">
            <w:pPr>
              <w:pStyle w:val="a3"/>
              <w:spacing w:before="0" w:beforeAutospacing="0" w:after="0" w:afterAutospacing="0"/>
              <w:jc w:val="right"/>
              <w:rPr>
                <w:color w:val="000000"/>
                <w:sz w:val="20"/>
                <w:szCs w:val="20"/>
              </w:rPr>
            </w:pPr>
            <w:r>
              <w:rPr>
                <w:color w:val="000000"/>
                <w:sz w:val="20"/>
                <w:szCs w:val="20"/>
              </w:rPr>
              <w:t>6,633</w:t>
            </w:r>
          </w:p>
        </w:tc>
        <w:tc>
          <w:tcPr>
            <w:tcW w:w="50" w:type="pct"/>
            <w:shd w:val="clear" w:color="auto" w:fill="CFF0FC"/>
            <w:noWrap/>
            <w:tcMar>
              <w:top w:w="15" w:type="dxa"/>
              <w:left w:w="0" w:type="dxa"/>
              <w:bottom w:w="0" w:type="dxa"/>
              <w:right w:w="15" w:type="dxa"/>
            </w:tcMar>
            <w:vAlign w:val="bottom"/>
            <w:hideMark/>
          </w:tcPr>
          <w:p w14:paraId="29BF392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27FFD7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FBE1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05F5CAD4" w14:textId="77777777" w:rsidR="00000000" w:rsidRDefault="007125B5">
            <w:pPr>
              <w:pStyle w:val="a3"/>
              <w:spacing w:before="0" w:beforeAutospacing="0" w:after="0" w:afterAutospacing="0"/>
              <w:jc w:val="right"/>
              <w:rPr>
                <w:color w:val="000000"/>
                <w:sz w:val="20"/>
                <w:szCs w:val="20"/>
              </w:rPr>
            </w:pPr>
            <w:r>
              <w:rPr>
                <w:color w:val="000000"/>
                <w:sz w:val="20"/>
                <w:szCs w:val="20"/>
              </w:rPr>
              <w:t>5,954</w:t>
            </w:r>
          </w:p>
        </w:tc>
        <w:tc>
          <w:tcPr>
            <w:tcW w:w="50" w:type="pct"/>
            <w:shd w:val="clear" w:color="auto" w:fill="CFF0FC"/>
            <w:noWrap/>
            <w:tcMar>
              <w:top w:w="15" w:type="dxa"/>
              <w:left w:w="0" w:type="dxa"/>
              <w:bottom w:w="0" w:type="dxa"/>
              <w:right w:w="15" w:type="dxa"/>
            </w:tcMar>
            <w:vAlign w:val="bottom"/>
            <w:hideMark/>
          </w:tcPr>
          <w:p w14:paraId="4172DA5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82BC2E2" w14:textId="77777777">
        <w:trPr>
          <w:divId w:val="472413268"/>
          <w:jc w:val="center"/>
        </w:trPr>
        <w:tc>
          <w:tcPr>
            <w:tcW w:w="2874" w:type="pct"/>
            <w:shd w:val="clear" w:color="auto" w:fill="FFFFFF"/>
            <w:tcMar>
              <w:top w:w="15" w:type="dxa"/>
              <w:left w:w="0" w:type="dxa"/>
              <w:bottom w:w="0" w:type="dxa"/>
              <w:right w:w="15" w:type="dxa"/>
            </w:tcMar>
            <w:hideMark/>
          </w:tcPr>
          <w:p w14:paraId="21C64C06" w14:textId="77777777" w:rsidR="00000000" w:rsidRDefault="007125B5">
            <w:pPr>
              <w:pStyle w:val="a3"/>
              <w:spacing w:before="0" w:beforeAutospacing="0" w:after="0" w:afterAutospacing="0"/>
              <w:rPr>
                <w:color w:val="000000"/>
                <w:sz w:val="20"/>
                <w:szCs w:val="20"/>
              </w:rPr>
            </w:pPr>
            <w:r>
              <w:rPr>
                <w:color w:val="000000"/>
                <w:sz w:val="20"/>
                <w:szCs w:val="20"/>
              </w:rPr>
              <w:t>Aircraft</w:t>
            </w:r>
          </w:p>
        </w:tc>
        <w:tc>
          <w:tcPr>
            <w:tcW w:w="69" w:type="pct"/>
            <w:shd w:val="clear" w:color="auto" w:fill="FFFFFF"/>
            <w:tcMar>
              <w:top w:w="15" w:type="dxa"/>
              <w:left w:w="0" w:type="dxa"/>
              <w:bottom w:w="0" w:type="dxa"/>
              <w:right w:w="15" w:type="dxa"/>
            </w:tcMar>
            <w:vAlign w:val="bottom"/>
            <w:hideMark/>
          </w:tcPr>
          <w:p w14:paraId="4F5F4F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14:paraId="168292B3" w14:textId="77777777" w:rsidR="00000000" w:rsidRDefault="007125B5">
            <w:pPr>
              <w:pStyle w:val="a3"/>
              <w:spacing w:before="0" w:beforeAutospacing="0" w:after="0" w:afterAutospacing="0"/>
              <w:jc w:val="center"/>
              <w:rPr>
                <w:color w:val="000000"/>
                <w:sz w:val="20"/>
                <w:szCs w:val="20"/>
              </w:rPr>
            </w:pPr>
            <w:r>
              <w:rPr>
                <w:color w:val="000000"/>
                <w:sz w:val="20"/>
                <w:szCs w:val="20"/>
              </w:rPr>
              <w:t>10 years</w:t>
            </w:r>
          </w:p>
        </w:tc>
        <w:tc>
          <w:tcPr>
            <w:tcW w:w="69" w:type="pct"/>
            <w:shd w:val="clear" w:color="auto" w:fill="FFFFFF"/>
            <w:tcMar>
              <w:top w:w="15" w:type="dxa"/>
              <w:left w:w="0" w:type="dxa"/>
              <w:bottom w:w="0" w:type="dxa"/>
              <w:right w:w="15" w:type="dxa"/>
            </w:tcMar>
            <w:vAlign w:val="bottom"/>
            <w:hideMark/>
          </w:tcPr>
          <w:p w14:paraId="2A42A7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298E7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074A7945" w14:textId="77777777" w:rsidR="00000000" w:rsidRDefault="007125B5">
            <w:pPr>
              <w:pStyle w:val="a3"/>
              <w:spacing w:before="0" w:beforeAutospacing="0" w:after="0" w:afterAutospacing="0"/>
              <w:jc w:val="right"/>
              <w:rPr>
                <w:color w:val="000000"/>
                <w:sz w:val="20"/>
                <w:szCs w:val="20"/>
              </w:rPr>
            </w:pPr>
            <w:r>
              <w:rPr>
                <w:color w:val="000000"/>
                <w:sz w:val="20"/>
                <w:szCs w:val="20"/>
              </w:rPr>
              <w:t>834</w:t>
            </w:r>
          </w:p>
        </w:tc>
        <w:tc>
          <w:tcPr>
            <w:tcW w:w="50" w:type="pct"/>
            <w:shd w:val="clear" w:color="auto" w:fill="FFFFFF"/>
            <w:noWrap/>
            <w:tcMar>
              <w:top w:w="15" w:type="dxa"/>
              <w:left w:w="0" w:type="dxa"/>
              <w:bottom w:w="0" w:type="dxa"/>
              <w:right w:w="15" w:type="dxa"/>
            </w:tcMar>
            <w:vAlign w:val="bottom"/>
            <w:hideMark/>
          </w:tcPr>
          <w:p w14:paraId="4F1AF4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5834FB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9D7D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4BE1A4B9"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A793D2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951F899" w14:textId="77777777">
        <w:trPr>
          <w:divId w:val="472413268"/>
          <w:jc w:val="center"/>
        </w:trPr>
        <w:tc>
          <w:tcPr>
            <w:tcW w:w="2874" w:type="pct"/>
            <w:shd w:val="clear" w:color="auto" w:fill="CFF0FC"/>
            <w:tcMar>
              <w:top w:w="15" w:type="dxa"/>
              <w:left w:w="0" w:type="dxa"/>
              <w:bottom w:w="0" w:type="dxa"/>
              <w:right w:w="15" w:type="dxa"/>
            </w:tcMar>
            <w:hideMark/>
          </w:tcPr>
          <w:p w14:paraId="11E0170B" w14:textId="77777777" w:rsidR="00000000" w:rsidRDefault="007125B5">
            <w:pPr>
              <w:pStyle w:val="a3"/>
              <w:spacing w:before="0" w:beforeAutospacing="0" w:after="0" w:afterAutospacing="0"/>
              <w:rPr>
                <w:color w:val="000000"/>
                <w:sz w:val="20"/>
                <w:szCs w:val="20"/>
              </w:rPr>
            </w:pPr>
            <w:r>
              <w:rPr>
                <w:color w:val="000000"/>
                <w:sz w:val="20"/>
                <w:szCs w:val="20"/>
              </w:rPr>
              <w:t>Building</w:t>
            </w:r>
          </w:p>
        </w:tc>
        <w:tc>
          <w:tcPr>
            <w:tcW w:w="69" w:type="pct"/>
            <w:shd w:val="clear" w:color="auto" w:fill="CFF0FC"/>
            <w:tcMar>
              <w:top w:w="15" w:type="dxa"/>
              <w:left w:w="0" w:type="dxa"/>
              <w:bottom w:w="0" w:type="dxa"/>
              <w:right w:w="15" w:type="dxa"/>
            </w:tcMar>
            <w:vAlign w:val="bottom"/>
            <w:hideMark/>
          </w:tcPr>
          <w:p w14:paraId="5CE0CA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14:paraId="36CB3159" w14:textId="77777777" w:rsidR="00000000" w:rsidRDefault="007125B5">
            <w:pPr>
              <w:pStyle w:val="a3"/>
              <w:spacing w:before="0" w:beforeAutospacing="0" w:after="0" w:afterAutospacing="0"/>
              <w:jc w:val="center"/>
              <w:rPr>
                <w:color w:val="000000"/>
                <w:sz w:val="20"/>
                <w:szCs w:val="20"/>
              </w:rPr>
            </w:pPr>
            <w:r>
              <w:rPr>
                <w:color w:val="000000"/>
                <w:sz w:val="20"/>
                <w:szCs w:val="20"/>
              </w:rPr>
              <w:t>39 years</w:t>
            </w:r>
          </w:p>
        </w:tc>
        <w:tc>
          <w:tcPr>
            <w:tcW w:w="69" w:type="pct"/>
            <w:shd w:val="clear" w:color="auto" w:fill="CFF0FC"/>
            <w:tcMar>
              <w:top w:w="15" w:type="dxa"/>
              <w:left w:w="0" w:type="dxa"/>
              <w:bottom w:w="0" w:type="dxa"/>
              <w:right w:w="15" w:type="dxa"/>
            </w:tcMar>
            <w:vAlign w:val="bottom"/>
            <w:hideMark/>
          </w:tcPr>
          <w:p w14:paraId="2C3104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8705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29FD59B5" w14:textId="77777777" w:rsidR="00000000" w:rsidRDefault="007125B5">
            <w:pPr>
              <w:pStyle w:val="a3"/>
              <w:spacing w:before="0" w:beforeAutospacing="0" w:after="0" w:afterAutospacing="0"/>
              <w:jc w:val="right"/>
              <w:rPr>
                <w:color w:val="000000"/>
                <w:sz w:val="20"/>
                <w:szCs w:val="20"/>
              </w:rPr>
            </w:pPr>
            <w:r>
              <w:rPr>
                <w:color w:val="000000"/>
                <w:sz w:val="20"/>
                <w:szCs w:val="20"/>
              </w:rPr>
              <w:t>2,975</w:t>
            </w:r>
          </w:p>
        </w:tc>
        <w:tc>
          <w:tcPr>
            <w:tcW w:w="50" w:type="pct"/>
            <w:shd w:val="clear" w:color="auto" w:fill="CFF0FC"/>
            <w:noWrap/>
            <w:tcMar>
              <w:top w:w="15" w:type="dxa"/>
              <w:left w:w="0" w:type="dxa"/>
              <w:bottom w:w="0" w:type="dxa"/>
              <w:right w:w="15" w:type="dxa"/>
            </w:tcMar>
            <w:vAlign w:val="bottom"/>
            <w:hideMark/>
          </w:tcPr>
          <w:p w14:paraId="776741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4F4505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F6AD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036F20A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94363A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73034B7" w14:textId="77777777">
        <w:trPr>
          <w:divId w:val="472413268"/>
          <w:jc w:val="center"/>
        </w:trPr>
        <w:tc>
          <w:tcPr>
            <w:tcW w:w="2874" w:type="pct"/>
            <w:shd w:val="clear" w:color="auto" w:fill="FFFFFF"/>
            <w:tcMar>
              <w:top w:w="15" w:type="dxa"/>
              <w:left w:w="0" w:type="dxa"/>
              <w:bottom w:w="0" w:type="dxa"/>
              <w:right w:w="15" w:type="dxa"/>
            </w:tcMar>
            <w:hideMark/>
          </w:tcPr>
          <w:p w14:paraId="28BAC8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20B02B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14:paraId="2176F5E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6BC4BB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54969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14:paraId="1C68A882" w14:textId="77777777" w:rsidR="00000000" w:rsidRDefault="007125B5">
            <w:pPr>
              <w:pStyle w:val="a3"/>
              <w:spacing w:before="0" w:beforeAutospacing="0" w:after="0" w:afterAutospacing="0"/>
              <w:jc w:val="right"/>
              <w:rPr>
                <w:color w:val="000000"/>
                <w:sz w:val="20"/>
                <w:szCs w:val="20"/>
              </w:rPr>
            </w:pPr>
            <w:r>
              <w:rPr>
                <w:color w:val="000000"/>
                <w:sz w:val="20"/>
                <w:szCs w:val="20"/>
              </w:rPr>
              <w:t>73,864</w:t>
            </w:r>
          </w:p>
        </w:tc>
        <w:tc>
          <w:tcPr>
            <w:tcW w:w="50" w:type="pct"/>
            <w:shd w:val="clear" w:color="auto" w:fill="FFFFFF"/>
            <w:noWrap/>
            <w:tcMar>
              <w:top w:w="15" w:type="dxa"/>
              <w:left w:w="0" w:type="dxa"/>
              <w:bottom w:w="0" w:type="dxa"/>
              <w:right w:w="15" w:type="dxa"/>
            </w:tcMar>
            <w:vAlign w:val="bottom"/>
            <w:hideMark/>
          </w:tcPr>
          <w:p w14:paraId="76154AC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29E2C6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BE23F0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14:paraId="3199A333" w14:textId="77777777" w:rsidR="00000000" w:rsidRDefault="007125B5">
            <w:pPr>
              <w:pStyle w:val="a3"/>
              <w:spacing w:before="0" w:beforeAutospacing="0" w:after="0" w:afterAutospacing="0"/>
              <w:jc w:val="right"/>
              <w:rPr>
                <w:color w:val="000000"/>
                <w:sz w:val="20"/>
                <w:szCs w:val="20"/>
              </w:rPr>
            </w:pPr>
            <w:r>
              <w:rPr>
                <w:color w:val="000000"/>
                <w:sz w:val="20"/>
                <w:szCs w:val="20"/>
              </w:rPr>
              <w:t>62,878</w:t>
            </w:r>
          </w:p>
        </w:tc>
        <w:tc>
          <w:tcPr>
            <w:tcW w:w="50" w:type="pct"/>
            <w:shd w:val="clear" w:color="auto" w:fill="FFFFFF"/>
            <w:noWrap/>
            <w:tcMar>
              <w:top w:w="15" w:type="dxa"/>
              <w:left w:w="0" w:type="dxa"/>
              <w:bottom w:w="0" w:type="dxa"/>
              <w:right w:w="15" w:type="dxa"/>
            </w:tcMar>
            <w:vAlign w:val="bottom"/>
            <w:hideMark/>
          </w:tcPr>
          <w:p w14:paraId="6E16AE7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6FE59F0" w14:textId="77777777">
        <w:trPr>
          <w:divId w:val="472413268"/>
          <w:jc w:val="center"/>
        </w:trPr>
        <w:tc>
          <w:tcPr>
            <w:tcW w:w="2874" w:type="pct"/>
            <w:shd w:val="clear" w:color="auto" w:fill="CFF0FC"/>
            <w:tcMar>
              <w:top w:w="15" w:type="dxa"/>
              <w:left w:w="0" w:type="dxa"/>
              <w:bottom w:w="0" w:type="dxa"/>
              <w:right w:w="15" w:type="dxa"/>
            </w:tcMar>
            <w:hideMark/>
          </w:tcPr>
          <w:p w14:paraId="0F634BE4" w14:textId="77777777" w:rsidR="00000000" w:rsidRDefault="007125B5">
            <w:pPr>
              <w:pStyle w:val="a3"/>
              <w:spacing w:before="0" w:beforeAutospacing="0" w:after="0" w:afterAutospacing="0"/>
              <w:rPr>
                <w:color w:val="000000"/>
                <w:sz w:val="20"/>
                <w:szCs w:val="20"/>
              </w:rPr>
            </w:pPr>
            <w:r>
              <w:rPr>
                <w:color w:val="000000"/>
                <w:sz w:val="20"/>
                <w:szCs w:val="20"/>
              </w:rPr>
              <w:t>Land</w:t>
            </w:r>
          </w:p>
        </w:tc>
        <w:tc>
          <w:tcPr>
            <w:tcW w:w="69" w:type="pct"/>
            <w:shd w:val="clear" w:color="auto" w:fill="CFF0FC"/>
            <w:tcMar>
              <w:top w:w="15" w:type="dxa"/>
              <w:left w:w="0" w:type="dxa"/>
              <w:bottom w:w="0" w:type="dxa"/>
              <w:right w:w="15" w:type="dxa"/>
            </w:tcMar>
            <w:vAlign w:val="bottom"/>
            <w:hideMark/>
          </w:tcPr>
          <w:p w14:paraId="6F6323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14:paraId="4959802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0995E41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5BCE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1B1D1C28" w14:textId="77777777" w:rsidR="00000000" w:rsidRDefault="007125B5">
            <w:pPr>
              <w:pStyle w:val="a3"/>
              <w:spacing w:before="0" w:beforeAutospacing="0" w:after="0" w:afterAutospacing="0"/>
              <w:jc w:val="right"/>
              <w:rPr>
                <w:color w:val="000000"/>
                <w:sz w:val="20"/>
                <w:szCs w:val="20"/>
              </w:rPr>
            </w:pPr>
            <w:r>
              <w:rPr>
                <w:color w:val="000000"/>
                <w:sz w:val="20"/>
                <w:szCs w:val="20"/>
              </w:rPr>
              <w:t>725</w:t>
            </w:r>
          </w:p>
        </w:tc>
        <w:tc>
          <w:tcPr>
            <w:tcW w:w="50" w:type="pct"/>
            <w:shd w:val="clear" w:color="auto" w:fill="CFF0FC"/>
            <w:noWrap/>
            <w:tcMar>
              <w:top w:w="15" w:type="dxa"/>
              <w:left w:w="0" w:type="dxa"/>
              <w:bottom w:w="0" w:type="dxa"/>
              <w:right w:w="15" w:type="dxa"/>
            </w:tcMar>
            <w:vAlign w:val="bottom"/>
            <w:hideMark/>
          </w:tcPr>
          <w:p w14:paraId="46CDF2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65E7009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0DEA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32DCE9CE"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002658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F7A4202" w14:textId="77777777">
        <w:trPr>
          <w:divId w:val="472413268"/>
          <w:jc w:val="center"/>
        </w:trPr>
        <w:tc>
          <w:tcPr>
            <w:tcW w:w="2874" w:type="pct"/>
            <w:shd w:val="clear" w:color="auto" w:fill="FFFFFF"/>
            <w:tcMar>
              <w:top w:w="15" w:type="dxa"/>
              <w:left w:w="0" w:type="dxa"/>
              <w:bottom w:w="0" w:type="dxa"/>
              <w:right w:w="15" w:type="dxa"/>
            </w:tcMar>
            <w:hideMark/>
          </w:tcPr>
          <w:p w14:paraId="76CD4139" w14:textId="77777777" w:rsidR="00000000" w:rsidRDefault="007125B5">
            <w:pPr>
              <w:pStyle w:val="a3"/>
              <w:spacing w:before="0" w:beforeAutospacing="0" w:after="0" w:afterAutospacing="0"/>
              <w:rPr>
                <w:color w:val="000000"/>
                <w:sz w:val="20"/>
                <w:szCs w:val="20"/>
              </w:rPr>
            </w:pPr>
            <w:r>
              <w:rPr>
                <w:color w:val="000000"/>
                <w:sz w:val="20"/>
                <w:szCs w:val="20"/>
              </w:rPr>
              <w:t>Construction in progress</w:t>
            </w:r>
          </w:p>
        </w:tc>
        <w:tc>
          <w:tcPr>
            <w:tcW w:w="69" w:type="pct"/>
            <w:shd w:val="clear" w:color="auto" w:fill="FFFFFF"/>
            <w:tcMar>
              <w:top w:w="15" w:type="dxa"/>
              <w:left w:w="0" w:type="dxa"/>
              <w:bottom w:w="0" w:type="dxa"/>
              <w:right w:w="15" w:type="dxa"/>
            </w:tcMar>
            <w:vAlign w:val="bottom"/>
            <w:hideMark/>
          </w:tcPr>
          <w:p w14:paraId="3B4C1D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14:paraId="720BB9C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46E20B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D4F83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4D447CBA"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771BE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41A0EA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632F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5925AB97" w14:textId="77777777" w:rsidR="00000000" w:rsidRDefault="007125B5">
            <w:pPr>
              <w:pStyle w:val="a3"/>
              <w:spacing w:before="0" w:beforeAutospacing="0" w:after="0" w:afterAutospacing="0"/>
              <w:jc w:val="right"/>
              <w:rPr>
                <w:color w:val="000000"/>
                <w:sz w:val="20"/>
                <w:szCs w:val="20"/>
              </w:rPr>
            </w:pPr>
            <w:r>
              <w:rPr>
                <w:color w:val="000000"/>
                <w:sz w:val="20"/>
                <w:szCs w:val="20"/>
              </w:rPr>
              <w:t>796</w:t>
            </w:r>
          </w:p>
        </w:tc>
        <w:tc>
          <w:tcPr>
            <w:tcW w:w="50" w:type="pct"/>
            <w:shd w:val="clear" w:color="auto" w:fill="FFFFFF"/>
            <w:noWrap/>
            <w:tcMar>
              <w:top w:w="15" w:type="dxa"/>
              <w:left w:w="0" w:type="dxa"/>
              <w:bottom w:w="0" w:type="dxa"/>
              <w:right w:w="15" w:type="dxa"/>
            </w:tcMar>
            <w:vAlign w:val="bottom"/>
            <w:hideMark/>
          </w:tcPr>
          <w:p w14:paraId="1534A3B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FFD17AF" w14:textId="77777777">
        <w:trPr>
          <w:divId w:val="472413268"/>
          <w:jc w:val="center"/>
        </w:trPr>
        <w:tc>
          <w:tcPr>
            <w:tcW w:w="2874" w:type="pct"/>
            <w:shd w:val="clear" w:color="auto" w:fill="CFF0FC"/>
            <w:tcMar>
              <w:top w:w="15" w:type="dxa"/>
              <w:left w:w="0" w:type="dxa"/>
              <w:bottom w:w="0" w:type="dxa"/>
              <w:right w:w="15" w:type="dxa"/>
            </w:tcMar>
            <w:hideMark/>
          </w:tcPr>
          <w:p w14:paraId="304310FB" w14:textId="77777777" w:rsidR="00000000" w:rsidRDefault="007125B5">
            <w:pPr>
              <w:pStyle w:val="a3"/>
              <w:spacing w:before="0" w:beforeAutospacing="0" w:after="0" w:afterAutospacing="0"/>
              <w:rPr>
                <w:color w:val="000000"/>
                <w:sz w:val="20"/>
                <w:szCs w:val="20"/>
              </w:rPr>
            </w:pPr>
            <w:r>
              <w:rPr>
                <w:color w:val="000000"/>
                <w:sz w:val="20"/>
                <w:szCs w:val="20"/>
              </w:rPr>
              <w:t>Less accumulated depreciation</w:t>
            </w:r>
          </w:p>
        </w:tc>
        <w:tc>
          <w:tcPr>
            <w:tcW w:w="69" w:type="pct"/>
            <w:shd w:val="clear" w:color="auto" w:fill="CFF0FC"/>
            <w:tcMar>
              <w:top w:w="15" w:type="dxa"/>
              <w:left w:w="0" w:type="dxa"/>
              <w:bottom w:w="0" w:type="dxa"/>
              <w:right w:w="15" w:type="dxa"/>
            </w:tcMar>
            <w:vAlign w:val="bottom"/>
            <w:hideMark/>
          </w:tcPr>
          <w:p w14:paraId="17EF474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14:paraId="518D227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2E6FFC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2D3F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77E33AB3" w14:textId="77777777" w:rsidR="00000000" w:rsidRDefault="007125B5">
            <w:pPr>
              <w:pStyle w:val="a3"/>
              <w:spacing w:before="0" w:beforeAutospacing="0" w:after="0" w:afterAutospacing="0"/>
              <w:jc w:val="right"/>
              <w:rPr>
                <w:color w:val="000000"/>
                <w:sz w:val="20"/>
                <w:szCs w:val="20"/>
              </w:rPr>
            </w:pPr>
            <w:r>
              <w:rPr>
                <w:color w:val="000000"/>
                <w:sz w:val="20"/>
                <w:szCs w:val="20"/>
              </w:rPr>
              <w:t>(39,818</w:t>
            </w:r>
          </w:p>
        </w:tc>
        <w:tc>
          <w:tcPr>
            <w:tcW w:w="50" w:type="pct"/>
            <w:shd w:val="clear" w:color="auto" w:fill="CFF0FC"/>
            <w:noWrap/>
            <w:tcMar>
              <w:top w:w="15" w:type="dxa"/>
              <w:left w:w="0" w:type="dxa"/>
              <w:bottom w:w="0" w:type="dxa"/>
              <w:right w:w="15" w:type="dxa"/>
            </w:tcMar>
            <w:vAlign w:val="bottom"/>
            <w:hideMark/>
          </w:tcPr>
          <w:p w14:paraId="634FE64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14:paraId="0B4218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ADC1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01E69A7C" w14:textId="77777777" w:rsidR="00000000" w:rsidRDefault="007125B5">
            <w:pPr>
              <w:pStyle w:val="a3"/>
              <w:spacing w:before="0" w:beforeAutospacing="0" w:after="0" w:afterAutospacing="0"/>
              <w:jc w:val="right"/>
              <w:rPr>
                <w:color w:val="000000"/>
                <w:sz w:val="20"/>
                <w:szCs w:val="20"/>
              </w:rPr>
            </w:pPr>
            <w:r>
              <w:rPr>
                <w:color w:val="000000"/>
                <w:sz w:val="20"/>
                <w:szCs w:val="20"/>
              </w:rPr>
              <w:t>(36,638</w:t>
            </w:r>
          </w:p>
        </w:tc>
        <w:tc>
          <w:tcPr>
            <w:tcW w:w="50" w:type="pct"/>
            <w:shd w:val="clear" w:color="auto" w:fill="CFF0FC"/>
            <w:noWrap/>
            <w:tcMar>
              <w:top w:w="15" w:type="dxa"/>
              <w:left w:w="0" w:type="dxa"/>
              <w:bottom w:w="0" w:type="dxa"/>
              <w:right w:w="15" w:type="dxa"/>
            </w:tcMar>
            <w:vAlign w:val="bottom"/>
            <w:hideMark/>
          </w:tcPr>
          <w:p w14:paraId="06C1483E"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3817156" w14:textId="77777777">
        <w:trPr>
          <w:divId w:val="472413268"/>
          <w:jc w:val="center"/>
        </w:trPr>
        <w:tc>
          <w:tcPr>
            <w:tcW w:w="2874" w:type="pct"/>
            <w:shd w:val="clear" w:color="auto" w:fill="FFFFFF"/>
            <w:tcMar>
              <w:top w:w="15" w:type="dxa"/>
              <w:left w:w="0" w:type="dxa"/>
              <w:bottom w:w="0" w:type="dxa"/>
              <w:right w:w="15" w:type="dxa"/>
            </w:tcMar>
            <w:hideMark/>
          </w:tcPr>
          <w:p w14:paraId="6B826A62" w14:textId="77777777" w:rsidR="00000000" w:rsidRDefault="007125B5">
            <w:pPr>
              <w:pStyle w:val="a3"/>
              <w:spacing w:before="0" w:beforeAutospacing="0" w:after="0" w:afterAutospacing="0"/>
              <w:rPr>
                <w:color w:val="000000"/>
                <w:sz w:val="20"/>
                <w:szCs w:val="20"/>
              </w:rPr>
            </w:pPr>
            <w:r>
              <w:rPr>
                <w:color w:val="000000"/>
                <w:sz w:val="20"/>
                <w:szCs w:val="20"/>
              </w:rPr>
              <w:t>Total property and equipment—net</w:t>
            </w:r>
          </w:p>
        </w:tc>
        <w:tc>
          <w:tcPr>
            <w:tcW w:w="69" w:type="pct"/>
            <w:shd w:val="clear" w:color="auto" w:fill="FFFFFF"/>
            <w:tcMar>
              <w:top w:w="15" w:type="dxa"/>
              <w:left w:w="0" w:type="dxa"/>
              <w:bottom w:w="0" w:type="dxa"/>
              <w:right w:w="15" w:type="dxa"/>
            </w:tcMar>
            <w:vAlign w:val="bottom"/>
            <w:hideMark/>
          </w:tcPr>
          <w:p w14:paraId="053829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14:paraId="568E0C9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2285A2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AB36F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699346" w14:textId="77777777" w:rsidR="00000000" w:rsidRDefault="007125B5">
            <w:pPr>
              <w:pStyle w:val="a3"/>
              <w:spacing w:before="0" w:beforeAutospacing="0" w:after="0" w:afterAutospacing="0"/>
              <w:jc w:val="right"/>
              <w:rPr>
                <w:color w:val="000000"/>
                <w:sz w:val="20"/>
                <w:szCs w:val="20"/>
              </w:rPr>
            </w:pPr>
            <w:r>
              <w:rPr>
                <w:color w:val="000000"/>
                <w:sz w:val="20"/>
                <w:szCs w:val="20"/>
              </w:rPr>
              <w:t>34,771</w:t>
            </w:r>
          </w:p>
        </w:tc>
        <w:tc>
          <w:tcPr>
            <w:tcW w:w="50" w:type="pct"/>
            <w:shd w:val="clear" w:color="auto" w:fill="FFFFFF"/>
            <w:noWrap/>
            <w:tcMar>
              <w:top w:w="15" w:type="dxa"/>
              <w:left w:w="0" w:type="dxa"/>
              <w:bottom w:w="0" w:type="dxa"/>
              <w:right w:w="15" w:type="dxa"/>
            </w:tcMar>
            <w:vAlign w:val="bottom"/>
            <w:hideMark/>
          </w:tcPr>
          <w:p w14:paraId="5743DE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61CC76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E81A3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43DD3F" w14:textId="77777777" w:rsidR="00000000" w:rsidRDefault="007125B5">
            <w:pPr>
              <w:pStyle w:val="a3"/>
              <w:spacing w:before="0" w:beforeAutospacing="0" w:after="0" w:afterAutospacing="0"/>
              <w:jc w:val="right"/>
              <w:rPr>
                <w:color w:val="000000"/>
                <w:sz w:val="20"/>
                <w:szCs w:val="20"/>
              </w:rPr>
            </w:pPr>
            <w:r>
              <w:rPr>
                <w:color w:val="000000"/>
                <w:sz w:val="20"/>
                <w:szCs w:val="20"/>
              </w:rPr>
              <w:t>27,036</w:t>
            </w:r>
          </w:p>
        </w:tc>
        <w:tc>
          <w:tcPr>
            <w:tcW w:w="50" w:type="pct"/>
            <w:shd w:val="clear" w:color="auto" w:fill="FFFFFF"/>
            <w:noWrap/>
            <w:tcMar>
              <w:top w:w="15" w:type="dxa"/>
              <w:left w:w="0" w:type="dxa"/>
              <w:bottom w:w="0" w:type="dxa"/>
              <w:right w:w="15" w:type="dxa"/>
            </w:tcMar>
            <w:vAlign w:val="bottom"/>
            <w:hideMark/>
          </w:tcPr>
          <w:p w14:paraId="508B8530"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67E59D1F" w14:textId="77777777" w:rsidR="00000000" w:rsidRDefault="007125B5">
      <w:pPr>
        <w:pStyle w:val="a3"/>
        <w:shd w:val="clear" w:color="auto" w:fill="FFFFFF"/>
        <w:spacing w:before="160" w:beforeAutospacing="0" w:after="0" w:afterAutospacing="0"/>
        <w:ind w:firstLine="556"/>
        <w:rPr>
          <w:color w:val="000000"/>
          <w:sz w:val="20"/>
          <w:szCs w:val="20"/>
        </w:rPr>
      </w:pPr>
      <w:r>
        <w:rPr>
          <w:color w:val="000000"/>
          <w:sz w:val="20"/>
          <w:szCs w:val="20"/>
        </w:rPr>
        <w:t>Total depreciation expense included on the condensed consolidated statements of operations was $2.0 million and 4.0 million for the three and six months ended June 30, 2020, respectively. Total depreciation expense included on the condensed consolidated st</w:t>
      </w:r>
      <w:r>
        <w:rPr>
          <w:color w:val="000000"/>
          <w:sz w:val="20"/>
          <w:szCs w:val="20"/>
        </w:rPr>
        <w:t>atements of operations was $1.9 million and $3.8 million for the three and six months ended June 30, 2019, respectively.</w:t>
      </w:r>
    </w:p>
    <w:p w14:paraId="6EC9A6E5" w14:textId="77777777" w:rsidR="00000000" w:rsidRDefault="007125B5">
      <w:pPr>
        <w:pStyle w:val="a3"/>
        <w:shd w:val="clear" w:color="auto" w:fill="FFFFFF"/>
        <w:spacing w:before="160" w:beforeAutospacing="0" w:after="0" w:afterAutospacing="0"/>
        <w:ind w:firstLine="816"/>
        <w:rPr>
          <w:sz w:val="20"/>
          <w:szCs w:val="20"/>
        </w:rPr>
      </w:pPr>
      <w:r>
        <w:rPr>
          <w:sz w:val="20"/>
          <w:szCs w:val="20"/>
        </w:rPr>
        <w:t> </w:t>
      </w:r>
    </w:p>
    <w:p w14:paraId="491489F7" w14:textId="77777777" w:rsidR="00000000" w:rsidRDefault="007125B5">
      <w:pPr>
        <w:pStyle w:val="a3"/>
        <w:shd w:val="clear" w:color="auto" w:fill="FFFFFF"/>
        <w:spacing w:before="160" w:beforeAutospacing="0" w:after="0" w:afterAutospacing="0"/>
        <w:rPr>
          <w:b/>
          <w:bCs/>
          <w:color w:val="000000"/>
          <w:sz w:val="20"/>
          <w:szCs w:val="20"/>
        </w:rPr>
      </w:pPr>
      <w:r>
        <w:rPr>
          <w:b/>
          <w:bCs/>
          <w:color w:val="000000"/>
          <w:sz w:val="20"/>
          <w:szCs w:val="20"/>
          <w:shd w:val="clear" w:color="auto" w:fill="FFFFFF"/>
        </w:rPr>
        <w:t>6. BUSINESS ACQUISITIONS</w:t>
      </w:r>
    </w:p>
    <w:p w14:paraId="33FD9C6D" w14:textId="77777777" w:rsidR="00000000" w:rsidRDefault="007125B5">
      <w:pPr>
        <w:pStyle w:val="a3"/>
        <w:shd w:val="clear" w:color="auto" w:fill="FFFFFF"/>
        <w:spacing w:before="120" w:beforeAutospacing="0" w:after="0" w:afterAutospacing="0"/>
        <w:ind w:firstLine="556"/>
        <w:rPr>
          <w:color w:val="000000"/>
          <w:sz w:val="20"/>
          <w:szCs w:val="20"/>
        </w:rPr>
      </w:pPr>
      <w:bookmarkStart w:id="19" w:name="_AEIOULastRenderedPageBreakAEIOU11"/>
      <w:bookmarkEnd w:id="19"/>
      <w:r>
        <w:rPr>
          <w:color w:val="000000"/>
          <w:sz w:val="20"/>
          <w:szCs w:val="20"/>
        </w:rPr>
        <w:t>In line with the Company’</w:t>
      </w:r>
      <w:r>
        <w:rPr>
          <w:color w:val="000000"/>
          <w:sz w:val="20"/>
          <w:szCs w:val="20"/>
        </w:rPr>
        <w:t xml:space="preserve">s strategic growth initiatives, the Company acquired several businesses during the six months ended June 30, 2020 and 2019. The results of each of those acquired businesses are included in the condensed consolidated financial </w:t>
      </w:r>
    </w:p>
    <w:p w14:paraId="2366D751" w14:textId="77777777" w:rsidR="00000000" w:rsidRDefault="007125B5">
      <w:pPr>
        <w:pStyle w:val="a3"/>
        <w:spacing w:before="240" w:beforeAutospacing="0" w:after="0" w:afterAutospacing="0"/>
        <w:jc w:val="center"/>
        <w:rPr>
          <w:sz w:val="20"/>
          <w:szCs w:val="20"/>
        </w:rPr>
      </w:pPr>
      <w:r>
        <w:rPr>
          <w:sz w:val="20"/>
          <w:szCs w:val="20"/>
        </w:rPr>
        <w:t>8</w:t>
      </w:r>
    </w:p>
    <w:p w14:paraId="3B5F1079" w14:textId="77777777" w:rsidR="00000000" w:rsidRDefault="007125B5">
      <w:pPr>
        <w:rPr>
          <w:rFonts w:eastAsia="Times New Roman"/>
        </w:rPr>
      </w:pPr>
      <w:r>
        <w:rPr>
          <w:rFonts w:eastAsia="Times New Roman"/>
        </w:rPr>
        <w:pict w14:anchorId="75017A72">
          <v:rect id="_x0000_i1034" style="width:415.3pt;height:1.5pt" o:hralign="center" o:hrstd="t" o:hr="t" fillcolor="#a0a0a0" stroked="f"/>
        </w:pict>
      </w:r>
    </w:p>
    <w:p w14:paraId="4907C7D3" w14:textId="77777777" w:rsidR="00000000" w:rsidRDefault="007125B5">
      <w:pPr>
        <w:pStyle w:val="a3"/>
        <w:spacing w:before="0" w:beforeAutospacing="0" w:after="0" w:afterAutospacing="0"/>
        <w:rPr>
          <w:sz w:val="20"/>
          <w:szCs w:val="20"/>
        </w:rPr>
      </w:pPr>
      <w:r>
        <w:rPr>
          <w:sz w:val="20"/>
          <w:szCs w:val="20"/>
        </w:rPr>
        <w:t> </w:t>
      </w:r>
    </w:p>
    <w:p w14:paraId="4A89C9A3" w14:textId="77777777" w:rsidR="00000000" w:rsidRDefault="007125B5">
      <w:pPr>
        <w:pStyle w:val="a3"/>
        <w:shd w:val="clear" w:color="auto" w:fill="FFFFFF"/>
        <w:spacing w:before="120" w:beforeAutospacing="0" w:after="0" w:afterAutospacing="0"/>
        <w:rPr>
          <w:color w:val="000000"/>
          <w:sz w:val="20"/>
          <w:szCs w:val="20"/>
        </w:rPr>
      </w:pPr>
      <w:r>
        <w:rPr>
          <w:color w:val="000000"/>
          <w:sz w:val="20"/>
          <w:szCs w:val="20"/>
        </w:rPr>
        <w:t>statements beginning on the respective acquisition dates. Each transaction qualified as an acquisiti</w:t>
      </w:r>
      <w:r>
        <w:rPr>
          <w:color w:val="000000"/>
          <w:sz w:val="20"/>
          <w:szCs w:val="20"/>
        </w:rPr>
        <w:t>on of a business and was accounted for as a business combination. All acquisitions resulted in the recognition of goodwill. The Company paid these premiums resulting in such goodwill for a number of reasons, including expected synergies from combining oper</w:t>
      </w:r>
      <w:r>
        <w:rPr>
          <w:color w:val="000000"/>
          <w:sz w:val="20"/>
          <w:szCs w:val="20"/>
        </w:rPr>
        <w:t xml:space="preserve">ations of the acquiree and the Company while also growing the Company’s customer base, acquiring assembled workforces, expanding its presence in certain markets and expanding and advancing its product and service offerings. The Company recorded the assets </w:t>
      </w:r>
      <w:r>
        <w:rPr>
          <w:color w:val="000000"/>
          <w:sz w:val="20"/>
          <w:szCs w:val="20"/>
        </w:rPr>
        <w:t>acquired and liabilities assumed at their acquisition date fair value, with the difference between the fair value of the net assets acquired and the acquisition consideration reflected as goodwill.</w:t>
      </w:r>
    </w:p>
    <w:p w14:paraId="23093FD8"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identifiable intangible assets for acquisitions are va</w:t>
      </w:r>
      <w:r>
        <w:rPr>
          <w:color w:val="000000"/>
          <w:sz w:val="20"/>
          <w:szCs w:val="20"/>
        </w:rPr>
        <w:t>lued using the excess earnings method discounted cash flow approach for customer relationships, the relief from royalty method for trade names, the patent and external proprietary software, the “with and without” method for covenants not to compete and the</w:t>
      </w:r>
      <w:r>
        <w:rPr>
          <w:color w:val="000000"/>
          <w:sz w:val="20"/>
          <w:szCs w:val="20"/>
        </w:rPr>
        <w:t xml:space="preserve"> replacement cost method for the internal proprietary software  by incorporating Level 3 inputs as described under the fair value hierarchy of ASC 820. These unobservable inputs reflect the Company’s own assumptions about which assumptions market participa</w:t>
      </w:r>
      <w:r>
        <w:rPr>
          <w:color w:val="000000"/>
          <w:sz w:val="20"/>
          <w:szCs w:val="20"/>
        </w:rPr>
        <w:t>nts would use in pricing an asset on a non-recurring basis. These assets will be amortized over their respective estimated useful lives.</w:t>
      </w:r>
    </w:p>
    <w:p w14:paraId="34E2FBD7"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Other purchase price obligations (primarily deferred purchase price liabilities and target working capital liabilities)</w:t>
      </w:r>
      <w:r>
        <w:rPr>
          <w:color w:val="000000"/>
          <w:sz w:val="20"/>
          <w:szCs w:val="20"/>
        </w:rPr>
        <w:t xml:space="preserve"> and contingent consideration outstanding from acquisitions are included on the condensed consolidated statements of financial position in accounts payable and other accrued liabilities, other non-current liabilities for long term payables and accounts rec</w:t>
      </w:r>
      <w:r>
        <w:rPr>
          <w:color w:val="000000"/>
          <w:sz w:val="20"/>
          <w:szCs w:val="20"/>
        </w:rPr>
        <w:t>eivable-net for any working capital deficit receivable balance. These obligations are scheduled to be settled if certain performance thresholds are met.</w:t>
      </w:r>
    </w:p>
    <w:p w14:paraId="02E42DB1"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Company considers several factors when determining whether or not contingent consideration liabilit</w:t>
      </w:r>
      <w:r>
        <w:rPr>
          <w:color w:val="000000"/>
          <w:sz w:val="20"/>
          <w:szCs w:val="20"/>
        </w:rPr>
        <w:t>ies are part of the purchase price, including the following: (i) the valuation of its acquisitions is not supported solely by the initial consideration paid, (ii) the former stockholders of acquired companies that remain as key employees receive compensati</w:t>
      </w:r>
      <w:r>
        <w:rPr>
          <w:color w:val="000000"/>
          <w:sz w:val="20"/>
          <w:szCs w:val="20"/>
        </w:rPr>
        <w:t>on other than contingent consideration payments at a reasonable level compared with the compensation of the Company’s other key employees and (iii) contingent consideration payments are not affected by employment termination. The Company reviews and assess</w:t>
      </w:r>
      <w:r>
        <w:rPr>
          <w:color w:val="000000"/>
          <w:sz w:val="20"/>
          <w:szCs w:val="20"/>
        </w:rPr>
        <w:t>es the estimated fair value of contingent consideration at each reporting period.</w:t>
      </w:r>
    </w:p>
    <w:p w14:paraId="06B996D4" w14:textId="77777777" w:rsidR="00000000" w:rsidRDefault="007125B5">
      <w:pPr>
        <w:pStyle w:val="a3"/>
        <w:shd w:val="clear" w:color="auto" w:fill="FFFFFF"/>
        <w:spacing w:before="240" w:beforeAutospacing="0" w:after="0" w:afterAutospacing="0"/>
        <w:ind w:firstLine="556"/>
        <w:rPr>
          <w:color w:val="000000"/>
          <w:sz w:val="20"/>
          <w:szCs w:val="20"/>
        </w:rPr>
      </w:pPr>
      <w:bookmarkStart w:id="20" w:name="_Hlk47363786"/>
      <w:bookmarkEnd w:id="20"/>
      <w:r>
        <w:rPr>
          <w:color w:val="000000"/>
          <w:sz w:val="20"/>
          <w:szCs w:val="20"/>
        </w:rPr>
        <w:t>External transaction costs related to business combinations totaled $3.8 million and $1.1 million for the six months ended June 30, 2020 and June 30, 2019, respectively and $</w:t>
      </w:r>
      <w:r>
        <w:rPr>
          <w:color w:val="000000"/>
          <w:sz w:val="20"/>
          <w:szCs w:val="20"/>
        </w:rPr>
        <w:t>2.5 million and $0.9 million for the three months ended June 30, 2020 and June 30, 2019, respectively. These costs are expensed within the selling, general and administrative expense in the accompanying condensed consolidated statements of operations.</w:t>
      </w:r>
    </w:p>
    <w:p w14:paraId="18DBE6FC"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w:t>
      </w:r>
      <w:r>
        <w:rPr>
          <w:color w:val="000000"/>
          <w:sz w:val="20"/>
          <w:szCs w:val="20"/>
        </w:rPr>
        <w:t>cash payment made to acquire The Center for Toxicology and Environmental Health, LLC (“CTEH”) was funded through the issuance of the Convertible and Redeemable Series A-2 Preferred Stock (Note 17) and the common stock portion of the purchase price was fund</w:t>
      </w:r>
      <w:r>
        <w:rPr>
          <w:color w:val="000000"/>
          <w:sz w:val="20"/>
          <w:szCs w:val="20"/>
        </w:rPr>
        <w:t>ed through the issuance of 791,139 shares of common stock. Cash payments made to acquire businesses during the six months ended June 30, 2019 were funded through the Company’s prior senior secured credit facility (Note 13).</w:t>
      </w:r>
    </w:p>
    <w:p w14:paraId="47392336"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Acquisition completed during the</w:t>
      </w:r>
      <w:r>
        <w:rPr>
          <w:b/>
          <w:bCs/>
          <w:color w:val="000000"/>
          <w:sz w:val="20"/>
          <w:szCs w:val="20"/>
        </w:rPr>
        <w:t xml:space="preserve"> Six Months Ended June 30, 2020</w:t>
      </w:r>
    </w:p>
    <w:p w14:paraId="760898C1" w14:textId="77777777" w:rsidR="00000000" w:rsidRDefault="007125B5">
      <w:pPr>
        <w:pStyle w:val="a3"/>
        <w:shd w:val="clear" w:color="auto" w:fill="FFFFFF"/>
        <w:spacing w:before="120" w:beforeAutospacing="0" w:after="0" w:afterAutospacing="0"/>
        <w:ind w:firstLine="556"/>
        <w:rPr>
          <w:b/>
          <w:bCs/>
          <w:i/>
          <w:iCs/>
          <w:color w:val="000000"/>
          <w:sz w:val="20"/>
          <w:szCs w:val="20"/>
        </w:rPr>
      </w:pPr>
      <w:r>
        <w:rPr>
          <w:b/>
          <w:bCs/>
          <w:i/>
          <w:iCs/>
          <w:color w:val="000000"/>
          <w:sz w:val="20"/>
          <w:szCs w:val="20"/>
        </w:rPr>
        <w:t>The Center for Toxicology and Environmental Health, LLC</w:t>
      </w:r>
      <w:r>
        <w:rPr>
          <w:color w:val="000000"/>
          <w:sz w:val="20"/>
          <w:szCs w:val="20"/>
        </w:rPr>
        <w:t>—In April 2020, the Company completed the acquisition of CTEH by acquiring 100% of its membership interests. CTEH is an environmental consulting company headquartered in</w:t>
      </w:r>
      <w:r>
        <w:rPr>
          <w:color w:val="000000"/>
          <w:sz w:val="20"/>
          <w:szCs w:val="20"/>
        </w:rPr>
        <w:t xml:space="preserve"> Arkansas that specializes in environmental response and toxicology.</w:t>
      </w:r>
      <w:r>
        <w:rPr>
          <w:b/>
          <w:bCs/>
          <w:i/>
          <w:iCs/>
          <w:color w:val="000000"/>
          <w:sz w:val="20"/>
          <w:szCs w:val="20"/>
        </w:rPr>
        <w:t> </w:t>
      </w:r>
      <w:r>
        <w:rPr>
          <w:color w:val="000000"/>
          <w:sz w:val="20"/>
          <w:szCs w:val="20"/>
        </w:rPr>
        <w:t>The transaction qualified as an acquisition of a business and is accounted for as a business combination. The following table summarizes the elements of the purchase price of CTEH:</w:t>
      </w:r>
    </w:p>
    <w:p w14:paraId="42D92D3B"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482"/>
        <w:gridCol w:w="65"/>
        <w:gridCol w:w="115"/>
        <w:gridCol w:w="665"/>
        <w:gridCol w:w="65"/>
        <w:gridCol w:w="65"/>
        <w:gridCol w:w="115"/>
        <w:gridCol w:w="565"/>
        <w:gridCol w:w="65"/>
        <w:gridCol w:w="65"/>
        <w:gridCol w:w="116"/>
        <w:gridCol w:w="713"/>
        <w:gridCol w:w="82"/>
        <w:gridCol w:w="65"/>
        <w:gridCol w:w="124"/>
        <w:gridCol w:w="860"/>
        <w:gridCol w:w="65"/>
        <w:gridCol w:w="65"/>
        <w:gridCol w:w="124"/>
        <w:gridCol w:w="860"/>
        <w:gridCol w:w="65"/>
        <w:gridCol w:w="65"/>
        <w:gridCol w:w="115"/>
        <w:gridCol w:w="665"/>
        <w:gridCol w:w="55"/>
      </w:tblGrid>
      <w:tr w:rsidR="00000000" w14:paraId="3DC72BCD" w14:textId="77777777">
        <w:trPr>
          <w:divId w:val="1458185437"/>
          <w:jc w:val="center"/>
        </w:trPr>
        <w:tc>
          <w:tcPr>
            <w:tcW w:w="2017" w:type="pct"/>
            <w:shd w:val="clear" w:color="auto" w:fill="FFFFFF"/>
            <w:tcMar>
              <w:top w:w="15" w:type="dxa"/>
              <w:left w:w="0" w:type="dxa"/>
              <w:bottom w:w="0" w:type="dxa"/>
              <w:right w:w="15" w:type="dxa"/>
            </w:tcMar>
            <w:vAlign w:val="bottom"/>
            <w:hideMark/>
          </w:tcPr>
          <w:p w14:paraId="20A919DC" w14:textId="77777777" w:rsidR="00000000" w:rsidRDefault="007125B5">
            <w:pPr>
              <w:pStyle w:val="a3"/>
              <w:spacing w:before="0" w:beforeAutospacing="0" w:after="0" w:afterAutospacing="0"/>
              <w:jc w:val="center"/>
              <w:rPr>
                <w:sz w:val="20"/>
                <w:szCs w:val="20"/>
              </w:rPr>
            </w:pPr>
            <w:r>
              <w:rPr>
                <w:sz w:val="20"/>
                <w:szCs w:val="20"/>
              </w:rPr>
              <w:t> </w:t>
            </w:r>
          </w:p>
        </w:tc>
        <w:tc>
          <w:tcPr>
            <w:tcW w:w="48" w:type="pct"/>
            <w:shd w:val="clear" w:color="auto" w:fill="FFFFFF"/>
            <w:tcMar>
              <w:top w:w="15" w:type="dxa"/>
              <w:left w:w="0" w:type="dxa"/>
              <w:bottom w:w="0" w:type="dxa"/>
              <w:right w:w="15" w:type="dxa"/>
            </w:tcMar>
            <w:vAlign w:val="bottom"/>
            <w:hideMark/>
          </w:tcPr>
          <w:p w14:paraId="1251D634"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14:paraId="6893551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Cash</w:t>
            </w:r>
          </w:p>
        </w:tc>
        <w:tc>
          <w:tcPr>
            <w:tcW w:w="50" w:type="pct"/>
            <w:shd w:val="clear" w:color="auto" w:fill="FFFFFF"/>
            <w:noWrap/>
            <w:tcMar>
              <w:top w:w="15" w:type="dxa"/>
              <w:left w:w="0" w:type="dxa"/>
              <w:bottom w:w="0" w:type="dxa"/>
              <w:right w:w="15" w:type="dxa"/>
            </w:tcMar>
            <w:vAlign w:val="bottom"/>
            <w:hideMark/>
          </w:tcPr>
          <w:p w14:paraId="7734492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14:paraId="2BE6D89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14:paraId="52103C6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Common</w:t>
            </w:r>
          </w:p>
          <w:p w14:paraId="53EAE91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14:paraId="75FC890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14:paraId="7422509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14:paraId="637AE31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Other</w:t>
            </w:r>
          </w:p>
          <w:p w14:paraId="7C6787C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Purchase</w:t>
            </w:r>
          </w:p>
          <w:p w14:paraId="2AD1D37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Price</w:t>
            </w:r>
          </w:p>
          <w:p w14:paraId="4EAB1A6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Component</w:t>
            </w:r>
          </w:p>
        </w:tc>
        <w:tc>
          <w:tcPr>
            <w:tcW w:w="50" w:type="pct"/>
            <w:shd w:val="clear" w:color="auto" w:fill="FFFFFF"/>
            <w:noWrap/>
            <w:tcMar>
              <w:top w:w="15" w:type="dxa"/>
              <w:left w:w="0" w:type="dxa"/>
              <w:bottom w:w="0" w:type="dxa"/>
              <w:right w:w="15" w:type="dxa"/>
            </w:tcMar>
            <w:vAlign w:val="bottom"/>
            <w:hideMark/>
          </w:tcPr>
          <w:p w14:paraId="151FEF6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14:paraId="052F248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14:paraId="7C99CD3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Contingent</w:t>
            </w:r>
          </w:p>
          <w:p w14:paraId="3361FC2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Consideration</w:t>
            </w:r>
          </w:p>
          <w:p w14:paraId="51139A9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Current</w:t>
            </w:r>
          </w:p>
        </w:tc>
        <w:tc>
          <w:tcPr>
            <w:tcW w:w="50" w:type="pct"/>
            <w:shd w:val="clear" w:color="auto" w:fill="FFFFFF"/>
            <w:noWrap/>
            <w:tcMar>
              <w:top w:w="15" w:type="dxa"/>
              <w:left w:w="0" w:type="dxa"/>
              <w:bottom w:w="0" w:type="dxa"/>
              <w:right w:w="15" w:type="dxa"/>
            </w:tcMar>
            <w:vAlign w:val="bottom"/>
            <w:hideMark/>
          </w:tcPr>
          <w:p w14:paraId="781F848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14:paraId="6C2CF74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14:paraId="14183C5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Contingent</w:t>
            </w:r>
          </w:p>
          <w:p w14:paraId="00CF705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Consideration</w:t>
            </w:r>
          </w:p>
          <w:p w14:paraId="311626F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Long Term</w:t>
            </w:r>
          </w:p>
        </w:tc>
        <w:tc>
          <w:tcPr>
            <w:tcW w:w="50" w:type="pct"/>
            <w:shd w:val="clear" w:color="auto" w:fill="FFFFFF"/>
            <w:noWrap/>
            <w:tcMar>
              <w:top w:w="15" w:type="dxa"/>
              <w:left w:w="0" w:type="dxa"/>
              <w:bottom w:w="0" w:type="dxa"/>
              <w:right w:w="15" w:type="dxa"/>
            </w:tcMar>
            <w:vAlign w:val="bottom"/>
            <w:hideMark/>
          </w:tcPr>
          <w:p w14:paraId="39E22F7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14:paraId="3542F99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14:paraId="656E482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p w14:paraId="52D4189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Purchase</w:t>
            </w:r>
          </w:p>
          <w:p w14:paraId="2DC0AA8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14:paraId="5359F98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9E2C442" w14:textId="77777777">
        <w:trPr>
          <w:divId w:val="1458185437"/>
          <w:jc w:val="center"/>
        </w:trPr>
        <w:tc>
          <w:tcPr>
            <w:tcW w:w="2017" w:type="pct"/>
            <w:shd w:val="clear" w:color="auto" w:fill="CFF0FC"/>
            <w:tcMar>
              <w:top w:w="15" w:type="dxa"/>
              <w:left w:w="0" w:type="dxa"/>
              <w:bottom w:w="0" w:type="dxa"/>
              <w:right w:w="15" w:type="dxa"/>
            </w:tcMar>
            <w:hideMark/>
          </w:tcPr>
          <w:p w14:paraId="1CE83D4D" w14:textId="77777777" w:rsidR="00000000" w:rsidRDefault="007125B5">
            <w:pPr>
              <w:pStyle w:val="a3"/>
              <w:spacing w:before="0" w:beforeAutospacing="0" w:after="0" w:afterAutospacing="0"/>
              <w:rPr>
                <w:color w:val="000000"/>
                <w:sz w:val="20"/>
                <w:szCs w:val="20"/>
              </w:rPr>
            </w:pPr>
            <w:r>
              <w:rPr>
                <w:color w:val="000000"/>
                <w:sz w:val="20"/>
                <w:szCs w:val="20"/>
              </w:rPr>
              <w:t>CTEH</w:t>
            </w:r>
          </w:p>
        </w:tc>
        <w:tc>
          <w:tcPr>
            <w:tcW w:w="48" w:type="pct"/>
            <w:shd w:val="clear" w:color="auto" w:fill="CFF0FC"/>
            <w:tcMar>
              <w:top w:w="15" w:type="dxa"/>
              <w:left w:w="0" w:type="dxa"/>
              <w:bottom w:w="0" w:type="dxa"/>
              <w:right w:w="15" w:type="dxa"/>
            </w:tcMar>
            <w:vAlign w:val="bottom"/>
            <w:hideMark/>
          </w:tcPr>
          <w:p w14:paraId="1484870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3D833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41DED29B" w14:textId="77777777" w:rsidR="00000000" w:rsidRDefault="007125B5">
            <w:pPr>
              <w:pStyle w:val="a3"/>
              <w:spacing w:before="0" w:beforeAutospacing="0" w:after="0" w:afterAutospacing="0"/>
              <w:jc w:val="right"/>
              <w:rPr>
                <w:color w:val="000000"/>
                <w:sz w:val="20"/>
                <w:szCs w:val="20"/>
              </w:rPr>
            </w:pPr>
            <w:r>
              <w:rPr>
                <w:color w:val="000000"/>
                <w:sz w:val="20"/>
                <w:szCs w:val="20"/>
              </w:rPr>
              <w:t>175,000</w:t>
            </w:r>
          </w:p>
        </w:tc>
        <w:tc>
          <w:tcPr>
            <w:tcW w:w="50" w:type="pct"/>
            <w:shd w:val="clear" w:color="auto" w:fill="CFF0FC"/>
            <w:noWrap/>
            <w:tcMar>
              <w:top w:w="15" w:type="dxa"/>
              <w:left w:w="0" w:type="dxa"/>
              <w:bottom w:w="0" w:type="dxa"/>
              <w:right w:w="15" w:type="dxa"/>
            </w:tcMar>
            <w:vAlign w:val="bottom"/>
            <w:hideMark/>
          </w:tcPr>
          <w:p w14:paraId="1C425C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38D22D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18F1C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41FFFCAA" w14:textId="77777777" w:rsidR="00000000" w:rsidRDefault="007125B5">
            <w:pPr>
              <w:pStyle w:val="a3"/>
              <w:spacing w:before="0" w:beforeAutospacing="0" w:after="0" w:afterAutospacing="0"/>
              <w:jc w:val="right"/>
              <w:rPr>
                <w:color w:val="000000"/>
                <w:sz w:val="20"/>
                <w:szCs w:val="20"/>
              </w:rPr>
            </w:pPr>
            <w:r>
              <w:rPr>
                <w:color w:val="000000"/>
                <w:sz w:val="20"/>
                <w:szCs w:val="20"/>
              </w:rPr>
              <w:t>25,000</w:t>
            </w:r>
          </w:p>
        </w:tc>
        <w:tc>
          <w:tcPr>
            <w:tcW w:w="50" w:type="pct"/>
            <w:shd w:val="clear" w:color="auto" w:fill="CFF0FC"/>
            <w:noWrap/>
            <w:tcMar>
              <w:top w:w="15" w:type="dxa"/>
              <w:left w:w="0" w:type="dxa"/>
              <w:bottom w:w="0" w:type="dxa"/>
              <w:right w:w="15" w:type="dxa"/>
            </w:tcMar>
            <w:vAlign w:val="bottom"/>
            <w:hideMark/>
          </w:tcPr>
          <w:p w14:paraId="148CE7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7C95B4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4615A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19B8B6C1" w14:textId="77777777" w:rsidR="00000000" w:rsidRDefault="007125B5">
            <w:pPr>
              <w:pStyle w:val="a3"/>
              <w:spacing w:before="0" w:beforeAutospacing="0" w:after="0" w:afterAutospacing="0"/>
              <w:jc w:val="right"/>
              <w:rPr>
                <w:color w:val="000000"/>
                <w:sz w:val="20"/>
                <w:szCs w:val="20"/>
              </w:rPr>
            </w:pPr>
            <w:r>
              <w:rPr>
                <w:color w:val="000000"/>
                <w:sz w:val="20"/>
                <w:szCs w:val="20"/>
              </w:rPr>
              <w:t>(2,884</w:t>
            </w:r>
          </w:p>
        </w:tc>
        <w:tc>
          <w:tcPr>
            <w:tcW w:w="50" w:type="pct"/>
            <w:shd w:val="clear" w:color="auto" w:fill="CFF0FC"/>
            <w:noWrap/>
            <w:tcMar>
              <w:top w:w="15" w:type="dxa"/>
              <w:left w:w="0" w:type="dxa"/>
              <w:bottom w:w="0" w:type="dxa"/>
              <w:right w:w="15" w:type="dxa"/>
            </w:tcMar>
            <w:vAlign w:val="bottom"/>
            <w:hideMark/>
          </w:tcPr>
          <w:p w14:paraId="5E47C7D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02CAE9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788E7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54FDD354" w14:textId="77777777" w:rsidR="00000000" w:rsidRDefault="007125B5">
            <w:pPr>
              <w:pStyle w:val="a3"/>
              <w:spacing w:before="0" w:beforeAutospacing="0" w:after="0" w:afterAutospacing="0"/>
              <w:jc w:val="right"/>
              <w:rPr>
                <w:color w:val="000000"/>
                <w:sz w:val="20"/>
                <w:szCs w:val="20"/>
              </w:rPr>
            </w:pPr>
            <w:r>
              <w:rPr>
                <w:color w:val="000000"/>
                <w:sz w:val="20"/>
                <w:szCs w:val="20"/>
              </w:rPr>
              <w:t>34,451</w:t>
            </w:r>
          </w:p>
        </w:tc>
        <w:tc>
          <w:tcPr>
            <w:tcW w:w="50" w:type="pct"/>
            <w:shd w:val="clear" w:color="auto" w:fill="CFF0FC"/>
            <w:noWrap/>
            <w:tcMar>
              <w:top w:w="15" w:type="dxa"/>
              <w:left w:w="0" w:type="dxa"/>
              <w:bottom w:w="0" w:type="dxa"/>
              <w:right w:w="15" w:type="dxa"/>
            </w:tcMar>
            <w:vAlign w:val="bottom"/>
            <w:hideMark/>
          </w:tcPr>
          <w:p w14:paraId="28A1308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4ACFA4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DE0D9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53BC0C82" w14:textId="77777777" w:rsidR="00000000" w:rsidRDefault="007125B5">
            <w:pPr>
              <w:pStyle w:val="a3"/>
              <w:spacing w:before="0" w:beforeAutospacing="0" w:after="0" w:afterAutospacing="0"/>
              <w:jc w:val="right"/>
              <w:rPr>
                <w:color w:val="000000"/>
                <w:sz w:val="20"/>
                <w:szCs w:val="20"/>
              </w:rPr>
            </w:pPr>
            <w:r>
              <w:rPr>
                <w:color w:val="000000"/>
                <w:sz w:val="20"/>
                <w:szCs w:val="20"/>
              </w:rPr>
              <w:t>10,543</w:t>
            </w:r>
          </w:p>
        </w:tc>
        <w:tc>
          <w:tcPr>
            <w:tcW w:w="50" w:type="pct"/>
            <w:shd w:val="clear" w:color="auto" w:fill="CFF0FC"/>
            <w:noWrap/>
            <w:tcMar>
              <w:top w:w="15" w:type="dxa"/>
              <w:left w:w="0" w:type="dxa"/>
              <w:bottom w:w="0" w:type="dxa"/>
              <w:right w:w="15" w:type="dxa"/>
            </w:tcMar>
            <w:vAlign w:val="bottom"/>
            <w:hideMark/>
          </w:tcPr>
          <w:p w14:paraId="7038A8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48B738D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80B742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2A74E2C7" w14:textId="77777777" w:rsidR="00000000" w:rsidRDefault="007125B5">
            <w:pPr>
              <w:pStyle w:val="a3"/>
              <w:spacing w:before="0" w:beforeAutospacing="0" w:after="0" w:afterAutospacing="0"/>
              <w:jc w:val="right"/>
              <w:rPr>
                <w:color w:val="000000"/>
                <w:sz w:val="20"/>
                <w:szCs w:val="20"/>
              </w:rPr>
            </w:pPr>
            <w:r>
              <w:rPr>
                <w:color w:val="000000"/>
                <w:sz w:val="20"/>
                <w:szCs w:val="20"/>
              </w:rPr>
              <w:t>242,110</w:t>
            </w:r>
          </w:p>
        </w:tc>
        <w:tc>
          <w:tcPr>
            <w:tcW w:w="50" w:type="pct"/>
            <w:shd w:val="clear" w:color="auto" w:fill="CFF0FC"/>
            <w:noWrap/>
            <w:tcMar>
              <w:top w:w="15" w:type="dxa"/>
              <w:left w:w="0" w:type="dxa"/>
              <w:bottom w:w="0" w:type="dxa"/>
              <w:right w:w="15" w:type="dxa"/>
            </w:tcMar>
            <w:vAlign w:val="bottom"/>
            <w:hideMark/>
          </w:tcPr>
          <w:p w14:paraId="612CAC81"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5B8FC0F6" w14:textId="77777777" w:rsidR="00000000" w:rsidRDefault="007125B5">
      <w:pPr>
        <w:pStyle w:val="a3"/>
        <w:shd w:val="clear" w:color="auto" w:fill="FFFFFF"/>
        <w:spacing w:before="0" w:beforeAutospacing="0" w:after="0" w:afterAutospacing="0"/>
        <w:rPr>
          <w:sz w:val="20"/>
          <w:szCs w:val="20"/>
        </w:rPr>
      </w:pPr>
      <w:r>
        <w:rPr>
          <w:sz w:val="20"/>
          <w:szCs w:val="20"/>
        </w:rPr>
        <w:t> </w:t>
      </w:r>
    </w:p>
    <w:p w14:paraId="34EA84EB" w14:textId="77777777" w:rsidR="00000000" w:rsidRDefault="007125B5">
      <w:pPr>
        <w:pStyle w:val="a3"/>
        <w:shd w:val="clear" w:color="auto" w:fill="FFFFFF"/>
        <w:spacing w:before="40" w:beforeAutospacing="0" w:after="0" w:afterAutospacing="0"/>
        <w:ind w:firstLine="556"/>
        <w:rPr>
          <w:color w:val="000000"/>
          <w:sz w:val="20"/>
          <w:szCs w:val="20"/>
        </w:rPr>
      </w:pPr>
      <w:bookmarkStart w:id="21" w:name="_AEIOULastRenderedPageBreakAEIOU12"/>
      <w:bookmarkEnd w:id="21"/>
      <w:r>
        <w:rPr>
          <w:color w:val="000000"/>
          <w:sz w:val="20"/>
          <w:szCs w:val="20"/>
        </w:rPr>
        <w:t>The contingent consideration elements of the purchase price of CTEH’s acquisition is related to earn-outs which are based on the expected achievement of revenue or earnings thresho</w:t>
      </w:r>
      <w:r>
        <w:rPr>
          <w:color w:val="000000"/>
          <w:sz w:val="20"/>
          <w:szCs w:val="20"/>
        </w:rPr>
        <w:t>lds as of the date of the acquisition and for which the maximum potential amount is limited. The first year earnout is to be calculated at twelve times CTEH’s 2020 EBITDA (as defined in the purchase agreement) in excess of $18.3 million, with a maximum fir</w:t>
      </w:r>
      <w:r>
        <w:rPr>
          <w:color w:val="000000"/>
          <w:sz w:val="20"/>
          <w:szCs w:val="20"/>
        </w:rPr>
        <w:t>st year earn-out payment of $50.0 million. The second year earn-out is to be calculated at ten times CTEH’s 2021 EBITDA in excess of actual 2020 EBITDA (with actual 2020 EBITDA subject to a minimum of $18.3 million and a maximum of $22.5 million), with a m</w:t>
      </w:r>
      <w:r>
        <w:rPr>
          <w:color w:val="000000"/>
          <w:sz w:val="20"/>
          <w:szCs w:val="20"/>
        </w:rPr>
        <w:t>aximum second year earn-out payment of $30.0 million. The 2020 earn out was initially payable 100% in common stock, but as a result of the completion of the Company’s IPO (Note 23), 50% of any 2020 earnout payment will be payable in cash and 50% will be pa</w:t>
      </w:r>
      <w:r>
        <w:rPr>
          <w:color w:val="000000"/>
          <w:sz w:val="20"/>
          <w:szCs w:val="20"/>
        </w:rPr>
        <w:t xml:space="preserve">yable, at the Company’s election, in cash or shares of common stock. The </w:t>
      </w:r>
    </w:p>
    <w:p w14:paraId="23FA0643" w14:textId="77777777" w:rsidR="00000000" w:rsidRDefault="007125B5">
      <w:pPr>
        <w:pStyle w:val="a3"/>
        <w:spacing w:before="240" w:beforeAutospacing="0" w:after="0" w:afterAutospacing="0"/>
        <w:jc w:val="center"/>
        <w:rPr>
          <w:sz w:val="20"/>
          <w:szCs w:val="20"/>
        </w:rPr>
      </w:pPr>
      <w:r>
        <w:rPr>
          <w:sz w:val="20"/>
          <w:szCs w:val="20"/>
        </w:rPr>
        <w:t>9</w:t>
      </w:r>
    </w:p>
    <w:p w14:paraId="49CEF87A" w14:textId="77777777" w:rsidR="00000000" w:rsidRDefault="007125B5">
      <w:pPr>
        <w:rPr>
          <w:rFonts w:eastAsia="Times New Roman"/>
        </w:rPr>
      </w:pPr>
      <w:r>
        <w:rPr>
          <w:rFonts w:eastAsia="Times New Roman"/>
        </w:rPr>
        <w:pict w14:anchorId="54C35D46">
          <v:rect id="_x0000_i1035" style="width:415.3pt;height:1.5pt" o:hralign="center" o:hrstd="t" o:hr="t" fillcolor="#a0a0a0" stroked="f"/>
        </w:pict>
      </w:r>
    </w:p>
    <w:p w14:paraId="241F4CBE" w14:textId="77777777" w:rsidR="00000000" w:rsidRDefault="007125B5">
      <w:pPr>
        <w:pStyle w:val="a3"/>
        <w:spacing w:before="0" w:beforeAutospacing="0" w:after="0" w:afterAutospacing="0"/>
        <w:rPr>
          <w:sz w:val="20"/>
          <w:szCs w:val="20"/>
        </w:rPr>
      </w:pPr>
      <w:r>
        <w:rPr>
          <w:sz w:val="20"/>
          <w:szCs w:val="20"/>
        </w:rPr>
        <w:t> </w:t>
      </w:r>
    </w:p>
    <w:p w14:paraId="5FCFE87E" w14:textId="77777777" w:rsidR="00000000" w:rsidRDefault="007125B5">
      <w:pPr>
        <w:pStyle w:val="a3"/>
        <w:shd w:val="clear" w:color="auto" w:fill="FFFFFF"/>
        <w:spacing w:before="40" w:beforeAutospacing="0" w:after="0" w:afterAutospacing="0"/>
        <w:rPr>
          <w:color w:val="000000"/>
          <w:sz w:val="20"/>
          <w:szCs w:val="20"/>
        </w:rPr>
      </w:pPr>
      <w:r>
        <w:rPr>
          <w:color w:val="000000"/>
          <w:sz w:val="20"/>
          <w:szCs w:val="20"/>
        </w:rPr>
        <w:t>2021 earn out, if any, is payable 100% in cash. The current portion of the</w:t>
      </w:r>
      <w:r>
        <w:rPr>
          <w:color w:val="000000"/>
          <w:sz w:val="20"/>
          <w:szCs w:val="20"/>
        </w:rPr>
        <w:t xml:space="preserve"> contingent consideration is recorded in accounts payable and other accrued liabilities. The long term portion of the contingent consideration is recorded in other non-current liabilities. </w:t>
      </w:r>
    </w:p>
    <w:p w14:paraId="461710F3"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preliminary purchase price attributable to the acquisition was</w:t>
      </w:r>
      <w:r>
        <w:rPr>
          <w:color w:val="000000"/>
          <w:sz w:val="20"/>
          <w:szCs w:val="20"/>
        </w:rPr>
        <w:t xml:space="preserve"> allocated as follows:</w:t>
      </w:r>
    </w:p>
    <w:p w14:paraId="7DF218AF"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72"/>
        <w:gridCol w:w="70"/>
        <w:gridCol w:w="115"/>
        <w:gridCol w:w="762"/>
        <w:gridCol w:w="65"/>
      </w:tblGrid>
      <w:tr w:rsidR="00000000" w14:paraId="5EF7FFF7" w14:textId="77777777">
        <w:trPr>
          <w:divId w:val="1806846164"/>
          <w:jc w:val="center"/>
        </w:trPr>
        <w:tc>
          <w:tcPr>
            <w:tcW w:w="4011" w:type="pct"/>
            <w:shd w:val="clear" w:color="auto" w:fill="FFFFFF"/>
            <w:tcMar>
              <w:top w:w="15" w:type="dxa"/>
              <w:left w:w="0" w:type="dxa"/>
              <w:bottom w:w="0" w:type="dxa"/>
              <w:right w:w="15" w:type="dxa"/>
            </w:tcMar>
            <w:vAlign w:val="bottom"/>
            <w:hideMark/>
          </w:tcPr>
          <w:p w14:paraId="4BA9ECAE" w14:textId="77777777" w:rsidR="00000000" w:rsidRDefault="007125B5">
            <w:pPr>
              <w:pStyle w:val="a3"/>
              <w:spacing w:before="0" w:beforeAutospacing="0" w:after="0" w:afterAutospacing="0"/>
              <w:jc w:val="center"/>
              <w:rPr>
                <w:sz w:val="20"/>
                <w:szCs w:val="20"/>
              </w:rPr>
            </w:pPr>
            <w:r>
              <w:rPr>
                <w:sz w:val="20"/>
                <w:szCs w:val="20"/>
              </w:rPr>
              <w:t> </w:t>
            </w:r>
          </w:p>
        </w:tc>
        <w:tc>
          <w:tcPr>
            <w:tcW w:w="97" w:type="pct"/>
            <w:shd w:val="clear" w:color="auto" w:fill="FFFFFF"/>
            <w:tcMar>
              <w:top w:w="15" w:type="dxa"/>
              <w:left w:w="0" w:type="dxa"/>
              <w:bottom w:w="0" w:type="dxa"/>
              <w:right w:w="15" w:type="dxa"/>
            </w:tcMar>
            <w:vAlign w:val="bottom"/>
            <w:hideMark/>
          </w:tcPr>
          <w:p w14:paraId="50E9B9D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18B0C6D"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791" w:type="pct"/>
            <w:shd w:val="clear" w:color="auto" w:fill="FFFFFF"/>
            <w:noWrap/>
            <w:tcMar>
              <w:top w:w="15" w:type="dxa"/>
              <w:left w:w="0" w:type="dxa"/>
              <w:bottom w:w="0" w:type="dxa"/>
              <w:right w:w="15" w:type="dxa"/>
            </w:tcMar>
            <w:vAlign w:val="bottom"/>
            <w:hideMark/>
          </w:tcPr>
          <w:p w14:paraId="3E688897"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B4CDE46"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r>
      <w:tr w:rsidR="00000000" w14:paraId="52E329BF" w14:textId="77777777">
        <w:trPr>
          <w:divId w:val="1806846164"/>
          <w:jc w:val="center"/>
        </w:trPr>
        <w:tc>
          <w:tcPr>
            <w:tcW w:w="4011" w:type="pct"/>
            <w:shd w:val="clear" w:color="auto" w:fill="CFF0FC"/>
            <w:tcMar>
              <w:top w:w="15" w:type="dxa"/>
              <w:left w:w="0" w:type="dxa"/>
              <w:bottom w:w="0" w:type="dxa"/>
              <w:right w:w="15" w:type="dxa"/>
            </w:tcMar>
            <w:hideMark/>
          </w:tcPr>
          <w:p w14:paraId="6B238D15" w14:textId="77777777" w:rsidR="00000000" w:rsidRDefault="007125B5">
            <w:pPr>
              <w:pStyle w:val="a3"/>
              <w:spacing w:before="0" w:beforeAutospacing="0" w:after="0" w:afterAutospacing="0"/>
              <w:rPr>
                <w:color w:val="000000"/>
                <w:sz w:val="20"/>
                <w:szCs w:val="20"/>
              </w:rPr>
            </w:pPr>
            <w:r>
              <w:rPr>
                <w:color w:val="000000"/>
                <w:sz w:val="20"/>
                <w:szCs w:val="20"/>
              </w:rPr>
              <w:t>Cash</w:t>
            </w:r>
          </w:p>
        </w:tc>
        <w:tc>
          <w:tcPr>
            <w:tcW w:w="97" w:type="pct"/>
            <w:shd w:val="clear" w:color="auto" w:fill="CFF0FC"/>
            <w:tcMar>
              <w:top w:w="15" w:type="dxa"/>
              <w:left w:w="0" w:type="dxa"/>
              <w:bottom w:w="0" w:type="dxa"/>
              <w:right w:w="15" w:type="dxa"/>
            </w:tcMar>
            <w:vAlign w:val="bottom"/>
            <w:hideMark/>
          </w:tcPr>
          <w:p w14:paraId="4DE83D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7D5D5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14:paraId="21720030" w14:textId="77777777" w:rsidR="00000000" w:rsidRDefault="007125B5">
            <w:pPr>
              <w:pStyle w:val="a3"/>
              <w:spacing w:before="0" w:beforeAutospacing="0" w:after="0" w:afterAutospacing="0"/>
              <w:jc w:val="right"/>
              <w:rPr>
                <w:color w:val="000000"/>
                <w:sz w:val="20"/>
                <w:szCs w:val="20"/>
              </w:rPr>
            </w:pPr>
            <w:r>
              <w:rPr>
                <w:color w:val="000000"/>
                <w:sz w:val="20"/>
                <w:szCs w:val="20"/>
              </w:rPr>
              <w:t>1,527</w:t>
            </w:r>
          </w:p>
        </w:tc>
        <w:tc>
          <w:tcPr>
            <w:tcW w:w="50" w:type="pct"/>
            <w:shd w:val="clear" w:color="auto" w:fill="CFF0FC"/>
            <w:noWrap/>
            <w:tcMar>
              <w:top w:w="15" w:type="dxa"/>
              <w:left w:w="0" w:type="dxa"/>
              <w:bottom w:w="0" w:type="dxa"/>
              <w:right w:w="15" w:type="dxa"/>
            </w:tcMar>
            <w:vAlign w:val="bottom"/>
            <w:hideMark/>
          </w:tcPr>
          <w:p w14:paraId="2D7DEC6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379D333" w14:textId="77777777">
        <w:trPr>
          <w:divId w:val="1806846164"/>
          <w:jc w:val="center"/>
        </w:trPr>
        <w:tc>
          <w:tcPr>
            <w:tcW w:w="4011" w:type="pct"/>
            <w:shd w:val="clear" w:color="auto" w:fill="FFFFFF"/>
            <w:tcMar>
              <w:top w:w="15" w:type="dxa"/>
              <w:left w:w="0" w:type="dxa"/>
              <w:bottom w:w="0" w:type="dxa"/>
              <w:right w:w="15" w:type="dxa"/>
            </w:tcMar>
            <w:hideMark/>
          </w:tcPr>
          <w:p w14:paraId="6FC567AA" w14:textId="77777777" w:rsidR="00000000" w:rsidRDefault="007125B5">
            <w:pPr>
              <w:pStyle w:val="a3"/>
              <w:spacing w:before="0" w:beforeAutospacing="0" w:after="0" w:afterAutospacing="0"/>
              <w:rPr>
                <w:color w:val="000000"/>
                <w:sz w:val="20"/>
                <w:szCs w:val="20"/>
              </w:rPr>
            </w:pPr>
            <w:r>
              <w:rPr>
                <w:color w:val="000000"/>
                <w:sz w:val="20"/>
                <w:szCs w:val="20"/>
              </w:rPr>
              <w:t>Accounts receivable</w:t>
            </w:r>
          </w:p>
        </w:tc>
        <w:tc>
          <w:tcPr>
            <w:tcW w:w="97" w:type="pct"/>
            <w:shd w:val="clear" w:color="auto" w:fill="FFFFFF"/>
            <w:tcMar>
              <w:top w:w="15" w:type="dxa"/>
              <w:left w:w="0" w:type="dxa"/>
              <w:bottom w:w="0" w:type="dxa"/>
              <w:right w:w="15" w:type="dxa"/>
            </w:tcMar>
            <w:vAlign w:val="bottom"/>
            <w:hideMark/>
          </w:tcPr>
          <w:p w14:paraId="0326D8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4A78A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3802DC49" w14:textId="77777777" w:rsidR="00000000" w:rsidRDefault="007125B5">
            <w:pPr>
              <w:pStyle w:val="a3"/>
              <w:spacing w:before="0" w:beforeAutospacing="0" w:after="0" w:afterAutospacing="0"/>
              <w:jc w:val="right"/>
              <w:rPr>
                <w:color w:val="000000"/>
                <w:sz w:val="20"/>
                <w:szCs w:val="20"/>
              </w:rPr>
            </w:pPr>
            <w:r>
              <w:rPr>
                <w:color w:val="000000"/>
                <w:sz w:val="20"/>
                <w:szCs w:val="20"/>
              </w:rPr>
              <w:t>17,059</w:t>
            </w:r>
          </w:p>
        </w:tc>
        <w:tc>
          <w:tcPr>
            <w:tcW w:w="50" w:type="pct"/>
            <w:shd w:val="clear" w:color="auto" w:fill="FFFFFF"/>
            <w:noWrap/>
            <w:tcMar>
              <w:top w:w="15" w:type="dxa"/>
              <w:left w:w="0" w:type="dxa"/>
              <w:bottom w:w="0" w:type="dxa"/>
              <w:right w:w="15" w:type="dxa"/>
            </w:tcMar>
            <w:vAlign w:val="bottom"/>
            <w:hideMark/>
          </w:tcPr>
          <w:p w14:paraId="60C9A98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8C0476D" w14:textId="77777777">
        <w:trPr>
          <w:divId w:val="1806846164"/>
          <w:jc w:val="center"/>
        </w:trPr>
        <w:tc>
          <w:tcPr>
            <w:tcW w:w="4011" w:type="pct"/>
            <w:shd w:val="clear" w:color="auto" w:fill="CFF0FC"/>
            <w:tcMar>
              <w:top w:w="15" w:type="dxa"/>
              <w:left w:w="0" w:type="dxa"/>
              <w:bottom w:w="0" w:type="dxa"/>
              <w:right w:w="15" w:type="dxa"/>
            </w:tcMar>
            <w:hideMark/>
          </w:tcPr>
          <w:p w14:paraId="63A80A9D" w14:textId="77777777" w:rsidR="00000000" w:rsidRDefault="007125B5">
            <w:pPr>
              <w:pStyle w:val="a3"/>
              <w:spacing w:before="0" w:beforeAutospacing="0" w:after="0" w:afterAutospacing="0"/>
              <w:rPr>
                <w:color w:val="000000"/>
                <w:sz w:val="20"/>
                <w:szCs w:val="20"/>
              </w:rPr>
            </w:pPr>
            <w:r>
              <w:rPr>
                <w:color w:val="000000"/>
                <w:sz w:val="20"/>
                <w:szCs w:val="20"/>
              </w:rPr>
              <w:t>Other current assets</w:t>
            </w:r>
          </w:p>
        </w:tc>
        <w:tc>
          <w:tcPr>
            <w:tcW w:w="97" w:type="pct"/>
            <w:shd w:val="clear" w:color="auto" w:fill="CFF0FC"/>
            <w:tcMar>
              <w:top w:w="15" w:type="dxa"/>
              <w:left w:w="0" w:type="dxa"/>
              <w:bottom w:w="0" w:type="dxa"/>
              <w:right w:w="15" w:type="dxa"/>
            </w:tcMar>
            <w:vAlign w:val="bottom"/>
            <w:hideMark/>
          </w:tcPr>
          <w:p w14:paraId="40AC26F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609E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14:paraId="40B58E0C" w14:textId="77777777" w:rsidR="00000000" w:rsidRDefault="007125B5">
            <w:pPr>
              <w:pStyle w:val="a3"/>
              <w:spacing w:before="0" w:beforeAutospacing="0" w:after="0" w:afterAutospacing="0"/>
              <w:jc w:val="right"/>
              <w:rPr>
                <w:color w:val="000000"/>
                <w:sz w:val="20"/>
                <w:szCs w:val="20"/>
              </w:rPr>
            </w:pPr>
            <w:r>
              <w:rPr>
                <w:color w:val="000000"/>
                <w:sz w:val="20"/>
                <w:szCs w:val="20"/>
              </w:rPr>
              <w:t>1,265</w:t>
            </w:r>
          </w:p>
        </w:tc>
        <w:tc>
          <w:tcPr>
            <w:tcW w:w="50" w:type="pct"/>
            <w:shd w:val="clear" w:color="auto" w:fill="CFF0FC"/>
            <w:noWrap/>
            <w:tcMar>
              <w:top w:w="15" w:type="dxa"/>
              <w:left w:w="0" w:type="dxa"/>
              <w:bottom w:w="0" w:type="dxa"/>
              <w:right w:w="15" w:type="dxa"/>
            </w:tcMar>
            <w:vAlign w:val="bottom"/>
            <w:hideMark/>
          </w:tcPr>
          <w:p w14:paraId="10174BB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A258174" w14:textId="77777777">
        <w:trPr>
          <w:divId w:val="1806846164"/>
          <w:jc w:val="center"/>
        </w:trPr>
        <w:tc>
          <w:tcPr>
            <w:tcW w:w="4011" w:type="pct"/>
            <w:shd w:val="clear" w:color="auto" w:fill="FFFFFF"/>
            <w:tcMar>
              <w:top w:w="15" w:type="dxa"/>
              <w:left w:w="0" w:type="dxa"/>
              <w:bottom w:w="0" w:type="dxa"/>
              <w:right w:w="15" w:type="dxa"/>
            </w:tcMar>
            <w:hideMark/>
          </w:tcPr>
          <w:p w14:paraId="33811749" w14:textId="77777777" w:rsidR="00000000" w:rsidRDefault="007125B5">
            <w:pPr>
              <w:pStyle w:val="a3"/>
              <w:spacing w:before="0" w:beforeAutospacing="0" w:after="0" w:afterAutospacing="0"/>
              <w:ind w:left="274"/>
              <w:rPr>
                <w:color w:val="000000"/>
                <w:sz w:val="20"/>
                <w:szCs w:val="20"/>
              </w:rPr>
            </w:pPr>
            <w:r>
              <w:rPr>
                <w:color w:val="000000"/>
                <w:sz w:val="20"/>
                <w:szCs w:val="20"/>
              </w:rPr>
              <w:t>Current assets</w:t>
            </w:r>
          </w:p>
        </w:tc>
        <w:tc>
          <w:tcPr>
            <w:tcW w:w="97" w:type="pct"/>
            <w:shd w:val="clear" w:color="auto" w:fill="FFFFFF"/>
            <w:tcMar>
              <w:top w:w="15" w:type="dxa"/>
              <w:left w:w="0" w:type="dxa"/>
              <w:bottom w:w="0" w:type="dxa"/>
              <w:right w:w="15" w:type="dxa"/>
            </w:tcMar>
            <w:vAlign w:val="bottom"/>
            <w:hideMark/>
          </w:tcPr>
          <w:p w14:paraId="7A671A9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0731E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tcBorders>
            <w:shd w:val="clear" w:color="auto" w:fill="FFFFFF"/>
            <w:noWrap/>
            <w:tcMar>
              <w:top w:w="15" w:type="dxa"/>
              <w:left w:w="0" w:type="dxa"/>
              <w:bottom w:w="0" w:type="dxa"/>
              <w:right w:w="15" w:type="dxa"/>
            </w:tcMar>
            <w:vAlign w:val="bottom"/>
            <w:hideMark/>
          </w:tcPr>
          <w:p w14:paraId="3B6E3E01" w14:textId="77777777" w:rsidR="00000000" w:rsidRDefault="007125B5">
            <w:pPr>
              <w:pStyle w:val="a3"/>
              <w:spacing w:before="0" w:beforeAutospacing="0" w:after="0" w:afterAutospacing="0"/>
              <w:jc w:val="right"/>
              <w:rPr>
                <w:color w:val="000000"/>
                <w:sz w:val="20"/>
                <w:szCs w:val="20"/>
              </w:rPr>
            </w:pPr>
            <w:r>
              <w:rPr>
                <w:color w:val="000000"/>
                <w:sz w:val="20"/>
                <w:szCs w:val="20"/>
              </w:rPr>
              <w:t>19,851</w:t>
            </w:r>
          </w:p>
        </w:tc>
        <w:tc>
          <w:tcPr>
            <w:tcW w:w="50" w:type="pct"/>
            <w:shd w:val="clear" w:color="auto" w:fill="FFFFFF"/>
            <w:noWrap/>
            <w:tcMar>
              <w:top w:w="15" w:type="dxa"/>
              <w:left w:w="0" w:type="dxa"/>
              <w:bottom w:w="0" w:type="dxa"/>
              <w:right w:w="15" w:type="dxa"/>
            </w:tcMar>
            <w:vAlign w:val="bottom"/>
            <w:hideMark/>
          </w:tcPr>
          <w:p w14:paraId="0F4D78F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1754640" w14:textId="77777777">
        <w:trPr>
          <w:divId w:val="1806846164"/>
          <w:jc w:val="center"/>
        </w:trPr>
        <w:tc>
          <w:tcPr>
            <w:tcW w:w="4011" w:type="pct"/>
            <w:shd w:val="clear" w:color="auto" w:fill="CFF0FC"/>
            <w:tcMar>
              <w:top w:w="15" w:type="dxa"/>
              <w:left w:w="0" w:type="dxa"/>
              <w:bottom w:w="0" w:type="dxa"/>
              <w:right w:w="15" w:type="dxa"/>
            </w:tcMar>
            <w:hideMark/>
          </w:tcPr>
          <w:p w14:paraId="7BE4190D" w14:textId="77777777" w:rsidR="00000000" w:rsidRDefault="007125B5">
            <w:pPr>
              <w:pStyle w:val="a3"/>
              <w:spacing w:before="0" w:beforeAutospacing="0" w:after="0" w:afterAutospacing="0"/>
              <w:rPr>
                <w:color w:val="000000"/>
                <w:sz w:val="20"/>
                <w:szCs w:val="20"/>
              </w:rPr>
            </w:pPr>
            <w:r>
              <w:rPr>
                <w:color w:val="000000"/>
                <w:sz w:val="20"/>
                <w:szCs w:val="20"/>
              </w:rPr>
              <w:t>Property plant and equipment</w:t>
            </w:r>
          </w:p>
        </w:tc>
        <w:tc>
          <w:tcPr>
            <w:tcW w:w="97" w:type="pct"/>
            <w:shd w:val="clear" w:color="auto" w:fill="CFF0FC"/>
            <w:tcMar>
              <w:top w:w="15" w:type="dxa"/>
              <w:left w:w="0" w:type="dxa"/>
              <w:bottom w:w="0" w:type="dxa"/>
              <w:right w:w="15" w:type="dxa"/>
            </w:tcMar>
            <w:vAlign w:val="bottom"/>
            <w:hideMark/>
          </w:tcPr>
          <w:p w14:paraId="78A206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E8E2E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535600A6" w14:textId="77777777" w:rsidR="00000000" w:rsidRDefault="007125B5">
            <w:pPr>
              <w:pStyle w:val="a3"/>
              <w:spacing w:before="0" w:beforeAutospacing="0" w:after="0" w:afterAutospacing="0"/>
              <w:jc w:val="right"/>
              <w:rPr>
                <w:color w:val="000000"/>
                <w:sz w:val="20"/>
                <w:szCs w:val="20"/>
              </w:rPr>
            </w:pPr>
            <w:r>
              <w:rPr>
                <w:color w:val="000000"/>
                <w:sz w:val="20"/>
                <w:szCs w:val="20"/>
              </w:rPr>
              <w:t>7,042</w:t>
            </w:r>
          </w:p>
        </w:tc>
        <w:tc>
          <w:tcPr>
            <w:tcW w:w="50" w:type="pct"/>
            <w:shd w:val="clear" w:color="auto" w:fill="CFF0FC"/>
            <w:noWrap/>
            <w:tcMar>
              <w:top w:w="15" w:type="dxa"/>
              <w:left w:w="0" w:type="dxa"/>
              <w:bottom w:w="0" w:type="dxa"/>
              <w:right w:w="15" w:type="dxa"/>
            </w:tcMar>
            <w:vAlign w:val="bottom"/>
            <w:hideMark/>
          </w:tcPr>
          <w:p w14:paraId="2563D1D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2A9F856" w14:textId="77777777">
        <w:trPr>
          <w:divId w:val="1806846164"/>
          <w:jc w:val="center"/>
        </w:trPr>
        <w:tc>
          <w:tcPr>
            <w:tcW w:w="4011" w:type="pct"/>
            <w:shd w:val="clear" w:color="auto" w:fill="FFFFFF"/>
            <w:tcMar>
              <w:top w:w="15" w:type="dxa"/>
              <w:left w:w="0" w:type="dxa"/>
              <w:bottom w:w="0" w:type="dxa"/>
              <w:right w:w="15" w:type="dxa"/>
            </w:tcMar>
            <w:hideMark/>
          </w:tcPr>
          <w:p w14:paraId="0B14BA61" w14:textId="77777777" w:rsidR="00000000" w:rsidRDefault="007125B5">
            <w:pPr>
              <w:pStyle w:val="a3"/>
              <w:spacing w:before="0" w:beforeAutospacing="0" w:after="0" w:afterAutospacing="0"/>
              <w:rPr>
                <w:color w:val="000000"/>
                <w:sz w:val="20"/>
                <w:szCs w:val="20"/>
              </w:rPr>
            </w:pPr>
            <w:r>
              <w:rPr>
                <w:color w:val="000000"/>
                <w:sz w:val="20"/>
                <w:szCs w:val="20"/>
              </w:rPr>
              <w:t>Customer relationships</w:t>
            </w:r>
          </w:p>
        </w:tc>
        <w:tc>
          <w:tcPr>
            <w:tcW w:w="97" w:type="pct"/>
            <w:shd w:val="clear" w:color="auto" w:fill="FFFFFF"/>
            <w:tcMar>
              <w:top w:w="15" w:type="dxa"/>
              <w:left w:w="0" w:type="dxa"/>
              <w:bottom w:w="0" w:type="dxa"/>
              <w:right w:w="15" w:type="dxa"/>
            </w:tcMar>
            <w:vAlign w:val="bottom"/>
            <w:hideMark/>
          </w:tcPr>
          <w:p w14:paraId="353EC6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4E0E0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017C47D9" w14:textId="77777777" w:rsidR="00000000" w:rsidRDefault="007125B5">
            <w:pPr>
              <w:pStyle w:val="a3"/>
              <w:spacing w:before="0" w:beforeAutospacing="0" w:after="0" w:afterAutospacing="0"/>
              <w:jc w:val="right"/>
              <w:rPr>
                <w:color w:val="000000"/>
                <w:sz w:val="20"/>
                <w:szCs w:val="20"/>
              </w:rPr>
            </w:pPr>
            <w:r>
              <w:rPr>
                <w:color w:val="000000"/>
                <w:sz w:val="20"/>
                <w:szCs w:val="20"/>
              </w:rPr>
              <w:t>56,000</w:t>
            </w:r>
          </w:p>
        </w:tc>
        <w:tc>
          <w:tcPr>
            <w:tcW w:w="50" w:type="pct"/>
            <w:shd w:val="clear" w:color="auto" w:fill="FFFFFF"/>
            <w:noWrap/>
            <w:tcMar>
              <w:top w:w="15" w:type="dxa"/>
              <w:left w:w="0" w:type="dxa"/>
              <w:bottom w:w="0" w:type="dxa"/>
              <w:right w:w="15" w:type="dxa"/>
            </w:tcMar>
            <w:vAlign w:val="bottom"/>
            <w:hideMark/>
          </w:tcPr>
          <w:p w14:paraId="17DCF4D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B39C8CF" w14:textId="77777777">
        <w:trPr>
          <w:divId w:val="1806846164"/>
          <w:jc w:val="center"/>
        </w:trPr>
        <w:tc>
          <w:tcPr>
            <w:tcW w:w="4011" w:type="pct"/>
            <w:shd w:val="clear" w:color="auto" w:fill="CFF0FC"/>
            <w:tcMar>
              <w:top w:w="15" w:type="dxa"/>
              <w:left w:w="0" w:type="dxa"/>
              <w:bottom w:w="0" w:type="dxa"/>
              <w:right w:w="15" w:type="dxa"/>
            </w:tcMar>
            <w:hideMark/>
          </w:tcPr>
          <w:p w14:paraId="1DA8AF82" w14:textId="77777777" w:rsidR="00000000" w:rsidRDefault="007125B5">
            <w:pPr>
              <w:pStyle w:val="a3"/>
              <w:spacing w:before="0" w:beforeAutospacing="0" w:after="0" w:afterAutospacing="0"/>
              <w:rPr>
                <w:color w:val="000000"/>
                <w:sz w:val="20"/>
                <w:szCs w:val="20"/>
              </w:rPr>
            </w:pPr>
            <w:r>
              <w:rPr>
                <w:color w:val="000000"/>
                <w:sz w:val="20"/>
                <w:szCs w:val="20"/>
              </w:rPr>
              <w:t>Trade names</w:t>
            </w:r>
          </w:p>
        </w:tc>
        <w:tc>
          <w:tcPr>
            <w:tcW w:w="97" w:type="pct"/>
            <w:shd w:val="clear" w:color="auto" w:fill="CFF0FC"/>
            <w:tcMar>
              <w:top w:w="15" w:type="dxa"/>
              <w:left w:w="0" w:type="dxa"/>
              <w:bottom w:w="0" w:type="dxa"/>
              <w:right w:w="15" w:type="dxa"/>
            </w:tcMar>
            <w:vAlign w:val="bottom"/>
            <w:hideMark/>
          </w:tcPr>
          <w:p w14:paraId="6B61C9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6EEB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3741AF5C" w14:textId="77777777" w:rsidR="00000000" w:rsidRDefault="007125B5">
            <w:pPr>
              <w:pStyle w:val="a3"/>
              <w:spacing w:before="0" w:beforeAutospacing="0" w:after="0" w:afterAutospacing="0"/>
              <w:jc w:val="right"/>
              <w:rPr>
                <w:color w:val="000000"/>
                <w:sz w:val="20"/>
                <w:szCs w:val="20"/>
              </w:rPr>
            </w:pPr>
            <w:r>
              <w:rPr>
                <w:color w:val="000000"/>
                <w:sz w:val="20"/>
                <w:szCs w:val="20"/>
              </w:rPr>
              <w:t>4,200</w:t>
            </w:r>
          </w:p>
        </w:tc>
        <w:tc>
          <w:tcPr>
            <w:tcW w:w="50" w:type="pct"/>
            <w:shd w:val="clear" w:color="auto" w:fill="CFF0FC"/>
            <w:noWrap/>
            <w:tcMar>
              <w:top w:w="15" w:type="dxa"/>
              <w:left w:w="0" w:type="dxa"/>
              <w:bottom w:w="0" w:type="dxa"/>
              <w:right w:w="15" w:type="dxa"/>
            </w:tcMar>
            <w:vAlign w:val="bottom"/>
            <w:hideMark/>
          </w:tcPr>
          <w:p w14:paraId="6DF1403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5F5A668" w14:textId="77777777">
        <w:trPr>
          <w:divId w:val="1806846164"/>
          <w:jc w:val="center"/>
        </w:trPr>
        <w:tc>
          <w:tcPr>
            <w:tcW w:w="4011" w:type="pct"/>
            <w:shd w:val="clear" w:color="auto" w:fill="FFFFFF"/>
            <w:tcMar>
              <w:top w:w="15" w:type="dxa"/>
              <w:left w:w="0" w:type="dxa"/>
              <w:bottom w:w="0" w:type="dxa"/>
              <w:right w:w="15" w:type="dxa"/>
            </w:tcMar>
            <w:hideMark/>
          </w:tcPr>
          <w:p w14:paraId="52D9A203" w14:textId="77777777" w:rsidR="00000000" w:rsidRDefault="007125B5">
            <w:pPr>
              <w:pStyle w:val="a3"/>
              <w:spacing w:before="0" w:beforeAutospacing="0" w:after="0" w:afterAutospacing="0"/>
              <w:rPr>
                <w:color w:val="000000"/>
                <w:sz w:val="20"/>
                <w:szCs w:val="20"/>
              </w:rPr>
            </w:pPr>
            <w:r>
              <w:rPr>
                <w:color w:val="000000"/>
                <w:sz w:val="20"/>
                <w:szCs w:val="20"/>
              </w:rPr>
              <w:t>Covenants not to compete</w:t>
            </w:r>
          </w:p>
        </w:tc>
        <w:tc>
          <w:tcPr>
            <w:tcW w:w="97" w:type="pct"/>
            <w:shd w:val="clear" w:color="auto" w:fill="FFFFFF"/>
            <w:tcMar>
              <w:top w:w="15" w:type="dxa"/>
              <w:left w:w="0" w:type="dxa"/>
              <w:bottom w:w="0" w:type="dxa"/>
              <w:right w:w="15" w:type="dxa"/>
            </w:tcMar>
            <w:vAlign w:val="bottom"/>
            <w:hideMark/>
          </w:tcPr>
          <w:p w14:paraId="02292D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CCDE5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4E7B77CB" w14:textId="77777777" w:rsidR="00000000" w:rsidRDefault="007125B5">
            <w:pPr>
              <w:pStyle w:val="a3"/>
              <w:spacing w:before="0" w:beforeAutospacing="0" w:after="0" w:afterAutospacing="0"/>
              <w:jc w:val="right"/>
              <w:rPr>
                <w:color w:val="000000"/>
                <w:sz w:val="20"/>
                <w:szCs w:val="20"/>
              </w:rPr>
            </w:pPr>
            <w:r>
              <w:rPr>
                <w:color w:val="000000"/>
                <w:sz w:val="20"/>
                <w:szCs w:val="20"/>
              </w:rPr>
              <w:t>4,000</w:t>
            </w:r>
          </w:p>
        </w:tc>
        <w:tc>
          <w:tcPr>
            <w:tcW w:w="50" w:type="pct"/>
            <w:shd w:val="clear" w:color="auto" w:fill="FFFFFF"/>
            <w:noWrap/>
            <w:tcMar>
              <w:top w:w="15" w:type="dxa"/>
              <w:left w:w="0" w:type="dxa"/>
              <w:bottom w:w="0" w:type="dxa"/>
              <w:right w:w="15" w:type="dxa"/>
            </w:tcMar>
            <w:vAlign w:val="bottom"/>
            <w:hideMark/>
          </w:tcPr>
          <w:p w14:paraId="71AF87B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CD87E90" w14:textId="77777777">
        <w:trPr>
          <w:divId w:val="1806846164"/>
          <w:jc w:val="center"/>
        </w:trPr>
        <w:tc>
          <w:tcPr>
            <w:tcW w:w="4011" w:type="pct"/>
            <w:shd w:val="clear" w:color="auto" w:fill="CFF0FC"/>
            <w:tcMar>
              <w:top w:w="15" w:type="dxa"/>
              <w:left w:w="0" w:type="dxa"/>
              <w:bottom w:w="0" w:type="dxa"/>
              <w:right w:w="15" w:type="dxa"/>
            </w:tcMar>
            <w:hideMark/>
          </w:tcPr>
          <w:p w14:paraId="6BFDCF9A" w14:textId="77777777" w:rsidR="00000000" w:rsidRDefault="007125B5">
            <w:pPr>
              <w:pStyle w:val="a3"/>
              <w:spacing w:before="0" w:beforeAutospacing="0" w:after="0" w:afterAutospacing="0"/>
              <w:rPr>
                <w:color w:val="000000"/>
                <w:sz w:val="20"/>
                <w:szCs w:val="20"/>
              </w:rPr>
            </w:pPr>
            <w:r>
              <w:rPr>
                <w:color w:val="000000"/>
                <w:sz w:val="20"/>
                <w:szCs w:val="20"/>
              </w:rPr>
              <w:t>Proprietary software</w:t>
            </w:r>
          </w:p>
        </w:tc>
        <w:tc>
          <w:tcPr>
            <w:tcW w:w="97" w:type="pct"/>
            <w:shd w:val="clear" w:color="auto" w:fill="CFF0FC"/>
            <w:tcMar>
              <w:top w:w="15" w:type="dxa"/>
              <w:left w:w="0" w:type="dxa"/>
              <w:bottom w:w="0" w:type="dxa"/>
              <w:right w:w="15" w:type="dxa"/>
            </w:tcMar>
            <w:vAlign w:val="bottom"/>
            <w:hideMark/>
          </w:tcPr>
          <w:p w14:paraId="03122F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B3F7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7227A221" w14:textId="77777777" w:rsidR="00000000" w:rsidRDefault="007125B5">
            <w:pPr>
              <w:pStyle w:val="a3"/>
              <w:spacing w:before="0" w:beforeAutospacing="0" w:after="0" w:afterAutospacing="0"/>
              <w:jc w:val="right"/>
              <w:rPr>
                <w:color w:val="000000"/>
                <w:sz w:val="20"/>
                <w:szCs w:val="20"/>
              </w:rPr>
            </w:pPr>
            <w:r>
              <w:rPr>
                <w:color w:val="000000"/>
                <w:sz w:val="20"/>
                <w:szCs w:val="20"/>
              </w:rPr>
              <w:t>14,700</w:t>
            </w:r>
          </w:p>
        </w:tc>
        <w:tc>
          <w:tcPr>
            <w:tcW w:w="50" w:type="pct"/>
            <w:shd w:val="clear" w:color="auto" w:fill="CFF0FC"/>
            <w:noWrap/>
            <w:tcMar>
              <w:top w:w="15" w:type="dxa"/>
              <w:left w:w="0" w:type="dxa"/>
              <w:bottom w:w="0" w:type="dxa"/>
              <w:right w:w="15" w:type="dxa"/>
            </w:tcMar>
            <w:vAlign w:val="bottom"/>
            <w:hideMark/>
          </w:tcPr>
          <w:p w14:paraId="7583D03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40C8969" w14:textId="77777777">
        <w:trPr>
          <w:divId w:val="1806846164"/>
          <w:jc w:val="center"/>
        </w:trPr>
        <w:tc>
          <w:tcPr>
            <w:tcW w:w="4011" w:type="pct"/>
            <w:shd w:val="clear" w:color="auto" w:fill="FFFFFF"/>
            <w:tcMar>
              <w:top w:w="15" w:type="dxa"/>
              <w:left w:w="0" w:type="dxa"/>
              <w:bottom w:w="0" w:type="dxa"/>
              <w:right w:w="15" w:type="dxa"/>
            </w:tcMar>
            <w:hideMark/>
          </w:tcPr>
          <w:p w14:paraId="787C4263" w14:textId="77777777" w:rsidR="00000000" w:rsidRDefault="007125B5">
            <w:pPr>
              <w:pStyle w:val="a3"/>
              <w:spacing w:before="0" w:beforeAutospacing="0" w:after="0" w:afterAutospacing="0"/>
              <w:rPr>
                <w:color w:val="000000"/>
                <w:sz w:val="20"/>
                <w:szCs w:val="20"/>
              </w:rPr>
            </w:pPr>
            <w:r>
              <w:rPr>
                <w:color w:val="000000"/>
                <w:sz w:val="20"/>
                <w:szCs w:val="20"/>
              </w:rPr>
              <w:t>Goodwill</w:t>
            </w:r>
          </w:p>
        </w:tc>
        <w:tc>
          <w:tcPr>
            <w:tcW w:w="97" w:type="pct"/>
            <w:shd w:val="clear" w:color="auto" w:fill="FFFFFF"/>
            <w:tcMar>
              <w:top w:w="15" w:type="dxa"/>
              <w:left w:w="0" w:type="dxa"/>
              <w:bottom w:w="0" w:type="dxa"/>
              <w:right w:w="15" w:type="dxa"/>
            </w:tcMar>
            <w:vAlign w:val="bottom"/>
            <w:hideMark/>
          </w:tcPr>
          <w:p w14:paraId="520BB54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35E1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14:paraId="7C213EE2" w14:textId="77777777" w:rsidR="00000000" w:rsidRDefault="007125B5">
            <w:pPr>
              <w:pStyle w:val="a3"/>
              <w:spacing w:before="0" w:beforeAutospacing="0" w:after="0" w:afterAutospacing="0"/>
              <w:jc w:val="right"/>
              <w:rPr>
                <w:color w:val="000000"/>
                <w:sz w:val="20"/>
                <w:szCs w:val="20"/>
              </w:rPr>
            </w:pPr>
            <w:r>
              <w:rPr>
                <w:color w:val="000000"/>
                <w:sz w:val="20"/>
                <w:szCs w:val="20"/>
              </w:rPr>
              <w:t>146,038</w:t>
            </w:r>
          </w:p>
        </w:tc>
        <w:tc>
          <w:tcPr>
            <w:tcW w:w="50" w:type="pct"/>
            <w:shd w:val="clear" w:color="auto" w:fill="FFFFFF"/>
            <w:noWrap/>
            <w:tcMar>
              <w:top w:w="15" w:type="dxa"/>
              <w:left w:w="0" w:type="dxa"/>
              <w:bottom w:w="0" w:type="dxa"/>
              <w:right w:w="15" w:type="dxa"/>
            </w:tcMar>
            <w:vAlign w:val="bottom"/>
            <w:hideMark/>
          </w:tcPr>
          <w:p w14:paraId="22766BA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2B24C5F" w14:textId="77777777">
        <w:trPr>
          <w:divId w:val="1806846164"/>
          <w:jc w:val="center"/>
        </w:trPr>
        <w:tc>
          <w:tcPr>
            <w:tcW w:w="4011" w:type="pct"/>
            <w:shd w:val="clear" w:color="auto" w:fill="CFF0FC"/>
            <w:tcMar>
              <w:top w:w="15" w:type="dxa"/>
              <w:left w:w="0" w:type="dxa"/>
              <w:bottom w:w="0" w:type="dxa"/>
              <w:right w:w="15" w:type="dxa"/>
            </w:tcMar>
            <w:hideMark/>
          </w:tcPr>
          <w:p w14:paraId="60004D45" w14:textId="77777777" w:rsidR="00000000" w:rsidRDefault="007125B5">
            <w:pPr>
              <w:pStyle w:val="a3"/>
              <w:spacing w:before="0" w:beforeAutospacing="0" w:after="0" w:afterAutospacing="0"/>
              <w:ind w:left="274"/>
              <w:rPr>
                <w:color w:val="000000"/>
                <w:sz w:val="20"/>
                <w:szCs w:val="20"/>
              </w:rPr>
            </w:pPr>
            <w:r>
              <w:rPr>
                <w:color w:val="000000"/>
                <w:sz w:val="20"/>
                <w:szCs w:val="20"/>
              </w:rPr>
              <w:t>Total assets</w:t>
            </w:r>
          </w:p>
        </w:tc>
        <w:tc>
          <w:tcPr>
            <w:tcW w:w="97" w:type="pct"/>
            <w:shd w:val="clear" w:color="auto" w:fill="CFF0FC"/>
            <w:tcMar>
              <w:top w:w="15" w:type="dxa"/>
              <w:left w:w="0" w:type="dxa"/>
              <w:bottom w:w="0" w:type="dxa"/>
              <w:right w:w="15" w:type="dxa"/>
            </w:tcMar>
            <w:vAlign w:val="bottom"/>
            <w:hideMark/>
          </w:tcPr>
          <w:p w14:paraId="06A13E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F656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14:paraId="6F6A8D6A" w14:textId="77777777" w:rsidR="00000000" w:rsidRDefault="007125B5">
            <w:pPr>
              <w:pStyle w:val="a3"/>
              <w:spacing w:before="0" w:beforeAutospacing="0" w:after="0" w:afterAutospacing="0"/>
              <w:jc w:val="right"/>
              <w:rPr>
                <w:color w:val="000000"/>
                <w:sz w:val="20"/>
                <w:szCs w:val="20"/>
              </w:rPr>
            </w:pPr>
            <w:r>
              <w:rPr>
                <w:color w:val="000000"/>
                <w:sz w:val="20"/>
                <w:szCs w:val="20"/>
              </w:rPr>
              <w:t>251,831</w:t>
            </w:r>
          </w:p>
        </w:tc>
        <w:tc>
          <w:tcPr>
            <w:tcW w:w="50" w:type="pct"/>
            <w:shd w:val="clear" w:color="auto" w:fill="CFF0FC"/>
            <w:noWrap/>
            <w:tcMar>
              <w:top w:w="15" w:type="dxa"/>
              <w:left w:w="0" w:type="dxa"/>
              <w:bottom w:w="0" w:type="dxa"/>
              <w:right w:w="15" w:type="dxa"/>
            </w:tcMar>
            <w:vAlign w:val="bottom"/>
            <w:hideMark/>
          </w:tcPr>
          <w:p w14:paraId="65C005F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C1F4D92" w14:textId="77777777">
        <w:trPr>
          <w:divId w:val="1806846164"/>
          <w:jc w:val="center"/>
        </w:trPr>
        <w:tc>
          <w:tcPr>
            <w:tcW w:w="4011" w:type="pct"/>
            <w:shd w:val="clear" w:color="auto" w:fill="FFFFFF"/>
            <w:tcMar>
              <w:top w:w="15" w:type="dxa"/>
              <w:left w:w="0" w:type="dxa"/>
              <w:bottom w:w="0" w:type="dxa"/>
              <w:right w:w="15" w:type="dxa"/>
            </w:tcMar>
            <w:hideMark/>
          </w:tcPr>
          <w:p w14:paraId="5D289859" w14:textId="77777777" w:rsidR="00000000" w:rsidRDefault="007125B5">
            <w:pPr>
              <w:pStyle w:val="a3"/>
              <w:spacing w:before="0" w:beforeAutospacing="0" w:after="0" w:afterAutospacing="0"/>
              <w:rPr>
                <w:color w:val="000000"/>
                <w:sz w:val="20"/>
                <w:szCs w:val="20"/>
              </w:rPr>
            </w:pPr>
            <w:r>
              <w:rPr>
                <w:color w:val="000000"/>
                <w:sz w:val="20"/>
                <w:szCs w:val="20"/>
              </w:rPr>
              <w:t>Current liabilities</w:t>
            </w:r>
          </w:p>
        </w:tc>
        <w:tc>
          <w:tcPr>
            <w:tcW w:w="97" w:type="pct"/>
            <w:shd w:val="clear" w:color="auto" w:fill="FFFFFF"/>
            <w:tcMar>
              <w:top w:w="15" w:type="dxa"/>
              <w:left w:w="0" w:type="dxa"/>
              <w:bottom w:w="0" w:type="dxa"/>
              <w:right w:w="15" w:type="dxa"/>
            </w:tcMar>
            <w:vAlign w:val="bottom"/>
            <w:hideMark/>
          </w:tcPr>
          <w:p w14:paraId="796985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297F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330C5126" w14:textId="77777777" w:rsidR="00000000" w:rsidRDefault="007125B5">
            <w:pPr>
              <w:pStyle w:val="a3"/>
              <w:spacing w:before="0" w:beforeAutospacing="0" w:after="0" w:afterAutospacing="0"/>
              <w:jc w:val="right"/>
              <w:rPr>
                <w:color w:val="000000"/>
                <w:sz w:val="20"/>
                <w:szCs w:val="20"/>
              </w:rPr>
            </w:pPr>
            <w:r>
              <w:rPr>
                <w:color w:val="000000"/>
                <w:sz w:val="20"/>
                <w:szCs w:val="20"/>
              </w:rPr>
              <w:t>9,721</w:t>
            </w:r>
          </w:p>
        </w:tc>
        <w:tc>
          <w:tcPr>
            <w:tcW w:w="50" w:type="pct"/>
            <w:shd w:val="clear" w:color="auto" w:fill="FFFFFF"/>
            <w:noWrap/>
            <w:tcMar>
              <w:top w:w="15" w:type="dxa"/>
              <w:left w:w="0" w:type="dxa"/>
              <w:bottom w:w="0" w:type="dxa"/>
              <w:right w:w="15" w:type="dxa"/>
            </w:tcMar>
            <w:vAlign w:val="bottom"/>
            <w:hideMark/>
          </w:tcPr>
          <w:p w14:paraId="7A91F2D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61A27A8" w14:textId="77777777">
        <w:trPr>
          <w:divId w:val="1806846164"/>
          <w:jc w:val="center"/>
        </w:trPr>
        <w:tc>
          <w:tcPr>
            <w:tcW w:w="4011" w:type="pct"/>
            <w:shd w:val="clear" w:color="auto" w:fill="CFF0FC"/>
            <w:tcMar>
              <w:top w:w="15" w:type="dxa"/>
              <w:left w:w="0" w:type="dxa"/>
              <w:bottom w:w="0" w:type="dxa"/>
              <w:right w:w="15" w:type="dxa"/>
            </w:tcMar>
            <w:hideMark/>
          </w:tcPr>
          <w:p w14:paraId="67EFBDEB" w14:textId="77777777" w:rsidR="00000000" w:rsidRDefault="007125B5">
            <w:pPr>
              <w:pStyle w:val="a3"/>
              <w:spacing w:before="0" w:beforeAutospacing="0" w:after="0" w:afterAutospacing="0"/>
              <w:ind w:left="274"/>
              <w:rPr>
                <w:color w:val="000000"/>
                <w:sz w:val="20"/>
                <w:szCs w:val="20"/>
              </w:rPr>
            </w:pPr>
            <w:r>
              <w:rPr>
                <w:color w:val="000000"/>
                <w:sz w:val="20"/>
                <w:szCs w:val="20"/>
              </w:rPr>
              <w:t>Total liabilities</w:t>
            </w:r>
          </w:p>
        </w:tc>
        <w:tc>
          <w:tcPr>
            <w:tcW w:w="97" w:type="pct"/>
            <w:shd w:val="clear" w:color="auto" w:fill="CFF0FC"/>
            <w:tcMar>
              <w:top w:w="15" w:type="dxa"/>
              <w:left w:w="0" w:type="dxa"/>
              <w:bottom w:w="0" w:type="dxa"/>
              <w:right w:w="15" w:type="dxa"/>
            </w:tcMar>
            <w:vAlign w:val="bottom"/>
            <w:hideMark/>
          </w:tcPr>
          <w:p w14:paraId="7355BF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9052E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AC8823E" w14:textId="77777777" w:rsidR="00000000" w:rsidRDefault="007125B5">
            <w:pPr>
              <w:pStyle w:val="a3"/>
              <w:spacing w:before="0" w:beforeAutospacing="0" w:after="0" w:afterAutospacing="0"/>
              <w:jc w:val="right"/>
              <w:rPr>
                <w:color w:val="000000"/>
                <w:sz w:val="20"/>
                <w:szCs w:val="20"/>
              </w:rPr>
            </w:pPr>
            <w:r>
              <w:rPr>
                <w:color w:val="000000"/>
                <w:sz w:val="20"/>
                <w:szCs w:val="20"/>
              </w:rPr>
              <w:t>9,721</w:t>
            </w:r>
          </w:p>
        </w:tc>
        <w:tc>
          <w:tcPr>
            <w:tcW w:w="50" w:type="pct"/>
            <w:shd w:val="clear" w:color="auto" w:fill="CFF0FC"/>
            <w:noWrap/>
            <w:tcMar>
              <w:top w:w="15" w:type="dxa"/>
              <w:left w:w="0" w:type="dxa"/>
              <w:bottom w:w="0" w:type="dxa"/>
              <w:right w:w="15" w:type="dxa"/>
            </w:tcMar>
            <w:vAlign w:val="bottom"/>
            <w:hideMark/>
          </w:tcPr>
          <w:p w14:paraId="69394BB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1046C2F" w14:textId="77777777">
        <w:trPr>
          <w:divId w:val="1806846164"/>
          <w:jc w:val="center"/>
        </w:trPr>
        <w:tc>
          <w:tcPr>
            <w:tcW w:w="4011" w:type="pct"/>
            <w:shd w:val="clear" w:color="auto" w:fill="FFFFFF"/>
            <w:tcMar>
              <w:top w:w="15" w:type="dxa"/>
              <w:left w:w="0" w:type="dxa"/>
              <w:bottom w:w="0" w:type="dxa"/>
              <w:right w:w="15" w:type="dxa"/>
            </w:tcMar>
            <w:hideMark/>
          </w:tcPr>
          <w:p w14:paraId="44704E1E" w14:textId="77777777" w:rsidR="00000000" w:rsidRDefault="007125B5">
            <w:pPr>
              <w:pStyle w:val="a3"/>
              <w:spacing w:before="0" w:beforeAutospacing="0" w:after="0" w:afterAutospacing="0"/>
              <w:rPr>
                <w:color w:val="000000"/>
                <w:sz w:val="20"/>
                <w:szCs w:val="20"/>
              </w:rPr>
            </w:pPr>
            <w:r>
              <w:rPr>
                <w:color w:val="000000"/>
                <w:sz w:val="20"/>
                <w:szCs w:val="20"/>
              </w:rPr>
              <w:t>Purchase price</w:t>
            </w:r>
          </w:p>
        </w:tc>
        <w:tc>
          <w:tcPr>
            <w:tcW w:w="97" w:type="pct"/>
            <w:shd w:val="clear" w:color="auto" w:fill="FFFFFF"/>
            <w:tcMar>
              <w:top w:w="15" w:type="dxa"/>
              <w:left w:w="0" w:type="dxa"/>
              <w:bottom w:w="0" w:type="dxa"/>
              <w:right w:w="15" w:type="dxa"/>
            </w:tcMar>
            <w:vAlign w:val="bottom"/>
            <w:hideMark/>
          </w:tcPr>
          <w:p w14:paraId="2371B8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D048B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838966" w14:textId="77777777" w:rsidR="00000000" w:rsidRDefault="007125B5">
            <w:pPr>
              <w:pStyle w:val="a3"/>
              <w:spacing w:before="0" w:beforeAutospacing="0" w:after="0" w:afterAutospacing="0"/>
              <w:jc w:val="right"/>
              <w:rPr>
                <w:color w:val="000000"/>
                <w:sz w:val="20"/>
                <w:szCs w:val="20"/>
              </w:rPr>
            </w:pPr>
            <w:r>
              <w:rPr>
                <w:color w:val="000000"/>
                <w:sz w:val="20"/>
                <w:szCs w:val="20"/>
              </w:rPr>
              <w:t>242,110</w:t>
            </w:r>
          </w:p>
        </w:tc>
        <w:tc>
          <w:tcPr>
            <w:tcW w:w="50" w:type="pct"/>
            <w:shd w:val="clear" w:color="auto" w:fill="FFFFFF"/>
            <w:noWrap/>
            <w:tcMar>
              <w:top w:w="15" w:type="dxa"/>
              <w:left w:w="0" w:type="dxa"/>
              <w:bottom w:w="0" w:type="dxa"/>
              <w:right w:w="15" w:type="dxa"/>
            </w:tcMar>
            <w:vAlign w:val="bottom"/>
            <w:hideMark/>
          </w:tcPr>
          <w:p w14:paraId="7A3AE8DD"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61B71154" w14:textId="77777777" w:rsidR="00000000" w:rsidRDefault="007125B5">
      <w:pPr>
        <w:pStyle w:val="a3"/>
        <w:shd w:val="clear" w:color="auto" w:fill="FFFFFF"/>
        <w:spacing w:before="0" w:beforeAutospacing="0" w:after="0" w:afterAutospacing="0"/>
        <w:rPr>
          <w:sz w:val="20"/>
          <w:szCs w:val="20"/>
        </w:rPr>
      </w:pPr>
      <w:r>
        <w:rPr>
          <w:sz w:val="20"/>
          <w:szCs w:val="20"/>
        </w:rPr>
        <w:t> </w:t>
      </w:r>
    </w:p>
    <w:p w14:paraId="47209D94"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 xml:space="preserve">The results of operations of CTEH since the acquisition date have been combined with those of the Company. The Company’s condensed consolidated statement of operations for the three and six months ended June 30, 2020 includes revenue and pre-tax income of </w:t>
      </w:r>
      <w:r>
        <w:rPr>
          <w:color w:val="000000"/>
          <w:sz w:val="20"/>
          <w:szCs w:val="20"/>
        </w:rPr>
        <w:t xml:space="preserve">$14.6 million and $1.2 million, respectively, related to the CTEH acquisition. CTEH is included in the Company’s Assessment, Permitting and Response segment. </w:t>
      </w:r>
    </w:p>
    <w:p w14:paraId="494A1D58"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weighted average useful lives for the acquired customer relationships and internal proprietar</w:t>
      </w:r>
      <w:r>
        <w:rPr>
          <w:color w:val="000000"/>
          <w:sz w:val="20"/>
          <w:szCs w:val="20"/>
        </w:rPr>
        <w:t xml:space="preserve">y software for this acquisition are 15 years and 3 years, respectively. The weighted average useful lives for the acquired tradenames, covenants not to compete and external proprietary software for this acquisition is 5 years. </w:t>
      </w:r>
    </w:p>
    <w:p w14:paraId="3B5485FF"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Goodwill associated with the CTEH acquisition is deductible for income tax purposes.</w:t>
      </w:r>
    </w:p>
    <w:p w14:paraId="34A556FD"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Acquisitions completed during the Six Months Ended June 30, 2019</w:t>
      </w:r>
    </w:p>
    <w:p w14:paraId="4606E919" w14:textId="77777777" w:rsidR="00000000" w:rsidRDefault="007125B5">
      <w:pPr>
        <w:pStyle w:val="a3"/>
        <w:shd w:val="clear" w:color="auto" w:fill="FFFFFF"/>
        <w:spacing w:before="120" w:beforeAutospacing="0" w:after="0" w:afterAutospacing="0"/>
        <w:ind w:firstLine="556"/>
        <w:rPr>
          <w:b/>
          <w:bCs/>
          <w:i/>
          <w:iCs/>
          <w:color w:val="000000"/>
          <w:sz w:val="20"/>
          <w:szCs w:val="20"/>
        </w:rPr>
      </w:pPr>
      <w:r>
        <w:rPr>
          <w:b/>
          <w:bCs/>
          <w:i/>
          <w:iCs/>
          <w:color w:val="000000"/>
          <w:sz w:val="20"/>
          <w:szCs w:val="20"/>
        </w:rPr>
        <w:t>Golden Specialty, Inc.</w:t>
      </w:r>
      <w:r>
        <w:rPr>
          <w:i/>
          <w:iCs/>
          <w:color w:val="000000"/>
          <w:sz w:val="20"/>
          <w:szCs w:val="20"/>
        </w:rPr>
        <w:t>—</w:t>
      </w:r>
      <w:r>
        <w:rPr>
          <w:color w:val="000000"/>
          <w:sz w:val="20"/>
          <w:szCs w:val="20"/>
        </w:rPr>
        <w:t>In March 2019, the Company acquired all of the assets and operations of Golden Specialty, Inc. (“Golden”), an air testing laboratory in Texas. Golden expands the Company’s air measurement and analysis capabilities in the Gulf Coast region.</w:t>
      </w:r>
    </w:p>
    <w:p w14:paraId="12293EF9" w14:textId="77777777" w:rsidR="00000000" w:rsidRDefault="007125B5">
      <w:pPr>
        <w:pStyle w:val="a3"/>
        <w:shd w:val="clear" w:color="auto" w:fill="FFFFFF"/>
        <w:spacing w:before="120" w:beforeAutospacing="0" w:after="0" w:afterAutospacing="0"/>
        <w:ind w:firstLine="556"/>
        <w:rPr>
          <w:b/>
          <w:bCs/>
          <w:i/>
          <w:iCs/>
          <w:color w:val="000000"/>
          <w:sz w:val="20"/>
          <w:szCs w:val="20"/>
        </w:rPr>
      </w:pPr>
      <w:r>
        <w:rPr>
          <w:b/>
          <w:bCs/>
          <w:i/>
          <w:iCs/>
          <w:color w:val="000000"/>
          <w:sz w:val="20"/>
          <w:szCs w:val="20"/>
        </w:rPr>
        <w:t xml:space="preserve">Target Emission </w:t>
      </w:r>
      <w:r>
        <w:rPr>
          <w:b/>
          <w:bCs/>
          <w:i/>
          <w:iCs/>
          <w:color w:val="000000"/>
          <w:sz w:val="20"/>
          <w:szCs w:val="20"/>
        </w:rPr>
        <w:t>Services Inc.</w:t>
      </w:r>
      <w:r>
        <w:rPr>
          <w:color w:val="000000"/>
          <w:sz w:val="20"/>
          <w:szCs w:val="20"/>
        </w:rPr>
        <w:t>—In April 2019, the Company acquired 100% of the issued and outstanding capital stock of Target Emission Services, Inc. (“TES”), an emission detection company in Canada. TES expands the Company’s LDAR business, increasing the geographic footpr</w:t>
      </w:r>
      <w:r>
        <w:rPr>
          <w:color w:val="000000"/>
          <w:sz w:val="20"/>
          <w:szCs w:val="20"/>
        </w:rPr>
        <w:t>int in Canada and initiating growth into international markets.</w:t>
      </w:r>
    </w:p>
    <w:p w14:paraId="53619698" w14:textId="77777777" w:rsidR="00000000" w:rsidRDefault="007125B5">
      <w:pPr>
        <w:pStyle w:val="a3"/>
        <w:spacing w:before="240" w:beforeAutospacing="0" w:after="0" w:afterAutospacing="0"/>
        <w:jc w:val="center"/>
        <w:rPr>
          <w:sz w:val="20"/>
          <w:szCs w:val="20"/>
        </w:rPr>
      </w:pPr>
      <w:r>
        <w:rPr>
          <w:sz w:val="20"/>
          <w:szCs w:val="20"/>
        </w:rPr>
        <w:t>10</w:t>
      </w:r>
    </w:p>
    <w:p w14:paraId="61DB31A3" w14:textId="77777777" w:rsidR="00000000" w:rsidRDefault="007125B5">
      <w:pPr>
        <w:rPr>
          <w:rFonts w:eastAsia="Times New Roman"/>
        </w:rPr>
      </w:pPr>
      <w:r>
        <w:rPr>
          <w:rFonts w:eastAsia="Times New Roman"/>
        </w:rPr>
        <w:pict w14:anchorId="65DE3BFD">
          <v:rect id="_x0000_i1036" style="width:415.3pt;height:1.5pt" o:hralign="center" o:hrstd="t" o:hr="t" fillcolor="#a0a0a0" stroked="f"/>
        </w:pict>
      </w:r>
    </w:p>
    <w:p w14:paraId="310C340D" w14:textId="77777777" w:rsidR="00000000" w:rsidRDefault="007125B5">
      <w:pPr>
        <w:pStyle w:val="a3"/>
        <w:spacing w:before="0" w:beforeAutospacing="0" w:after="0" w:afterAutospacing="0"/>
        <w:rPr>
          <w:sz w:val="20"/>
          <w:szCs w:val="20"/>
        </w:rPr>
      </w:pPr>
      <w:r>
        <w:rPr>
          <w:sz w:val="20"/>
          <w:szCs w:val="20"/>
        </w:rPr>
        <w:t> </w:t>
      </w:r>
    </w:p>
    <w:p w14:paraId="3C359789" w14:textId="77777777" w:rsidR="00000000" w:rsidRDefault="007125B5">
      <w:pPr>
        <w:pStyle w:val="a3"/>
        <w:shd w:val="clear" w:color="auto" w:fill="FFFFFF"/>
        <w:spacing w:before="240" w:beforeAutospacing="0" w:after="0" w:afterAutospacing="0"/>
        <w:ind w:firstLine="556"/>
        <w:rPr>
          <w:b/>
          <w:bCs/>
          <w:i/>
          <w:iCs/>
          <w:color w:val="000000"/>
          <w:sz w:val="20"/>
          <w:szCs w:val="20"/>
        </w:rPr>
      </w:pPr>
      <w:bookmarkStart w:id="22" w:name="_AEIOULastRenderedPageBreakAEIOU13"/>
      <w:bookmarkEnd w:id="22"/>
      <w:r>
        <w:rPr>
          <w:b/>
          <w:bCs/>
          <w:i/>
          <w:iCs/>
          <w:color w:val="000000"/>
          <w:sz w:val="20"/>
          <w:szCs w:val="20"/>
        </w:rPr>
        <w:t>Target</w:t>
      </w:r>
      <w:r>
        <w:rPr>
          <w:b/>
          <w:bCs/>
          <w:i/>
          <w:iCs/>
          <w:color w:val="000000"/>
          <w:sz w:val="20"/>
          <w:szCs w:val="20"/>
        </w:rPr>
        <w:t xml:space="preserve"> Emission Services USA LP</w:t>
      </w:r>
      <w:r>
        <w:rPr>
          <w:color w:val="000000"/>
          <w:sz w:val="20"/>
          <w:szCs w:val="20"/>
        </w:rPr>
        <w:t>—In April 2019, the Company acquired 100% of the issued and outstanding capital stock of Target Emission Services USA LP (now Target Emission Services USA LLC) (“TESUS”), an emission detection company in the United States. TESUS ex</w:t>
      </w:r>
      <w:r>
        <w:rPr>
          <w:color w:val="000000"/>
          <w:sz w:val="20"/>
          <w:szCs w:val="20"/>
        </w:rPr>
        <w:t>pands the Company’s LDAR business throughout the United States.</w:t>
      </w:r>
    </w:p>
    <w:p w14:paraId="6F03412D" w14:textId="77777777" w:rsidR="00000000" w:rsidRDefault="007125B5">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Air Water &amp; Soil Laboratories, Inc.</w:t>
      </w:r>
      <w:r>
        <w:rPr>
          <w:color w:val="000000"/>
          <w:sz w:val="20"/>
          <w:szCs w:val="20"/>
        </w:rPr>
        <w:t>—In June 2019, the Company acquired 100% of the issued and outstanding capital stock of Air Water &amp; Soil Laboratories, Inc. (“AWS”), a provider of air, water</w:t>
      </w:r>
      <w:r>
        <w:rPr>
          <w:color w:val="000000"/>
          <w:sz w:val="20"/>
          <w:szCs w:val="20"/>
        </w:rPr>
        <w:t>, and soil testing in the mid-Atlantic region. AWS expands the Company’s air, water, and soil environmental lab services in the East Coast.</w:t>
      </w:r>
    </w:p>
    <w:p w14:paraId="6AE8567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following table summarizes the elements of purchase price of the acquisitions completed during the six months en</w:t>
      </w:r>
      <w:r>
        <w:rPr>
          <w:color w:val="000000"/>
          <w:sz w:val="20"/>
          <w:szCs w:val="20"/>
        </w:rPr>
        <w:t>ded June 30, 2019:</w:t>
      </w:r>
    </w:p>
    <w:p w14:paraId="6E498AC3"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676"/>
        <w:gridCol w:w="65"/>
        <w:gridCol w:w="115"/>
        <w:gridCol w:w="601"/>
        <w:gridCol w:w="65"/>
        <w:gridCol w:w="65"/>
        <w:gridCol w:w="116"/>
        <w:gridCol w:w="584"/>
        <w:gridCol w:w="65"/>
        <w:gridCol w:w="65"/>
        <w:gridCol w:w="116"/>
        <w:gridCol w:w="779"/>
        <w:gridCol w:w="65"/>
        <w:gridCol w:w="65"/>
        <w:gridCol w:w="116"/>
        <w:gridCol w:w="873"/>
        <w:gridCol w:w="65"/>
        <w:gridCol w:w="65"/>
        <w:gridCol w:w="115"/>
        <w:gridCol w:w="565"/>
        <w:gridCol w:w="65"/>
      </w:tblGrid>
      <w:tr w:rsidR="00000000" w14:paraId="29D91B8D" w14:textId="77777777">
        <w:trPr>
          <w:divId w:val="1851674464"/>
          <w:jc w:val="center"/>
        </w:trPr>
        <w:tc>
          <w:tcPr>
            <w:tcW w:w="2239" w:type="pct"/>
            <w:shd w:val="clear" w:color="auto" w:fill="FFFFFF"/>
            <w:tcMar>
              <w:top w:w="15" w:type="dxa"/>
              <w:left w:w="0" w:type="dxa"/>
              <w:bottom w:w="0" w:type="dxa"/>
              <w:right w:w="15" w:type="dxa"/>
            </w:tcMar>
            <w:vAlign w:val="bottom"/>
            <w:hideMark/>
          </w:tcPr>
          <w:p w14:paraId="165D46F7" w14:textId="77777777" w:rsidR="00000000" w:rsidRDefault="007125B5">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14:paraId="13782968"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3D92CB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Cash</w:t>
            </w:r>
          </w:p>
        </w:tc>
        <w:tc>
          <w:tcPr>
            <w:tcW w:w="50" w:type="pct"/>
            <w:shd w:val="clear" w:color="auto" w:fill="FFFFFF"/>
            <w:noWrap/>
            <w:tcMar>
              <w:top w:w="15" w:type="dxa"/>
              <w:left w:w="0" w:type="dxa"/>
              <w:bottom w:w="0" w:type="dxa"/>
              <w:right w:w="15" w:type="dxa"/>
            </w:tcMar>
            <w:vAlign w:val="bottom"/>
            <w:hideMark/>
          </w:tcPr>
          <w:p w14:paraId="3D940E5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73F7E8F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8B21EA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Common</w:t>
            </w:r>
          </w:p>
          <w:p w14:paraId="344DF5E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14:paraId="2DDFA2F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777AD35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3E0A77A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Other</w:t>
            </w:r>
          </w:p>
          <w:p w14:paraId="329C898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Purchase</w:t>
            </w:r>
          </w:p>
          <w:p w14:paraId="3A5597D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Price</w:t>
            </w:r>
          </w:p>
          <w:p w14:paraId="00AE5CF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Components</w:t>
            </w:r>
          </w:p>
        </w:tc>
        <w:tc>
          <w:tcPr>
            <w:tcW w:w="50" w:type="pct"/>
            <w:shd w:val="clear" w:color="auto" w:fill="FFFFFF"/>
            <w:noWrap/>
            <w:tcMar>
              <w:top w:w="15" w:type="dxa"/>
              <w:left w:w="0" w:type="dxa"/>
              <w:bottom w:w="0" w:type="dxa"/>
              <w:right w:w="15" w:type="dxa"/>
            </w:tcMar>
            <w:vAlign w:val="bottom"/>
            <w:hideMark/>
          </w:tcPr>
          <w:p w14:paraId="3C300A2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1A023F0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6338D21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Contingent</w:t>
            </w:r>
          </w:p>
          <w:p w14:paraId="15DFF74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Consideration</w:t>
            </w:r>
          </w:p>
        </w:tc>
        <w:tc>
          <w:tcPr>
            <w:tcW w:w="50" w:type="pct"/>
            <w:shd w:val="clear" w:color="auto" w:fill="FFFFFF"/>
            <w:noWrap/>
            <w:tcMar>
              <w:top w:w="15" w:type="dxa"/>
              <w:left w:w="0" w:type="dxa"/>
              <w:bottom w:w="0" w:type="dxa"/>
              <w:right w:w="15" w:type="dxa"/>
            </w:tcMar>
            <w:vAlign w:val="bottom"/>
            <w:hideMark/>
          </w:tcPr>
          <w:p w14:paraId="4C1E002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35F8120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8D8BC8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p w14:paraId="7DC4ADE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Purchase</w:t>
            </w:r>
          </w:p>
          <w:p w14:paraId="7D4F64B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14:paraId="69D84B9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5B87020" w14:textId="77777777">
        <w:trPr>
          <w:divId w:val="1851674464"/>
          <w:jc w:val="center"/>
        </w:trPr>
        <w:tc>
          <w:tcPr>
            <w:tcW w:w="2239" w:type="pct"/>
            <w:shd w:val="clear" w:color="auto" w:fill="CFF0FC"/>
            <w:tcMar>
              <w:top w:w="15" w:type="dxa"/>
              <w:left w:w="0" w:type="dxa"/>
              <w:bottom w:w="0" w:type="dxa"/>
              <w:right w:w="15" w:type="dxa"/>
            </w:tcMar>
            <w:hideMark/>
          </w:tcPr>
          <w:p w14:paraId="0902CA71" w14:textId="77777777" w:rsidR="00000000" w:rsidRDefault="007125B5">
            <w:pPr>
              <w:pStyle w:val="a3"/>
              <w:spacing w:before="0" w:beforeAutospacing="0" w:after="0" w:afterAutospacing="0"/>
              <w:rPr>
                <w:color w:val="000000"/>
                <w:sz w:val="20"/>
                <w:szCs w:val="20"/>
              </w:rPr>
            </w:pPr>
            <w:r>
              <w:rPr>
                <w:color w:val="000000"/>
                <w:sz w:val="20"/>
                <w:szCs w:val="20"/>
              </w:rPr>
              <w:t>Golden</w:t>
            </w:r>
          </w:p>
        </w:tc>
        <w:tc>
          <w:tcPr>
            <w:tcW w:w="54" w:type="pct"/>
            <w:shd w:val="clear" w:color="auto" w:fill="CFF0FC"/>
            <w:tcMar>
              <w:top w:w="15" w:type="dxa"/>
              <w:left w:w="0" w:type="dxa"/>
              <w:bottom w:w="0" w:type="dxa"/>
              <w:right w:w="15" w:type="dxa"/>
            </w:tcMar>
            <w:vAlign w:val="bottom"/>
            <w:hideMark/>
          </w:tcPr>
          <w:p w14:paraId="4B1CF8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8314E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CC53EEE" w14:textId="77777777" w:rsidR="00000000" w:rsidRDefault="007125B5">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CFF0FC"/>
            <w:noWrap/>
            <w:tcMar>
              <w:top w:w="15" w:type="dxa"/>
              <w:left w:w="0" w:type="dxa"/>
              <w:bottom w:w="0" w:type="dxa"/>
              <w:right w:w="15" w:type="dxa"/>
            </w:tcMar>
            <w:vAlign w:val="bottom"/>
            <w:hideMark/>
          </w:tcPr>
          <w:p w14:paraId="060BEA9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23414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FD849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2D4115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A9D5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A725C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5C99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B72D6C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A556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4E7A8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31904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678037B" w14:textId="77777777" w:rsidR="00000000" w:rsidRDefault="007125B5">
            <w:pPr>
              <w:pStyle w:val="a3"/>
              <w:spacing w:before="0" w:beforeAutospacing="0" w:after="0" w:afterAutospacing="0"/>
              <w:jc w:val="right"/>
              <w:rPr>
                <w:color w:val="000000"/>
                <w:sz w:val="20"/>
                <w:szCs w:val="20"/>
              </w:rPr>
            </w:pPr>
            <w:r>
              <w:rPr>
                <w:color w:val="000000"/>
                <w:sz w:val="20"/>
                <w:szCs w:val="20"/>
              </w:rPr>
              <w:t>477</w:t>
            </w:r>
          </w:p>
        </w:tc>
        <w:tc>
          <w:tcPr>
            <w:tcW w:w="50" w:type="pct"/>
            <w:shd w:val="clear" w:color="auto" w:fill="CFF0FC"/>
            <w:noWrap/>
            <w:tcMar>
              <w:top w:w="15" w:type="dxa"/>
              <w:left w:w="0" w:type="dxa"/>
              <w:bottom w:w="0" w:type="dxa"/>
              <w:right w:w="15" w:type="dxa"/>
            </w:tcMar>
            <w:vAlign w:val="bottom"/>
            <w:hideMark/>
          </w:tcPr>
          <w:p w14:paraId="452A2E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E449E0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708CB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5DD2948E" w14:textId="77777777" w:rsidR="00000000" w:rsidRDefault="007125B5">
            <w:pPr>
              <w:pStyle w:val="a3"/>
              <w:spacing w:before="0" w:beforeAutospacing="0" w:after="0" w:afterAutospacing="0"/>
              <w:jc w:val="right"/>
              <w:rPr>
                <w:color w:val="000000"/>
                <w:sz w:val="20"/>
                <w:szCs w:val="20"/>
              </w:rPr>
            </w:pPr>
            <w:r>
              <w:rPr>
                <w:color w:val="000000"/>
                <w:sz w:val="20"/>
                <w:szCs w:val="20"/>
              </w:rPr>
              <w:t>1,977</w:t>
            </w:r>
          </w:p>
        </w:tc>
        <w:tc>
          <w:tcPr>
            <w:tcW w:w="50" w:type="pct"/>
            <w:shd w:val="clear" w:color="auto" w:fill="CFF0FC"/>
            <w:noWrap/>
            <w:tcMar>
              <w:top w:w="15" w:type="dxa"/>
              <w:left w:w="0" w:type="dxa"/>
              <w:bottom w:w="0" w:type="dxa"/>
              <w:right w:w="15" w:type="dxa"/>
            </w:tcMar>
            <w:vAlign w:val="bottom"/>
            <w:hideMark/>
          </w:tcPr>
          <w:p w14:paraId="7299EA2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A9C8C38" w14:textId="77777777">
        <w:trPr>
          <w:divId w:val="1851674464"/>
          <w:jc w:val="center"/>
        </w:trPr>
        <w:tc>
          <w:tcPr>
            <w:tcW w:w="2239" w:type="pct"/>
            <w:shd w:val="clear" w:color="auto" w:fill="FFFFFF"/>
            <w:tcMar>
              <w:top w:w="15" w:type="dxa"/>
              <w:left w:w="0" w:type="dxa"/>
              <w:bottom w:w="0" w:type="dxa"/>
              <w:right w:w="15" w:type="dxa"/>
            </w:tcMar>
            <w:hideMark/>
          </w:tcPr>
          <w:p w14:paraId="5FB237A4" w14:textId="77777777" w:rsidR="00000000" w:rsidRDefault="007125B5">
            <w:pPr>
              <w:pStyle w:val="a3"/>
              <w:spacing w:before="0" w:beforeAutospacing="0" w:after="0" w:afterAutospacing="0"/>
              <w:rPr>
                <w:color w:val="000000"/>
                <w:sz w:val="20"/>
                <w:szCs w:val="20"/>
              </w:rPr>
            </w:pPr>
            <w:r>
              <w:rPr>
                <w:color w:val="000000"/>
                <w:sz w:val="20"/>
                <w:szCs w:val="20"/>
              </w:rPr>
              <w:t>TES</w:t>
            </w:r>
          </w:p>
        </w:tc>
        <w:tc>
          <w:tcPr>
            <w:tcW w:w="54" w:type="pct"/>
            <w:shd w:val="clear" w:color="auto" w:fill="FFFFFF"/>
            <w:tcMar>
              <w:top w:w="15" w:type="dxa"/>
              <w:left w:w="0" w:type="dxa"/>
              <w:bottom w:w="0" w:type="dxa"/>
              <w:right w:w="15" w:type="dxa"/>
            </w:tcMar>
            <w:vAlign w:val="bottom"/>
            <w:hideMark/>
          </w:tcPr>
          <w:p w14:paraId="530D7B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42E1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BDE2E39" w14:textId="77777777" w:rsidR="00000000" w:rsidRDefault="007125B5">
            <w:pPr>
              <w:pStyle w:val="a3"/>
              <w:spacing w:before="0" w:beforeAutospacing="0" w:after="0" w:afterAutospacing="0"/>
              <w:jc w:val="right"/>
              <w:rPr>
                <w:color w:val="000000"/>
                <w:sz w:val="20"/>
                <w:szCs w:val="20"/>
              </w:rPr>
            </w:pPr>
            <w:r>
              <w:rPr>
                <w:color w:val="000000"/>
                <w:sz w:val="20"/>
                <w:szCs w:val="20"/>
              </w:rPr>
              <w:t>2,359</w:t>
            </w:r>
          </w:p>
        </w:tc>
        <w:tc>
          <w:tcPr>
            <w:tcW w:w="50" w:type="pct"/>
            <w:shd w:val="clear" w:color="auto" w:fill="FFFFFF"/>
            <w:noWrap/>
            <w:tcMar>
              <w:top w:w="15" w:type="dxa"/>
              <w:left w:w="0" w:type="dxa"/>
              <w:bottom w:w="0" w:type="dxa"/>
              <w:right w:w="15" w:type="dxa"/>
            </w:tcMar>
            <w:vAlign w:val="bottom"/>
            <w:hideMark/>
          </w:tcPr>
          <w:p w14:paraId="45A020F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B1E73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4133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2587BAA" w14:textId="77777777" w:rsidR="00000000" w:rsidRDefault="007125B5">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FFFFFF"/>
            <w:noWrap/>
            <w:tcMar>
              <w:top w:w="15" w:type="dxa"/>
              <w:left w:w="0" w:type="dxa"/>
              <w:bottom w:w="0" w:type="dxa"/>
              <w:right w:w="15" w:type="dxa"/>
            </w:tcMar>
            <w:vAlign w:val="bottom"/>
            <w:hideMark/>
          </w:tcPr>
          <w:p w14:paraId="578CF8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636A9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2230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C9C666E" w14:textId="77777777" w:rsidR="00000000" w:rsidRDefault="007125B5">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FFFFFF"/>
            <w:noWrap/>
            <w:tcMar>
              <w:top w:w="15" w:type="dxa"/>
              <w:left w:w="0" w:type="dxa"/>
              <w:bottom w:w="0" w:type="dxa"/>
              <w:right w:w="15" w:type="dxa"/>
            </w:tcMar>
            <w:vAlign w:val="bottom"/>
            <w:hideMark/>
          </w:tcPr>
          <w:p w14:paraId="771276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A4601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BCC5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6EB57C0" w14:textId="77777777" w:rsidR="00000000" w:rsidRDefault="007125B5">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FFFFFF"/>
            <w:noWrap/>
            <w:tcMar>
              <w:top w:w="15" w:type="dxa"/>
              <w:left w:w="0" w:type="dxa"/>
              <w:bottom w:w="0" w:type="dxa"/>
              <w:right w:w="15" w:type="dxa"/>
            </w:tcMar>
            <w:vAlign w:val="bottom"/>
            <w:hideMark/>
          </w:tcPr>
          <w:p w14:paraId="0D921C9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960B8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89942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F060772" w14:textId="77777777" w:rsidR="00000000" w:rsidRDefault="007125B5">
            <w:pPr>
              <w:pStyle w:val="a3"/>
              <w:spacing w:before="0" w:beforeAutospacing="0" w:after="0" w:afterAutospacing="0"/>
              <w:jc w:val="right"/>
              <w:rPr>
                <w:color w:val="000000"/>
                <w:sz w:val="20"/>
                <w:szCs w:val="20"/>
              </w:rPr>
            </w:pPr>
            <w:r>
              <w:rPr>
                <w:color w:val="000000"/>
                <w:sz w:val="20"/>
                <w:szCs w:val="20"/>
              </w:rPr>
              <w:t>7,617</w:t>
            </w:r>
          </w:p>
        </w:tc>
        <w:tc>
          <w:tcPr>
            <w:tcW w:w="50" w:type="pct"/>
            <w:shd w:val="clear" w:color="auto" w:fill="FFFFFF"/>
            <w:noWrap/>
            <w:tcMar>
              <w:top w:w="15" w:type="dxa"/>
              <w:left w:w="0" w:type="dxa"/>
              <w:bottom w:w="0" w:type="dxa"/>
              <w:right w:w="15" w:type="dxa"/>
            </w:tcMar>
            <w:vAlign w:val="bottom"/>
            <w:hideMark/>
          </w:tcPr>
          <w:p w14:paraId="7558616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7F97428" w14:textId="77777777">
        <w:trPr>
          <w:divId w:val="1851674464"/>
          <w:jc w:val="center"/>
        </w:trPr>
        <w:tc>
          <w:tcPr>
            <w:tcW w:w="2239" w:type="pct"/>
            <w:shd w:val="clear" w:color="auto" w:fill="CFF0FC"/>
            <w:tcMar>
              <w:top w:w="15" w:type="dxa"/>
              <w:left w:w="0" w:type="dxa"/>
              <w:bottom w:w="0" w:type="dxa"/>
              <w:right w:w="15" w:type="dxa"/>
            </w:tcMar>
            <w:hideMark/>
          </w:tcPr>
          <w:p w14:paraId="42BC335C" w14:textId="77777777" w:rsidR="00000000" w:rsidRDefault="007125B5">
            <w:pPr>
              <w:pStyle w:val="a3"/>
              <w:spacing w:before="0" w:beforeAutospacing="0" w:after="0" w:afterAutospacing="0"/>
              <w:rPr>
                <w:color w:val="000000"/>
                <w:sz w:val="20"/>
                <w:szCs w:val="20"/>
              </w:rPr>
            </w:pPr>
            <w:r>
              <w:rPr>
                <w:color w:val="000000"/>
                <w:sz w:val="20"/>
                <w:szCs w:val="20"/>
              </w:rPr>
              <w:t>TESUS</w:t>
            </w:r>
          </w:p>
        </w:tc>
        <w:tc>
          <w:tcPr>
            <w:tcW w:w="54" w:type="pct"/>
            <w:shd w:val="clear" w:color="auto" w:fill="CFF0FC"/>
            <w:tcMar>
              <w:top w:w="15" w:type="dxa"/>
              <w:left w:w="0" w:type="dxa"/>
              <w:bottom w:w="0" w:type="dxa"/>
              <w:right w:w="15" w:type="dxa"/>
            </w:tcMar>
            <w:vAlign w:val="bottom"/>
            <w:hideMark/>
          </w:tcPr>
          <w:p w14:paraId="490B23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55CA0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534BAA6" w14:textId="77777777" w:rsidR="00000000" w:rsidRDefault="007125B5">
            <w:pPr>
              <w:pStyle w:val="a3"/>
              <w:spacing w:before="0" w:beforeAutospacing="0" w:after="0" w:afterAutospacing="0"/>
              <w:jc w:val="right"/>
              <w:rPr>
                <w:color w:val="000000"/>
                <w:sz w:val="20"/>
                <w:szCs w:val="20"/>
              </w:rPr>
            </w:pPr>
            <w:r>
              <w:rPr>
                <w:color w:val="000000"/>
                <w:sz w:val="20"/>
                <w:szCs w:val="20"/>
              </w:rPr>
              <w:t>18,683</w:t>
            </w:r>
          </w:p>
        </w:tc>
        <w:tc>
          <w:tcPr>
            <w:tcW w:w="50" w:type="pct"/>
            <w:shd w:val="clear" w:color="auto" w:fill="CFF0FC"/>
            <w:noWrap/>
            <w:tcMar>
              <w:top w:w="15" w:type="dxa"/>
              <w:left w:w="0" w:type="dxa"/>
              <w:bottom w:w="0" w:type="dxa"/>
              <w:right w:w="15" w:type="dxa"/>
            </w:tcMar>
            <w:vAlign w:val="bottom"/>
            <w:hideMark/>
          </w:tcPr>
          <w:p w14:paraId="42E944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9E4871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1EFA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285CA6E" w14:textId="77777777" w:rsidR="00000000" w:rsidRDefault="007125B5">
            <w:pPr>
              <w:pStyle w:val="a3"/>
              <w:spacing w:before="0" w:beforeAutospacing="0" w:after="0" w:afterAutospacing="0"/>
              <w:jc w:val="right"/>
              <w:rPr>
                <w:color w:val="000000"/>
                <w:sz w:val="20"/>
                <w:szCs w:val="20"/>
              </w:rPr>
            </w:pPr>
            <w:r>
              <w:rPr>
                <w:color w:val="000000"/>
                <w:sz w:val="20"/>
                <w:szCs w:val="20"/>
              </w:rPr>
              <w:t>3,041</w:t>
            </w:r>
          </w:p>
        </w:tc>
        <w:tc>
          <w:tcPr>
            <w:tcW w:w="50" w:type="pct"/>
            <w:shd w:val="clear" w:color="auto" w:fill="CFF0FC"/>
            <w:noWrap/>
            <w:tcMar>
              <w:top w:w="15" w:type="dxa"/>
              <w:left w:w="0" w:type="dxa"/>
              <w:bottom w:w="0" w:type="dxa"/>
              <w:right w:w="15" w:type="dxa"/>
            </w:tcMar>
            <w:vAlign w:val="bottom"/>
            <w:hideMark/>
          </w:tcPr>
          <w:p w14:paraId="61B380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E44655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F18E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2DE85C0B" w14:textId="77777777" w:rsidR="00000000" w:rsidRDefault="007125B5">
            <w:pPr>
              <w:pStyle w:val="a3"/>
              <w:spacing w:before="0" w:beforeAutospacing="0" w:after="0" w:afterAutospacing="0"/>
              <w:jc w:val="right"/>
              <w:rPr>
                <w:color w:val="000000"/>
                <w:sz w:val="20"/>
                <w:szCs w:val="20"/>
              </w:rPr>
            </w:pPr>
            <w:r>
              <w:rPr>
                <w:color w:val="000000"/>
                <w:sz w:val="20"/>
                <w:szCs w:val="20"/>
              </w:rPr>
              <w:t>1,495</w:t>
            </w:r>
          </w:p>
        </w:tc>
        <w:tc>
          <w:tcPr>
            <w:tcW w:w="50" w:type="pct"/>
            <w:shd w:val="clear" w:color="auto" w:fill="CFF0FC"/>
            <w:noWrap/>
            <w:tcMar>
              <w:top w:w="15" w:type="dxa"/>
              <w:left w:w="0" w:type="dxa"/>
              <w:bottom w:w="0" w:type="dxa"/>
              <w:right w:w="15" w:type="dxa"/>
            </w:tcMar>
            <w:vAlign w:val="bottom"/>
            <w:hideMark/>
          </w:tcPr>
          <w:p w14:paraId="461FE9F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15F65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CB5E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BFA31B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851EA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991E97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B62C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0CDACE2" w14:textId="77777777" w:rsidR="00000000" w:rsidRDefault="007125B5">
            <w:pPr>
              <w:pStyle w:val="a3"/>
              <w:spacing w:before="0" w:beforeAutospacing="0" w:after="0" w:afterAutospacing="0"/>
              <w:jc w:val="right"/>
              <w:rPr>
                <w:color w:val="000000"/>
                <w:sz w:val="20"/>
                <w:szCs w:val="20"/>
              </w:rPr>
            </w:pPr>
            <w:r>
              <w:rPr>
                <w:color w:val="000000"/>
                <w:sz w:val="20"/>
                <w:szCs w:val="20"/>
              </w:rPr>
              <w:t>23,219</w:t>
            </w:r>
          </w:p>
        </w:tc>
        <w:tc>
          <w:tcPr>
            <w:tcW w:w="50" w:type="pct"/>
            <w:shd w:val="clear" w:color="auto" w:fill="CFF0FC"/>
            <w:noWrap/>
            <w:tcMar>
              <w:top w:w="15" w:type="dxa"/>
              <w:left w:w="0" w:type="dxa"/>
              <w:bottom w:w="0" w:type="dxa"/>
              <w:right w:w="15" w:type="dxa"/>
            </w:tcMar>
            <w:vAlign w:val="bottom"/>
            <w:hideMark/>
          </w:tcPr>
          <w:p w14:paraId="7D6E352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216872D" w14:textId="77777777">
        <w:trPr>
          <w:divId w:val="1851674464"/>
          <w:jc w:val="center"/>
        </w:trPr>
        <w:tc>
          <w:tcPr>
            <w:tcW w:w="2239" w:type="pct"/>
            <w:shd w:val="clear" w:color="auto" w:fill="FFFFFF"/>
            <w:tcMar>
              <w:top w:w="15" w:type="dxa"/>
              <w:left w:w="0" w:type="dxa"/>
              <w:bottom w:w="0" w:type="dxa"/>
              <w:right w:w="15" w:type="dxa"/>
            </w:tcMar>
            <w:hideMark/>
          </w:tcPr>
          <w:p w14:paraId="07E9E080" w14:textId="77777777" w:rsidR="00000000" w:rsidRDefault="007125B5">
            <w:pPr>
              <w:pStyle w:val="a3"/>
              <w:spacing w:before="0" w:beforeAutospacing="0" w:after="0" w:afterAutospacing="0"/>
              <w:rPr>
                <w:color w:val="000000"/>
                <w:sz w:val="20"/>
                <w:szCs w:val="20"/>
              </w:rPr>
            </w:pPr>
            <w:r>
              <w:rPr>
                <w:color w:val="000000"/>
                <w:sz w:val="20"/>
                <w:szCs w:val="20"/>
              </w:rPr>
              <w:t>AWS</w:t>
            </w:r>
          </w:p>
        </w:tc>
        <w:tc>
          <w:tcPr>
            <w:tcW w:w="54" w:type="pct"/>
            <w:shd w:val="clear" w:color="auto" w:fill="FFFFFF"/>
            <w:tcMar>
              <w:top w:w="15" w:type="dxa"/>
              <w:left w:w="0" w:type="dxa"/>
              <w:bottom w:w="0" w:type="dxa"/>
              <w:right w:w="15" w:type="dxa"/>
            </w:tcMar>
            <w:vAlign w:val="bottom"/>
            <w:hideMark/>
          </w:tcPr>
          <w:p w14:paraId="32564A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6CF7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7651D606" w14:textId="77777777" w:rsidR="00000000" w:rsidRDefault="007125B5">
            <w:pPr>
              <w:pStyle w:val="a3"/>
              <w:spacing w:before="0" w:beforeAutospacing="0" w:after="0" w:afterAutospacing="0"/>
              <w:jc w:val="right"/>
              <w:rPr>
                <w:color w:val="000000"/>
                <w:sz w:val="20"/>
                <w:szCs w:val="20"/>
              </w:rPr>
            </w:pPr>
            <w:r>
              <w:rPr>
                <w:color w:val="000000"/>
                <w:sz w:val="20"/>
                <w:szCs w:val="20"/>
              </w:rPr>
              <w:t>6,020</w:t>
            </w:r>
          </w:p>
        </w:tc>
        <w:tc>
          <w:tcPr>
            <w:tcW w:w="50" w:type="pct"/>
            <w:shd w:val="clear" w:color="auto" w:fill="FFFFFF"/>
            <w:noWrap/>
            <w:tcMar>
              <w:top w:w="15" w:type="dxa"/>
              <w:left w:w="0" w:type="dxa"/>
              <w:bottom w:w="0" w:type="dxa"/>
              <w:right w:w="15" w:type="dxa"/>
            </w:tcMar>
            <w:vAlign w:val="bottom"/>
            <w:hideMark/>
          </w:tcPr>
          <w:p w14:paraId="3C8C9B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94923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F083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770254D8"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F7DC7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75481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FF947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293B82BC" w14:textId="77777777" w:rsidR="00000000" w:rsidRDefault="007125B5">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14:paraId="6B131FD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7B968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EDC78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6B09ACC3"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D35924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B3974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40C4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1DB3487F" w14:textId="77777777" w:rsidR="00000000" w:rsidRDefault="007125B5">
            <w:pPr>
              <w:pStyle w:val="a3"/>
              <w:spacing w:before="0" w:beforeAutospacing="0" w:after="0" w:afterAutospacing="0"/>
              <w:jc w:val="right"/>
              <w:rPr>
                <w:color w:val="000000"/>
                <w:sz w:val="20"/>
                <w:szCs w:val="20"/>
              </w:rPr>
            </w:pPr>
            <w:r>
              <w:rPr>
                <w:color w:val="000000"/>
                <w:sz w:val="20"/>
                <w:szCs w:val="20"/>
              </w:rPr>
              <w:t>6,170</w:t>
            </w:r>
          </w:p>
        </w:tc>
        <w:tc>
          <w:tcPr>
            <w:tcW w:w="50" w:type="pct"/>
            <w:shd w:val="clear" w:color="auto" w:fill="FFFFFF"/>
            <w:noWrap/>
            <w:tcMar>
              <w:top w:w="15" w:type="dxa"/>
              <w:left w:w="0" w:type="dxa"/>
              <w:bottom w:w="0" w:type="dxa"/>
              <w:right w:w="15" w:type="dxa"/>
            </w:tcMar>
            <w:vAlign w:val="bottom"/>
            <w:hideMark/>
          </w:tcPr>
          <w:p w14:paraId="01F0E89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69E3CC6" w14:textId="77777777">
        <w:trPr>
          <w:divId w:val="1851674464"/>
          <w:jc w:val="center"/>
        </w:trPr>
        <w:tc>
          <w:tcPr>
            <w:tcW w:w="2239" w:type="pct"/>
            <w:shd w:val="clear" w:color="auto" w:fill="FFFFFF"/>
            <w:tcMar>
              <w:top w:w="15" w:type="dxa"/>
              <w:left w:w="0" w:type="dxa"/>
              <w:bottom w:w="0" w:type="dxa"/>
              <w:right w:w="15" w:type="dxa"/>
            </w:tcMar>
            <w:hideMark/>
          </w:tcPr>
          <w:p w14:paraId="054C78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1C81A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9C4B8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0A359D" w14:textId="77777777" w:rsidR="00000000" w:rsidRDefault="007125B5">
            <w:pPr>
              <w:pStyle w:val="a3"/>
              <w:spacing w:before="0" w:beforeAutospacing="0" w:after="0" w:afterAutospacing="0"/>
              <w:jc w:val="right"/>
              <w:rPr>
                <w:color w:val="000000"/>
                <w:sz w:val="20"/>
                <w:szCs w:val="20"/>
              </w:rPr>
            </w:pPr>
            <w:r>
              <w:rPr>
                <w:color w:val="000000"/>
                <w:sz w:val="20"/>
                <w:szCs w:val="20"/>
              </w:rPr>
              <w:t>28,562</w:t>
            </w:r>
          </w:p>
        </w:tc>
        <w:tc>
          <w:tcPr>
            <w:tcW w:w="50" w:type="pct"/>
            <w:shd w:val="clear" w:color="auto" w:fill="FFFFFF"/>
            <w:noWrap/>
            <w:tcMar>
              <w:top w:w="15" w:type="dxa"/>
              <w:left w:w="0" w:type="dxa"/>
              <w:bottom w:w="0" w:type="dxa"/>
              <w:right w:w="15" w:type="dxa"/>
            </w:tcMar>
            <w:vAlign w:val="bottom"/>
            <w:hideMark/>
          </w:tcPr>
          <w:p w14:paraId="21B78B0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95D27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C0DD1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EED721" w14:textId="77777777" w:rsidR="00000000" w:rsidRDefault="007125B5">
            <w:pPr>
              <w:pStyle w:val="a3"/>
              <w:spacing w:before="0" w:beforeAutospacing="0" w:after="0" w:afterAutospacing="0"/>
              <w:jc w:val="right"/>
              <w:rPr>
                <w:color w:val="000000"/>
                <w:sz w:val="20"/>
                <w:szCs w:val="20"/>
              </w:rPr>
            </w:pPr>
            <w:r>
              <w:rPr>
                <w:color w:val="000000"/>
                <w:sz w:val="20"/>
                <w:szCs w:val="20"/>
              </w:rPr>
              <w:t>3,363</w:t>
            </w:r>
          </w:p>
        </w:tc>
        <w:tc>
          <w:tcPr>
            <w:tcW w:w="50" w:type="pct"/>
            <w:shd w:val="clear" w:color="auto" w:fill="FFFFFF"/>
            <w:noWrap/>
            <w:tcMar>
              <w:top w:w="15" w:type="dxa"/>
              <w:left w:w="0" w:type="dxa"/>
              <w:bottom w:w="0" w:type="dxa"/>
              <w:right w:w="15" w:type="dxa"/>
            </w:tcMar>
            <w:vAlign w:val="bottom"/>
            <w:hideMark/>
          </w:tcPr>
          <w:p w14:paraId="4FBFFF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3A79B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F4A7C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D46305" w14:textId="77777777" w:rsidR="00000000" w:rsidRDefault="007125B5">
            <w:pPr>
              <w:pStyle w:val="a3"/>
              <w:spacing w:before="0" w:beforeAutospacing="0" w:after="0" w:afterAutospacing="0"/>
              <w:jc w:val="right"/>
              <w:rPr>
                <w:color w:val="000000"/>
                <w:sz w:val="20"/>
                <w:szCs w:val="20"/>
              </w:rPr>
            </w:pPr>
            <w:r>
              <w:rPr>
                <w:color w:val="000000"/>
                <w:sz w:val="20"/>
                <w:szCs w:val="20"/>
              </w:rPr>
              <w:t>1,670</w:t>
            </w:r>
          </w:p>
        </w:tc>
        <w:tc>
          <w:tcPr>
            <w:tcW w:w="50" w:type="pct"/>
            <w:shd w:val="clear" w:color="auto" w:fill="FFFFFF"/>
            <w:noWrap/>
            <w:tcMar>
              <w:top w:w="15" w:type="dxa"/>
              <w:left w:w="0" w:type="dxa"/>
              <w:bottom w:w="0" w:type="dxa"/>
              <w:right w:w="15" w:type="dxa"/>
            </w:tcMar>
            <w:vAlign w:val="bottom"/>
            <w:hideMark/>
          </w:tcPr>
          <w:p w14:paraId="79E76A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DE870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3BCAB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DD1724" w14:textId="77777777" w:rsidR="00000000" w:rsidRDefault="007125B5">
            <w:pPr>
              <w:pStyle w:val="a3"/>
              <w:spacing w:before="0" w:beforeAutospacing="0" w:after="0" w:afterAutospacing="0"/>
              <w:jc w:val="right"/>
              <w:rPr>
                <w:color w:val="000000"/>
                <w:sz w:val="20"/>
                <w:szCs w:val="20"/>
              </w:rPr>
            </w:pPr>
            <w:r>
              <w:rPr>
                <w:color w:val="000000"/>
                <w:sz w:val="20"/>
                <w:szCs w:val="20"/>
              </w:rPr>
              <w:t>5,388</w:t>
            </w:r>
          </w:p>
        </w:tc>
        <w:tc>
          <w:tcPr>
            <w:tcW w:w="50" w:type="pct"/>
            <w:shd w:val="clear" w:color="auto" w:fill="FFFFFF"/>
            <w:noWrap/>
            <w:tcMar>
              <w:top w:w="15" w:type="dxa"/>
              <w:left w:w="0" w:type="dxa"/>
              <w:bottom w:w="0" w:type="dxa"/>
              <w:right w:w="15" w:type="dxa"/>
            </w:tcMar>
            <w:vAlign w:val="bottom"/>
            <w:hideMark/>
          </w:tcPr>
          <w:p w14:paraId="2DCD84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05503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75F11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AEFA62" w14:textId="77777777" w:rsidR="00000000" w:rsidRDefault="007125B5">
            <w:pPr>
              <w:pStyle w:val="a3"/>
              <w:spacing w:before="0" w:beforeAutospacing="0" w:after="0" w:afterAutospacing="0"/>
              <w:jc w:val="right"/>
              <w:rPr>
                <w:color w:val="000000"/>
                <w:sz w:val="20"/>
                <w:szCs w:val="20"/>
              </w:rPr>
            </w:pPr>
            <w:r>
              <w:rPr>
                <w:color w:val="000000"/>
                <w:sz w:val="20"/>
                <w:szCs w:val="20"/>
              </w:rPr>
              <w:t>38,983</w:t>
            </w:r>
          </w:p>
        </w:tc>
        <w:tc>
          <w:tcPr>
            <w:tcW w:w="50" w:type="pct"/>
            <w:shd w:val="clear" w:color="auto" w:fill="FFFFFF"/>
            <w:noWrap/>
            <w:tcMar>
              <w:top w:w="15" w:type="dxa"/>
              <w:left w:w="0" w:type="dxa"/>
              <w:bottom w:w="0" w:type="dxa"/>
              <w:right w:w="15" w:type="dxa"/>
            </w:tcMar>
            <w:vAlign w:val="bottom"/>
            <w:hideMark/>
          </w:tcPr>
          <w:p w14:paraId="76C88B8B"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F8E3358" w14:textId="77777777" w:rsidR="00000000" w:rsidRDefault="007125B5">
      <w:pPr>
        <w:pStyle w:val="a3"/>
        <w:shd w:val="clear" w:color="auto" w:fill="FFFFFF"/>
        <w:spacing w:before="0" w:beforeAutospacing="0" w:after="0" w:afterAutospacing="0"/>
        <w:rPr>
          <w:sz w:val="20"/>
          <w:szCs w:val="20"/>
        </w:rPr>
      </w:pPr>
      <w:r>
        <w:rPr>
          <w:sz w:val="20"/>
          <w:szCs w:val="20"/>
        </w:rPr>
        <w:t> </w:t>
      </w:r>
    </w:p>
    <w:p w14:paraId="0D54B8BF"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 xml:space="preserve">Contingent consideration elements of the purchase price of these acquisitions are related to earn-outs which are based on the expected achievement of revenue or earnings thresholds by the applicable business as of the date of the acquisition and for which </w:t>
      </w:r>
      <w:r>
        <w:rPr>
          <w:color w:val="000000"/>
          <w:sz w:val="20"/>
          <w:szCs w:val="20"/>
        </w:rPr>
        <w:t>the maximum potential amount to be earned is generally not limited.</w:t>
      </w:r>
    </w:p>
    <w:p w14:paraId="064041F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purchase price attributable to the acquisitions was allocated as follows:</w:t>
      </w:r>
    </w:p>
    <w:p w14:paraId="6A2E8A1F"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5316"/>
        <w:gridCol w:w="113"/>
        <w:gridCol w:w="115"/>
        <w:gridCol w:w="1036"/>
        <w:gridCol w:w="65"/>
      </w:tblGrid>
      <w:tr w:rsidR="00000000" w14:paraId="4CC9F0DA" w14:textId="77777777">
        <w:trPr>
          <w:divId w:val="1819496745"/>
          <w:jc w:val="center"/>
        </w:trPr>
        <w:tc>
          <w:tcPr>
            <w:tcW w:w="4011" w:type="pct"/>
            <w:shd w:val="clear" w:color="auto" w:fill="FFFFFF"/>
            <w:tcMar>
              <w:top w:w="15" w:type="dxa"/>
              <w:left w:w="0" w:type="dxa"/>
              <w:bottom w:w="0" w:type="dxa"/>
              <w:right w:w="15" w:type="dxa"/>
            </w:tcMar>
            <w:vAlign w:val="bottom"/>
            <w:hideMark/>
          </w:tcPr>
          <w:p w14:paraId="1675C3B8" w14:textId="77777777" w:rsidR="00000000" w:rsidRDefault="007125B5">
            <w:pPr>
              <w:pStyle w:val="a3"/>
              <w:spacing w:before="0" w:beforeAutospacing="0" w:after="0" w:afterAutospacing="0"/>
              <w:jc w:val="center"/>
              <w:rPr>
                <w:sz w:val="20"/>
                <w:szCs w:val="20"/>
              </w:rPr>
            </w:pPr>
            <w:r>
              <w:rPr>
                <w:sz w:val="20"/>
                <w:szCs w:val="20"/>
              </w:rPr>
              <w:t> </w:t>
            </w:r>
          </w:p>
        </w:tc>
        <w:tc>
          <w:tcPr>
            <w:tcW w:w="97" w:type="pct"/>
            <w:shd w:val="clear" w:color="auto" w:fill="FFFFFF"/>
            <w:tcMar>
              <w:top w:w="15" w:type="dxa"/>
              <w:left w:w="0" w:type="dxa"/>
              <w:bottom w:w="0" w:type="dxa"/>
              <w:right w:w="15" w:type="dxa"/>
            </w:tcMar>
            <w:vAlign w:val="bottom"/>
            <w:hideMark/>
          </w:tcPr>
          <w:p w14:paraId="3EE2385E"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9955C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noWrap/>
            <w:tcMar>
              <w:top w:w="15" w:type="dxa"/>
              <w:left w:w="0" w:type="dxa"/>
              <w:bottom w:w="0" w:type="dxa"/>
              <w:right w:w="15" w:type="dxa"/>
            </w:tcMar>
            <w:vAlign w:val="bottom"/>
            <w:hideMark/>
          </w:tcPr>
          <w:p w14:paraId="207C6EC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0B2F76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DED0AD6" w14:textId="77777777">
        <w:trPr>
          <w:divId w:val="1819496745"/>
          <w:jc w:val="center"/>
        </w:trPr>
        <w:tc>
          <w:tcPr>
            <w:tcW w:w="4011" w:type="pct"/>
            <w:shd w:val="clear" w:color="auto" w:fill="CFF0FC"/>
            <w:tcMar>
              <w:top w:w="15" w:type="dxa"/>
              <w:left w:w="0" w:type="dxa"/>
              <w:bottom w:w="0" w:type="dxa"/>
              <w:right w:w="15" w:type="dxa"/>
            </w:tcMar>
            <w:hideMark/>
          </w:tcPr>
          <w:p w14:paraId="7A29AB24" w14:textId="77777777" w:rsidR="00000000" w:rsidRDefault="007125B5">
            <w:pPr>
              <w:pStyle w:val="a3"/>
              <w:spacing w:before="0" w:beforeAutospacing="0" w:after="0" w:afterAutospacing="0"/>
              <w:rPr>
                <w:color w:val="000000"/>
                <w:sz w:val="20"/>
                <w:szCs w:val="20"/>
              </w:rPr>
            </w:pPr>
            <w:r>
              <w:rPr>
                <w:color w:val="000000"/>
                <w:sz w:val="20"/>
                <w:szCs w:val="20"/>
              </w:rPr>
              <w:t>Cash</w:t>
            </w:r>
          </w:p>
        </w:tc>
        <w:tc>
          <w:tcPr>
            <w:tcW w:w="97" w:type="pct"/>
            <w:shd w:val="clear" w:color="auto" w:fill="CFF0FC"/>
            <w:tcMar>
              <w:top w:w="15" w:type="dxa"/>
              <w:left w:w="0" w:type="dxa"/>
              <w:bottom w:w="0" w:type="dxa"/>
              <w:right w:w="15" w:type="dxa"/>
            </w:tcMar>
            <w:vAlign w:val="bottom"/>
            <w:hideMark/>
          </w:tcPr>
          <w:p w14:paraId="2B977D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A3BC8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14:paraId="3D8431C1" w14:textId="77777777" w:rsidR="00000000" w:rsidRDefault="007125B5">
            <w:pPr>
              <w:pStyle w:val="a3"/>
              <w:spacing w:before="0" w:beforeAutospacing="0" w:after="0" w:afterAutospacing="0"/>
              <w:jc w:val="right"/>
              <w:rPr>
                <w:color w:val="000000"/>
                <w:sz w:val="20"/>
                <w:szCs w:val="20"/>
              </w:rPr>
            </w:pPr>
            <w:r>
              <w:rPr>
                <w:color w:val="000000"/>
                <w:sz w:val="20"/>
                <w:szCs w:val="20"/>
              </w:rPr>
              <w:t>1,863</w:t>
            </w:r>
          </w:p>
        </w:tc>
        <w:tc>
          <w:tcPr>
            <w:tcW w:w="50" w:type="pct"/>
            <w:shd w:val="clear" w:color="auto" w:fill="CFF0FC"/>
            <w:noWrap/>
            <w:tcMar>
              <w:top w:w="15" w:type="dxa"/>
              <w:left w:w="0" w:type="dxa"/>
              <w:bottom w:w="0" w:type="dxa"/>
              <w:right w:w="15" w:type="dxa"/>
            </w:tcMar>
            <w:vAlign w:val="bottom"/>
            <w:hideMark/>
          </w:tcPr>
          <w:p w14:paraId="1375814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680DD50" w14:textId="77777777">
        <w:trPr>
          <w:divId w:val="1819496745"/>
          <w:jc w:val="center"/>
        </w:trPr>
        <w:tc>
          <w:tcPr>
            <w:tcW w:w="4011" w:type="pct"/>
            <w:shd w:val="clear" w:color="auto" w:fill="FFFFFF"/>
            <w:tcMar>
              <w:top w:w="15" w:type="dxa"/>
              <w:left w:w="0" w:type="dxa"/>
              <w:bottom w:w="0" w:type="dxa"/>
              <w:right w:w="15" w:type="dxa"/>
            </w:tcMar>
            <w:hideMark/>
          </w:tcPr>
          <w:p w14:paraId="29C57442" w14:textId="77777777" w:rsidR="00000000" w:rsidRDefault="007125B5">
            <w:pPr>
              <w:pStyle w:val="a3"/>
              <w:spacing w:before="0" w:beforeAutospacing="0" w:after="0" w:afterAutospacing="0"/>
              <w:rPr>
                <w:color w:val="000000"/>
                <w:sz w:val="20"/>
                <w:szCs w:val="20"/>
              </w:rPr>
            </w:pPr>
            <w:r>
              <w:rPr>
                <w:color w:val="000000"/>
                <w:sz w:val="20"/>
                <w:szCs w:val="20"/>
              </w:rPr>
              <w:t>Accounts receivable</w:t>
            </w:r>
          </w:p>
        </w:tc>
        <w:tc>
          <w:tcPr>
            <w:tcW w:w="97" w:type="pct"/>
            <w:shd w:val="clear" w:color="auto" w:fill="FFFFFF"/>
            <w:tcMar>
              <w:top w:w="15" w:type="dxa"/>
              <w:left w:w="0" w:type="dxa"/>
              <w:bottom w:w="0" w:type="dxa"/>
              <w:right w:w="15" w:type="dxa"/>
            </w:tcMar>
            <w:vAlign w:val="bottom"/>
            <w:hideMark/>
          </w:tcPr>
          <w:p w14:paraId="1709CA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AAE8D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50B282F9" w14:textId="77777777" w:rsidR="00000000" w:rsidRDefault="007125B5">
            <w:pPr>
              <w:pStyle w:val="a3"/>
              <w:spacing w:before="0" w:beforeAutospacing="0" w:after="0" w:afterAutospacing="0"/>
              <w:jc w:val="right"/>
              <w:rPr>
                <w:color w:val="000000"/>
                <w:sz w:val="20"/>
                <w:szCs w:val="20"/>
              </w:rPr>
            </w:pPr>
            <w:r>
              <w:rPr>
                <w:color w:val="000000"/>
                <w:sz w:val="20"/>
                <w:szCs w:val="20"/>
              </w:rPr>
              <w:t>2,670</w:t>
            </w:r>
          </w:p>
        </w:tc>
        <w:tc>
          <w:tcPr>
            <w:tcW w:w="50" w:type="pct"/>
            <w:shd w:val="clear" w:color="auto" w:fill="FFFFFF"/>
            <w:noWrap/>
            <w:tcMar>
              <w:top w:w="15" w:type="dxa"/>
              <w:left w:w="0" w:type="dxa"/>
              <w:bottom w:w="0" w:type="dxa"/>
              <w:right w:w="15" w:type="dxa"/>
            </w:tcMar>
            <w:vAlign w:val="bottom"/>
            <w:hideMark/>
          </w:tcPr>
          <w:p w14:paraId="6B577DC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3AD0B4F" w14:textId="77777777">
        <w:trPr>
          <w:divId w:val="1819496745"/>
          <w:jc w:val="center"/>
        </w:trPr>
        <w:tc>
          <w:tcPr>
            <w:tcW w:w="4011" w:type="pct"/>
            <w:shd w:val="clear" w:color="auto" w:fill="CFF0FC"/>
            <w:tcMar>
              <w:top w:w="15" w:type="dxa"/>
              <w:left w:w="0" w:type="dxa"/>
              <w:bottom w:w="0" w:type="dxa"/>
              <w:right w:w="15" w:type="dxa"/>
            </w:tcMar>
            <w:hideMark/>
          </w:tcPr>
          <w:p w14:paraId="68B70B85" w14:textId="77777777" w:rsidR="00000000" w:rsidRDefault="007125B5">
            <w:pPr>
              <w:pStyle w:val="a3"/>
              <w:spacing w:before="0" w:beforeAutospacing="0" w:after="0" w:afterAutospacing="0"/>
              <w:rPr>
                <w:color w:val="000000"/>
                <w:sz w:val="20"/>
                <w:szCs w:val="20"/>
              </w:rPr>
            </w:pPr>
            <w:r>
              <w:rPr>
                <w:color w:val="000000"/>
                <w:sz w:val="20"/>
                <w:szCs w:val="20"/>
              </w:rPr>
              <w:t>Other current assets</w:t>
            </w:r>
          </w:p>
        </w:tc>
        <w:tc>
          <w:tcPr>
            <w:tcW w:w="97" w:type="pct"/>
            <w:shd w:val="clear" w:color="auto" w:fill="CFF0FC"/>
            <w:tcMar>
              <w:top w:w="15" w:type="dxa"/>
              <w:left w:w="0" w:type="dxa"/>
              <w:bottom w:w="0" w:type="dxa"/>
              <w:right w:w="15" w:type="dxa"/>
            </w:tcMar>
            <w:vAlign w:val="bottom"/>
            <w:hideMark/>
          </w:tcPr>
          <w:p w14:paraId="5141D5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B2A1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14:paraId="10FD1BF6" w14:textId="77777777" w:rsidR="00000000" w:rsidRDefault="007125B5">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14:paraId="592676E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48B7E2E" w14:textId="77777777">
        <w:trPr>
          <w:divId w:val="1819496745"/>
          <w:jc w:val="center"/>
        </w:trPr>
        <w:tc>
          <w:tcPr>
            <w:tcW w:w="4011" w:type="pct"/>
            <w:shd w:val="clear" w:color="auto" w:fill="FFFFFF"/>
            <w:tcMar>
              <w:top w:w="15" w:type="dxa"/>
              <w:left w:w="0" w:type="dxa"/>
              <w:bottom w:w="0" w:type="dxa"/>
              <w:right w:w="15" w:type="dxa"/>
            </w:tcMar>
            <w:hideMark/>
          </w:tcPr>
          <w:p w14:paraId="1097ABCC" w14:textId="77777777" w:rsidR="00000000" w:rsidRDefault="007125B5">
            <w:pPr>
              <w:pStyle w:val="a3"/>
              <w:spacing w:before="0" w:beforeAutospacing="0" w:after="0" w:afterAutospacing="0"/>
              <w:ind w:left="274"/>
              <w:rPr>
                <w:color w:val="000000"/>
                <w:sz w:val="20"/>
                <w:szCs w:val="20"/>
              </w:rPr>
            </w:pPr>
            <w:r>
              <w:rPr>
                <w:color w:val="000000"/>
                <w:sz w:val="20"/>
                <w:szCs w:val="20"/>
              </w:rPr>
              <w:t>Current assets</w:t>
            </w:r>
          </w:p>
        </w:tc>
        <w:tc>
          <w:tcPr>
            <w:tcW w:w="97" w:type="pct"/>
            <w:shd w:val="clear" w:color="auto" w:fill="FFFFFF"/>
            <w:tcMar>
              <w:top w:w="15" w:type="dxa"/>
              <w:left w:w="0" w:type="dxa"/>
              <w:bottom w:w="0" w:type="dxa"/>
              <w:right w:w="15" w:type="dxa"/>
            </w:tcMar>
            <w:vAlign w:val="bottom"/>
            <w:hideMark/>
          </w:tcPr>
          <w:p w14:paraId="25A6594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9BB93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tcBorders>
            <w:shd w:val="clear" w:color="auto" w:fill="FFFFFF"/>
            <w:noWrap/>
            <w:tcMar>
              <w:top w:w="15" w:type="dxa"/>
              <w:left w:w="0" w:type="dxa"/>
              <w:bottom w:w="0" w:type="dxa"/>
              <w:right w:w="15" w:type="dxa"/>
            </w:tcMar>
            <w:vAlign w:val="bottom"/>
            <w:hideMark/>
          </w:tcPr>
          <w:p w14:paraId="2C1DCF29" w14:textId="77777777" w:rsidR="00000000" w:rsidRDefault="007125B5">
            <w:pPr>
              <w:pStyle w:val="a3"/>
              <w:spacing w:before="0" w:beforeAutospacing="0" w:after="0" w:afterAutospacing="0"/>
              <w:jc w:val="right"/>
              <w:rPr>
                <w:color w:val="000000"/>
                <w:sz w:val="20"/>
                <w:szCs w:val="20"/>
              </w:rPr>
            </w:pPr>
            <w:r>
              <w:rPr>
                <w:color w:val="000000"/>
                <w:sz w:val="20"/>
                <w:szCs w:val="20"/>
              </w:rPr>
              <w:t>4,564</w:t>
            </w:r>
          </w:p>
        </w:tc>
        <w:tc>
          <w:tcPr>
            <w:tcW w:w="50" w:type="pct"/>
            <w:shd w:val="clear" w:color="auto" w:fill="FFFFFF"/>
            <w:noWrap/>
            <w:tcMar>
              <w:top w:w="15" w:type="dxa"/>
              <w:left w:w="0" w:type="dxa"/>
              <w:bottom w:w="0" w:type="dxa"/>
              <w:right w:w="15" w:type="dxa"/>
            </w:tcMar>
            <w:vAlign w:val="bottom"/>
            <w:hideMark/>
          </w:tcPr>
          <w:p w14:paraId="0EA1141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942C848" w14:textId="77777777">
        <w:trPr>
          <w:divId w:val="1819496745"/>
          <w:jc w:val="center"/>
        </w:trPr>
        <w:tc>
          <w:tcPr>
            <w:tcW w:w="4011" w:type="pct"/>
            <w:shd w:val="clear" w:color="auto" w:fill="CFF0FC"/>
            <w:tcMar>
              <w:top w:w="15" w:type="dxa"/>
              <w:left w:w="0" w:type="dxa"/>
              <w:bottom w:w="0" w:type="dxa"/>
              <w:right w:w="15" w:type="dxa"/>
            </w:tcMar>
            <w:hideMark/>
          </w:tcPr>
          <w:p w14:paraId="067498C9" w14:textId="77777777" w:rsidR="00000000" w:rsidRDefault="007125B5">
            <w:pPr>
              <w:pStyle w:val="a3"/>
              <w:spacing w:before="0" w:beforeAutospacing="0" w:after="0" w:afterAutospacing="0"/>
              <w:rPr>
                <w:color w:val="000000"/>
                <w:sz w:val="20"/>
                <w:szCs w:val="20"/>
              </w:rPr>
            </w:pPr>
            <w:r>
              <w:rPr>
                <w:color w:val="000000"/>
                <w:sz w:val="20"/>
                <w:szCs w:val="20"/>
              </w:rPr>
              <w:t>Property and equipment</w:t>
            </w:r>
          </w:p>
        </w:tc>
        <w:tc>
          <w:tcPr>
            <w:tcW w:w="97" w:type="pct"/>
            <w:shd w:val="clear" w:color="auto" w:fill="CFF0FC"/>
            <w:tcMar>
              <w:top w:w="15" w:type="dxa"/>
              <w:left w:w="0" w:type="dxa"/>
              <w:bottom w:w="0" w:type="dxa"/>
              <w:right w:w="15" w:type="dxa"/>
            </w:tcMar>
            <w:vAlign w:val="bottom"/>
            <w:hideMark/>
          </w:tcPr>
          <w:p w14:paraId="421603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A367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54B5911A" w14:textId="77777777" w:rsidR="00000000" w:rsidRDefault="007125B5">
            <w:pPr>
              <w:pStyle w:val="a3"/>
              <w:spacing w:before="0" w:beforeAutospacing="0" w:after="0" w:afterAutospacing="0"/>
              <w:jc w:val="right"/>
              <w:rPr>
                <w:color w:val="000000"/>
                <w:sz w:val="20"/>
                <w:szCs w:val="20"/>
              </w:rPr>
            </w:pPr>
            <w:r>
              <w:rPr>
                <w:color w:val="000000"/>
                <w:sz w:val="20"/>
                <w:szCs w:val="20"/>
              </w:rPr>
              <w:t>2,450</w:t>
            </w:r>
          </w:p>
        </w:tc>
        <w:tc>
          <w:tcPr>
            <w:tcW w:w="50" w:type="pct"/>
            <w:shd w:val="clear" w:color="auto" w:fill="CFF0FC"/>
            <w:noWrap/>
            <w:tcMar>
              <w:top w:w="15" w:type="dxa"/>
              <w:left w:w="0" w:type="dxa"/>
              <w:bottom w:w="0" w:type="dxa"/>
              <w:right w:w="15" w:type="dxa"/>
            </w:tcMar>
            <w:vAlign w:val="bottom"/>
            <w:hideMark/>
          </w:tcPr>
          <w:p w14:paraId="548C667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409E2D3" w14:textId="77777777">
        <w:trPr>
          <w:divId w:val="1819496745"/>
          <w:jc w:val="center"/>
        </w:trPr>
        <w:tc>
          <w:tcPr>
            <w:tcW w:w="4011" w:type="pct"/>
            <w:shd w:val="clear" w:color="auto" w:fill="FFFFFF"/>
            <w:tcMar>
              <w:top w:w="15" w:type="dxa"/>
              <w:left w:w="0" w:type="dxa"/>
              <w:bottom w:w="0" w:type="dxa"/>
              <w:right w:w="15" w:type="dxa"/>
            </w:tcMar>
            <w:hideMark/>
          </w:tcPr>
          <w:p w14:paraId="020A33B9" w14:textId="77777777" w:rsidR="00000000" w:rsidRDefault="007125B5">
            <w:pPr>
              <w:pStyle w:val="a3"/>
              <w:spacing w:before="0" w:beforeAutospacing="0" w:after="0" w:afterAutospacing="0"/>
              <w:rPr>
                <w:color w:val="000000"/>
                <w:sz w:val="20"/>
                <w:szCs w:val="20"/>
              </w:rPr>
            </w:pPr>
            <w:r>
              <w:rPr>
                <w:color w:val="000000"/>
                <w:sz w:val="20"/>
                <w:szCs w:val="20"/>
              </w:rPr>
              <w:t>Customer relationships</w:t>
            </w:r>
          </w:p>
        </w:tc>
        <w:tc>
          <w:tcPr>
            <w:tcW w:w="97" w:type="pct"/>
            <w:shd w:val="clear" w:color="auto" w:fill="FFFFFF"/>
            <w:tcMar>
              <w:top w:w="15" w:type="dxa"/>
              <w:left w:w="0" w:type="dxa"/>
              <w:bottom w:w="0" w:type="dxa"/>
              <w:right w:w="15" w:type="dxa"/>
            </w:tcMar>
            <w:vAlign w:val="bottom"/>
            <w:hideMark/>
          </w:tcPr>
          <w:p w14:paraId="5C6EF1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2876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565784E3" w14:textId="77777777" w:rsidR="00000000" w:rsidRDefault="007125B5">
            <w:pPr>
              <w:pStyle w:val="a3"/>
              <w:spacing w:before="0" w:beforeAutospacing="0" w:after="0" w:afterAutospacing="0"/>
              <w:jc w:val="right"/>
              <w:rPr>
                <w:color w:val="000000"/>
                <w:sz w:val="20"/>
                <w:szCs w:val="20"/>
              </w:rPr>
            </w:pPr>
            <w:r>
              <w:rPr>
                <w:color w:val="000000"/>
                <w:sz w:val="20"/>
                <w:szCs w:val="20"/>
              </w:rPr>
              <w:t>11,823</w:t>
            </w:r>
          </w:p>
        </w:tc>
        <w:tc>
          <w:tcPr>
            <w:tcW w:w="50" w:type="pct"/>
            <w:shd w:val="clear" w:color="auto" w:fill="FFFFFF"/>
            <w:noWrap/>
            <w:tcMar>
              <w:top w:w="15" w:type="dxa"/>
              <w:left w:w="0" w:type="dxa"/>
              <w:bottom w:w="0" w:type="dxa"/>
              <w:right w:w="15" w:type="dxa"/>
            </w:tcMar>
            <w:vAlign w:val="bottom"/>
            <w:hideMark/>
          </w:tcPr>
          <w:p w14:paraId="7691D79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0D22224" w14:textId="77777777">
        <w:trPr>
          <w:divId w:val="1819496745"/>
          <w:jc w:val="center"/>
        </w:trPr>
        <w:tc>
          <w:tcPr>
            <w:tcW w:w="4011" w:type="pct"/>
            <w:shd w:val="clear" w:color="auto" w:fill="CFF0FC"/>
            <w:tcMar>
              <w:top w:w="15" w:type="dxa"/>
              <w:left w:w="0" w:type="dxa"/>
              <w:bottom w:w="0" w:type="dxa"/>
              <w:right w:w="15" w:type="dxa"/>
            </w:tcMar>
            <w:hideMark/>
          </w:tcPr>
          <w:p w14:paraId="1A4FA06E" w14:textId="77777777" w:rsidR="00000000" w:rsidRDefault="007125B5">
            <w:pPr>
              <w:pStyle w:val="a3"/>
              <w:spacing w:before="0" w:beforeAutospacing="0" w:after="0" w:afterAutospacing="0"/>
              <w:rPr>
                <w:color w:val="000000"/>
                <w:sz w:val="20"/>
                <w:szCs w:val="20"/>
              </w:rPr>
            </w:pPr>
            <w:r>
              <w:rPr>
                <w:color w:val="000000"/>
                <w:sz w:val="20"/>
                <w:szCs w:val="20"/>
              </w:rPr>
              <w:t>Trade names</w:t>
            </w:r>
          </w:p>
        </w:tc>
        <w:tc>
          <w:tcPr>
            <w:tcW w:w="97" w:type="pct"/>
            <w:shd w:val="clear" w:color="auto" w:fill="CFF0FC"/>
            <w:tcMar>
              <w:top w:w="15" w:type="dxa"/>
              <w:left w:w="0" w:type="dxa"/>
              <w:bottom w:w="0" w:type="dxa"/>
              <w:right w:w="15" w:type="dxa"/>
            </w:tcMar>
            <w:vAlign w:val="bottom"/>
            <w:hideMark/>
          </w:tcPr>
          <w:p w14:paraId="7BCA65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A087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0F79CDDB" w14:textId="77777777" w:rsidR="00000000" w:rsidRDefault="007125B5">
            <w:pPr>
              <w:pStyle w:val="a3"/>
              <w:spacing w:before="0" w:beforeAutospacing="0" w:after="0" w:afterAutospacing="0"/>
              <w:jc w:val="right"/>
              <w:rPr>
                <w:color w:val="000000"/>
                <w:sz w:val="20"/>
                <w:szCs w:val="20"/>
              </w:rPr>
            </w:pPr>
            <w:r>
              <w:rPr>
                <w:color w:val="000000"/>
                <w:sz w:val="20"/>
                <w:szCs w:val="20"/>
              </w:rPr>
              <w:t>463</w:t>
            </w:r>
          </w:p>
        </w:tc>
        <w:tc>
          <w:tcPr>
            <w:tcW w:w="50" w:type="pct"/>
            <w:shd w:val="clear" w:color="auto" w:fill="CFF0FC"/>
            <w:noWrap/>
            <w:tcMar>
              <w:top w:w="15" w:type="dxa"/>
              <w:left w:w="0" w:type="dxa"/>
              <w:bottom w:w="0" w:type="dxa"/>
              <w:right w:w="15" w:type="dxa"/>
            </w:tcMar>
            <w:vAlign w:val="bottom"/>
            <w:hideMark/>
          </w:tcPr>
          <w:p w14:paraId="4EDAF41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CA6F45F" w14:textId="77777777">
        <w:trPr>
          <w:divId w:val="1819496745"/>
          <w:jc w:val="center"/>
        </w:trPr>
        <w:tc>
          <w:tcPr>
            <w:tcW w:w="4011" w:type="pct"/>
            <w:shd w:val="clear" w:color="auto" w:fill="FFFFFF"/>
            <w:tcMar>
              <w:top w:w="15" w:type="dxa"/>
              <w:left w:w="0" w:type="dxa"/>
              <w:bottom w:w="0" w:type="dxa"/>
              <w:right w:w="15" w:type="dxa"/>
            </w:tcMar>
            <w:hideMark/>
          </w:tcPr>
          <w:p w14:paraId="5874A37B" w14:textId="77777777" w:rsidR="00000000" w:rsidRDefault="007125B5">
            <w:pPr>
              <w:pStyle w:val="a3"/>
              <w:spacing w:before="0" w:beforeAutospacing="0" w:after="0" w:afterAutospacing="0"/>
              <w:rPr>
                <w:color w:val="000000"/>
                <w:sz w:val="20"/>
                <w:szCs w:val="20"/>
              </w:rPr>
            </w:pPr>
            <w:r>
              <w:rPr>
                <w:color w:val="000000"/>
                <w:sz w:val="20"/>
                <w:szCs w:val="20"/>
              </w:rPr>
              <w:t>Covenants not to compete</w:t>
            </w:r>
          </w:p>
        </w:tc>
        <w:tc>
          <w:tcPr>
            <w:tcW w:w="97" w:type="pct"/>
            <w:shd w:val="clear" w:color="auto" w:fill="FFFFFF"/>
            <w:tcMar>
              <w:top w:w="15" w:type="dxa"/>
              <w:left w:w="0" w:type="dxa"/>
              <w:bottom w:w="0" w:type="dxa"/>
              <w:right w:w="15" w:type="dxa"/>
            </w:tcMar>
            <w:vAlign w:val="bottom"/>
            <w:hideMark/>
          </w:tcPr>
          <w:p w14:paraId="0DB08E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636E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06A4FCC9" w14:textId="77777777" w:rsidR="00000000" w:rsidRDefault="007125B5">
            <w:pPr>
              <w:pStyle w:val="a3"/>
              <w:spacing w:before="0" w:beforeAutospacing="0" w:after="0" w:afterAutospacing="0"/>
              <w:jc w:val="right"/>
              <w:rPr>
                <w:color w:val="000000"/>
                <w:sz w:val="20"/>
                <w:szCs w:val="20"/>
              </w:rPr>
            </w:pPr>
            <w:r>
              <w:rPr>
                <w:color w:val="000000"/>
                <w:sz w:val="20"/>
                <w:szCs w:val="20"/>
              </w:rPr>
              <w:t>1,661</w:t>
            </w:r>
          </w:p>
        </w:tc>
        <w:tc>
          <w:tcPr>
            <w:tcW w:w="50" w:type="pct"/>
            <w:shd w:val="clear" w:color="auto" w:fill="FFFFFF"/>
            <w:noWrap/>
            <w:tcMar>
              <w:top w:w="15" w:type="dxa"/>
              <w:left w:w="0" w:type="dxa"/>
              <w:bottom w:w="0" w:type="dxa"/>
              <w:right w:w="15" w:type="dxa"/>
            </w:tcMar>
            <w:vAlign w:val="bottom"/>
            <w:hideMark/>
          </w:tcPr>
          <w:p w14:paraId="0282529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476BE13" w14:textId="77777777">
        <w:trPr>
          <w:divId w:val="1819496745"/>
          <w:jc w:val="center"/>
        </w:trPr>
        <w:tc>
          <w:tcPr>
            <w:tcW w:w="4011" w:type="pct"/>
            <w:shd w:val="clear" w:color="auto" w:fill="CFF0FC"/>
            <w:tcMar>
              <w:top w:w="15" w:type="dxa"/>
              <w:left w:w="0" w:type="dxa"/>
              <w:bottom w:w="0" w:type="dxa"/>
              <w:right w:w="15" w:type="dxa"/>
            </w:tcMar>
            <w:hideMark/>
          </w:tcPr>
          <w:p w14:paraId="0BF9BCFB" w14:textId="77777777" w:rsidR="00000000" w:rsidRDefault="007125B5">
            <w:pPr>
              <w:pStyle w:val="a3"/>
              <w:spacing w:before="0" w:beforeAutospacing="0" w:after="0" w:afterAutospacing="0"/>
              <w:rPr>
                <w:color w:val="000000"/>
                <w:sz w:val="20"/>
                <w:szCs w:val="20"/>
              </w:rPr>
            </w:pPr>
            <w:r>
              <w:rPr>
                <w:color w:val="000000"/>
                <w:sz w:val="20"/>
                <w:szCs w:val="20"/>
              </w:rPr>
              <w:t>Proprietary software</w:t>
            </w:r>
          </w:p>
        </w:tc>
        <w:tc>
          <w:tcPr>
            <w:tcW w:w="97" w:type="pct"/>
            <w:shd w:val="clear" w:color="auto" w:fill="CFF0FC"/>
            <w:tcMar>
              <w:top w:w="15" w:type="dxa"/>
              <w:left w:w="0" w:type="dxa"/>
              <w:bottom w:w="0" w:type="dxa"/>
              <w:right w:w="15" w:type="dxa"/>
            </w:tcMar>
            <w:vAlign w:val="bottom"/>
            <w:hideMark/>
          </w:tcPr>
          <w:p w14:paraId="06D392D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B542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2DB222E4" w14:textId="77777777" w:rsidR="00000000" w:rsidRDefault="007125B5">
            <w:pPr>
              <w:pStyle w:val="a3"/>
              <w:spacing w:before="0" w:beforeAutospacing="0" w:after="0" w:afterAutospacing="0"/>
              <w:jc w:val="right"/>
              <w:rPr>
                <w:color w:val="000000"/>
                <w:sz w:val="20"/>
                <w:szCs w:val="20"/>
              </w:rPr>
            </w:pPr>
            <w:r>
              <w:rPr>
                <w:color w:val="000000"/>
                <w:sz w:val="20"/>
                <w:szCs w:val="20"/>
              </w:rPr>
              <w:t>2,560</w:t>
            </w:r>
          </w:p>
        </w:tc>
        <w:tc>
          <w:tcPr>
            <w:tcW w:w="50" w:type="pct"/>
            <w:shd w:val="clear" w:color="auto" w:fill="CFF0FC"/>
            <w:noWrap/>
            <w:tcMar>
              <w:top w:w="15" w:type="dxa"/>
              <w:left w:w="0" w:type="dxa"/>
              <w:bottom w:w="0" w:type="dxa"/>
              <w:right w:w="15" w:type="dxa"/>
            </w:tcMar>
            <w:vAlign w:val="bottom"/>
            <w:hideMark/>
          </w:tcPr>
          <w:p w14:paraId="25F1487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153C531" w14:textId="77777777">
        <w:trPr>
          <w:divId w:val="1819496745"/>
          <w:jc w:val="center"/>
        </w:trPr>
        <w:tc>
          <w:tcPr>
            <w:tcW w:w="4011" w:type="pct"/>
            <w:shd w:val="clear" w:color="auto" w:fill="FFFFFF"/>
            <w:tcMar>
              <w:top w:w="15" w:type="dxa"/>
              <w:left w:w="0" w:type="dxa"/>
              <w:bottom w:w="0" w:type="dxa"/>
              <w:right w:w="15" w:type="dxa"/>
            </w:tcMar>
            <w:hideMark/>
          </w:tcPr>
          <w:p w14:paraId="4A66B080" w14:textId="77777777" w:rsidR="00000000" w:rsidRDefault="007125B5">
            <w:pPr>
              <w:pStyle w:val="a3"/>
              <w:spacing w:before="0" w:beforeAutospacing="0" w:after="0" w:afterAutospacing="0"/>
              <w:rPr>
                <w:color w:val="000000"/>
                <w:sz w:val="20"/>
                <w:szCs w:val="20"/>
              </w:rPr>
            </w:pPr>
            <w:r>
              <w:rPr>
                <w:color w:val="000000"/>
                <w:sz w:val="20"/>
                <w:szCs w:val="20"/>
              </w:rPr>
              <w:t>Goodwill</w:t>
            </w:r>
          </w:p>
        </w:tc>
        <w:tc>
          <w:tcPr>
            <w:tcW w:w="97" w:type="pct"/>
            <w:shd w:val="clear" w:color="auto" w:fill="FFFFFF"/>
            <w:tcMar>
              <w:top w:w="15" w:type="dxa"/>
              <w:left w:w="0" w:type="dxa"/>
              <w:bottom w:w="0" w:type="dxa"/>
              <w:right w:w="15" w:type="dxa"/>
            </w:tcMar>
            <w:vAlign w:val="bottom"/>
            <w:hideMark/>
          </w:tcPr>
          <w:p w14:paraId="608DF0E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06060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14:paraId="4C52D102" w14:textId="77777777" w:rsidR="00000000" w:rsidRDefault="007125B5">
            <w:pPr>
              <w:pStyle w:val="a3"/>
              <w:spacing w:before="0" w:beforeAutospacing="0" w:after="0" w:afterAutospacing="0"/>
              <w:jc w:val="right"/>
              <w:rPr>
                <w:color w:val="000000"/>
                <w:sz w:val="20"/>
                <w:szCs w:val="20"/>
              </w:rPr>
            </w:pPr>
            <w:r>
              <w:rPr>
                <w:color w:val="000000"/>
                <w:sz w:val="20"/>
                <w:szCs w:val="20"/>
              </w:rPr>
              <w:t>17,893</w:t>
            </w:r>
          </w:p>
        </w:tc>
        <w:tc>
          <w:tcPr>
            <w:tcW w:w="50" w:type="pct"/>
            <w:shd w:val="clear" w:color="auto" w:fill="FFFFFF"/>
            <w:noWrap/>
            <w:tcMar>
              <w:top w:w="15" w:type="dxa"/>
              <w:left w:w="0" w:type="dxa"/>
              <w:bottom w:w="0" w:type="dxa"/>
              <w:right w:w="15" w:type="dxa"/>
            </w:tcMar>
            <w:vAlign w:val="bottom"/>
            <w:hideMark/>
          </w:tcPr>
          <w:p w14:paraId="2029093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5654FEA" w14:textId="77777777">
        <w:trPr>
          <w:divId w:val="1819496745"/>
          <w:jc w:val="center"/>
        </w:trPr>
        <w:tc>
          <w:tcPr>
            <w:tcW w:w="4011" w:type="pct"/>
            <w:shd w:val="clear" w:color="auto" w:fill="CFF0FC"/>
            <w:tcMar>
              <w:top w:w="15" w:type="dxa"/>
              <w:left w:w="0" w:type="dxa"/>
              <w:bottom w:w="0" w:type="dxa"/>
              <w:right w:w="15" w:type="dxa"/>
            </w:tcMar>
            <w:hideMark/>
          </w:tcPr>
          <w:p w14:paraId="65C0E1CF" w14:textId="77777777" w:rsidR="00000000" w:rsidRDefault="007125B5">
            <w:pPr>
              <w:pStyle w:val="a3"/>
              <w:spacing w:before="0" w:beforeAutospacing="0" w:after="0" w:afterAutospacing="0"/>
              <w:ind w:left="274"/>
              <w:rPr>
                <w:color w:val="000000"/>
                <w:sz w:val="20"/>
                <w:szCs w:val="20"/>
              </w:rPr>
            </w:pPr>
            <w:r>
              <w:rPr>
                <w:color w:val="000000"/>
                <w:sz w:val="20"/>
                <w:szCs w:val="20"/>
              </w:rPr>
              <w:t>Total assets</w:t>
            </w:r>
          </w:p>
        </w:tc>
        <w:tc>
          <w:tcPr>
            <w:tcW w:w="97" w:type="pct"/>
            <w:shd w:val="clear" w:color="auto" w:fill="CFF0FC"/>
            <w:tcMar>
              <w:top w:w="15" w:type="dxa"/>
              <w:left w:w="0" w:type="dxa"/>
              <w:bottom w:w="0" w:type="dxa"/>
              <w:right w:w="15" w:type="dxa"/>
            </w:tcMar>
            <w:vAlign w:val="bottom"/>
            <w:hideMark/>
          </w:tcPr>
          <w:p w14:paraId="33A3A97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A886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14:paraId="642F7D27" w14:textId="77777777" w:rsidR="00000000" w:rsidRDefault="007125B5">
            <w:pPr>
              <w:pStyle w:val="a3"/>
              <w:spacing w:before="0" w:beforeAutospacing="0" w:after="0" w:afterAutospacing="0"/>
              <w:jc w:val="right"/>
              <w:rPr>
                <w:color w:val="000000"/>
                <w:sz w:val="20"/>
                <w:szCs w:val="20"/>
              </w:rPr>
            </w:pPr>
            <w:r>
              <w:rPr>
                <w:color w:val="000000"/>
                <w:sz w:val="20"/>
                <w:szCs w:val="20"/>
              </w:rPr>
              <w:t>41,414</w:t>
            </w:r>
          </w:p>
        </w:tc>
        <w:tc>
          <w:tcPr>
            <w:tcW w:w="50" w:type="pct"/>
            <w:shd w:val="clear" w:color="auto" w:fill="CFF0FC"/>
            <w:noWrap/>
            <w:tcMar>
              <w:top w:w="15" w:type="dxa"/>
              <w:left w:w="0" w:type="dxa"/>
              <w:bottom w:w="0" w:type="dxa"/>
              <w:right w:w="15" w:type="dxa"/>
            </w:tcMar>
            <w:vAlign w:val="bottom"/>
            <w:hideMark/>
          </w:tcPr>
          <w:p w14:paraId="0CE12C1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CB3051E" w14:textId="77777777">
        <w:trPr>
          <w:divId w:val="1819496745"/>
          <w:jc w:val="center"/>
        </w:trPr>
        <w:tc>
          <w:tcPr>
            <w:tcW w:w="4011" w:type="pct"/>
            <w:shd w:val="clear" w:color="auto" w:fill="FFFFFF"/>
            <w:tcMar>
              <w:top w:w="15" w:type="dxa"/>
              <w:left w:w="0" w:type="dxa"/>
              <w:bottom w:w="0" w:type="dxa"/>
              <w:right w:w="15" w:type="dxa"/>
            </w:tcMar>
            <w:hideMark/>
          </w:tcPr>
          <w:p w14:paraId="0AB78A85" w14:textId="77777777" w:rsidR="00000000" w:rsidRDefault="007125B5">
            <w:pPr>
              <w:pStyle w:val="a3"/>
              <w:spacing w:before="0" w:beforeAutospacing="0" w:after="0" w:afterAutospacing="0"/>
              <w:rPr>
                <w:color w:val="000000"/>
                <w:sz w:val="20"/>
                <w:szCs w:val="20"/>
              </w:rPr>
            </w:pPr>
            <w:r>
              <w:rPr>
                <w:color w:val="000000"/>
                <w:sz w:val="20"/>
                <w:szCs w:val="20"/>
              </w:rPr>
              <w:t>Current liabilities</w:t>
            </w:r>
          </w:p>
        </w:tc>
        <w:tc>
          <w:tcPr>
            <w:tcW w:w="97" w:type="pct"/>
            <w:shd w:val="clear" w:color="auto" w:fill="FFFFFF"/>
            <w:tcMar>
              <w:top w:w="15" w:type="dxa"/>
              <w:left w:w="0" w:type="dxa"/>
              <w:bottom w:w="0" w:type="dxa"/>
              <w:right w:w="15" w:type="dxa"/>
            </w:tcMar>
            <w:vAlign w:val="bottom"/>
            <w:hideMark/>
          </w:tcPr>
          <w:p w14:paraId="3E49C0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78F9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72070486" w14:textId="77777777" w:rsidR="00000000" w:rsidRDefault="007125B5">
            <w:pPr>
              <w:pStyle w:val="a3"/>
              <w:spacing w:before="0" w:beforeAutospacing="0" w:after="0" w:afterAutospacing="0"/>
              <w:jc w:val="right"/>
              <w:rPr>
                <w:color w:val="000000"/>
                <w:sz w:val="20"/>
                <w:szCs w:val="20"/>
              </w:rPr>
            </w:pPr>
            <w:r>
              <w:rPr>
                <w:color w:val="000000"/>
                <w:sz w:val="20"/>
                <w:szCs w:val="20"/>
              </w:rPr>
              <w:t>748</w:t>
            </w:r>
          </w:p>
        </w:tc>
        <w:tc>
          <w:tcPr>
            <w:tcW w:w="50" w:type="pct"/>
            <w:shd w:val="clear" w:color="auto" w:fill="FFFFFF"/>
            <w:noWrap/>
            <w:tcMar>
              <w:top w:w="15" w:type="dxa"/>
              <w:left w:w="0" w:type="dxa"/>
              <w:bottom w:w="0" w:type="dxa"/>
              <w:right w:w="15" w:type="dxa"/>
            </w:tcMar>
            <w:vAlign w:val="bottom"/>
            <w:hideMark/>
          </w:tcPr>
          <w:p w14:paraId="12456EA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D887B03" w14:textId="77777777">
        <w:trPr>
          <w:divId w:val="1819496745"/>
          <w:jc w:val="center"/>
        </w:trPr>
        <w:tc>
          <w:tcPr>
            <w:tcW w:w="4011" w:type="pct"/>
            <w:shd w:val="clear" w:color="auto" w:fill="CFF0FC"/>
            <w:tcMar>
              <w:top w:w="15" w:type="dxa"/>
              <w:left w:w="0" w:type="dxa"/>
              <w:bottom w:w="0" w:type="dxa"/>
              <w:right w:w="15" w:type="dxa"/>
            </w:tcMar>
            <w:hideMark/>
          </w:tcPr>
          <w:p w14:paraId="4AD7FA75" w14:textId="77777777" w:rsidR="00000000" w:rsidRDefault="007125B5">
            <w:pPr>
              <w:pStyle w:val="a3"/>
              <w:spacing w:before="0" w:beforeAutospacing="0" w:after="0" w:afterAutospacing="0"/>
              <w:rPr>
                <w:color w:val="000000"/>
                <w:sz w:val="20"/>
                <w:szCs w:val="20"/>
              </w:rPr>
            </w:pPr>
            <w:r>
              <w:rPr>
                <w:color w:val="000000"/>
                <w:sz w:val="20"/>
                <w:szCs w:val="20"/>
              </w:rPr>
              <w:t>Non- current liabilities</w:t>
            </w:r>
          </w:p>
        </w:tc>
        <w:tc>
          <w:tcPr>
            <w:tcW w:w="97" w:type="pct"/>
            <w:shd w:val="clear" w:color="auto" w:fill="CFF0FC"/>
            <w:tcMar>
              <w:top w:w="15" w:type="dxa"/>
              <w:left w:w="0" w:type="dxa"/>
              <w:bottom w:w="0" w:type="dxa"/>
              <w:right w:w="15" w:type="dxa"/>
            </w:tcMar>
            <w:vAlign w:val="bottom"/>
            <w:hideMark/>
          </w:tcPr>
          <w:p w14:paraId="5AB03A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5D1DA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14:paraId="4EAF0458" w14:textId="77777777" w:rsidR="00000000" w:rsidRDefault="007125B5">
            <w:pPr>
              <w:pStyle w:val="a3"/>
              <w:spacing w:before="0" w:beforeAutospacing="0" w:after="0" w:afterAutospacing="0"/>
              <w:jc w:val="right"/>
              <w:rPr>
                <w:color w:val="000000"/>
                <w:sz w:val="20"/>
                <w:szCs w:val="20"/>
              </w:rPr>
            </w:pPr>
            <w:r>
              <w:rPr>
                <w:color w:val="000000"/>
                <w:sz w:val="20"/>
                <w:szCs w:val="20"/>
              </w:rPr>
              <w:t>1,683</w:t>
            </w:r>
          </w:p>
        </w:tc>
        <w:tc>
          <w:tcPr>
            <w:tcW w:w="50" w:type="pct"/>
            <w:shd w:val="clear" w:color="auto" w:fill="CFF0FC"/>
            <w:noWrap/>
            <w:tcMar>
              <w:top w:w="15" w:type="dxa"/>
              <w:left w:w="0" w:type="dxa"/>
              <w:bottom w:w="0" w:type="dxa"/>
              <w:right w:w="15" w:type="dxa"/>
            </w:tcMar>
            <w:vAlign w:val="bottom"/>
            <w:hideMark/>
          </w:tcPr>
          <w:p w14:paraId="2B46932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67EE378" w14:textId="77777777">
        <w:trPr>
          <w:divId w:val="1819496745"/>
          <w:jc w:val="center"/>
        </w:trPr>
        <w:tc>
          <w:tcPr>
            <w:tcW w:w="4011" w:type="pct"/>
            <w:shd w:val="clear" w:color="auto" w:fill="FFFFFF"/>
            <w:tcMar>
              <w:top w:w="15" w:type="dxa"/>
              <w:left w:w="0" w:type="dxa"/>
              <w:bottom w:w="0" w:type="dxa"/>
              <w:right w:w="15" w:type="dxa"/>
            </w:tcMar>
            <w:hideMark/>
          </w:tcPr>
          <w:p w14:paraId="07E40A3E" w14:textId="77777777" w:rsidR="00000000" w:rsidRDefault="007125B5">
            <w:pPr>
              <w:pStyle w:val="a3"/>
              <w:spacing w:before="0" w:beforeAutospacing="0" w:after="0" w:afterAutospacing="0"/>
              <w:ind w:left="274"/>
              <w:rPr>
                <w:color w:val="000000"/>
                <w:sz w:val="20"/>
                <w:szCs w:val="20"/>
              </w:rPr>
            </w:pPr>
            <w:r>
              <w:rPr>
                <w:color w:val="000000"/>
                <w:sz w:val="20"/>
                <w:szCs w:val="20"/>
              </w:rPr>
              <w:t>Total liabilities</w:t>
            </w:r>
          </w:p>
        </w:tc>
        <w:tc>
          <w:tcPr>
            <w:tcW w:w="97" w:type="pct"/>
            <w:shd w:val="clear" w:color="auto" w:fill="FFFFFF"/>
            <w:tcMar>
              <w:top w:w="15" w:type="dxa"/>
              <w:left w:w="0" w:type="dxa"/>
              <w:bottom w:w="0" w:type="dxa"/>
              <w:right w:w="15" w:type="dxa"/>
            </w:tcMar>
            <w:vAlign w:val="bottom"/>
            <w:hideMark/>
          </w:tcPr>
          <w:p w14:paraId="5269B2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BEF11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8CEDFA" w14:textId="77777777" w:rsidR="00000000" w:rsidRDefault="007125B5">
            <w:pPr>
              <w:pStyle w:val="a3"/>
              <w:spacing w:before="0" w:beforeAutospacing="0" w:after="0" w:afterAutospacing="0"/>
              <w:jc w:val="right"/>
              <w:rPr>
                <w:color w:val="000000"/>
                <w:sz w:val="20"/>
                <w:szCs w:val="20"/>
              </w:rPr>
            </w:pPr>
            <w:r>
              <w:rPr>
                <w:color w:val="000000"/>
                <w:sz w:val="20"/>
                <w:szCs w:val="20"/>
              </w:rPr>
              <w:t>2,431</w:t>
            </w:r>
          </w:p>
        </w:tc>
        <w:tc>
          <w:tcPr>
            <w:tcW w:w="50" w:type="pct"/>
            <w:shd w:val="clear" w:color="auto" w:fill="FFFFFF"/>
            <w:noWrap/>
            <w:tcMar>
              <w:top w:w="15" w:type="dxa"/>
              <w:left w:w="0" w:type="dxa"/>
              <w:bottom w:w="0" w:type="dxa"/>
              <w:right w:w="15" w:type="dxa"/>
            </w:tcMar>
            <w:vAlign w:val="bottom"/>
            <w:hideMark/>
          </w:tcPr>
          <w:p w14:paraId="02926D7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9562284" w14:textId="77777777">
        <w:trPr>
          <w:divId w:val="1819496745"/>
          <w:jc w:val="center"/>
        </w:trPr>
        <w:tc>
          <w:tcPr>
            <w:tcW w:w="4011" w:type="pct"/>
            <w:shd w:val="clear" w:color="auto" w:fill="CFF0FC"/>
            <w:tcMar>
              <w:top w:w="15" w:type="dxa"/>
              <w:left w:w="0" w:type="dxa"/>
              <w:bottom w:w="0" w:type="dxa"/>
              <w:right w:w="15" w:type="dxa"/>
            </w:tcMar>
            <w:hideMark/>
          </w:tcPr>
          <w:p w14:paraId="0CE95FFF" w14:textId="77777777" w:rsidR="00000000" w:rsidRDefault="007125B5">
            <w:pPr>
              <w:pStyle w:val="a3"/>
              <w:spacing w:before="0" w:beforeAutospacing="0" w:after="0" w:afterAutospacing="0"/>
              <w:rPr>
                <w:color w:val="000000"/>
                <w:sz w:val="20"/>
                <w:szCs w:val="20"/>
              </w:rPr>
            </w:pPr>
            <w:r>
              <w:rPr>
                <w:color w:val="000000"/>
                <w:sz w:val="20"/>
                <w:szCs w:val="20"/>
              </w:rPr>
              <w:t>Purchase price</w:t>
            </w:r>
          </w:p>
        </w:tc>
        <w:tc>
          <w:tcPr>
            <w:tcW w:w="97" w:type="pct"/>
            <w:shd w:val="clear" w:color="auto" w:fill="CFF0FC"/>
            <w:tcMar>
              <w:top w:w="15" w:type="dxa"/>
              <w:left w:w="0" w:type="dxa"/>
              <w:bottom w:w="0" w:type="dxa"/>
              <w:right w:w="15" w:type="dxa"/>
            </w:tcMar>
            <w:vAlign w:val="bottom"/>
            <w:hideMark/>
          </w:tcPr>
          <w:p w14:paraId="701465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7CF0C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2E3333" w14:textId="77777777" w:rsidR="00000000" w:rsidRDefault="007125B5">
            <w:pPr>
              <w:pStyle w:val="a3"/>
              <w:spacing w:before="0" w:beforeAutospacing="0" w:after="0" w:afterAutospacing="0"/>
              <w:jc w:val="right"/>
              <w:rPr>
                <w:color w:val="000000"/>
                <w:sz w:val="20"/>
                <w:szCs w:val="20"/>
              </w:rPr>
            </w:pPr>
            <w:r>
              <w:rPr>
                <w:color w:val="000000"/>
                <w:sz w:val="20"/>
                <w:szCs w:val="20"/>
              </w:rPr>
              <w:t>38,983</w:t>
            </w:r>
          </w:p>
        </w:tc>
        <w:tc>
          <w:tcPr>
            <w:tcW w:w="50" w:type="pct"/>
            <w:shd w:val="clear" w:color="auto" w:fill="CFF0FC"/>
            <w:noWrap/>
            <w:tcMar>
              <w:top w:w="15" w:type="dxa"/>
              <w:left w:w="0" w:type="dxa"/>
              <w:bottom w:w="0" w:type="dxa"/>
              <w:right w:w="15" w:type="dxa"/>
            </w:tcMar>
            <w:vAlign w:val="bottom"/>
            <w:hideMark/>
          </w:tcPr>
          <w:p w14:paraId="6C6EFFBF"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87723F3" w14:textId="77777777" w:rsidR="00000000" w:rsidRDefault="007125B5">
      <w:pPr>
        <w:pStyle w:val="a3"/>
        <w:shd w:val="clear" w:color="auto" w:fill="FFFFFF"/>
        <w:spacing w:before="0" w:beforeAutospacing="0" w:after="0" w:afterAutospacing="0"/>
        <w:rPr>
          <w:sz w:val="20"/>
          <w:szCs w:val="20"/>
        </w:rPr>
      </w:pPr>
      <w:r>
        <w:rPr>
          <w:sz w:val="20"/>
          <w:szCs w:val="20"/>
        </w:rPr>
        <w:t> </w:t>
      </w:r>
    </w:p>
    <w:p w14:paraId="0DAB272D"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The weighted average useful lives for the acquired customer relationships, trade names, covenants not to compete and proprietary software for these acquisitions are 10 years, 1.5 years, 4 years and 3 years, respectively.</w:t>
      </w:r>
    </w:p>
    <w:p w14:paraId="7A0AB399"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acquisitions completed during the six months ended June 30, 2019, the results of operations since the acquisition dates have been combined with those of the Company. The Company’s three and six months ended June 30, 2019 condensed consolidated stat</w:t>
      </w:r>
      <w:r>
        <w:rPr>
          <w:color w:val="000000"/>
          <w:sz w:val="20"/>
          <w:szCs w:val="20"/>
        </w:rPr>
        <w:t xml:space="preserve">ement of operations includes revenue of $1.6 million and pre-tax income of $0.8 million, respectively, related to these acquisitions. The TES, TESUS and AWS acquisitions are included in the Company’s Measurement and Analysis segment. </w:t>
      </w:r>
    </w:p>
    <w:p w14:paraId="0798F503"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Goodwill associated w</w:t>
      </w:r>
      <w:r>
        <w:rPr>
          <w:color w:val="000000"/>
          <w:sz w:val="20"/>
          <w:szCs w:val="20"/>
        </w:rPr>
        <w:t>ith the acquisitions completed during the six months ended June 30, 2019 is not deductible for income tax purposes.</w:t>
      </w:r>
    </w:p>
    <w:p w14:paraId="11FC3475" w14:textId="77777777" w:rsidR="00000000" w:rsidRDefault="007125B5">
      <w:pPr>
        <w:pStyle w:val="a3"/>
        <w:spacing w:before="240" w:beforeAutospacing="0" w:after="0" w:afterAutospacing="0"/>
        <w:jc w:val="center"/>
        <w:rPr>
          <w:sz w:val="20"/>
          <w:szCs w:val="20"/>
        </w:rPr>
      </w:pPr>
      <w:r>
        <w:rPr>
          <w:sz w:val="20"/>
          <w:szCs w:val="20"/>
        </w:rPr>
        <w:t>11</w:t>
      </w:r>
    </w:p>
    <w:p w14:paraId="1375211B" w14:textId="77777777" w:rsidR="00000000" w:rsidRDefault="007125B5">
      <w:pPr>
        <w:rPr>
          <w:rFonts w:eastAsia="Times New Roman"/>
        </w:rPr>
      </w:pPr>
      <w:r>
        <w:rPr>
          <w:rFonts w:eastAsia="Times New Roman"/>
        </w:rPr>
        <w:pict w14:anchorId="19B058E4">
          <v:rect id="_x0000_i1037" style="width:415.3pt;height:1.5pt" o:hralign="center" o:hrstd="t" o:hr="t" fillcolor="#a0a0a0" stroked="f"/>
        </w:pict>
      </w:r>
    </w:p>
    <w:p w14:paraId="0F83CFEB" w14:textId="77777777" w:rsidR="00000000" w:rsidRDefault="007125B5">
      <w:pPr>
        <w:pStyle w:val="a3"/>
        <w:spacing w:before="0" w:beforeAutospacing="0" w:after="0" w:afterAutospacing="0"/>
        <w:rPr>
          <w:sz w:val="20"/>
          <w:szCs w:val="20"/>
        </w:rPr>
      </w:pPr>
      <w:r>
        <w:rPr>
          <w:sz w:val="20"/>
          <w:szCs w:val="20"/>
        </w:rPr>
        <w:t> </w:t>
      </w:r>
    </w:p>
    <w:p w14:paraId="4ECC2C4F" w14:textId="77777777" w:rsidR="00000000" w:rsidRDefault="007125B5">
      <w:pPr>
        <w:pStyle w:val="a3"/>
        <w:shd w:val="clear" w:color="auto" w:fill="FFFFFF"/>
        <w:spacing w:before="240" w:beforeAutospacing="0" w:after="0" w:afterAutospacing="0"/>
        <w:ind w:firstLine="556"/>
        <w:rPr>
          <w:b/>
          <w:bCs/>
          <w:color w:val="000000"/>
          <w:sz w:val="20"/>
          <w:szCs w:val="20"/>
        </w:rPr>
      </w:pPr>
      <w:bookmarkStart w:id="23" w:name="_AEIOULastRenderedPageBreakAEIOU14"/>
      <w:bookmarkEnd w:id="23"/>
      <w:r>
        <w:rPr>
          <w:b/>
          <w:bCs/>
          <w:color w:val="000000"/>
          <w:sz w:val="20"/>
          <w:szCs w:val="20"/>
        </w:rPr>
        <w:t>Supplemental Unaudited Pro-Forma</w:t>
      </w:r>
      <w:r>
        <w:rPr>
          <w:color w:val="000000"/>
          <w:sz w:val="20"/>
          <w:szCs w:val="20"/>
        </w:rPr>
        <w:t>—The unaudited condensed consolidated financial information summarized in the following table gives effect to the CTEH acquisition and the 2019 acquisitions discussed above assum</w:t>
      </w:r>
      <w:r>
        <w:rPr>
          <w:color w:val="000000"/>
          <w:sz w:val="20"/>
          <w:szCs w:val="20"/>
        </w:rPr>
        <w:t>ing they occurred on January 1, 2019. These unaudited consolidated pro forma operating results do not assume any impact from revenue, cost or other operating synergies that are expected as a result of the acquisitions. These unaudited consolidated pro form</w:t>
      </w:r>
      <w:r>
        <w:rPr>
          <w:color w:val="000000"/>
          <w:sz w:val="20"/>
          <w:szCs w:val="20"/>
        </w:rPr>
        <w:t>a operating results are presented for illustrative purposes only and are not indicative of the operating results that would have been achieved had the acquisitions occurred on January 1, 2019, nor does the information purport to reflect results for any fut</w:t>
      </w:r>
      <w:r>
        <w:rPr>
          <w:color w:val="000000"/>
          <w:sz w:val="20"/>
          <w:szCs w:val="20"/>
        </w:rPr>
        <w:t>ure period.</w:t>
      </w:r>
    </w:p>
    <w:p w14:paraId="09CCA68C"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593"/>
        <w:gridCol w:w="65"/>
        <w:gridCol w:w="115"/>
        <w:gridCol w:w="565"/>
        <w:gridCol w:w="65"/>
        <w:gridCol w:w="65"/>
        <w:gridCol w:w="116"/>
        <w:gridCol w:w="749"/>
        <w:gridCol w:w="65"/>
        <w:gridCol w:w="65"/>
        <w:gridCol w:w="117"/>
        <w:gridCol w:w="796"/>
        <w:gridCol w:w="65"/>
        <w:gridCol w:w="65"/>
        <w:gridCol w:w="115"/>
        <w:gridCol w:w="565"/>
        <w:gridCol w:w="82"/>
        <w:gridCol w:w="65"/>
        <w:gridCol w:w="116"/>
        <w:gridCol w:w="749"/>
        <w:gridCol w:w="65"/>
        <w:gridCol w:w="65"/>
        <w:gridCol w:w="116"/>
        <w:gridCol w:w="797"/>
        <w:gridCol w:w="65"/>
      </w:tblGrid>
      <w:tr w:rsidR="00000000" w14:paraId="6E64203F" w14:textId="77777777">
        <w:trPr>
          <w:divId w:val="2133865572"/>
          <w:jc w:val="center"/>
        </w:trPr>
        <w:tc>
          <w:tcPr>
            <w:tcW w:w="2057" w:type="pct"/>
            <w:shd w:val="clear" w:color="auto" w:fill="FFFFFF"/>
            <w:tcMar>
              <w:top w:w="15" w:type="dxa"/>
              <w:left w:w="0" w:type="dxa"/>
              <w:bottom w:w="0" w:type="dxa"/>
              <w:right w:w="15" w:type="dxa"/>
            </w:tcMar>
            <w:vAlign w:val="bottom"/>
            <w:hideMark/>
          </w:tcPr>
          <w:p w14:paraId="0B1E0627" w14:textId="77777777" w:rsidR="00000000" w:rsidRDefault="007125B5">
            <w:pPr>
              <w:pStyle w:val="a3"/>
              <w:spacing w:before="0" w:beforeAutospacing="0" w:after="0" w:afterAutospacing="0"/>
              <w:rPr>
                <w:sz w:val="20"/>
                <w:szCs w:val="20"/>
              </w:rPr>
            </w:pPr>
            <w:r>
              <w:rPr>
                <w:sz w:val="20"/>
                <w:szCs w:val="20"/>
              </w:rPr>
              <w:t> </w:t>
            </w:r>
          </w:p>
        </w:tc>
        <w:tc>
          <w:tcPr>
            <w:tcW w:w="49" w:type="pct"/>
            <w:shd w:val="clear" w:color="auto" w:fill="FFFFFF"/>
            <w:tcMar>
              <w:top w:w="15" w:type="dxa"/>
              <w:left w:w="0" w:type="dxa"/>
              <w:bottom w:w="0" w:type="dxa"/>
              <w:right w:w="15" w:type="dxa"/>
            </w:tcMar>
            <w:vAlign w:val="bottom"/>
            <w:hideMark/>
          </w:tcPr>
          <w:p w14:paraId="19DECFFA" w14:textId="77777777" w:rsidR="00000000" w:rsidRDefault="007125B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42" w:type="pct"/>
            <w:gridSpan w:val="22"/>
            <w:tcBorders>
              <w:bottom w:val="single" w:sz="6" w:space="0" w:color="000000"/>
            </w:tcBorders>
            <w:shd w:val="clear" w:color="auto" w:fill="FFFFFF"/>
            <w:tcMar>
              <w:top w:w="15" w:type="dxa"/>
              <w:left w:w="0" w:type="dxa"/>
              <w:bottom w:w="0" w:type="dxa"/>
              <w:right w:w="15" w:type="dxa"/>
            </w:tcMar>
            <w:vAlign w:val="bottom"/>
            <w:hideMark/>
          </w:tcPr>
          <w:p w14:paraId="13DD5A1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2DD563D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0927FE6" w14:textId="77777777">
        <w:trPr>
          <w:divId w:val="2133865572"/>
          <w:jc w:val="center"/>
        </w:trPr>
        <w:tc>
          <w:tcPr>
            <w:tcW w:w="2057" w:type="pct"/>
            <w:shd w:val="clear" w:color="auto" w:fill="FFFFFF"/>
            <w:tcMar>
              <w:top w:w="15" w:type="dxa"/>
              <w:left w:w="0" w:type="dxa"/>
              <w:bottom w:w="0" w:type="dxa"/>
              <w:right w:w="15" w:type="dxa"/>
            </w:tcMar>
            <w:vAlign w:val="bottom"/>
            <w:hideMark/>
          </w:tcPr>
          <w:p w14:paraId="1235F55E" w14:textId="77777777" w:rsidR="00000000" w:rsidRDefault="007125B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 w:type="pct"/>
            <w:shd w:val="clear" w:color="auto" w:fill="FFFFFF"/>
            <w:tcMar>
              <w:top w:w="15" w:type="dxa"/>
              <w:left w:w="0" w:type="dxa"/>
              <w:bottom w:w="0" w:type="dxa"/>
              <w:right w:w="15" w:type="dxa"/>
            </w:tcMar>
            <w:vAlign w:val="bottom"/>
            <w:hideMark/>
          </w:tcPr>
          <w:p w14:paraId="3B12E0F4" w14:textId="77777777" w:rsidR="00000000" w:rsidRDefault="007125B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371"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4CC74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28507E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8D8D2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1371"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6CCF4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A58ED3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FF4D55F" w14:textId="77777777">
        <w:trPr>
          <w:divId w:val="2133865572"/>
          <w:jc w:val="center"/>
        </w:trPr>
        <w:tc>
          <w:tcPr>
            <w:tcW w:w="2057" w:type="pct"/>
            <w:tcBorders>
              <w:bottom w:val="single" w:sz="6" w:space="0" w:color="000000"/>
            </w:tcBorders>
            <w:shd w:val="clear" w:color="auto" w:fill="FFFFFF"/>
            <w:tcMar>
              <w:top w:w="15" w:type="dxa"/>
              <w:left w:w="0" w:type="dxa"/>
              <w:bottom w:w="0" w:type="dxa"/>
              <w:right w:w="15" w:type="dxa"/>
            </w:tcMar>
            <w:vAlign w:val="bottom"/>
            <w:hideMark/>
          </w:tcPr>
          <w:p w14:paraId="4F4177B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14:paraId="1D9992A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9CB45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14:paraId="41C0327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055DFC6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1A8626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Acquisitions</w:t>
            </w:r>
          </w:p>
          <w:p w14:paraId="33D37CE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536B9D4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627EBA8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32C7831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FD21B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Consolidated</w:t>
            </w:r>
          </w:p>
          <w:p w14:paraId="4C021AF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07D1D1F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177004B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3F708A43"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74FA4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14:paraId="31B1D8F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0EDC986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CE7A4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Acquisitions</w:t>
            </w:r>
          </w:p>
          <w:p w14:paraId="6F35189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62FCE77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1B48AA4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4DB85A4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6C276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Consolidated</w:t>
            </w:r>
          </w:p>
          <w:p w14:paraId="342FF9C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2F8D0D1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513C437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D5FD19D" w14:textId="77777777">
        <w:trPr>
          <w:divId w:val="2133865572"/>
          <w:jc w:val="center"/>
        </w:trPr>
        <w:tc>
          <w:tcPr>
            <w:tcW w:w="2057" w:type="pct"/>
            <w:tcBorders>
              <w:top w:val="single" w:sz="6" w:space="0" w:color="000000"/>
            </w:tcBorders>
            <w:shd w:val="clear" w:color="auto" w:fill="CFF0FC"/>
            <w:tcMar>
              <w:top w:w="15" w:type="dxa"/>
              <w:left w:w="0" w:type="dxa"/>
              <w:bottom w:w="0" w:type="dxa"/>
              <w:right w:w="15" w:type="dxa"/>
            </w:tcMar>
            <w:hideMark/>
          </w:tcPr>
          <w:p w14:paraId="3EAA4646" w14:textId="77777777" w:rsidR="00000000" w:rsidRDefault="007125B5">
            <w:pPr>
              <w:pStyle w:val="a3"/>
              <w:spacing w:before="0" w:beforeAutospacing="0" w:after="0" w:afterAutospacing="0"/>
              <w:rPr>
                <w:color w:val="000000"/>
                <w:sz w:val="20"/>
                <w:szCs w:val="20"/>
              </w:rPr>
            </w:pPr>
            <w:r>
              <w:rPr>
                <w:color w:val="000000"/>
                <w:sz w:val="20"/>
                <w:szCs w:val="20"/>
              </w:rPr>
              <w:t>Revenues</w:t>
            </w:r>
          </w:p>
        </w:tc>
        <w:tc>
          <w:tcPr>
            <w:tcW w:w="49" w:type="pct"/>
            <w:shd w:val="clear" w:color="auto" w:fill="CFF0FC"/>
            <w:tcMar>
              <w:top w:w="15" w:type="dxa"/>
              <w:left w:w="0" w:type="dxa"/>
              <w:bottom w:w="0" w:type="dxa"/>
              <w:right w:w="15" w:type="dxa"/>
            </w:tcMar>
            <w:vAlign w:val="bottom"/>
            <w:hideMark/>
          </w:tcPr>
          <w:p w14:paraId="2556BE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C6C62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63ACAB8B" w14:textId="77777777" w:rsidR="00000000" w:rsidRDefault="007125B5">
            <w:pPr>
              <w:pStyle w:val="a3"/>
              <w:spacing w:before="0" w:beforeAutospacing="0" w:after="0" w:afterAutospacing="0"/>
              <w:jc w:val="right"/>
              <w:rPr>
                <w:color w:val="000000"/>
                <w:sz w:val="20"/>
                <w:szCs w:val="20"/>
              </w:rPr>
            </w:pPr>
            <w:r>
              <w:rPr>
                <w:color w:val="000000"/>
                <w:sz w:val="20"/>
                <w:szCs w:val="20"/>
              </w:rPr>
              <w:t>73,766</w:t>
            </w:r>
          </w:p>
        </w:tc>
        <w:tc>
          <w:tcPr>
            <w:tcW w:w="50" w:type="pct"/>
            <w:shd w:val="clear" w:color="auto" w:fill="CFF0FC"/>
            <w:noWrap/>
            <w:tcMar>
              <w:top w:w="15" w:type="dxa"/>
              <w:left w:w="0" w:type="dxa"/>
              <w:bottom w:w="0" w:type="dxa"/>
              <w:right w:w="15" w:type="dxa"/>
            </w:tcMar>
            <w:vAlign w:val="bottom"/>
            <w:hideMark/>
          </w:tcPr>
          <w:p w14:paraId="723DEA7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4C595B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1C2AF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22A82D07" w14:textId="77777777" w:rsidR="00000000" w:rsidRDefault="007125B5">
            <w:pPr>
              <w:pStyle w:val="a3"/>
              <w:spacing w:before="0" w:beforeAutospacing="0" w:after="0" w:afterAutospacing="0"/>
              <w:jc w:val="right"/>
              <w:rPr>
                <w:color w:val="000000"/>
                <w:sz w:val="20"/>
                <w:szCs w:val="20"/>
              </w:rPr>
            </w:pPr>
            <w:r>
              <w:rPr>
                <w:color w:val="000000"/>
                <w:sz w:val="20"/>
                <w:szCs w:val="20"/>
              </w:rPr>
              <w:t>31,253</w:t>
            </w:r>
          </w:p>
        </w:tc>
        <w:tc>
          <w:tcPr>
            <w:tcW w:w="50" w:type="pct"/>
            <w:shd w:val="clear" w:color="auto" w:fill="CFF0FC"/>
            <w:noWrap/>
            <w:tcMar>
              <w:top w:w="15" w:type="dxa"/>
              <w:left w:w="0" w:type="dxa"/>
              <w:bottom w:w="0" w:type="dxa"/>
              <w:right w:w="15" w:type="dxa"/>
            </w:tcMar>
            <w:vAlign w:val="bottom"/>
            <w:hideMark/>
          </w:tcPr>
          <w:p w14:paraId="28D438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708230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88C91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13979588" w14:textId="77777777" w:rsidR="00000000" w:rsidRDefault="007125B5">
            <w:pPr>
              <w:pStyle w:val="a3"/>
              <w:spacing w:before="0" w:beforeAutospacing="0" w:after="0" w:afterAutospacing="0"/>
              <w:jc w:val="right"/>
              <w:rPr>
                <w:color w:val="000000"/>
                <w:sz w:val="20"/>
                <w:szCs w:val="20"/>
              </w:rPr>
            </w:pPr>
            <w:r>
              <w:rPr>
                <w:color w:val="000000"/>
                <w:sz w:val="20"/>
                <w:szCs w:val="20"/>
              </w:rPr>
              <w:t>105,019</w:t>
            </w:r>
          </w:p>
        </w:tc>
        <w:tc>
          <w:tcPr>
            <w:tcW w:w="50" w:type="pct"/>
            <w:shd w:val="clear" w:color="auto" w:fill="CFF0FC"/>
            <w:noWrap/>
            <w:tcMar>
              <w:top w:w="15" w:type="dxa"/>
              <w:left w:w="0" w:type="dxa"/>
              <w:bottom w:w="0" w:type="dxa"/>
              <w:right w:w="15" w:type="dxa"/>
            </w:tcMar>
            <w:vAlign w:val="bottom"/>
            <w:hideMark/>
          </w:tcPr>
          <w:p w14:paraId="395046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57BC736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A49A7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0CC7F70C" w14:textId="77777777" w:rsidR="00000000" w:rsidRDefault="007125B5">
            <w:pPr>
              <w:pStyle w:val="a3"/>
              <w:spacing w:before="0" w:beforeAutospacing="0" w:after="0" w:afterAutospacing="0"/>
              <w:jc w:val="right"/>
              <w:rPr>
                <w:color w:val="000000"/>
                <w:sz w:val="20"/>
                <w:szCs w:val="20"/>
              </w:rPr>
            </w:pPr>
            <w:r>
              <w:rPr>
                <w:color w:val="000000"/>
                <w:sz w:val="20"/>
                <w:szCs w:val="20"/>
              </w:rPr>
              <w:t>57,401</w:t>
            </w:r>
          </w:p>
        </w:tc>
        <w:tc>
          <w:tcPr>
            <w:tcW w:w="50" w:type="pct"/>
            <w:shd w:val="clear" w:color="auto" w:fill="CFF0FC"/>
            <w:noWrap/>
            <w:tcMar>
              <w:top w:w="15" w:type="dxa"/>
              <w:left w:w="0" w:type="dxa"/>
              <w:bottom w:w="0" w:type="dxa"/>
              <w:right w:w="15" w:type="dxa"/>
            </w:tcMar>
            <w:vAlign w:val="bottom"/>
            <w:hideMark/>
          </w:tcPr>
          <w:p w14:paraId="6E5D330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087C02D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886B86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035DBC70" w14:textId="77777777" w:rsidR="00000000" w:rsidRDefault="007125B5">
            <w:pPr>
              <w:pStyle w:val="a3"/>
              <w:spacing w:before="0" w:beforeAutospacing="0" w:after="0" w:afterAutospacing="0"/>
              <w:jc w:val="right"/>
              <w:rPr>
                <w:color w:val="000000"/>
                <w:sz w:val="20"/>
                <w:szCs w:val="20"/>
              </w:rPr>
            </w:pPr>
            <w:r>
              <w:rPr>
                <w:color w:val="000000"/>
                <w:sz w:val="20"/>
                <w:szCs w:val="20"/>
              </w:rPr>
              <w:t>59,565</w:t>
            </w:r>
          </w:p>
        </w:tc>
        <w:tc>
          <w:tcPr>
            <w:tcW w:w="50" w:type="pct"/>
            <w:shd w:val="clear" w:color="auto" w:fill="CFF0FC"/>
            <w:noWrap/>
            <w:tcMar>
              <w:top w:w="15" w:type="dxa"/>
              <w:left w:w="0" w:type="dxa"/>
              <w:bottom w:w="0" w:type="dxa"/>
              <w:right w:w="15" w:type="dxa"/>
            </w:tcMar>
            <w:vAlign w:val="bottom"/>
            <w:hideMark/>
          </w:tcPr>
          <w:p w14:paraId="3E12C6D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716207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BD45D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702C50D8" w14:textId="77777777" w:rsidR="00000000" w:rsidRDefault="007125B5">
            <w:pPr>
              <w:pStyle w:val="a3"/>
              <w:spacing w:before="0" w:beforeAutospacing="0" w:after="0" w:afterAutospacing="0"/>
              <w:jc w:val="right"/>
              <w:rPr>
                <w:color w:val="000000"/>
                <w:sz w:val="20"/>
                <w:szCs w:val="20"/>
              </w:rPr>
            </w:pPr>
            <w:r>
              <w:rPr>
                <w:color w:val="000000"/>
                <w:sz w:val="20"/>
                <w:szCs w:val="20"/>
              </w:rPr>
              <w:t>116,966</w:t>
            </w:r>
          </w:p>
        </w:tc>
        <w:tc>
          <w:tcPr>
            <w:tcW w:w="50" w:type="pct"/>
            <w:shd w:val="clear" w:color="auto" w:fill="CFF0FC"/>
            <w:noWrap/>
            <w:tcMar>
              <w:top w:w="15" w:type="dxa"/>
              <w:left w:w="0" w:type="dxa"/>
              <w:bottom w:w="0" w:type="dxa"/>
              <w:right w:w="15" w:type="dxa"/>
            </w:tcMar>
            <w:vAlign w:val="bottom"/>
            <w:hideMark/>
          </w:tcPr>
          <w:p w14:paraId="6F265A3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C23467D" w14:textId="77777777">
        <w:trPr>
          <w:divId w:val="2133865572"/>
          <w:jc w:val="center"/>
        </w:trPr>
        <w:tc>
          <w:tcPr>
            <w:tcW w:w="2057" w:type="pct"/>
            <w:shd w:val="clear" w:color="auto" w:fill="FFFFFF"/>
            <w:tcMar>
              <w:top w:w="15" w:type="dxa"/>
              <w:left w:w="0" w:type="dxa"/>
              <w:bottom w:w="0" w:type="dxa"/>
              <w:right w:w="15" w:type="dxa"/>
            </w:tcMar>
            <w:hideMark/>
          </w:tcPr>
          <w:p w14:paraId="4FF94196" w14:textId="77777777" w:rsidR="00000000" w:rsidRDefault="007125B5">
            <w:pPr>
              <w:pStyle w:val="a3"/>
              <w:spacing w:before="0" w:beforeAutospacing="0" w:after="0" w:afterAutospacing="0"/>
              <w:rPr>
                <w:color w:val="000000"/>
                <w:sz w:val="20"/>
                <w:szCs w:val="20"/>
              </w:rPr>
            </w:pPr>
            <w:r>
              <w:rPr>
                <w:color w:val="000000"/>
                <w:sz w:val="20"/>
                <w:szCs w:val="20"/>
              </w:rPr>
              <w:t>Net income (loss)</w:t>
            </w:r>
          </w:p>
        </w:tc>
        <w:tc>
          <w:tcPr>
            <w:tcW w:w="49" w:type="pct"/>
            <w:shd w:val="clear" w:color="auto" w:fill="FFFFFF"/>
            <w:tcMar>
              <w:top w:w="15" w:type="dxa"/>
              <w:left w:w="0" w:type="dxa"/>
              <w:bottom w:w="0" w:type="dxa"/>
              <w:right w:w="15" w:type="dxa"/>
            </w:tcMar>
            <w:vAlign w:val="bottom"/>
            <w:hideMark/>
          </w:tcPr>
          <w:p w14:paraId="2855F1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153B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0" w:type="pct"/>
            <w:shd w:val="clear" w:color="auto" w:fill="FFFFFF"/>
            <w:noWrap/>
            <w:tcMar>
              <w:top w:w="15" w:type="dxa"/>
              <w:left w:w="0" w:type="dxa"/>
              <w:bottom w:w="0" w:type="dxa"/>
              <w:right w:w="15" w:type="dxa"/>
            </w:tcMar>
            <w:vAlign w:val="bottom"/>
            <w:hideMark/>
          </w:tcPr>
          <w:p w14:paraId="3D9F5FB9" w14:textId="77777777" w:rsidR="00000000" w:rsidRDefault="007125B5">
            <w:pPr>
              <w:pStyle w:val="a3"/>
              <w:spacing w:before="0" w:beforeAutospacing="0" w:after="0" w:afterAutospacing="0"/>
              <w:jc w:val="right"/>
              <w:rPr>
                <w:color w:val="000000"/>
                <w:sz w:val="20"/>
                <w:szCs w:val="20"/>
              </w:rPr>
            </w:pPr>
            <w:r>
              <w:rPr>
                <w:color w:val="000000"/>
                <w:sz w:val="20"/>
                <w:szCs w:val="20"/>
              </w:rPr>
              <w:t>13,224</w:t>
            </w:r>
          </w:p>
        </w:tc>
        <w:tc>
          <w:tcPr>
            <w:tcW w:w="50" w:type="pct"/>
            <w:shd w:val="clear" w:color="auto" w:fill="FFFFFF"/>
            <w:noWrap/>
            <w:tcMar>
              <w:top w:w="15" w:type="dxa"/>
              <w:left w:w="0" w:type="dxa"/>
              <w:bottom w:w="0" w:type="dxa"/>
              <w:right w:w="15" w:type="dxa"/>
            </w:tcMar>
            <w:vAlign w:val="bottom"/>
            <w:hideMark/>
          </w:tcPr>
          <w:p w14:paraId="26280A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6916B0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8689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0" w:type="pct"/>
            <w:shd w:val="clear" w:color="auto" w:fill="FFFFFF"/>
            <w:noWrap/>
            <w:tcMar>
              <w:top w:w="15" w:type="dxa"/>
              <w:left w:w="0" w:type="dxa"/>
              <w:bottom w:w="0" w:type="dxa"/>
              <w:right w:w="15" w:type="dxa"/>
            </w:tcMar>
            <w:vAlign w:val="bottom"/>
            <w:hideMark/>
          </w:tcPr>
          <w:p w14:paraId="1260E965" w14:textId="77777777" w:rsidR="00000000" w:rsidRDefault="007125B5">
            <w:pPr>
              <w:pStyle w:val="a3"/>
              <w:spacing w:before="0" w:beforeAutospacing="0" w:after="0" w:afterAutospacing="0"/>
              <w:jc w:val="right"/>
              <w:rPr>
                <w:color w:val="000000"/>
                <w:sz w:val="20"/>
                <w:szCs w:val="20"/>
              </w:rPr>
            </w:pPr>
            <w:r>
              <w:rPr>
                <w:color w:val="000000"/>
                <w:sz w:val="20"/>
                <w:szCs w:val="20"/>
              </w:rPr>
              <w:t>10,288</w:t>
            </w:r>
          </w:p>
        </w:tc>
        <w:tc>
          <w:tcPr>
            <w:tcW w:w="50" w:type="pct"/>
            <w:shd w:val="clear" w:color="auto" w:fill="FFFFFF"/>
            <w:noWrap/>
            <w:tcMar>
              <w:top w:w="15" w:type="dxa"/>
              <w:left w:w="0" w:type="dxa"/>
              <w:bottom w:w="0" w:type="dxa"/>
              <w:right w:w="15" w:type="dxa"/>
            </w:tcMar>
            <w:vAlign w:val="bottom"/>
            <w:hideMark/>
          </w:tcPr>
          <w:p w14:paraId="2AE687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68E75D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EAD6B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0" w:type="pct"/>
            <w:shd w:val="clear" w:color="auto" w:fill="FFFFFF"/>
            <w:noWrap/>
            <w:tcMar>
              <w:top w:w="15" w:type="dxa"/>
              <w:left w:w="0" w:type="dxa"/>
              <w:bottom w:w="0" w:type="dxa"/>
              <w:right w:w="15" w:type="dxa"/>
            </w:tcMar>
            <w:vAlign w:val="bottom"/>
            <w:hideMark/>
          </w:tcPr>
          <w:p w14:paraId="623B9CB1" w14:textId="77777777" w:rsidR="00000000" w:rsidRDefault="007125B5">
            <w:pPr>
              <w:pStyle w:val="a3"/>
              <w:spacing w:before="0" w:beforeAutospacing="0" w:after="0" w:afterAutospacing="0"/>
              <w:jc w:val="right"/>
              <w:rPr>
                <w:color w:val="000000"/>
                <w:sz w:val="20"/>
                <w:szCs w:val="20"/>
              </w:rPr>
            </w:pPr>
            <w:r>
              <w:rPr>
                <w:color w:val="000000"/>
                <w:sz w:val="20"/>
                <w:szCs w:val="20"/>
              </w:rPr>
              <w:t>23,512</w:t>
            </w:r>
          </w:p>
        </w:tc>
        <w:tc>
          <w:tcPr>
            <w:tcW w:w="50" w:type="pct"/>
            <w:shd w:val="clear" w:color="auto" w:fill="FFFFFF"/>
            <w:noWrap/>
            <w:tcMar>
              <w:top w:w="15" w:type="dxa"/>
              <w:left w:w="0" w:type="dxa"/>
              <w:bottom w:w="0" w:type="dxa"/>
              <w:right w:w="15" w:type="dxa"/>
            </w:tcMar>
            <w:vAlign w:val="bottom"/>
            <w:hideMark/>
          </w:tcPr>
          <w:p w14:paraId="23F722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5AEC6C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0A18C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0" w:type="pct"/>
            <w:shd w:val="clear" w:color="auto" w:fill="FFFFFF"/>
            <w:noWrap/>
            <w:tcMar>
              <w:top w:w="15" w:type="dxa"/>
              <w:left w:w="0" w:type="dxa"/>
              <w:bottom w:w="0" w:type="dxa"/>
              <w:right w:w="15" w:type="dxa"/>
            </w:tcMar>
            <w:vAlign w:val="bottom"/>
            <w:hideMark/>
          </w:tcPr>
          <w:p w14:paraId="0D655453" w14:textId="77777777" w:rsidR="00000000" w:rsidRDefault="007125B5">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FFFFFF"/>
            <w:noWrap/>
            <w:tcMar>
              <w:top w:w="15" w:type="dxa"/>
              <w:left w:w="0" w:type="dxa"/>
              <w:bottom w:w="0" w:type="dxa"/>
              <w:right w:w="15" w:type="dxa"/>
            </w:tcMar>
            <w:vAlign w:val="bottom"/>
            <w:hideMark/>
          </w:tcPr>
          <w:p w14:paraId="0360B95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14:paraId="30B1FEA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82A57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0" w:type="pct"/>
            <w:shd w:val="clear" w:color="auto" w:fill="FFFFFF"/>
            <w:noWrap/>
            <w:tcMar>
              <w:top w:w="15" w:type="dxa"/>
              <w:left w:w="0" w:type="dxa"/>
              <w:bottom w:w="0" w:type="dxa"/>
              <w:right w:w="15" w:type="dxa"/>
            </w:tcMar>
            <w:vAlign w:val="bottom"/>
            <w:hideMark/>
          </w:tcPr>
          <w:p w14:paraId="2A133999" w14:textId="77777777" w:rsidR="00000000" w:rsidRDefault="007125B5">
            <w:pPr>
              <w:pStyle w:val="a3"/>
              <w:spacing w:before="0" w:beforeAutospacing="0" w:after="0" w:afterAutospacing="0"/>
              <w:jc w:val="right"/>
              <w:rPr>
                <w:color w:val="000000"/>
                <w:sz w:val="20"/>
                <w:szCs w:val="20"/>
              </w:rPr>
            </w:pPr>
            <w:r>
              <w:rPr>
                <w:color w:val="000000"/>
                <w:sz w:val="20"/>
                <w:szCs w:val="20"/>
              </w:rPr>
              <w:t>19,971</w:t>
            </w:r>
          </w:p>
        </w:tc>
        <w:tc>
          <w:tcPr>
            <w:tcW w:w="50" w:type="pct"/>
            <w:shd w:val="clear" w:color="auto" w:fill="FFFFFF"/>
            <w:noWrap/>
            <w:tcMar>
              <w:top w:w="15" w:type="dxa"/>
              <w:left w:w="0" w:type="dxa"/>
              <w:bottom w:w="0" w:type="dxa"/>
              <w:right w:w="15" w:type="dxa"/>
            </w:tcMar>
            <w:vAlign w:val="bottom"/>
            <w:hideMark/>
          </w:tcPr>
          <w:p w14:paraId="3E957B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7A50E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3C5B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0" w:type="pct"/>
            <w:shd w:val="clear" w:color="auto" w:fill="FFFFFF"/>
            <w:noWrap/>
            <w:tcMar>
              <w:top w:w="15" w:type="dxa"/>
              <w:left w:w="0" w:type="dxa"/>
              <w:bottom w:w="0" w:type="dxa"/>
              <w:right w:w="15" w:type="dxa"/>
            </w:tcMar>
            <w:vAlign w:val="bottom"/>
            <w:hideMark/>
          </w:tcPr>
          <w:p w14:paraId="408C0677" w14:textId="77777777" w:rsidR="00000000" w:rsidRDefault="007125B5">
            <w:pPr>
              <w:pStyle w:val="a3"/>
              <w:spacing w:before="0" w:beforeAutospacing="0" w:after="0" w:afterAutospacing="0"/>
              <w:jc w:val="right"/>
              <w:rPr>
                <w:color w:val="000000"/>
                <w:sz w:val="20"/>
                <w:szCs w:val="20"/>
              </w:rPr>
            </w:pPr>
            <w:r>
              <w:rPr>
                <w:color w:val="000000"/>
                <w:sz w:val="20"/>
                <w:szCs w:val="20"/>
              </w:rPr>
              <w:t>19,649</w:t>
            </w:r>
          </w:p>
        </w:tc>
        <w:tc>
          <w:tcPr>
            <w:tcW w:w="50" w:type="pct"/>
            <w:shd w:val="clear" w:color="auto" w:fill="FFFFFF"/>
            <w:noWrap/>
            <w:tcMar>
              <w:top w:w="15" w:type="dxa"/>
              <w:left w:w="0" w:type="dxa"/>
              <w:bottom w:w="0" w:type="dxa"/>
              <w:right w:w="15" w:type="dxa"/>
            </w:tcMar>
            <w:vAlign w:val="bottom"/>
            <w:hideMark/>
          </w:tcPr>
          <w:p w14:paraId="56E0E0F7"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4053EC52"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369"/>
        <w:gridCol w:w="65"/>
        <w:gridCol w:w="115"/>
        <w:gridCol w:w="665"/>
        <w:gridCol w:w="82"/>
        <w:gridCol w:w="65"/>
        <w:gridCol w:w="118"/>
        <w:gridCol w:w="742"/>
        <w:gridCol w:w="65"/>
        <w:gridCol w:w="65"/>
        <w:gridCol w:w="124"/>
        <w:gridCol w:w="789"/>
        <w:gridCol w:w="82"/>
        <w:gridCol w:w="65"/>
        <w:gridCol w:w="115"/>
        <w:gridCol w:w="665"/>
        <w:gridCol w:w="82"/>
        <w:gridCol w:w="65"/>
        <w:gridCol w:w="118"/>
        <w:gridCol w:w="742"/>
        <w:gridCol w:w="65"/>
        <w:gridCol w:w="65"/>
        <w:gridCol w:w="124"/>
        <w:gridCol w:w="789"/>
        <w:gridCol w:w="65"/>
      </w:tblGrid>
      <w:tr w:rsidR="00000000" w14:paraId="771067EC" w14:textId="77777777">
        <w:trPr>
          <w:divId w:val="522286892"/>
          <w:jc w:val="center"/>
        </w:trPr>
        <w:tc>
          <w:tcPr>
            <w:tcW w:w="2088" w:type="pct"/>
            <w:shd w:val="clear" w:color="auto" w:fill="FFFFFF"/>
            <w:tcMar>
              <w:top w:w="15" w:type="dxa"/>
              <w:left w:w="0" w:type="dxa"/>
              <w:bottom w:w="0" w:type="dxa"/>
              <w:right w:w="15" w:type="dxa"/>
            </w:tcMar>
            <w:vAlign w:val="bottom"/>
            <w:hideMark/>
          </w:tcPr>
          <w:p w14:paraId="6E9DE77E" w14:textId="77777777" w:rsidR="00000000" w:rsidRDefault="007125B5">
            <w:pPr>
              <w:pStyle w:val="a3"/>
              <w:spacing w:before="0" w:beforeAutospacing="0" w:after="0" w:afterAutospacing="0"/>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14:paraId="3AC6C795" w14:textId="77777777" w:rsidR="00000000" w:rsidRDefault="007125B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93" w:type="pct"/>
            <w:gridSpan w:val="22"/>
            <w:tcBorders>
              <w:bottom w:val="single" w:sz="6" w:space="0" w:color="000000"/>
            </w:tcBorders>
            <w:shd w:val="clear" w:color="auto" w:fill="FFFFFF"/>
            <w:tcMar>
              <w:top w:w="15" w:type="dxa"/>
              <w:left w:w="0" w:type="dxa"/>
              <w:bottom w:w="0" w:type="dxa"/>
              <w:right w:w="15" w:type="dxa"/>
            </w:tcMar>
            <w:vAlign w:val="bottom"/>
            <w:hideMark/>
          </w:tcPr>
          <w:p w14:paraId="76E36DE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0DFB26E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437278E" w14:textId="77777777">
        <w:trPr>
          <w:divId w:val="522286892"/>
          <w:jc w:val="center"/>
        </w:trPr>
        <w:tc>
          <w:tcPr>
            <w:tcW w:w="2088" w:type="pct"/>
            <w:shd w:val="clear" w:color="auto" w:fill="FFFFFF"/>
            <w:tcMar>
              <w:top w:w="15" w:type="dxa"/>
              <w:left w:w="0" w:type="dxa"/>
              <w:bottom w:w="0" w:type="dxa"/>
              <w:right w:w="15" w:type="dxa"/>
            </w:tcMar>
            <w:vAlign w:val="bottom"/>
            <w:hideMark/>
          </w:tcPr>
          <w:p w14:paraId="4B6FBA2D" w14:textId="77777777" w:rsidR="00000000" w:rsidRDefault="007125B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left w:w="0" w:type="dxa"/>
              <w:bottom w:w="0" w:type="dxa"/>
              <w:right w:w="15" w:type="dxa"/>
            </w:tcMar>
            <w:vAlign w:val="bottom"/>
            <w:hideMark/>
          </w:tcPr>
          <w:p w14:paraId="18462A7D" w14:textId="77777777" w:rsidR="00000000" w:rsidRDefault="007125B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338"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D8C49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4FAC41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3342CF5A" w14:textId="77777777" w:rsidR="00000000" w:rsidRDefault="007125B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338"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196D5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B854F1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39934B8" w14:textId="77777777">
        <w:trPr>
          <w:divId w:val="522286892"/>
          <w:jc w:val="center"/>
        </w:trPr>
        <w:tc>
          <w:tcPr>
            <w:tcW w:w="2088" w:type="pct"/>
            <w:tcBorders>
              <w:bottom w:val="single" w:sz="6" w:space="0" w:color="000000"/>
            </w:tcBorders>
            <w:shd w:val="clear" w:color="auto" w:fill="FFFFFF"/>
            <w:tcMar>
              <w:top w:w="15" w:type="dxa"/>
              <w:left w:w="0" w:type="dxa"/>
              <w:bottom w:w="0" w:type="dxa"/>
              <w:right w:w="15" w:type="dxa"/>
            </w:tcMar>
            <w:vAlign w:val="bottom"/>
            <w:hideMark/>
          </w:tcPr>
          <w:p w14:paraId="72F5270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14:paraId="41E763C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ECA01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14:paraId="64C66C6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2B3A2B7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A1A7C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Acquisitions</w:t>
            </w:r>
          </w:p>
          <w:p w14:paraId="61AF592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1EFD47B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75B47FE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289AE37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15D28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Consolidated</w:t>
            </w:r>
          </w:p>
          <w:p w14:paraId="353B688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4324EB5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7A643CB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14:paraId="727A44D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AF0E5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14:paraId="71C7238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7FAA19A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A6027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Acquisitions</w:t>
            </w:r>
          </w:p>
          <w:p w14:paraId="6AB8718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40E7548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05A1AF4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26CD3B0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5DB93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Consolidated</w:t>
            </w:r>
          </w:p>
          <w:p w14:paraId="6897EFC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Pro-Forma</w:t>
            </w:r>
          </w:p>
          <w:p w14:paraId="27D6ECA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14:paraId="7B428FF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4C01B2A" w14:textId="77777777">
        <w:trPr>
          <w:divId w:val="522286892"/>
          <w:jc w:val="center"/>
        </w:trPr>
        <w:tc>
          <w:tcPr>
            <w:tcW w:w="2088" w:type="pct"/>
            <w:tcBorders>
              <w:top w:val="single" w:sz="6" w:space="0" w:color="000000"/>
            </w:tcBorders>
            <w:shd w:val="clear" w:color="auto" w:fill="CFF0FC"/>
            <w:tcMar>
              <w:top w:w="15" w:type="dxa"/>
              <w:left w:w="0" w:type="dxa"/>
              <w:bottom w:w="0" w:type="dxa"/>
              <w:right w:w="15" w:type="dxa"/>
            </w:tcMar>
            <w:hideMark/>
          </w:tcPr>
          <w:p w14:paraId="67884FC8" w14:textId="77777777" w:rsidR="00000000" w:rsidRDefault="007125B5">
            <w:pPr>
              <w:pStyle w:val="a3"/>
              <w:spacing w:before="0" w:beforeAutospacing="0" w:after="0" w:afterAutospacing="0"/>
              <w:rPr>
                <w:color w:val="000000"/>
                <w:sz w:val="20"/>
                <w:szCs w:val="20"/>
              </w:rPr>
            </w:pPr>
            <w:r>
              <w:rPr>
                <w:color w:val="000000"/>
                <w:sz w:val="20"/>
                <w:szCs w:val="20"/>
              </w:rPr>
              <w:t>Revenues</w:t>
            </w:r>
          </w:p>
        </w:tc>
        <w:tc>
          <w:tcPr>
            <w:tcW w:w="67" w:type="pct"/>
            <w:shd w:val="clear" w:color="auto" w:fill="CFF0FC"/>
            <w:tcMar>
              <w:top w:w="15" w:type="dxa"/>
              <w:left w:w="0" w:type="dxa"/>
              <w:bottom w:w="0" w:type="dxa"/>
              <w:right w:w="15" w:type="dxa"/>
            </w:tcMar>
            <w:vAlign w:val="bottom"/>
            <w:hideMark/>
          </w:tcPr>
          <w:p w14:paraId="73699C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B1229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14:paraId="6788C4A8" w14:textId="77777777" w:rsidR="00000000" w:rsidRDefault="007125B5">
            <w:pPr>
              <w:pStyle w:val="a3"/>
              <w:spacing w:before="0" w:beforeAutospacing="0" w:after="0" w:afterAutospacing="0"/>
              <w:jc w:val="right"/>
              <w:rPr>
                <w:color w:val="000000"/>
                <w:sz w:val="20"/>
                <w:szCs w:val="20"/>
              </w:rPr>
            </w:pPr>
            <w:r>
              <w:rPr>
                <w:color w:val="000000"/>
                <w:sz w:val="20"/>
                <w:szCs w:val="20"/>
              </w:rPr>
              <w:t>134,797</w:t>
            </w:r>
          </w:p>
        </w:tc>
        <w:tc>
          <w:tcPr>
            <w:tcW w:w="50" w:type="pct"/>
            <w:shd w:val="clear" w:color="auto" w:fill="CFF0FC"/>
            <w:noWrap/>
            <w:tcMar>
              <w:top w:w="15" w:type="dxa"/>
              <w:left w:w="0" w:type="dxa"/>
              <w:bottom w:w="0" w:type="dxa"/>
              <w:right w:w="15" w:type="dxa"/>
            </w:tcMar>
            <w:vAlign w:val="bottom"/>
            <w:hideMark/>
          </w:tcPr>
          <w:p w14:paraId="04ED5E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213C72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EF67B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14:paraId="4969890E" w14:textId="77777777" w:rsidR="00000000" w:rsidRDefault="007125B5">
            <w:pPr>
              <w:pStyle w:val="a3"/>
              <w:spacing w:before="0" w:beforeAutospacing="0" w:after="0" w:afterAutospacing="0"/>
              <w:jc w:val="right"/>
              <w:rPr>
                <w:color w:val="000000"/>
                <w:sz w:val="20"/>
                <w:szCs w:val="20"/>
              </w:rPr>
            </w:pPr>
            <w:r>
              <w:rPr>
                <w:color w:val="000000"/>
                <w:sz w:val="20"/>
                <w:szCs w:val="20"/>
              </w:rPr>
              <w:t>31,253</w:t>
            </w:r>
          </w:p>
        </w:tc>
        <w:tc>
          <w:tcPr>
            <w:tcW w:w="50" w:type="pct"/>
            <w:shd w:val="clear" w:color="auto" w:fill="CFF0FC"/>
            <w:noWrap/>
            <w:tcMar>
              <w:top w:w="15" w:type="dxa"/>
              <w:left w:w="0" w:type="dxa"/>
              <w:bottom w:w="0" w:type="dxa"/>
              <w:right w:w="15" w:type="dxa"/>
            </w:tcMar>
            <w:vAlign w:val="bottom"/>
            <w:hideMark/>
          </w:tcPr>
          <w:p w14:paraId="70BBA7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6A21CC9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B2008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14:paraId="20CB7F82" w14:textId="77777777" w:rsidR="00000000" w:rsidRDefault="007125B5">
            <w:pPr>
              <w:pStyle w:val="a3"/>
              <w:spacing w:before="0" w:beforeAutospacing="0" w:after="0" w:afterAutospacing="0"/>
              <w:jc w:val="right"/>
              <w:rPr>
                <w:color w:val="000000"/>
                <w:sz w:val="20"/>
                <w:szCs w:val="20"/>
              </w:rPr>
            </w:pPr>
            <w:r>
              <w:rPr>
                <w:color w:val="000000"/>
                <w:sz w:val="20"/>
                <w:szCs w:val="20"/>
              </w:rPr>
              <w:t>166,050</w:t>
            </w:r>
          </w:p>
        </w:tc>
        <w:tc>
          <w:tcPr>
            <w:tcW w:w="50" w:type="pct"/>
            <w:shd w:val="clear" w:color="auto" w:fill="CFF0FC"/>
            <w:noWrap/>
            <w:tcMar>
              <w:top w:w="15" w:type="dxa"/>
              <w:left w:w="0" w:type="dxa"/>
              <w:bottom w:w="0" w:type="dxa"/>
              <w:right w:w="15" w:type="dxa"/>
            </w:tcMar>
            <w:vAlign w:val="bottom"/>
            <w:hideMark/>
          </w:tcPr>
          <w:p w14:paraId="39E75BB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7BB766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ED048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14:paraId="30D46F5D" w14:textId="77777777" w:rsidR="00000000" w:rsidRDefault="007125B5">
            <w:pPr>
              <w:pStyle w:val="a3"/>
              <w:spacing w:before="0" w:beforeAutospacing="0" w:after="0" w:afterAutospacing="0"/>
              <w:jc w:val="right"/>
              <w:rPr>
                <w:color w:val="000000"/>
                <w:sz w:val="20"/>
                <w:szCs w:val="20"/>
              </w:rPr>
            </w:pPr>
            <w:r>
              <w:rPr>
                <w:color w:val="000000"/>
                <w:sz w:val="20"/>
                <w:szCs w:val="20"/>
              </w:rPr>
              <w:t>108,355</w:t>
            </w:r>
          </w:p>
        </w:tc>
        <w:tc>
          <w:tcPr>
            <w:tcW w:w="50" w:type="pct"/>
            <w:shd w:val="clear" w:color="auto" w:fill="CFF0FC"/>
            <w:noWrap/>
            <w:tcMar>
              <w:top w:w="15" w:type="dxa"/>
              <w:left w:w="0" w:type="dxa"/>
              <w:bottom w:w="0" w:type="dxa"/>
              <w:right w:w="15" w:type="dxa"/>
            </w:tcMar>
            <w:vAlign w:val="bottom"/>
            <w:hideMark/>
          </w:tcPr>
          <w:p w14:paraId="60C109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68A837F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87927B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14:paraId="7AF5C83C" w14:textId="77777777" w:rsidR="00000000" w:rsidRDefault="007125B5">
            <w:pPr>
              <w:pStyle w:val="a3"/>
              <w:spacing w:before="0" w:beforeAutospacing="0" w:after="0" w:afterAutospacing="0"/>
              <w:jc w:val="right"/>
              <w:rPr>
                <w:color w:val="000000"/>
                <w:sz w:val="20"/>
                <w:szCs w:val="20"/>
              </w:rPr>
            </w:pPr>
            <w:r>
              <w:rPr>
                <w:color w:val="000000"/>
                <w:sz w:val="20"/>
                <w:szCs w:val="20"/>
              </w:rPr>
              <w:t>88,908</w:t>
            </w:r>
          </w:p>
        </w:tc>
        <w:tc>
          <w:tcPr>
            <w:tcW w:w="50" w:type="pct"/>
            <w:shd w:val="clear" w:color="auto" w:fill="CFF0FC"/>
            <w:noWrap/>
            <w:tcMar>
              <w:top w:w="15" w:type="dxa"/>
              <w:left w:w="0" w:type="dxa"/>
              <w:bottom w:w="0" w:type="dxa"/>
              <w:right w:w="15" w:type="dxa"/>
            </w:tcMar>
            <w:vAlign w:val="bottom"/>
            <w:hideMark/>
          </w:tcPr>
          <w:p w14:paraId="420F927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6A71E19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E7AD2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14:paraId="2BEA8876" w14:textId="77777777" w:rsidR="00000000" w:rsidRDefault="007125B5">
            <w:pPr>
              <w:pStyle w:val="a3"/>
              <w:spacing w:before="0" w:beforeAutospacing="0" w:after="0" w:afterAutospacing="0"/>
              <w:jc w:val="right"/>
              <w:rPr>
                <w:color w:val="000000"/>
                <w:sz w:val="20"/>
                <w:szCs w:val="20"/>
              </w:rPr>
            </w:pPr>
            <w:r>
              <w:rPr>
                <w:color w:val="000000"/>
                <w:sz w:val="20"/>
                <w:szCs w:val="20"/>
              </w:rPr>
              <w:t>197,263</w:t>
            </w:r>
          </w:p>
        </w:tc>
        <w:tc>
          <w:tcPr>
            <w:tcW w:w="50" w:type="pct"/>
            <w:shd w:val="clear" w:color="auto" w:fill="CFF0FC"/>
            <w:noWrap/>
            <w:tcMar>
              <w:top w:w="15" w:type="dxa"/>
              <w:left w:w="0" w:type="dxa"/>
              <w:bottom w:w="0" w:type="dxa"/>
              <w:right w:w="15" w:type="dxa"/>
            </w:tcMar>
            <w:vAlign w:val="bottom"/>
            <w:hideMark/>
          </w:tcPr>
          <w:p w14:paraId="5F81E1C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E66396A" w14:textId="77777777">
        <w:trPr>
          <w:divId w:val="522286892"/>
          <w:jc w:val="center"/>
        </w:trPr>
        <w:tc>
          <w:tcPr>
            <w:tcW w:w="2088" w:type="pct"/>
            <w:shd w:val="clear" w:color="auto" w:fill="FFFFFF"/>
            <w:tcMar>
              <w:top w:w="15" w:type="dxa"/>
              <w:left w:w="0" w:type="dxa"/>
              <w:bottom w:w="0" w:type="dxa"/>
              <w:right w:w="15" w:type="dxa"/>
            </w:tcMar>
            <w:hideMark/>
          </w:tcPr>
          <w:p w14:paraId="28DEDBBF" w14:textId="77777777" w:rsidR="00000000" w:rsidRDefault="007125B5">
            <w:pPr>
              <w:pStyle w:val="a3"/>
              <w:spacing w:before="0" w:beforeAutospacing="0" w:after="0" w:afterAutospacing="0"/>
              <w:rPr>
                <w:color w:val="000000"/>
                <w:sz w:val="20"/>
                <w:szCs w:val="20"/>
              </w:rPr>
            </w:pPr>
            <w:r>
              <w:rPr>
                <w:color w:val="000000"/>
                <w:sz w:val="20"/>
                <w:szCs w:val="20"/>
              </w:rPr>
              <w:t>Net (loss) income</w:t>
            </w:r>
          </w:p>
        </w:tc>
        <w:tc>
          <w:tcPr>
            <w:tcW w:w="67" w:type="pct"/>
            <w:shd w:val="clear" w:color="auto" w:fill="FFFFFF"/>
            <w:tcMar>
              <w:top w:w="15" w:type="dxa"/>
              <w:left w:w="0" w:type="dxa"/>
              <w:bottom w:w="0" w:type="dxa"/>
              <w:right w:w="15" w:type="dxa"/>
            </w:tcMar>
            <w:vAlign w:val="bottom"/>
            <w:hideMark/>
          </w:tcPr>
          <w:p w14:paraId="08A0FE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5B3B0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14:paraId="7DF4B630" w14:textId="77777777" w:rsidR="00000000" w:rsidRDefault="007125B5">
            <w:pPr>
              <w:pStyle w:val="a3"/>
              <w:spacing w:before="0" w:beforeAutospacing="0" w:after="0" w:afterAutospacing="0"/>
              <w:jc w:val="right"/>
              <w:rPr>
                <w:color w:val="000000"/>
                <w:sz w:val="20"/>
                <w:szCs w:val="20"/>
              </w:rPr>
            </w:pPr>
            <w:r>
              <w:rPr>
                <w:color w:val="000000"/>
                <w:sz w:val="20"/>
                <w:szCs w:val="20"/>
              </w:rPr>
              <w:t>(28,024</w:t>
            </w:r>
          </w:p>
        </w:tc>
        <w:tc>
          <w:tcPr>
            <w:tcW w:w="50" w:type="pct"/>
            <w:shd w:val="clear" w:color="auto" w:fill="FFFFFF"/>
            <w:noWrap/>
            <w:tcMar>
              <w:top w:w="15" w:type="dxa"/>
              <w:left w:w="0" w:type="dxa"/>
              <w:bottom w:w="0" w:type="dxa"/>
              <w:right w:w="15" w:type="dxa"/>
            </w:tcMar>
            <w:vAlign w:val="bottom"/>
            <w:hideMark/>
          </w:tcPr>
          <w:p w14:paraId="2FFE3B3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14:paraId="47315BB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97FC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14:paraId="20B4363B" w14:textId="77777777" w:rsidR="00000000" w:rsidRDefault="007125B5">
            <w:pPr>
              <w:pStyle w:val="a3"/>
              <w:spacing w:before="0" w:beforeAutospacing="0" w:after="0" w:afterAutospacing="0"/>
              <w:jc w:val="right"/>
              <w:rPr>
                <w:color w:val="000000"/>
                <w:sz w:val="20"/>
                <w:szCs w:val="20"/>
              </w:rPr>
            </w:pPr>
            <w:r>
              <w:rPr>
                <w:color w:val="000000"/>
                <w:sz w:val="20"/>
                <w:szCs w:val="20"/>
              </w:rPr>
              <w:t>10,288</w:t>
            </w:r>
          </w:p>
        </w:tc>
        <w:tc>
          <w:tcPr>
            <w:tcW w:w="50" w:type="pct"/>
            <w:shd w:val="clear" w:color="auto" w:fill="FFFFFF"/>
            <w:noWrap/>
            <w:tcMar>
              <w:top w:w="15" w:type="dxa"/>
              <w:left w:w="0" w:type="dxa"/>
              <w:bottom w:w="0" w:type="dxa"/>
              <w:right w:w="15" w:type="dxa"/>
            </w:tcMar>
            <w:vAlign w:val="bottom"/>
            <w:hideMark/>
          </w:tcPr>
          <w:p w14:paraId="3C9144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2BF475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3DAA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14:paraId="44D26A29" w14:textId="77777777" w:rsidR="00000000" w:rsidRDefault="007125B5">
            <w:pPr>
              <w:pStyle w:val="a3"/>
              <w:spacing w:before="0" w:beforeAutospacing="0" w:after="0" w:afterAutospacing="0"/>
              <w:jc w:val="right"/>
              <w:rPr>
                <w:color w:val="000000"/>
                <w:sz w:val="20"/>
                <w:szCs w:val="20"/>
              </w:rPr>
            </w:pPr>
            <w:r>
              <w:rPr>
                <w:color w:val="000000"/>
                <w:sz w:val="20"/>
                <w:szCs w:val="20"/>
              </w:rPr>
              <w:t>(17,736</w:t>
            </w:r>
          </w:p>
        </w:tc>
        <w:tc>
          <w:tcPr>
            <w:tcW w:w="50" w:type="pct"/>
            <w:shd w:val="clear" w:color="auto" w:fill="FFFFFF"/>
            <w:noWrap/>
            <w:tcMar>
              <w:top w:w="15" w:type="dxa"/>
              <w:left w:w="0" w:type="dxa"/>
              <w:bottom w:w="0" w:type="dxa"/>
              <w:right w:w="15" w:type="dxa"/>
            </w:tcMar>
            <w:vAlign w:val="bottom"/>
            <w:hideMark/>
          </w:tcPr>
          <w:p w14:paraId="573F859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14:paraId="3AF5559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E04F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14:paraId="6851FC73" w14:textId="77777777" w:rsidR="00000000" w:rsidRDefault="007125B5">
            <w:pPr>
              <w:pStyle w:val="a3"/>
              <w:spacing w:before="0" w:beforeAutospacing="0" w:after="0" w:afterAutospacing="0"/>
              <w:jc w:val="right"/>
              <w:rPr>
                <w:color w:val="000000"/>
                <w:sz w:val="20"/>
                <w:szCs w:val="20"/>
              </w:rPr>
            </w:pPr>
            <w:r>
              <w:rPr>
                <w:color w:val="000000"/>
                <w:sz w:val="20"/>
                <w:szCs w:val="20"/>
              </w:rPr>
              <w:t>(5,564</w:t>
            </w:r>
          </w:p>
        </w:tc>
        <w:tc>
          <w:tcPr>
            <w:tcW w:w="50" w:type="pct"/>
            <w:shd w:val="clear" w:color="auto" w:fill="FFFFFF"/>
            <w:noWrap/>
            <w:tcMar>
              <w:top w:w="15" w:type="dxa"/>
              <w:left w:w="0" w:type="dxa"/>
              <w:bottom w:w="0" w:type="dxa"/>
              <w:right w:w="15" w:type="dxa"/>
            </w:tcMar>
            <w:vAlign w:val="bottom"/>
            <w:hideMark/>
          </w:tcPr>
          <w:p w14:paraId="2C4EBB3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14:paraId="63720FD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D68E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14:paraId="2726F909" w14:textId="77777777" w:rsidR="00000000" w:rsidRDefault="007125B5">
            <w:pPr>
              <w:pStyle w:val="a3"/>
              <w:spacing w:before="0" w:beforeAutospacing="0" w:after="0" w:afterAutospacing="0"/>
              <w:jc w:val="right"/>
              <w:rPr>
                <w:color w:val="000000"/>
                <w:sz w:val="20"/>
                <w:szCs w:val="20"/>
              </w:rPr>
            </w:pPr>
            <w:r>
              <w:rPr>
                <w:color w:val="000000"/>
                <w:sz w:val="20"/>
                <w:szCs w:val="20"/>
              </w:rPr>
              <w:t>25,959</w:t>
            </w:r>
          </w:p>
        </w:tc>
        <w:tc>
          <w:tcPr>
            <w:tcW w:w="50" w:type="pct"/>
            <w:shd w:val="clear" w:color="auto" w:fill="FFFFFF"/>
            <w:noWrap/>
            <w:tcMar>
              <w:top w:w="15" w:type="dxa"/>
              <w:left w:w="0" w:type="dxa"/>
              <w:bottom w:w="0" w:type="dxa"/>
              <w:right w:w="15" w:type="dxa"/>
            </w:tcMar>
            <w:vAlign w:val="bottom"/>
            <w:hideMark/>
          </w:tcPr>
          <w:p w14:paraId="1D2C8A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50D8FE4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9FE5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14:paraId="24343512" w14:textId="77777777" w:rsidR="00000000" w:rsidRDefault="007125B5">
            <w:pPr>
              <w:pStyle w:val="a3"/>
              <w:spacing w:before="0" w:beforeAutospacing="0" w:after="0" w:afterAutospacing="0"/>
              <w:jc w:val="right"/>
              <w:rPr>
                <w:color w:val="000000"/>
                <w:sz w:val="20"/>
                <w:szCs w:val="20"/>
              </w:rPr>
            </w:pPr>
            <w:r>
              <w:rPr>
                <w:color w:val="000000"/>
                <w:sz w:val="20"/>
                <w:szCs w:val="20"/>
              </w:rPr>
              <w:t>20,395</w:t>
            </w:r>
          </w:p>
        </w:tc>
        <w:tc>
          <w:tcPr>
            <w:tcW w:w="50" w:type="pct"/>
            <w:shd w:val="clear" w:color="auto" w:fill="FFFFFF"/>
            <w:noWrap/>
            <w:tcMar>
              <w:top w:w="15" w:type="dxa"/>
              <w:left w:w="0" w:type="dxa"/>
              <w:bottom w:w="0" w:type="dxa"/>
              <w:right w:w="15" w:type="dxa"/>
            </w:tcMar>
            <w:vAlign w:val="bottom"/>
            <w:hideMark/>
          </w:tcPr>
          <w:p w14:paraId="01E4B7A7"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2B576BE" w14:textId="77777777" w:rsidR="00000000" w:rsidRDefault="007125B5">
      <w:pPr>
        <w:pStyle w:val="a3"/>
        <w:shd w:val="clear" w:color="auto" w:fill="FFFFFF"/>
        <w:spacing w:before="0" w:beforeAutospacing="0" w:after="0" w:afterAutospacing="0"/>
        <w:rPr>
          <w:sz w:val="20"/>
          <w:szCs w:val="20"/>
        </w:rPr>
      </w:pPr>
      <w:r>
        <w:rPr>
          <w:sz w:val="20"/>
          <w:szCs w:val="20"/>
        </w:rPr>
        <w:t> </w:t>
      </w:r>
    </w:p>
    <w:p w14:paraId="369942B2" w14:textId="77777777" w:rsidR="00000000" w:rsidRDefault="007125B5">
      <w:pPr>
        <w:pStyle w:val="a3"/>
        <w:shd w:val="clear" w:color="auto" w:fill="FFFFFF"/>
        <w:spacing w:before="160" w:beforeAutospacing="0" w:after="0" w:afterAutospacing="0"/>
        <w:rPr>
          <w:b/>
          <w:bCs/>
          <w:sz w:val="20"/>
          <w:szCs w:val="20"/>
        </w:rPr>
      </w:pPr>
      <w:r>
        <w:rPr>
          <w:b/>
          <w:bCs/>
          <w:sz w:val="20"/>
          <w:szCs w:val="20"/>
        </w:rPr>
        <w:t>7. GOODWILL AND INTANGIBLE ASSETS</w:t>
      </w:r>
    </w:p>
    <w:p w14:paraId="30A08141"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Amounts related to goodwill as of June 30, 2020 and December 31, 2019 are as follows:</w:t>
      </w:r>
    </w:p>
    <w:p w14:paraId="188B653F"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354"/>
        <w:gridCol w:w="65"/>
        <w:gridCol w:w="116"/>
        <w:gridCol w:w="755"/>
        <w:gridCol w:w="65"/>
        <w:gridCol w:w="65"/>
        <w:gridCol w:w="116"/>
        <w:gridCol w:w="919"/>
        <w:gridCol w:w="65"/>
        <w:gridCol w:w="65"/>
        <w:gridCol w:w="116"/>
        <w:gridCol w:w="799"/>
        <w:gridCol w:w="65"/>
        <w:gridCol w:w="65"/>
        <w:gridCol w:w="115"/>
        <w:gridCol w:w="665"/>
        <w:gridCol w:w="65"/>
      </w:tblGrid>
      <w:tr w:rsidR="00000000" w14:paraId="5A5E02D1" w14:textId="77777777">
        <w:trPr>
          <w:divId w:val="2047291539"/>
          <w:jc w:val="center"/>
        </w:trPr>
        <w:tc>
          <w:tcPr>
            <w:tcW w:w="2517" w:type="pct"/>
            <w:shd w:val="clear" w:color="auto" w:fill="FFFFFF"/>
            <w:tcMar>
              <w:top w:w="15" w:type="dxa"/>
              <w:left w:w="0" w:type="dxa"/>
              <w:bottom w:w="0" w:type="dxa"/>
              <w:right w:w="15" w:type="dxa"/>
            </w:tcMar>
            <w:vAlign w:val="bottom"/>
            <w:hideMark/>
          </w:tcPr>
          <w:p w14:paraId="36B7D211" w14:textId="77777777" w:rsidR="00000000" w:rsidRDefault="007125B5">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502A826"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11F988B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Assessment,</w:t>
            </w:r>
          </w:p>
          <w:p w14:paraId="2CFE457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Permitting</w:t>
            </w:r>
          </w:p>
          <w:p w14:paraId="31BCE66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and Response</w:t>
            </w:r>
          </w:p>
        </w:tc>
        <w:tc>
          <w:tcPr>
            <w:tcW w:w="50" w:type="pct"/>
            <w:shd w:val="clear" w:color="auto" w:fill="FFFFFF"/>
            <w:noWrap/>
            <w:tcMar>
              <w:top w:w="15" w:type="dxa"/>
              <w:left w:w="0" w:type="dxa"/>
              <w:bottom w:w="0" w:type="dxa"/>
              <w:right w:w="15" w:type="dxa"/>
            </w:tcMar>
            <w:vAlign w:val="bottom"/>
            <w:hideMark/>
          </w:tcPr>
          <w:p w14:paraId="36DF483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EE2678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EAAA86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Measurements</w:t>
            </w:r>
          </w:p>
          <w:p w14:paraId="340BECC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and</w:t>
            </w:r>
          </w:p>
          <w:p w14:paraId="4888962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Analysis</w:t>
            </w:r>
          </w:p>
        </w:tc>
        <w:tc>
          <w:tcPr>
            <w:tcW w:w="50" w:type="pct"/>
            <w:shd w:val="clear" w:color="auto" w:fill="FFFFFF"/>
            <w:noWrap/>
            <w:tcMar>
              <w:top w:w="15" w:type="dxa"/>
              <w:left w:w="0" w:type="dxa"/>
              <w:bottom w:w="0" w:type="dxa"/>
              <w:right w:w="15" w:type="dxa"/>
            </w:tcMar>
            <w:vAlign w:val="bottom"/>
            <w:hideMark/>
          </w:tcPr>
          <w:p w14:paraId="3AF5C8B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221C6D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64D5B59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Remediation</w:t>
            </w:r>
          </w:p>
          <w:p w14:paraId="75A538E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and</w:t>
            </w:r>
          </w:p>
          <w:p w14:paraId="5E83EF5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Reuse</w:t>
            </w:r>
          </w:p>
        </w:tc>
        <w:tc>
          <w:tcPr>
            <w:tcW w:w="50" w:type="pct"/>
            <w:shd w:val="clear" w:color="auto" w:fill="FFFFFF"/>
            <w:noWrap/>
            <w:tcMar>
              <w:top w:w="15" w:type="dxa"/>
              <w:left w:w="0" w:type="dxa"/>
              <w:bottom w:w="0" w:type="dxa"/>
              <w:right w:w="15" w:type="dxa"/>
            </w:tcMar>
            <w:vAlign w:val="bottom"/>
            <w:hideMark/>
          </w:tcPr>
          <w:p w14:paraId="0681FA7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3730FA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02C8B1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37E153F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748E1E1" w14:textId="77777777">
        <w:trPr>
          <w:divId w:val="2047291539"/>
          <w:jc w:val="center"/>
        </w:trPr>
        <w:tc>
          <w:tcPr>
            <w:tcW w:w="2517" w:type="pct"/>
            <w:shd w:val="clear" w:color="auto" w:fill="CFF0FC"/>
            <w:tcMar>
              <w:top w:w="15" w:type="dxa"/>
              <w:left w:w="0" w:type="dxa"/>
              <w:bottom w:w="0" w:type="dxa"/>
              <w:right w:w="15" w:type="dxa"/>
            </w:tcMar>
            <w:hideMark/>
          </w:tcPr>
          <w:p w14:paraId="639EE397" w14:textId="77777777" w:rsidR="00000000" w:rsidRDefault="007125B5">
            <w:pPr>
              <w:pStyle w:val="a3"/>
              <w:spacing w:before="0" w:beforeAutospacing="0" w:after="0" w:afterAutospacing="0"/>
              <w:rPr>
                <w:color w:val="000000"/>
                <w:sz w:val="20"/>
                <w:szCs w:val="20"/>
              </w:rPr>
            </w:pPr>
            <w:r>
              <w:rPr>
                <w:color w:val="000000"/>
                <w:sz w:val="20"/>
                <w:szCs w:val="20"/>
              </w:rPr>
              <w:t>Balance as of December 31, 2019</w:t>
            </w:r>
          </w:p>
        </w:tc>
        <w:tc>
          <w:tcPr>
            <w:tcW w:w="61" w:type="pct"/>
            <w:shd w:val="clear" w:color="auto" w:fill="CFF0FC"/>
            <w:tcMar>
              <w:top w:w="15" w:type="dxa"/>
              <w:left w:w="0" w:type="dxa"/>
              <w:bottom w:w="0" w:type="dxa"/>
              <w:right w:w="15" w:type="dxa"/>
            </w:tcMar>
            <w:vAlign w:val="bottom"/>
            <w:hideMark/>
          </w:tcPr>
          <w:p w14:paraId="618E05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7AA8F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CAFC28D" w14:textId="77777777" w:rsidR="00000000" w:rsidRDefault="007125B5">
            <w:pPr>
              <w:pStyle w:val="a3"/>
              <w:spacing w:before="0" w:beforeAutospacing="0" w:after="0" w:afterAutospacing="0"/>
              <w:jc w:val="right"/>
              <w:rPr>
                <w:color w:val="000000"/>
                <w:sz w:val="20"/>
                <w:szCs w:val="20"/>
              </w:rPr>
            </w:pPr>
            <w:r>
              <w:rPr>
                <w:color w:val="000000"/>
                <w:sz w:val="20"/>
                <w:szCs w:val="20"/>
              </w:rPr>
              <w:t>15,173</w:t>
            </w:r>
          </w:p>
        </w:tc>
        <w:tc>
          <w:tcPr>
            <w:tcW w:w="50" w:type="pct"/>
            <w:shd w:val="clear" w:color="auto" w:fill="CFF0FC"/>
            <w:noWrap/>
            <w:tcMar>
              <w:top w:w="15" w:type="dxa"/>
              <w:left w:w="0" w:type="dxa"/>
              <w:bottom w:w="0" w:type="dxa"/>
              <w:right w:w="15" w:type="dxa"/>
            </w:tcMar>
            <w:vAlign w:val="bottom"/>
            <w:hideMark/>
          </w:tcPr>
          <w:p w14:paraId="1DC75A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3D5072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80F3E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419EBB7" w14:textId="77777777" w:rsidR="00000000" w:rsidRDefault="007125B5">
            <w:pPr>
              <w:pStyle w:val="a3"/>
              <w:spacing w:before="0" w:beforeAutospacing="0" w:after="0" w:afterAutospacing="0"/>
              <w:jc w:val="right"/>
              <w:rPr>
                <w:color w:val="000000"/>
                <w:sz w:val="20"/>
                <w:szCs w:val="20"/>
              </w:rPr>
            </w:pPr>
            <w:r>
              <w:rPr>
                <w:color w:val="000000"/>
                <w:sz w:val="20"/>
                <w:szCs w:val="20"/>
              </w:rPr>
              <w:t>68,628</w:t>
            </w:r>
          </w:p>
        </w:tc>
        <w:tc>
          <w:tcPr>
            <w:tcW w:w="50" w:type="pct"/>
            <w:shd w:val="clear" w:color="auto" w:fill="CFF0FC"/>
            <w:noWrap/>
            <w:tcMar>
              <w:top w:w="15" w:type="dxa"/>
              <w:left w:w="0" w:type="dxa"/>
              <w:bottom w:w="0" w:type="dxa"/>
              <w:right w:w="15" w:type="dxa"/>
            </w:tcMar>
            <w:vAlign w:val="bottom"/>
            <w:hideMark/>
          </w:tcPr>
          <w:p w14:paraId="01749C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1A6BB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777F0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751EA05" w14:textId="77777777" w:rsidR="00000000" w:rsidRDefault="007125B5">
            <w:pPr>
              <w:pStyle w:val="a3"/>
              <w:spacing w:before="0" w:beforeAutospacing="0" w:after="0" w:afterAutospacing="0"/>
              <w:jc w:val="right"/>
              <w:rPr>
                <w:color w:val="000000"/>
                <w:sz w:val="20"/>
                <w:szCs w:val="20"/>
              </w:rPr>
            </w:pPr>
            <w:r>
              <w:rPr>
                <w:color w:val="000000"/>
                <w:sz w:val="20"/>
                <w:szCs w:val="20"/>
              </w:rPr>
              <w:t>43,257</w:t>
            </w:r>
          </w:p>
        </w:tc>
        <w:tc>
          <w:tcPr>
            <w:tcW w:w="50" w:type="pct"/>
            <w:shd w:val="clear" w:color="auto" w:fill="CFF0FC"/>
            <w:noWrap/>
            <w:tcMar>
              <w:top w:w="15" w:type="dxa"/>
              <w:left w:w="0" w:type="dxa"/>
              <w:bottom w:w="0" w:type="dxa"/>
              <w:right w:w="15" w:type="dxa"/>
            </w:tcMar>
            <w:vAlign w:val="bottom"/>
            <w:hideMark/>
          </w:tcPr>
          <w:p w14:paraId="3C8B82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F1C59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903A6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11D91F4" w14:textId="77777777" w:rsidR="00000000" w:rsidRDefault="007125B5">
            <w:pPr>
              <w:pStyle w:val="a3"/>
              <w:spacing w:before="0" w:beforeAutospacing="0" w:after="0" w:afterAutospacing="0"/>
              <w:jc w:val="right"/>
              <w:rPr>
                <w:color w:val="000000"/>
                <w:sz w:val="20"/>
                <w:szCs w:val="20"/>
              </w:rPr>
            </w:pPr>
            <w:r>
              <w:rPr>
                <w:color w:val="000000"/>
                <w:sz w:val="20"/>
                <w:szCs w:val="20"/>
              </w:rPr>
              <w:t>127,058</w:t>
            </w:r>
          </w:p>
        </w:tc>
        <w:tc>
          <w:tcPr>
            <w:tcW w:w="50" w:type="pct"/>
            <w:shd w:val="clear" w:color="auto" w:fill="CFF0FC"/>
            <w:noWrap/>
            <w:tcMar>
              <w:top w:w="15" w:type="dxa"/>
              <w:left w:w="0" w:type="dxa"/>
              <w:bottom w:w="0" w:type="dxa"/>
              <w:right w:w="15" w:type="dxa"/>
            </w:tcMar>
            <w:vAlign w:val="bottom"/>
            <w:hideMark/>
          </w:tcPr>
          <w:p w14:paraId="1675263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851F508" w14:textId="77777777">
        <w:trPr>
          <w:divId w:val="2047291539"/>
          <w:jc w:val="center"/>
        </w:trPr>
        <w:tc>
          <w:tcPr>
            <w:tcW w:w="2517" w:type="pct"/>
            <w:shd w:val="clear" w:color="auto" w:fill="FFFFFF"/>
            <w:tcMar>
              <w:top w:w="15" w:type="dxa"/>
              <w:left w:w="0" w:type="dxa"/>
              <w:bottom w:w="0" w:type="dxa"/>
              <w:right w:w="15" w:type="dxa"/>
            </w:tcMar>
            <w:hideMark/>
          </w:tcPr>
          <w:p w14:paraId="320E47E9" w14:textId="77777777" w:rsidR="00000000" w:rsidRDefault="007125B5">
            <w:pPr>
              <w:pStyle w:val="a3"/>
              <w:spacing w:before="0" w:beforeAutospacing="0" w:after="0" w:afterAutospacing="0"/>
              <w:ind w:left="274"/>
              <w:rPr>
                <w:color w:val="000000"/>
                <w:sz w:val="20"/>
                <w:szCs w:val="20"/>
              </w:rPr>
            </w:pPr>
            <w:r>
              <w:rPr>
                <w:color w:val="000000"/>
                <w:sz w:val="20"/>
                <w:szCs w:val="20"/>
              </w:rPr>
              <w:t>Goodwill acquired during the period</w:t>
            </w:r>
          </w:p>
        </w:tc>
        <w:tc>
          <w:tcPr>
            <w:tcW w:w="61" w:type="pct"/>
            <w:shd w:val="clear" w:color="auto" w:fill="FFFFFF"/>
            <w:tcMar>
              <w:top w:w="15" w:type="dxa"/>
              <w:left w:w="0" w:type="dxa"/>
              <w:bottom w:w="0" w:type="dxa"/>
              <w:right w:w="15" w:type="dxa"/>
            </w:tcMar>
            <w:vAlign w:val="bottom"/>
            <w:hideMark/>
          </w:tcPr>
          <w:p w14:paraId="68E980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104B2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C4C8273" w14:textId="77777777" w:rsidR="00000000" w:rsidRDefault="007125B5">
            <w:pPr>
              <w:pStyle w:val="a3"/>
              <w:spacing w:before="0" w:beforeAutospacing="0" w:after="0" w:afterAutospacing="0"/>
              <w:jc w:val="right"/>
              <w:rPr>
                <w:color w:val="000000"/>
                <w:sz w:val="20"/>
                <w:szCs w:val="20"/>
              </w:rPr>
            </w:pPr>
            <w:r>
              <w:rPr>
                <w:color w:val="000000"/>
                <w:sz w:val="20"/>
                <w:szCs w:val="20"/>
              </w:rPr>
              <w:t>146,038</w:t>
            </w:r>
          </w:p>
        </w:tc>
        <w:tc>
          <w:tcPr>
            <w:tcW w:w="50" w:type="pct"/>
            <w:shd w:val="clear" w:color="auto" w:fill="FFFFFF"/>
            <w:noWrap/>
            <w:tcMar>
              <w:top w:w="15" w:type="dxa"/>
              <w:left w:w="0" w:type="dxa"/>
              <w:bottom w:w="0" w:type="dxa"/>
              <w:right w:w="15" w:type="dxa"/>
            </w:tcMar>
            <w:vAlign w:val="bottom"/>
            <w:hideMark/>
          </w:tcPr>
          <w:p w14:paraId="6E3521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75A21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7BE27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4EC0D43"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EC595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D00CCD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BEE75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0BEA87D"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D5284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1BB7C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0990D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AA317A8" w14:textId="77777777" w:rsidR="00000000" w:rsidRDefault="007125B5">
            <w:pPr>
              <w:pStyle w:val="a3"/>
              <w:spacing w:before="0" w:beforeAutospacing="0" w:after="0" w:afterAutospacing="0"/>
              <w:jc w:val="right"/>
              <w:rPr>
                <w:color w:val="000000"/>
                <w:sz w:val="20"/>
                <w:szCs w:val="20"/>
              </w:rPr>
            </w:pPr>
            <w:r>
              <w:rPr>
                <w:color w:val="000000"/>
                <w:sz w:val="20"/>
                <w:szCs w:val="20"/>
              </w:rPr>
              <w:t>146,038</w:t>
            </w:r>
          </w:p>
        </w:tc>
        <w:tc>
          <w:tcPr>
            <w:tcW w:w="50" w:type="pct"/>
            <w:shd w:val="clear" w:color="auto" w:fill="FFFFFF"/>
            <w:noWrap/>
            <w:tcMar>
              <w:top w:w="15" w:type="dxa"/>
              <w:left w:w="0" w:type="dxa"/>
              <w:bottom w:w="0" w:type="dxa"/>
              <w:right w:w="15" w:type="dxa"/>
            </w:tcMar>
            <w:vAlign w:val="bottom"/>
            <w:hideMark/>
          </w:tcPr>
          <w:p w14:paraId="4DCF649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40DA6F8" w14:textId="77777777">
        <w:trPr>
          <w:divId w:val="2047291539"/>
          <w:jc w:val="center"/>
        </w:trPr>
        <w:tc>
          <w:tcPr>
            <w:tcW w:w="2517" w:type="pct"/>
            <w:shd w:val="clear" w:color="auto" w:fill="CFF0FC"/>
            <w:tcMar>
              <w:top w:w="15" w:type="dxa"/>
              <w:left w:w="0" w:type="dxa"/>
              <w:bottom w:w="0" w:type="dxa"/>
              <w:right w:w="15" w:type="dxa"/>
            </w:tcMar>
            <w:hideMark/>
          </w:tcPr>
          <w:p w14:paraId="6B31EC06" w14:textId="77777777" w:rsidR="00000000" w:rsidRDefault="007125B5">
            <w:pPr>
              <w:pStyle w:val="a3"/>
              <w:spacing w:before="0" w:beforeAutospacing="0" w:after="0" w:afterAutospacing="0"/>
              <w:rPr>
                <w:color w:val="000000"/>
                <w:sz w:val="20"/>
                <w:szCs w:val="20"/>
              </w:rPr>
            </w:pPr>
            <w:r>
              <w:rPr>
                <w:color w:val="000000"/>
                <w:sz w:val="20"/>
                <w:szCs w:val="20"/>
              </w:rPr>
              <w:t>Balance as of June 30, 2020</w:t>
            </w:r>
          </w:p>
        </w:tc>
        <w:tc>
          <w:tcPr>
            <w:tcW w:w="61" w:type="pct"/>
            <w:shd w:val="clear" w:color="auto" w:fill="CFF0FC"/>
            <w:tcMar>
              <w:top w:w="15" w:type="dxa"/>
              <w:left w:w="0" w:type="dxa"/>
              <w:bottom w:w="0" w:type="dxa"/>
              <w:right w:w="15" w:type="dxa"/>
            </w:tcMar>
            <w:vAlign w:val="bottom"/>
            <w:hideMark/>
          </w:tcPr>
          <w:p w14:paraId="7538A4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02380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2CBD2A" w14:textId="77777777" w:rsidR="00000000" w:rsidRDefault="007125B5">
            <w:pPr>
              <w:pStyle w:val="a3"/>
              <w:spacing w:before="0" w:beforeAutospacing="0" w:after="0" w:afterAutospacing="0"/>
              <w:jc w:val="right"/>
              <w:rPr>
                <w:color w:val="000000"/>
                <w:sz w:val="20"/>
                <w:szCs w:val="20"/>
              </w:rPr>
            </w:pPr>
            <w:r>
              <w:rPr>
                <w:color w:val="000000"/>
                <w:sz w:val="20"/>
                <w:szCs w:val="20"/>
              </w:rPr>
              <w:t>161,211</w:t>
            </w:r>
          </w:p>
        </w:tc>
        <w:tc>
          <w:tcPr>
            <w:tcW w:w="50" w:type="pct"/>
            <w:shd w:val="clear" w:color="auto" w:fill="CFF0FC"/>
            <w:noWrap/>
            <w:tcMar>
              <w:top w:w="15" w:type="dxa"/>
              <w:left w:w="0" w:type="dxa"/>
              <w:bottom w:w="0" w:type="dxa"/>
              <w:right w:w="15" w:type="dxa"/>
            </w:tcMar>
            <w:vAlign w:val="bottom"/>
            <w:hideMark/>
          </w:tcPr>
          <w:p w14:paraId="2061AC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E21C0D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EF1A9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DC1F0C" w14:textId="77777777" w:rsidR="00000000" w:rsidRDefault="007125B5">
            <w:pPr>
              <w:pStyle w:val="a3"/>
              <w:spacing w:before="0" w:beforeAutospacing="0" w:after="0" w:afterAutospacing="0"/>
              <w:jc w:val="right"/>
              <w:rPr>
                <w:color w:val="000000"/>
                <w:sz w:val="20"/>
                <w:szCs w:val="20"/>
              </w:rPr>
            </w:pPr>
            <w:r>
              <w:rPr>
                <w:color w:val="000000"/>
                <w:sz w:val="20"/>
                <w:szCs w:val="20"/>
              </w:rPr>
              <w:t>68,628</w:t>
            </w:r>
          </w:p>
        </w:tc>
        <w:tc>
          <w:tcPr>
            <w:tcW w:w="50" w:type="pct"/>
            <w:shd w:val="clear" w:color="auto" w:fill="CFF0FC"/>
            <w:noWrap/>
            <w:tcMar>
              <w:top w:w="15" w:type="dxa"/>
              <w:left w:w="0" w:type="dxa"/>
              <w:bottom w:w="0" w:type="dxa"/>
              <w:right w:w="15" w:type="dxa"/>
            </w:tcMar>
            <w:vAlign w:val="bottom"/>
            <w:hideMark/>
          </w:tcPr>
          <w:p w14:paraId="719FE3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DE4C5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6C736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9461DB" w14:textId="77777777" w:rsidR="00000000" w:rsidRDefault="007125B5">
            <w:pPr>
              <w:pStyle w:val="a3"/>
              <w:spacing w:before="0" w:beforeAutospacing="0" w:after="0" w:afterAutospacing="0"/>
              <w:jc w:val="right"/>
              <w:rPr>
                <w:color w:val="000000"/>
                <w:sz w:val="20"/>
                <w:szCs w:val="20"/>
              </w:rPr>
            </w:pPr>
            <w:r>
              <w:rPr>
                <w:color w:val="000000"/>
                <w:sz w:val="20"/>
                <w:szCs w:val="20"/>
              </w:rPr>
              <w:t>43,257</w:t>
            </w:r>
          </w:p>
        </w:tc>
        <w:tc>
          <w:tcPr>
            <w:tcW w:w="50" w:type="pct"/>
            <w:shd w:val="clear" w:color="auto" w:fill="CFF0FC"/>
            <w:noWrap/>
            <w:tcMar>
              <w:top w:w="15" w:type="dxa"/>
              <w:left w:w="0" w:type="dxa"/>
              <w:bottom w:w="0" w:type="dxa"/>
              <w:right w:w="15" w:type="dxa"/>
            </w:tcMar>
            <w:vAlign w:val="bottom"/>
            <w:hideMark/>
          </w:tcPr>
          <w:p w14:paraId="327AD8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DDC7D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CC49B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344B6A" w14:textId="77777777" w:rsidR="00000000" w:rsidRDefault="007125B5">
            <w:pPr>
              <w:pStyle w:val="a3"/>
              <w:spacing w:before="0" w:beforeAutospacing="0" w:after="0" w:afterAutospacing="0"/>
              <w:jc w:val="right"/>
              <w:rPr>
                <w:color w:val="000000"/>
                <w:sz w:val="20"/>
                <w:szCs w:val="20"/>
              </w:rPr>
            </w:pPr>
            <w:r>
              <w:rPr>
                <w:color w:val="000000"/>
                <w:sz w:val="20"/>
                <w:szCs w:val="20"/>
              </w:rPr>
              <w:t>273,096</w:t>
            </w:r>
          </w:p>
        </w:tc>
        <w:tc>
          <w:tcPr>
            <w:tcW w:w="50" w:type="pct"/>
            <w:shd w:val="clear" w:color="auto" w:fill="CFF0FC"/>
            <w:noWrap/>
            <w:tcMar>
              <w:top w:w="15" w:type="dxa"/>
              <w:left w:w="0" w:type="dxa"/>
              <w:bottom w:w="0" w:type="dxa"/>
              <w:right w:w="15" w:type="dxa"/>
            </w:tcMar>
            <w:vAlign w:val="bottom"/>
            <w:hideMark/>
          </w:tcPr>
          <w:p w14:paraId="373E1739"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ACB59F2"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646A1A8"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Amounts related to finite-lived intangible assets as of June 30, 2020 and December 31, 2019 are as follows:</w:t>
      </w:r>
    </w:p>
    <w:p w14:paraId="3EB496E7"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2"/>
        <w:gridCol w:w="65"/>
        <w:gridCol w:w="783"/>
        <w:gridCol w:w="65"/>
        <w:gridCol w:w="115"/>
        <w:gridCol w:w="665"/>
        <w:gridCol w:w="65"/>
        <w:gridCol w:w="65"/>
        <w:gridCol w:w="116"/>
        <w:gridCol w:w="839"/>
        <w:gridCol w:w="65"/>
        <w:gridCol w:w="65"/>
        <w:gridCol w:w="115"/>
        <w:gridCol w:w="665"/>
        <w:gridCol w:w="65"/>
      </w:tblGrid>
      <w:tr w:rsidR="00000000" w14:paraId="682318AC" w14:textId="77777777">
        <w:trPr>
          <w:divId w:val="1615290219"/>
          <w:jc w:val="center"/>
        </w:trPr>
        <w:tc>
          <w:tcPr>
            <w:tcW w:w="2517" w:type="pct"/>
            <w:shd w:val="clear" w:color="auto" w:fill="FFFFFF"/>
            <w:tcMar>
              <w:top w:w="15" w:type="dxa"/>
              <w:left w:w="0" w:type="dxa"/>
              <w:bottom w:w="0" w:type="dxa"/>
              <w:right w:w="15" w:type="dxa"/>
            </w:tcMar>
            <w:vAlign w:val="bottom"/>
            <w:hideMark/>
          </w:tcPr>
          <w:p w14:paraId="310DF2D6" w14:textId="77777777" w:rsidR="00000000" w:rsidRDefault="007125B5">
            <w:pPr>
              <w:pStyle w:val="a3"/>
              <w:spacing w:before="0" w:beforeAutospacing="0" w:after="0" w:afterAutospacing="0"/>
              <w:rPr>
                <w:b/>
                <w:bCs/>
                <w:color w:val="000000"/>
                <w:sz w:val="16"/>
                <w:szCs w:val="16"/>
              </w:rPr>
            </w:pPr>
            <w:r>
              <w:rPr>
                <w:b/>
                <w:bCs/>
                <w:color w:val="000000"/>
                <w:sz w:val="16"/>
                <w:szCs w:val="16"/>
              </w:rPr>
              <w:t>June 30, 2020</w:t>
            </w:r>
          </w:p>
        </w:tc>
        <w:tc>
          <w:tcPr>
            <w:tcW w:w="61" w:type="pct"/>
            <w:shd w:val="clear" w:color="auto" w:fill="FFFFFF"/>
            <w:tcMar>
              <w:top w:w="15" w:type="dxa"/>
              <w:left w:w="0" w:type="dxa"/>
              <w:bottom w:w="0" w:type="dxa"/>
              <w:right w:w="15" w:type="dxa"/>
            </w:tcMar>
            <w:vAlign w:val="bottom"/>
            <w:hideMark/>
          </w:tcPr>
          <w:p w14:paraId="7F29CA3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bottom"/>
            <w:hideMark/>
          </w:tcPr>
          <w:p w14:paraId="013E9A7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Estimated</w:t>
            </w:r>
          </w:p>
          <w:p w14:paraId="59B860A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Useful Life</w:t>
            </w:r>
          </w:p>
        </w:tc>
        <w:tc>
          <w:tcPr>
            <w:tcW w:w="61" w:type="pct"/>
            <w:shd w:val="clear" w:color="auto" w:fill="FFFFFF"/>
            <w:tcMar>
              <w:top w:w="15" w:type="dxa"/>
              <w:left w:w="0" w:type="dxa"/>
              <w:bottom w:w="0" w:type="dxa"/>
              <w:right w:w="15" w:type="dxa"/>
            </w:tcMar>
            <w:vAlign w:val="bottom"/>
            <w:hideMark/>
          </w:tcPr>
          <w:p w14:paraId="115FF06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28979F8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Gross</w:t>
            </w:r>
          </w:p>
          <w:p w14:paraId="5BCECEC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14:paraId="27DFD45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50E1762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747E95A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Accumulated</w:t>
            </w:r>
          </w:p>
          <w:p w14:paraId="373F04B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Amortization</w:t>
            </w:r>
          </w:p>
        </w:tc>
        <w:tc>
          <w:tcPr>
            <w:tcW w:w="50" w:type="pct"/>
            <w:shd w:val="clear" w:color="auto" w:fill="FFFFFF"/>
            <w:noWrap/>
            <w:tcMar>
              <w:top w:w="15" w:type="dxa"/>
              <w:left w:w="0" w:type="dxa"/>
              <w:bottom w:w="0" w:type="dxa"/>
              <w:right w:w="15" w:type="dxa"/>
            </w:tcMar>
            <w:vAlign w:val="bottom"/>
            <w:hideMark/>
          </w:tcPr>
          <w:p w14:paraId="07A41E5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E2BFAB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83E30E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p w14:paraId="44E6A90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Intangible</w:t>
            </w:r>
          </w:p>
          <w:p w14:paraId="5FEFDB6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Assets—Net</w:t>
            </w:r>
          </w:p>
        </w:tc>
        <w:tc>
          <w:tcPr>
            <w:tcW w:w="50" w:type="pct"/>
            <w:shd w:val="clear" w:color="auto" w:fill="FFFFFF"/>
            <w:noWrap/>
            <w:tcMar>
              <w:top w:w="15" w:type="dxa"/>
              <w:left w:w="0" w:type="dxa"/>
              <w:bottom w:w="0" w:type="dxa"/>
              <w:right w:w="15" w:type="dxa"/>
            </w:tcMar>
            <w:vAlign w:val="bottom"/>
            <w:hideMark/>
          </w:tcPr>
          <w:p w14:paraId="0FC087B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884FAB1" w14:textId="77777777">
        <w:trPr>
          <w:divId w:val="1615290219"/>
          <w:jc w:val="center"/>
        </w:trPr>
        <w:tc>
          <w:tcPr>
            <w:tcW w:w="2517" w:type="pct"/>
            <w:shd w:val="clear" w:color="auto" w:fill="CFF0FC"/>
            <w:tcMar>
              <w:top w:w="15" w:type="dxa"/>
              <w:left w:w="0" w:type="dxa"/>
              <w:bottom w:w="0" w:type="dxa"/>
              <w:right w:w="15" w:type="dxa"/>
            </w:tcMar>
            <w:hideMark/>
          </w:tcPr>
          <w:p w14:paraId="25766A3C" w14:textId="77777777" w:rsidR="00000000" w:rsidRDefault="007125B5">
            <w:pPr>
              <w:pStyle w:val="a3"/>
              <w:spacing w:before="0" w:beforeAutospacing="0" w:after="0" w:afterAutospacing="0"/>
              <w:rPr>
                <w:color w:val="000000"/>
                <w:sz w:val="20"/>
                <w:szCs w:val="20"/>
              </w:rPr>
            </w:pPr>
            <w:r>
              <w:rPr>
                <w:color w:val="000000"/>
                <w:sz w:val="20"/>
                <w:szCs w:val="20"/>
              </w:rPr>
              <w:t>Finite lived intangible assets</w:t>
            </w:r>
          </w:p>
        </w:tc>
        <w:tc>
          <w:tcPr>
            <w:tcW w:w="61" w:type="pct"/>
            <w:shd w:val="clear" w:color="auto" w:fill="CFF0FC"/>
            <w:tcMar>
              <w:top w:w="15" w:type="dxa"/>
              <w:left w:w="0" w:type="dxa"/>
              <w:bottom w:w="0" w:type="dxa"/>
              <w:right w:w="15" w:type="dxa"/>
            </w:tcMar>
            <w:vAlign w:val="bottom"/>
            <w:hideMark/>
          </w:tcPr>
          <w:p w14:paraId="4AD63AE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14:paraId="179F08E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B25AD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84E0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7AB247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A37D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A0C59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DA4C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FA9F31B"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E01D9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1DBE7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5F05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459B1F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0CDCF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F9CC394" w14:textId="77777777">
        <w:trPr>
          <w:divId w:val="1615290219"/>
          <w:jc w:val="center"/>
        </w:trPr>
        <w:tc>
          <w:tcPr>
            <w:tcW w:w="2517" w:type="pct"/>
            <w:shd w:val="clear" w:color="auto" w:fill="FFFFFF"/>
            <w:tcMar>
              <w:top w:w="15" w:type="dxa"/>
              <w:left w:w="0" w:type="dxa"/>
              <w:bottom w:w="0" w:type="dxa"/>
              <w:right w:w="15" w:type="dxa"/>
            </w:tcMar>
            <w:hideMark/>
          </w:tcPr>
          <w:p w14:paraId="30923CC8" w14:textId="77777777" w:rsidR="00000000" w:rsidRDefault="007125B5">
            <w:pPr>
              <w:pStyle w:val="a3"/>
              <w:spacing w:before="0" w:beforeAutospacing="0" w:after="0" w:afterAutospacing="0"/>
              <w:rPr>
                <w:color w:val="000000"/>
                <w:sz w:val="20"/>
                <w:szCs w:val="20"/>
              </w:rPr>
            </w:pPr>
            <w:r>
              <w:rPr>
                <w:color w:val="000000"/>
                <w:sz w:val="20"/>
                <w:szCs w:val="20"/>
              </w:rPr>
              <w:t>Customer relationships</w:t>
            </w:r>
          </w:p>
        </w:tc>
        <w:tc>
          <w:tcPr>
            <w:tcW w:w="61" w:type="pct"/>
            <w:shd w:val="clear" w:color="auto" w:fill="FFFFFF"/>
            <w:tcMar>
              <w:top w:w="15" w:type="dxa"/>
              <w:left w:w="0" w:type="dxa"/>
              <w:bottom w:w="0" w:type="dxa"/>
              <w:right w:w="15" w:type="dxa"/>
            </w:tcMar>
            <w:vAlign w:val="bottom"/>
            <w:hideMark/>
          </w:tcPr>
          <w:p w14:paraId="75328E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2F8D3B9D" w14:textId="77777777" w:rsidR="00000000" w:rsidRDefault="007125B5">
            <w:pPr>
              <w:pStyle w:val="a3"/>
              <w:spacing w:before="0" w:beforeAutospacing="0" w:after="0" w:afterAutospacing="0"/>
              <w:jc w:val="right"/>
              <w:rPr>
                <w:color w:val="000000"/>
                <w:sz w:val="20"/>
                <w:szCs w:val="20"/>
              </w:rPr>
            </w:pPr>
            <w:r>
              <w:rPr>
                <w:color w:val="000000"/>
                <w:sz w:val="20"/>
                <w:szCs w:val="20"/>
              </w:rPr>
              <w:t>7–15 years</w:t>
            </w:r>
          </w:p>
        </w:tc>
        <w:tc>
          <w:tcPr>
            <w:tcW w:w="61" w:type="pct"/>
            <w:shd w:val="clear" w:color="auto" w:fill="FFFFFF"/>
            <w:tcMar>
              <w:top w:w="15" w:type="dxa"/>
              <w:left w:w="0" w:type="dxa"/>
              <w:bottom w:w="0" w:type="dxa"/>
              <w:right w:w="15" w:type="dxa"/>
            </w:tcMar>
            <w:vAlign w:val="bottom"/>
            <w:hideMark/>
          </w:tcPr>
          <w:p w14:paraId="5834D32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96105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0FE56F1" w14:textId="77777777" w:rsidR="00000000" w:rsidRDefault="007125B5">
            <w:pPr>
              <w:pStyle w:val="a3"/>
              <w:spacing w:before="0" w:beforeAutospacing="0" w:after="0" w:afterAutospacing="0"/>
              <w:jc w:val="right"/>
              <w:rPr>
                <w:color w:val="000000"/>
                <w:sz w:val="20"/>
                <w:szCs w:val="20"/>
              </w:rPr>
            </w:pPr>
            <w:r>
              <w:rPr>
                <w:color w:val="000000"/>
                <w:sz w:val="20"/>
                <w:szCs w:val="20"/>
              </w:rPr>
              <w:t>164,782</w:t>
            </w:r>
          </w:p>
        </w:tc>
        <w:tc>
          <w:tcPr>
            <w:tcW w:w="50" w:type="pct"/>
            <w:shd w:val="clear" w:color="auto" w:fill="FFFFFF"/>
            <w:noWrap/>
            <w:tcMar>
              <w:top w:w="15" w:type="dxa"/>
              <w:left w:w="0" w:type="dxa"/>
              <w:bottom w:w="0" w:type="dxa"/>
              <w:right w:w="15" w:type="dxa"/>
            </w:tcMar>
            <w:vAlign w:val="bottom"/>
            <w:hideMark/>
          </w:tcPr>
          <w:p w14:paraId="385A13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2BD08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02DC9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DD67855" w14:textId="77777777" w:rsidR="00000000" w:rsidRDefault="007125B5">
            <w:pPr>
              <w:pStyle w:val="a3"/>
              <w:spacing w:before="0" w:beforeAutospacing="0" w:after="0" w:afterAutospacing="0"/>
              <w:jc w:val="right"/>
              <w:rPr>
                <w:color w:val="000000"/>
                <w:sz w:val="20"/>
                <w:szCs w:val="20"/>
              </w:rPr>
            </w:pPr>
            <w:r>
              <w:rPr>
                <w:color w:val="000000"/>
                <w:sz w:val="20"/>
                <w:szCs w:val="20"/>
              </w:rPr>
              <w:t>44,665</w:t>
            </w:r>
          </w:p>
        </w:tc>
        <w:tc>
          <w:tcPr>
            <w:tcW w:w="50" w:type="pct"/>
            <w:shd w:val="clear" w:color="auto" w:fill="FFFFFF"/>
            <w:noWrap/>
            <w:tcMar>
              <w:top w:w="15" w:type="dxa"/>
              <w:left w:w="0" w:type="dxa"/>
              <w:bottom w:w="0" w:type="dxa"/>
              <w:right w:w="15" w:type="dxa"/>
            </w:tcMar>
            <w:vAlign w:val="bottom"/>
            <w:hideMark/>
          </w:tcPr>
          <w:p w14:paraId="07D334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8031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F1719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59F2398" w14:textId="77777777" w:rsidR="00000000" w:rsidRDefault="007125B5">
            <w:pPr>
              <w:pStyle w:val="a3"/>
              <w:spacing w:before="0" w:beforeAutospacing="0" w:after="0" w:afterAutospacing="0"/>
              <w:jc w:val="right"/>
              <w:rPr>
                <w:color w:val="000000"/>
                <w:sz w:val="20"/>
                <w:szCs w:val="20"/>
              </w:rPr>
            </w:pPr>
            <w:r>
              <w:rPr>
                <w:color w:val="000000"/>
                <w:sz w:val="20"/>
                <w:szCs w:val="20"/>
              </w:rPr>
              <w:t>120,117</w:t>
            </w:r>
          </w:p>
        </w:tc>
        <w:tc>
          <w:tcPr>
            <w:tcW w:w="50" w:type="pct"/>
            <w:shd w:val="clear" w:color="auto" w:fill="FFFFFF"/>
            <w:noWrap/>
            <w:tcMar>
              <w:top w:w="15" w:type="dxa"/>
              <w:left w:w="0" w:type="dxa"/>
              <w:bottom w:w="0" w:type="dxa"/>
              <w:right w:w="15" w:type="dxa"/>
            </w:tcMar>
            <w:vAlign w:val="bottom"/>
            <w:hideMark/>
          </w:tcPr>
          <w:p w14:paraId="4525363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DAAA724" w14:textId="77777777">
        <w:trPr>
          <w:divId w:val="1615290219"/>
          <w:jc w:val="center"/>
        </w:trPr>
        <w:tc>
          <w:tcPr>
            <w:tcW w:w="2517" w:type="pct"/>
            <w:shd w:val="clear" w:color="auto" w:fill="CFF0FC"/>
            <w:tcMar>
              <w:top w:w="15" w:type="dxa"/>
              <w:left w:w="0" w:type="dxa"/>
              <w:bottom w:w="0" w:type="dxa"/>
              <w:right w:w="15" w:type="dxa"/>
            </w:tcMar>
            <w:hideMark/>
          </w:tcPr>
          <w:p w14:paraId="7C07CD11" w14:textId="77777777" w:rsidR="00000000" w:rsidRDefault="007125B5">
            <w:pPr>
              <w:pStyle w:val="a3"/>
              <w:spacing w:before="0" w:beforeAutospacing="0" w:after="0" w:afterAutospacing="0"/>
              <w:rPr>
                <w:color w:val="000000"/>
                <w:sz w:val="20"/>
                <w:szCs w:val="20"/>
              </w:rPr>
            </w:pPr>
            <w:r>
              <w:rPr>
                <w:color w:val="000000"/>
                <w:sz w:val="20"/>
                <w:szCs w:val="20"/>
              </w:rPr>
              <w:t>Covenants not to compete</w:t>
            </w:r>
          </w:p>
        </w:tc>
        <w:tc>
          <w:tcPr>
            <w:tcW w:w="61" w:type="pct"/>
            <w:shd w:val="clear" w:color="auto" w:fill="CFF0FC"/>
            <w:tcMar>
              <w:top w:w="15" w:type="dxa"/>
              <w:left w:w="0" w:type="dxa"/>
              <w:bottom w:w="0" w:type="dxa"/>
              <w:right w:w="15" w:type="dxa"/>
            </w:tcMar>
            <w:vAlign w:val="bottom"/>
            <w:hideMark/>
          </w:tcPr>
          <w:p w14:paraId="525310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57A2F928" w14:textId="77777777" w:rsidR="00000000" w:rsidRDefault="007125B5">
            <w:pPr>
              <w:pStyle w:val="a3"/>
              <w:spacing w:before="0" w:beforeAutospacing="0" w:after="0" w:afterAutospacing="0"/>
              <w:jc w:val="right"/>
              <w:rPr>
                <w:color w:val="000000"/>
                <w:sz w:val="20"/>
                <w:szCs w:val="20"/>
              </w:rPr>
            </w:pPr>
            <w:r>
              <w:rPr>
                <w:color w:val="000000"/>
                <w:sz w:val="20"/>
                <w:szCs w:val="20"/>
              </w:rPr>
              <w:t>4–5 years</w:t>
            </w:r>
          </w:p>
        </w:tc>
        <w:tc>
          <w:tcPr>
            <w:tcW w:w="61" w:type="pct"/>
            <w:shd w:val="clear" w:color="auto" w:fill="CFF0FC"/>
            <w:tcMar>
              <w:top w:w="15" w:type="dxa"/>
              <w:left w:w="0" w:type="dxa"/>
              <w:bottom w:w="0" w:type="dxa"/>
              <w:right w:w="15" w:type="dxa"/>
            </w:tcMar>
            <w:vAlign w:val="bottom"/>
            <w:hideMark/>
          </w:tcPr>
          <w:p w14:paraId="223D5D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2C8B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2FFB664" w14:textId="77777777" w:rsidR="00000000" w:rsidRDefault="007125B5">
            <w:pPr>
              <w:pStyle w:val="a3"/>
              <w:spacing w:before="0" w:beforeAutospacing="0" w:after="0" w:afterAutospacing="0"/>
              <w:jc w:val="right"/>
              <w:rPr>
                <w:color w:val="000000"/>
                <w:sz w:val="20"/>
                <w:szCs w:val="20"/>
              </w:rPr>
            </w:pPr>
            <w:r>
              <w:rPr>
                <w:color w:val="000000"/>
                <w:sz w:val="20"/>
                <w:szCs w:val="20"/>
              </w:rPr>
              <w:t>29,832</w:t>
            </w:r>
          </w:p>
        </w:tc>
        <w:tc>
          <w:tcPr>
            <w:tcW w:w="50" w:type="pct"/>
            <w:shd w:val="clear" w:color="auto" w:fill="CFF0FC"/>
            <w:noWrap/>
            <w:tcMar>
              <w:top w:w="15" w:type="dxa"/>
              <w:left w:w="0" w:type="dxa"/>
              <w:bottom w:w="0" w:type="dxa"/>
              <w:right w:w="15" w:type="dxa"/>
            </w:tcMar>
            <w:vAlign w:val="bottom"/>
            <w:hideMark/>
          </w:tcPr>
          <w:p w14:paraId="570511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87335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CC5F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9689128" w14:textId="77777777" w:rsidR="00000000" w:rsidRDefault="007125B5">
            <w:pPr>
              <w:pStyle w:val="a3"/>
              <w:spacing w:before="0" w:beforeAutospacing="0" w:after="0" w:afterAutospacing="0"/>
              <w:jc w:val="right"/>
              <w:rPr>
                <w:color w:val="000000"/>
                <w:sz w:val="20"/>
                <w:szCs w:val="20"/>
              </w:rPr>
            </w:pPr>
            <w:r>
              <w:rPr>
                <w:color w:val="000000"/>
                <w:sz w:val="20"/>
                <w:szCs w:val="20"/>
              </w:rPr>
              <w:t>19,424</w:t>
            </w:r>
          </w:p>
        </w:tc>
        <w:tc>
          <w:tcPr>
            <w:tcW w:w="50" w:type="pct"/>
            <w:shd w:val="clear" w:color="auto" w:fill="CFF0FC"/>
            <w:noWrap/>
            <w:tcMar>
              <w:top w:w="15" w:type="dxa"/>
              <w:left w:w="0" w:type="dxa"/>
              <w:bottom w:w="0" w:type="dxa"/>
              <w:right w:w="15" w:type="dxa"/>
            </w:tcMar>
            <w:vAlign w:val="bottom"/>
            <w:hideMark/>
          </w:tcPr>
          <w:p w14:paraId="5B956D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A987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C1599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C964F31" w14:textId="77777777" w:rsidR="00000000" w:rsidRDefault="007125B5">
            <w:pPr>
              <w:pStyle w:val="a3"/>
              <w:spacing w:before="0" w:beforeAutospacing="0" w:after="0" w:afterAutospacing="0"/>
              <w:jc w:val="right"/>
              <w:rPr>
                <w:color w:val="000000"/>
                <w:sz w:val="20"/>
                <w:szCs w:val="20"/>
              </w:rPr>
            </w:pPr>
            <w:r>
              <w:rPr>
                <w:color w:val="000000"/>
                <w:sz w:val="20"/>
                <w:szCs w:val="20"/>
              </w:rPr>
              <w:t>10,408</w:t>
            </w:r>
          </w:p>
        </w:tc>
        <w:tc>
          <w:tcPr>
            <w:tcW w:w="50" w:type="pct"/>
            <w:shd w:val="clear" w:color="auto" w:fill="CFF0FC"/>
            <w:noWrap/>
            <w:tcMar>
              <w:top w:w="15" w:type="dxa"/>
              <w:left w:w="0" w:type="dxa"/>
              <w:bottom w:w="0" w:type="dxa"/>
              <w:right w:w="15" w:type="dxa"/>
            </w:tcMar>
            <w:vAlign w:val="bottom"/>
            <w:hideMark/>
          </w:tcPr>
          <w:p w14:paraId="3D68EF2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0226FA2" w14:textId="77777777">
        <w:trPr>
          <w:divId w:val="1615290219"/>
          <w:jc w:val="center"/>
        </w:trPr>
        <w:tc>
          <w:tcPr>
            <w:tcW w:w="2517" w:type="pct"/>
            <w:shd w:val="clear" w:color="auto" w:fill="FFFFFF"/>
            <w:tcMar>
              <w:top w:w="15" w:type="dxa"/>
              <w:left w:w="0" w:type="dxa"/>
              <w:bottom w:w="0" w:type="dxa"/>
              <w:right w:w="15" w:type="dxa"/>
            </w:tcMar>
            <w:hideMark/>
          </w:tcPr>
          <w:p w14:paraId="16DB0E56" w14:textId="77777777" w:rsidR="00000000" w:rsidRDefault="007125B5">
            <w:pPr>
              <w:pStyle w:val="a3"/>
              <w:spacing w:before="0" w:beforeAutospacing="0" w:after="0" w:afterAutospacing="0"/>
              <w:rPr>
                <w:color w:val="000000"/>
                <w:sz w:val="20"/>
                <w:szCs w:val="20"/>
              </w:rPr>
            </w:pPr>
            <w:r>
              <w:rPr>
                <w:color w:val="000000"/>
                <w:sz w:val="20"/>
                <w:szCs w:val="20"/>
              </w:rPr>
              <w:t>Trade names</w:t>
            </w:r>
          </w:p>
        </w:tc>
        <w:tc>
          <w:tcPr>
            <w:tcW w:w="61" w:type="pct"/>
            <w:shd w:val="clear" w:color="auto" w:fill="FFFFFF"/>
            <w:tcMar>
              <w:top w:w="15" w:type="dxa"/>
              <w:left w:w="0" w:type="dxa"/>
              <w:bottom w:w="0" w:type="dxa"/>
              <w:right w:w="15" w:type="dxa"/>
            </w:tcMar>
            <w:vAlign w:val="bottom"/>
            <w:hideMark/>
          </w:tcPr>
          <w:p w14:paraId="6CC1AF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5D6D9C1E" w14:textId="77777777" w:rsidR="00000000" w:rsidRDefault="007125B5">
            <w:pPr>
              <w:pStyle w:val="a3"/>
              <w:spacing w:before="0" w:beforeAutospacing="0" w:after="0" w:afterAutospacing="0"/>
              <w:jc w:val="right"/>
              <w:rPr>
                <w:color w:val="000000"/>
                <w:sz w:val="20"/>
                <w:szCs w:val="20"/>
              </w:rPr>
            </w:pPr>
            <w:r>
              <w:rPr>
                <w:color w:val="000000"/>
                <w:sz w:val="20"/>
                <w:szCs w:val="20"/>
              </w:rPr>
              <w:t>1–5 years</w:t>
            </w:r>
          </w:p>
        </w:tc>
        <w:tc>
          <w:tcPr>
            <w:tcW w:w="61" w:type="pct"/>
            <w:shd w:val="clear" w:color="auto" w:fill="FFFFFF"/>
            <w:tcMar>
              <w:top w:w="15" w:type="dxa"/>
              <w:left w:w="0" w:type="dxa"/>
              <w:bottom w:w="0" w:type="dxa"/>
              <w:right w:w="15" w:type="dxa"/>
            </w:tcMar>
            <w:vAlign w:val="bottom"/>
            <w:hideMark/>
          </w:tcPr>
          <w:p w14:paraId="510B11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B002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B4CF376" w14:textId="77777777" w:rsidR="00000000" w:rsidRDefault="007125B5">
            <w:pPr>
              <w:pStyle w:val="a3"/>
              <w:spacing w:before="0" w:beforeAutospacing="0" w:after="0" w:afterAutospacing="0"/>
              <w:jc w:val="right"/>
              <w:rPr>
                <w:color w:val="000000"/>
                <w:sz w:val="20"/>
                <w:szCs w:val="20"/>
              </w:rPr>
            </w:pPr>
            <w:r>
              <w:rPr>
                <w:color w:val="000000"/>
                <w:sz w:val="20"/>
                <w:szCs w:val="20"/>
              </w:rPr>
              <w:t>16,943</w:t>
            </w:r>
          </w:p>
        </w:tc>
        <w:tc>
          <w:tcPr>
            <w:tcW w:w="50" w:type="pct"/>
            <w:shd w:val="clear" w:color="auto" w:fill="FFFFFF"/>
            <w:noWrap/>
            <w:tcMar>
              <w:top w:w="15" w:type="dxa"/>
              <w:left w:w="0" w:type="dxa"/>
              <w:bottom w:w="0" w:type="dxa"/>
              <w:right w:w="15" w:type="dxa"/>
            </w:tcMar>
            <w:vAlign w:val="bottom"/>
            <w:hideMark/>
          </w:tcPr>
          <w:p w14:paraId="0224DE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B6BEB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3517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DE24046" w14:textId="77777777" w:rsidR="00000000" w:rsidRDefault="007125B5">
            <w:pPr>
              <w:pStyle w:val="a3"/>
              <w:spacing w:before="0" w:beforeAutospacing="0" w:after="0" w:afterAutospacing="0"/>
              <w:jc w:val="right"/>
              <w:rPr>
                <w:color w:val="000000"/>
                <w:sz w:val="20"/>
                <w:szCs w:val="20"/>
              </w:rPr>
            </w:pPr>
            <w:r>
              <w:rPr>
                <w:color w:val="000000"/>
                <w:sz w:val="20"/>
                <w:szCs w:val="20"/>
              </w:rPr>
              <w:t>11,518</w:t>
            </w:r>
          </w:p>
        </w:tc>
        <w:tc>
          <w:tcPr>
            <w:tcW w:w="50" w:type="pct"/>
            <w:shd w:val="clear" w:color="auto" w:fill="FFFFFF"/>
            <w:noWrap/>
            <w:tcMar>
              <w:top w:w="15" w:type="dxa"/>
              <w:left w:w="0" w:type="dxa"/>
              <w:bottom w:w="0" w:type="dxa"/>
              <w:right w:w="15" w:type="dxa"/>
            </w:tcMar>
            <w:vAlign w:val="bottom"/>
            <w:hideMark/>
          </w:tcPr>
          <w:p w14:paraId="7BC88A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78898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606D2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447766F" w14:textId="77777777" w:rsidR="00000000" w:rsidRDefault="007125B5">
            <w:pPr>
              <w:pStyle w:val="a3"/>
              <w:spacing w:before="0" w:beforeAutospacing="0" w:after="0" w:afterAutospacing="0"/>
              <w:jc w:val="right"/>
              <w:rPr>
                <w:color w:val="000000"/>
                <w:sz w:val="20"/>
                <w:szCs w:val="20"/>
              </w:rPr>
            </w:pPr>
            <w:r>
              <w:rPr>
                <w:color w:val="000000"/>
                <w:sz w:val="20"/>
                <w:szCs w:val="20"/>
              </w:rPr>
              <w:t>5,425</w:t>
            </w:r>
          </w:p>
        </w:tc>
        <w:tc>
          <w:tcPr>
            <w:tcW w:w="50" w:type="pct"/>
            <w:shd w:val="clear" w:color="auto" w:fill="FFFFFF"/>
            <w:noWrap/>
            <w:tcMar>
              <w:top w:w="15" w:type="dxa"/>
              <w:left w:w="0" w:type="dxa"/>
              <w:bottom w:w="0" w:type="dxa"/>
              <w:right w:w="15" w:type="dxa"/>
            </w:tcMar>
            <w:vAlign w:val="bottom"/>
            <w:hideMark/>
          </w:tcPr>
          <w:p w14:paraId="04976C4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ADC6A7A" w14:textId="77777777">
        <w:trPr>
          <w:divId w:val="1615290219"/>
          <w:jc w:val="center"/>
        </w:trPr>
        <w:tc>
          <w:tcPr>
            <w:tcW w:w="2517" w:type="pct"/>
            <w:shd w:val="clear" w:color="auto" w:fill="CFF0FC"/>
            <w:tcMar>
              <w:top w:w="15" w:type="dxa"/>
              <w:left w:w="0" w:type="dxa"/>
              <w:bottom w:w="0" w:type="dxa"/>
              <w:right w:w="15" w:type="dxa"/>
            </w:tcMar>
            <w:hideMark/>
          </w:tcPr>
          <w:p w14:paraId="04217365" w14:textId="77777777" w:rsidR="00000000" w:rsidRDefault="007125B5">
            <w:pPr>
              <w:pStyle w:val="a3"/>
              <w:spacing w:before="0" w:beforeAutospacing="0" w:after="0" w:afterAutospacing="0"/>
              <w:rPr>
                <w:color w:val="000000"/>
                <w:sz w:val="20"/>
                <w:szCs w:val="20"/>
              </w:rPr>
            </w:pPr>
            <w:r>
              <w:rPr>
                <w:color w:val="000000"/>
                <w:sz w:val="20"/>
                <w:szCs w:val="20"/>
              </w:rPr>
              <w:t>Proprietary software</w:t>
            </w:r>
          </w:p>
        </w:tc>
        <w:tc>
          <w:tcPr>
            <w:tcW w:w="61" w:type="pct"/>
            <w:shd w:val="clear" w:color="auto" w:fill="CFF0FC"/>
            <w:tcMar>
              <w:top w:w="15" w:type="dxa"/>
              <w:left w:w="0" w:type="dxa"/>
              <w:bottom w:w="0" w:type="dxa"/>
              <w:right w:w="15" w:type="dxa"/>
            </w:tcMar>
            <w:vAlign w:val="bottom"/>
            <w:hideMark/>
          </w:tcPr>
          <w:p w14:paraId="12549F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53776848" w14:textId="77777777" w:rsidR="00000000" w:rsidRDefault="007125B5">
            <w:pPr>
              <w:pStyle w:val="a3"/>
              <w:spacing w:before="0" w:beforeAutospacing="0" w:after="0" w:afterAutospacing="0"/>
              <w:jc w:val="right"/>
              <w:rPr>
                <w:color w:val="000000"/>
                <w:sz w:val="20"/>
                <w:szCs w:val="20"/>
              </w:rPr>
            </w:pPr>
            <w:r>
              <w:rPr>
                <w:color w:val="000000"/>
                <w:sz w:val="20"/>
                <w:szCs w:val="20"/>
              </w:rPr>
              <w:t>3-5 years</w:t>
            </w:r>
          </w:p>
        </w:tc>
        <w:tc>
          <w:tcPr>
            <w:tcW w:w="61" w:type="pct"/>
            <w:shd w:val="clear" w:color="auto" w:fill="CFF0FC"/>
            <w:tcMar>
              <w:top w:w="15" w:type="dxa"/>
              <w:left w:w="0" w:type="dxa"/>
              <w:bottom w:w="0" w:type="dxa"/>
              <w:right w:w="15" w:type="dxa"/>
            </w:tcMar>
            <w:vAlign w:val="bottom"/>
            <w:hideMark/>
          </w:tcPr>
          <w:p w14:paraId="26E8853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4C9B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2FF003E" w14:textId="77777777" w:rsidR="00000000" w:rsidRDefault="007125B5">
            <w:pPr>
              <w:pStyle w:val="a3"/>
              <w:spacing w:before="0" w:beforeAutospacing="0" w:after="0" w:afterAutospacing="0"/>
              <w:jc w:val="right"/>
              <w:rPr>
                <w:color w:val="000000"/>
                <w:sz w:val="20"/>
                <w:szCs w:val="20"/>
              </w:rPr>
            </w:pPr>
            <w:r>
              <w:rPr>
                <w:color w:val="000000"/>
                <w:sz w:val="20"/>
                <w:szCs w:val="20"/>
              </w:rPr>
              <w:t>19,561</w:t>
            </w:r>
          </w:p>
        </w:tc>
        <w:tc>
          <w:tcPr>
            <w:tcW w:w="50" w:type="pct"/>
            <w:shd w:val="clear" w:color="auto" w:fill="CFF0FC"/>
            <w:noWrap/>
            <w:tcMar>
              <w:top w:w="15" w:type="dxa"/>
              <w:left w:w="0" w:type="dxa"/>
              <w:bottom w:w="0" w:type="dxa"/>
              <w:right w:w="15" w:type="dxa"/>
            </w:tcMar>
            <w:vAlign w:val="bottom"/>
            <w:hideMark/>
          </w:tcPr>
          <w:p w14:paraId="7BB923E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8A396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C747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610B834" w14:textId="77777777" w:rsidR="00000000" w:rsidRDefault="007125B5">
            <w:pPr>
              <w:pStyle w:val="a3"/>
              <w:spacing w:before="0" w:beforeAutospacing="0" w:after="0" w:afterAutospacing="0"/>
              <w:jc w:val="right"/>
              <w:rPr>
                <w:color w:val="000000"/>
                <w:sz w:val="20"/>
                <w:szCs w:val="20"/>
              </w:rPr>
            </w:pPr>
            <w:r>
              <w:rPr>
                <w:color w:val="000000"/>
                <w:sz w:val="20"/>
                <w:szCs w:val="20"/>
              </w:rPr>
              <w:t>2,865</w:t>
            </w:r>
          </w:p>
        </w:tc>
        <w:tc>
          <w:tcPr>
            <w:tcW w:w="50" w:type="pct"/>
            <w:shd w:val="clear" w:color="auto" w:fill="CFF0FC"/>
            <w:noWrap/>
            <w:tcMar>
              <w:top w:w="15" w:type="dxa"/>
              <w:left w:w="0" w:type="dxa"/>
              <w:bottom w:w="0" w:type="dxa"/>
              <w:right w:w="15" w:type="dxa"/>
            </w:tcMar>
            <w:vAlign w:val="bottom"/>
            <w:hideMark/>
          </w:tcPr>
          <w:p w14:paraId="6A775D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04759A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47A4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37ACE7F" w14:textId="77777777" w:rsidR="00000000" w:rsidRDefault="007125B5">
            <w:pPr>
              <w:pStyle w:val="a3"/>
              <w:spacing w:before="0" w:beforeAutospacing="0" w:after="0" w:afterAutospacing="0"/>
              <w:jc w:val="right"/>
              <w:rPr>
                <w:color w:val="000000"/>
                <w:sz w:val="20"/>
                <w:szCs w:val="20"/>
              </w:rPr>
            </w:pPr>
            <w:r>
              <w:rPr>
                <w:color w:val="000000"/>
                <w:sz w:val="20"/>
                <w:szCs w:val="20"/>
              </w:rPr>
              <w:t>16,696</w:t>
            </w:r>
          </w:p>
        </w:tc>
        <w:tc>
          <w:tcPr>
            <w:tcW w:w="50" w:type="pct"/>
            <w:shd w:val="clear" w:color="auto" w:fill="CFF0FC"/>
            <w:noWrap/>
            <w:tcMar>
              <w:top w:w="15" w:type="dxa"/>
              <w:left w:w="0" w:type="dxa"/>
              <w:bottom w:w="0" w:type="dxa"/>
              <w:right w:w="15" w:type="dxa"/>
            </w:tcMar>
            <w:vAlign w:val="bottom"/>
            <w:hideMark/>
          </w:tcPr>
          <w:p w14:paraId="4950C68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B7FC042" w14:textId="77777777">
        <w:trPr>
          <w:divId w:val="1615290219"/>
          <w:jc w:val="center"/>
        </w:trPr>
        <w:tc>
          <w:tcPr>
            <w:tcW w:w="2517" w:type="pct"/>
            <w:shd w:val="clear" w:color="auto" w:fill="FFFFFF"/>
            <w:tcMar>
              <w:top w:w="15" w:type="dxa"/>
              <w:left w:w="0" w:type="dxa"/>
              <w:bottom w:w="0" w:type="dxa"/>
              <w:right w:w="15" w:type="dxa"/>
            </w:tcMar>
            <w:hideMark/>
          </w:tcPr>
          <w:p w14:paraId="34EDB0D3" w14:textId="77777777" w:rsidR="00000000" w:rsidRDefault="007125B5">
            <w:pPr>
              <w:pStyle w:val="a3"/>
              <w:spacing w:before="0" w:beforeAutospacing="0" w:after="0" w:afterAutospacing="0"/>
              <w:rPr>
                <w:color w:val="000000"/>
                <w:sz w:val="20"/>
                <w:szCs w:val="20"/>
              </w:rPr>
            </w:pPr>
            <w:r>
              <w:rPr>
                <w:color w:val="000000"/>
                <w:sz w:val="20"/>
                <w:szCs w:val="20"/>
              </w:rPr>
              <w:t>Patent</w:t>
            </w:r>
          </w:p>
        </w:tc>
        <w:tc>
          <w:tcPr>
            <w:tcW w:w="61" w:type="pct"/>
            <w:shd w:val="clear" w:color="auto" w:fill="FFFFFF"/>
            <w:tcMar>
              <w:top w:w="15" w:type="dxa"/>
              <w:left w:w="0" w:type="dxa"/>
              <w:bottom w:w="0" w:type="dxa"/>
              <w:right w:w="15" w:type="dxa"/>
            </w:tcMar>
            <w:vAlign w:val="bottom"/>
            <w:hideMark/>
          </w:tcPr>
          <w:p w14:paraId="1DA554B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6AAF9D96" w14:textId="77777777" w:rsidR="00000000" w:rsidRDefault="007125B5">
            <w:pPr>
              <w:pStyle w:val="a3"/>
              <w:spacing w:before="0" w:beforeAutospacing="0" w:after="0" w:afterAutospacing="0"/>
              <w:jc w:val="right"/>
              <w:rPr>
                <w:color w:val="000000"/>
                <w:sz w:val="20"/>
                <w:szCs w:val="20"/>
              </w:rPr>
            </w:pPr>
            <w:r>
              <w:rPr>
                <w:color w:val="000000"/>
                <w:sz w:val="20"/>
                <w:szCs w:val="20"/>
              </w:rPr>
              <w:t>16 years</w:t>
            </w:r>
          </w:p>
        </w:tc>
        <w:tc>
          <w:tcPr>
            <w:tcW w:w="61" w:type="pct"/>
            <w:shd w:val="clear" w:color="auto" w:fill="FFFFFF"/>
            <w:tcMar>
              <w:top w:w="15" w:type="dxa"/>
              <w:left w:w="0" w:type="dxa"/>
              <w:bottom w:w="0" w:type="dxa"/>
              <w:right w:w="15" w:type="dxa"/>
            </w:tcMar>
            <w:vAlign w:val="bottom"/>
            <w:hideMark/>
          </w:tcPr>
          <w:p w14:paraId="6E3D6A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532008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A4B3627" w14:textId="77777777" w:rsidR="00000000" w:rsidRDefault="007125B5">
            <w:pPr>
              <w:pStyle w:val="a3"/>
              <w:spacing w:before="0" w:beforeAutospacing="0" w:after="0" w:afterAutospacing="0"/>
              <w:jc w:val="right"/>
              <w:rPr>
                <w:color w:val="000000"/>
                <w:sz w:val="20"/>
                <w:szCs w:val="20"/>
              </w:rPr>
            </w:pPr>
            <w:r>
              <w:rPr>
                <w:color w:val="000000"/>
                <w:sz w:val="20"/>
                <w:szCs w:val="20"/>
              </w:rPr>
              <w:t>17,479</w:t>
            </w:r>
          </w:p>
        </w:tc>
        <w:tc>
          <w:tcPr>
            <w:tcW w:w="50" w:type="pct"/>
            <w:shd w:val="clear" w:color="auto" w:fill="FFFFFF"/>
            <w:noWrap/>
            <w:tcMar>
              <w:top w:w="15" w:type="dxa"/>
              <w:left w:w="0" w:type="dxa"/>
              <w:bottom w:w="0" w:type="dxa"/>
              <w:right w:w="15" w:type="dxa"/>
            </w:tcMar>
            <w:vAlign w:val="bottom"/>
            <w:hideMark/>
          </w:tcPr>
          <w:p w14:paraId="22693A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9F073C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964E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93CD10B" w14:textId="77777777" w:rsidR="00000000" w:rsidRDefault="007125B5">
            <w:pPr>
              <w:pStyle w:val="a3"/>
              <w:spacing w:before="0" w:beforeAutospacing="0" w:after="0" w:afterAutospacing="0"/>
              <w:jc w:val="right"/>
              <w:rPr>
                <w:color w:val="000000"/>
                <w:sz w:val="20"/>
                <w:szCs w:val="20"/>
              </w:rPr>
            </w:pPr>
            <w:r>
              <w:rPr>
                <w:color w:val="000000"/>
                <w:sz w:val="20"/>
                <w:szCs w:val="20"/>
              </w:rPr>
              <w:t>851</w:t>
            </w:r>
          </w:p>
        </w:tc>
        <w:tc>
          <w:tcPr>
            <w:tcW w:w="50" w:type="pct"/>
            <w:shd w:val="clear" w:color="auto" w:fill="FFFFFF"/>
            <w:noWrap/>
            <w:tcMar>
              <w:top w:w="15" w:type="dxa"/>
              <w:left w:w="0" w:type="dxa"/>
              <w:bottom w:w="0" w:type="dxa"/>
              <w:right w:w="15" w:type="dxa"/>
            </w:tcMar>
            <w:vAlign w:val="bottom"/>
            <w:hideMark/>
          </w:tcPr>
          <w:p w14:paraId="4D2C4C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786F6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FBA8B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29224CB" w14:textId="77777777" w:rsidR="00000000" w:rsidRDefault="007125B5">
            <w:pPr>
              <w:pStyle w:val="a3"/>
              <w:spacing w:before="0" w:beforeAutospacing="0" w:after="0" w:afterAutospacing="0"/>
              <w:jc w:val="right"/>
              <w:rPr>
                <w:color w:val="000000"/>
                <w:sz w:val="20"/>
                <w:szCs w:val="20"/>
              </w:rPr>
            </w:pPr>
            <w:r>
              <w:rPr>
                <w:color w:val="000000"/>
                <w:sz w:val="20"/>
                <w:szCs w:val="20"/>
              </w:rPr>
              <w:t>16,628</w:t>
            </w:r>
          </w:p>
        </w:tc>
        <w:tc>
          <w:tcPr>
            <w:tcW w:w="50" w:type="pct"/>
            <w:shd w:val="clear" w:color="auto" w:fill="FFFFFF"/>
            <w:noWrap/>
            <w:tcMar>
              <w:top w:w="15" w:type="dxa"/>
              <w:left w:w="0" w:type="dxa"/>
              <w:bottom w:w="0" w:type="dxa"/>
              <w:right w:w="15" w:type="dxa"/>
            </w:tcMar>
            <w:vAlign w:val="bottom"/>
            <w:hideMark/>
          </w:tcPr>
          <w:p w14:paraId="7B9A5A1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4B90C6B" w14:textId="77777777">
        <w:trPr>
          <w:divId w:val="1615290219"/>
          <w:jc w:val="center"/>
        </w:trPr>
        <w:tc>
          <w:tcPr>
            <w:tcW w:w="2517" w:type="pct"/>
            <w:shd w:val="clear" w:color="auto" w:fill="CFF0FC"/>
            <w:tcMar>
              <w:top w:w="15" w:type="dxa"/>
              <w:left w:w="0" w:type="dxa"/>
              <w:bottom w:w="0" w:type="dxa"/>
              <w:right w:w="15" w:type="dxa"/>
            </w:tcMar>
            <w:hideMark/>
          </w:tcPr>
          <w:p w14:paraId="1EFF86F6" w14:textId="77777777" w:rsidR="00000000" w:rsidRDefault="007125B5">
            <w:pPr>
              <w:pStyle w:val="a3"/>
              <w:spacing w:before="0" w:beforeAutospacing="0" w:after="0" w:afterAutospacing="0"/>
              <w:rPr>
                <w:color w:val="000000"/>
                <w:sz w:val="20"/>
                <w:szCs w:val="20"/>
              </w:rPr>
            </w:pPr>
            <w:r>
              <w:rPr>
                <w:color w:val="000000"/>
                <w:sz w:val="20"/>
                <w:szCs w:val="20"/>
              </w:rPr>
              <w:t>Total other intangible assets—net</w:t>
            </w:r>
          </w:p>
        </w:tc>
        <w:tc>
          <w:tcPr>
            <w:tcW w:w="61" w:type="pct"/>
            <w:shd w:val="clear" w:color="auto" w:fill="CFF0FC"/>
            <w:tcMar>
              <w:top w:w="15" w:type="dxa"/>
              <w:left w:w="0" w:type="dxa"/>
              <w:bottom w:w="0" w:type="dxa"/>
              <w:right w:w="15" w:type="dxa"/>
            </w:tcMar>
            <w:vAlign w:val="bottom"/>
            <w:hideMark/>
          </w:tcPr>
          <w:p w14:paraId="4BE93C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4DD1F98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B5D9B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1C108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B3A572" w14:textId="77777777" w:rsidR="00000000" w:rsidRDefault="007125B5">
            <w:pPr>
              <w:pStyle w:val="a3"/>
              <w:spacing w:before="0" w:beforeAutospacing="0" w:after="0" w:afterAutospacing="0"/>
              <w:jc w:val="right"/>
              <w:rPr>
                <w:color w:val="000000"/>
                <w:sz w:val="20"/>
                <w:szCs w:val="20"/>
              </w:rPr>
            </w:pPr>
            <w:r>
              <w:rPr>
                <w:color w:val="000000"/>
                <w:sz w:val="20"/>
                <w:szCs w:val="20"/>
              </w:rPr>
              <w:t>248,597</w:t>
            </w:r>
          </w:p>
        </w:tc>
        <w:tc>
          <w:tcPr>
            <w:tcW w:w="50" w:type="pct"/>
            <w:shd w:val="clear" w:color="auto" w:fill="CFF0FC"/>
            <w:noWrap/>
            <w:tcMar>
              <w:top w:w="15" w:type="dxa"/>
              <w:left w:w="0" w:type="dxa"/>
              <w:bottom w:w="0" w:type="dxa"/>
              <w:right w:w="15" w:type="dxa"/>
            </w:tcMar>
            <w:vAlign w:val="bottom"/>
            <w:hideMark/>
          </w:tcPr>
          <w:p w14:paraId="22DEF7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EC627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DF6D1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6A3387" w14:textId="77777777" w:rsidR="00000000" w:rsidRDefault="007125B5">
            <w:pPr>
              <w:pStyle w:val="a3"/>
              <w:spacing w:before="0" w:beforeAutospacing="0" w:after="0" w:afterAutospacing="0"/>
              <w:jc w:val="right"/>
              <w:rPr>
                <w:color w:val="000000"/>
                <w:sz w:val="20"/>
                <w:szCs w:val="20"/>
              </w:rPr>
            </w:pPr>
            <w:r>
              <w:rPr>
                <w:color w:val="000000"/>
                <w:sz w:val="20"/>
                <w:szCs w:val="20"/>
              </w:rPr>
              <w:t>79,323</w:t>
            </w:r>
          </w:p>
        </w:tc>
        <w:tc>
          <w:tcPr>
            <w:tcW w:w="50" w:type="pct"/>
            <w:shd w:val="clear" w:color="auto" w:fill="CFF0FC"/>
            <w:noWrap/>
            <w:tcMar>
              <w:top w:w="15" w:type="dxa"/>
              <w:left w:w="0" w:type="dxa"/>
              <w:bottom w:w="0" w:type="dxa"/>
              <w:right w:w="15" w:type="dxa"/>
            </w:tcMar>
            <w:vAlign w:val="bottom"/>
            <w:hideMark/>
          </w:tcPr>
          <w:p w14:paraId="05477F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300EF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E323B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DDB953" w14:textId="77777777" w:rsidR="00000000" w:rsidRDefault="007125B5">
            <w:pPr>
              <w:pStyle w:val="a3"/>
              <w:spacing w:before="0" w:beforeAutospacing="0" w:after="0" w:afterAutospacing="0"/>
              <w:jc w:val="right"/>
              <w:rPr>
                <w:color w:val="000000"/>
                <w:sz w:val="20"/>
                <w:szCs w:val="20"/>
              </w:rPr>
            </w:pPr>
            <w:r>
              <w:rPr>
                <w:color w:val="000000"/>
                <w:sz w:val="20"/>
                <w:szCs w:val="20"/>
              </w:rPr>
              <w:t>169,274</w:t>
            </w:r>
          </w:p>
        </w:tc>
        <w:tc>
          <w:tcPr>
            <w:tcW w:w="50" w:type="pct"/>
            <w:shd w:val="clear" w:color="auto" w:fill="CFF0FC"/>
            <w:noWrap/>
            <w:tcMar>
              <w:top w:w="15" w:type="dxa"/>
              <w:left w:w="0" w:type="dxa"/>
              <w:bottom w:w="0" w:type="dxa"/>
              <w:right w:w="15" w:type="dxa"/>
            </w:tcMar>
            <w:vAlign w:val="bottom"/>
            <w:hideMark/>
          </w:tcPr>
          <w:p w14:paraId="461B69DD"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6A1E2322"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2"/>
        <w:gridCol w:w="65"/>
        <w:gridCol w:w="783"/>
        <w:gridCol w:w="65"/>
        <w:gridCol w:w="115"/>
        <w:gridCol w:w="665"/>
        <w:gridCol w:w="65"/>
        <w:gridCol w:w="65"/>
        <w:gridCol w:w="116"/>
        <w:gridCol w:w="839"/>
        <w:gridCol w:w="65"/>
        <w:gridCol w:w="65"/>
        <w:gridCol w:w="115"/>
        <w:gridCol w:w="665"/>
        <w:gridCol w:w="65"/>
      </w:tblGrid>
      <w:tr w:rsidR="00000000" w14:paraId="171E530C" w14:textId="77777777">
        <w:trPr>
          <w:divId w:val="1539393899"/>
          <w:jc w:val="center"/>
        </w:trPr>
        <w:tc>
          <w:tcPr>
            <w:tcW w:w="2517" w:type="pct"/>
            <w:shd w:val="clear" w:color="auto" w:fill="FFFFFF"/>
            <w:tcMar>
              <w:top w:w="15" w:type="dxa"/>
              <w:left w:w="0" w:type="dxa"/>
              <w:bottom w:w="0" w:type="dxa"/>
              <w:right w:w="15" w:type="dxa"/>
            </w:tcMar>
            <w:vAlign w:val="bottom"/>
            <w:hideMark/>
          </w:tcPr>
          <w:p w14:paraId="2136CD62" w14:textId="77777777" w:rsidR="00000000" w:rsidRDefault="007125B5">
            <w:pPr>
              <w:pStyle w:val="a3"/>
              <w:spacing w:before="0" w:beforeAutospacing="0" w:after="0" w:afterAutospacing="0"/>
              <w:rPr>
                <w:b/>
                <w:bCs/>
                <w:color w:val="000000"/>
                <w:sz w:val="16"/>
                <w:szCs w:val="16"/>
              </w:rPr>
            </w:pPr>
            <w:r>
              <w:rPr>
                <w:b/>
                <w:bCs/>
                <w:color w:val="000000"/>
                <w:sz w:val="16"/>
                <w:szCs w:val="16"/>
              </w:rPr>
              <w:t>December 31, 2019</w:t>
            </w:r>
          </w:p>
        </w:tc>
        <w:tc>
          <w:tcPr>
            <w:tcW w:w="61" w:type="pct"/>
            <w:shd w:val="clear" w:color="auto" w:fill="FFFFFF"/>
            <w:tcMar>
              <w:top w:w="15" w:type="dxa"/>
              <w:left w:w="0" w:type="dxa"/>
              <w:bottom w:w="0" w:type="dxa"/>
              <w:right w:w="15" w:type="dxa"/>
            </w:tcMar>
            <w:vAlign w:val="bottom"/>
            <w:hideMark/>
          </w:tcPr>
          <w:p w14:paraId="4E71F00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bottom"/>
            <w:hideMark/>
          </w:tcPr>
          <w:p w14:paraId="04115A8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Estimated</w:t>
            </w:r>
          </w:p>
          <w:p w14:paraId="28CB237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Useful Life</w:t>
            </w:r>
          </w:p>
        </w:tc>
        <w:tc>
          <w:tcPr>
            <w:tcW w:w="61" w:type="pct"/>
            <w:shd w:val="clear" w:color="auto" w:fill="FFFFFF"/>
            <w:tcMar>
              <w:top w:w="15" w:type="dxa"/>
              <w:left w:w="0" w:type="dxa"/>
              <w:bottom w:w="0" w:type="dxa"/>
              <w:right w:w="15" w:type="dxa"/>
            </w:tcMar>
            <w:vAlign w:val="bottom"/>
            <w:hideMark/>
          </w:tcPr>
          <w:p w14:paraId="141D7DE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4A74CF2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Gross</w:t>
            </w:r>
          </w:p>
          <w:p w14:paraId="7E3CE8A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14:paraId="01B56F4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87B14A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14D4B31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Accumulated</w:t>
            </w:r>
          </w:p>
          <w:p w14:paraId="3EE7A1C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Amortization</w:t>
            </w:r>
          </w:p>
        </w:tc>
        <w:tc>
          <w:tcPr>
            <w:tcW w:w="50" w:type="pct"/>
            <w:shd w:val="clear" w:color="auto" w:fill="FFFFFF"/>
            <w:noWrap/>
            <w:tcMar>
              <w:top w:w="15" w:type="dxa"/>
              <w:left w:w="0" w:type="dxa"/>
              <w:bottom w:w="0" w:type="dxa"/>
              <w:right w:w="15" w:type="dxa"/>
            </w:tcMar>
            <w:vAlign w:val="bottom"/>
            <w:hideMark/>
          </w:tcPr>
          <w:p w14:paraId="5736CF2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6CB6B06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79B904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p w14:paraId="65FADAA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Intangible</w:t>
            </w:r>
          </w:p>
          <w:p w14:paraId="63A3BB0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Assets—Net</w:t>
            </w:r>
          </w:p>
        </w:tc>
        <w:tc>
          <w:tcPr>
            <w:tcW w:w="50" w:type="pct"/>
            <w:shd w:val="clear" w:color="auto" w:fill="FFFFFF"/>
            <w:noWrap/>
            <w:tcMar>
              <w:top w:w="15" w:type="dxa"/>
              <w:left w:w="0" w:type="dxa"/>
              <w:bottom w:w="0" w:type="dxa"/>
              <w:right w:w="15" w:type="dxa"/>
            </w:tcMar>
            <w:vAlign w:val="bottom"/>
            <w:hideMark/>
          </w:tcPr>
          <w:p w14:paraId="1B4A940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04557C7" w14:textId="77777777">
        <w:trPr>
          <w:divId w:val="1539393899"/>
          <w:jc w:val="center"/>
        </w:trPr>
        <w:tc>
          <w:tcPr>
            <w:tcW w:w="2517" w:type="pct"/>
            <w:shd w:val="clear" w:color="auto" w:fill="CFF0FC"/>
            <w:tcMar>
              <w:top w:w="15" w:type="dxa"/>
              <w:left w:w="0" w:type="dxa"/>
              <w:bottom w:w="0" w:type="dxa"/>
              <w:right w:w="15" w:type="dxa"/>
            </w:tcMar>
            <w:hideMark/>
          </w:tcPr>
          <w:p w14:paraId="0164C02A" w14:textId="77777777" w:rsidR="00000000" w:rsidRDefault="007125B5">
            <w:pPr>
              <w:pStyle w:val="a3"/>
              <w:spacing w:before="0" w:beforeAutospacing="0" w:after="0" w:afterAutospacing="0"/>
              <w:rPr>
                <w:color w:val="000000"/>
                <w:sz w:val="20"/>
                <w:szCs w:val="20"/>
              </w:rPr>
            </w:pPr>
            <w:r>
              <w:rPr>
                <w:color w:val="000000"/>
                <w:sz w:val="20"/>
                <w:szCs w:val="20"/>
              </w:rPr>
              <w:t>Finite lived intangible assets</w:t>
            </w:r>
          </w:p>
        </w:tc>
        <w:tc>
          <w:tcPr>
            <w:tcW w:w="61" w:type="pct"/>
            <w:shd w:val="clear" w:color="auto" w:fill="CFF0FC"/>
            <w:tcMar>
              <w:top w:w="15" w:type="dxa"/>
              <w:left w:w="0" w:type="dxa"/>
              <w:bottom w:w="0" w:type="dxa"/>
              <w:right w:w="15" w:type="dxa"/>
            </w:tcMar>
            <w:vAlign w:val="bottom"/>
            <w:hideMark/>
          </w:tcPr>
          <w:p w14:paraId="112CC5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14:paraId="7DA957F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49F9DD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7634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3C1D5A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2E336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D77823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CB32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A5D2D0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94EE7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38CEF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DDF0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D6FAD8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60E53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396BEB9" w14:textId="77777777">
        <w:trPr>
          <w:divId w:val="1539393899"/>
          <w:jc w:val="center"/>
        </w:trPr>
        <w:tc>
          <w:tcPr>
            <w:tcW w:w="2517" w:type="pct"/>
            <w:shd w:val="clear" w:color="auto" w:fill="FFFFFF"/>
            <w:tcMar>
              <w:top w:w="15" w:type="dxa"/>
              <w:left w:w="0" w:type="dxa"/>
              <w:bottom w:w="0" w:type="dxa"/>
              <w:right w:w="15" w:type="dxa"/>
            </w:tcMar>
            <w:hideMark/>
          </w:tcPr>
          <w:p w14:paraId="4F453200" w14:textId="77777777" w:rsidR="00000000" w:rsidRDefault="007125B5">
            <w:pPr>
              <w:pStyle w:val="a3"/>
              <w:spacing w:before="0" w:beforeAutospacing="0" w:after="0" w:afterAutospacing="0"/>
              <w:rPr>
                <w:color w:val="000000"/>
                <w:sz w:val="20"/>
                <w:szCs w:val="20"/>
              </w:rPr>
            </w:pPr>
            <w:r>
              <w:rPr>
                <w:color w:val="000000"/>
                <w:sz w:val="20"/>
                <w:szCs w:val="20"/>
              </w:rPr>
              <w:t>Customer relationships</w:t>
            </w:r>
          </w:p>
        </w:tc>
        <w:tc>
          <w:tcPr>
            <w:tcW w:w="61" w:type="pct"/>
            <w:shd w:val="clear" w:color="auto" w:fill="FFFFFF"/>
            <w:tcMar>
              <w:top w:w="15" w:type="dxa"/>
              <w:left w:w="0" w:type="dxa"/>
              <w:bottom w:w="0" w:type="dxa"/>
              <w:right w:w="15" w:type="dxa"/>
            </w:tcMar>
            <w:vAlign w:val="bottom"/>
            <w:hideMark/>
          </w:tcPr>
          <w:p w14:paraId="2C9C197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7B8ADB66" w14:textId="77777777" w:rsidR="00000000" w:rsidRDefault="007125B5">
            <w:pPr>
              <w:pStyle w:val="a3"/>
              <w:spacing w:before="0" w:beforeAutospacing="0" w:after="0" w:afterAutospacing="0"/>
              <w:jc w:val="right"/>
              <w:rPr>
                <w:color w:val="000000"/>
                <w:sz w:val="20"/>
                <w:szCs w:val="20"/>
              </w:rPr>
            </w:pPr>
            <w:r>
              <w:rPr>
                <w:color w:val="000000"/>
                <w:sz w:val="20"/>
                <w:szCs w:val="20"/>
              </w:rPr>
              <w:t>7–10 years</w:t>
            </w:r>
          </w:p>
        </w:tc>
        <w:tc>
          <w:tcPr>
            <w:tcW w:w="61" w:type="pct"/>
            <w:shd w:val="clear" w:color="auto" w:fill="FFFFFF"/>
            <w:tcMar>
              <w:top w:w="15" w:type="dxa"/>
              <w:left w:w="0" w:type="dxa"/>
              <w:bottom w:w="0" w:type="dxa"/>
              <w:right w:w="15" w:type="dxa"/>
            </w:tcMar>
            <w:vAlign w:val="bottom"/>
            <w:hideMark/>
          </w:tcPr>
          <w:p w14:paraId="190FD61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94D18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B37D39B" w14:textId="77777777" w:rsidR="00000000" w:rsidRDefault="007125B5">
            <w:pPr>
              <w:pStyle w:val="a3"/>
              <w:spacing w:before="0" w:beforeAutospacing="0" w:after="0" w:afterAutospacing="0"/>
              <w:jc w:val="right"/>
              <w:rPr>
                <w:color w:val="000000"/>
                <w:sz w:val="20"/>
                <w:szCs w:val="20"/>
              </w:rPr>
            </w:pPr>
            <w:r>
              <w:rPr>
                <w:color w:val="000000"/>
                <w:sz w:val="20"/>
                <w:szCs w:val="20"/>
              </w:rPr>
              <w:t>108,782</w:t>
            </w:r>
          </w:p>
        </w:tc>
        <w:tc>
          <w:tcPr>
            <w:tcW w:w="50" w:type="pct"/>
            <w:shd w:val="clear" w:color="auto" w:fill="FFFFFF"/>
            <w:noWrap/>
            <w:tcMar>
              <w:top w:w="15" w:type="dxa"/>
              <w:left w:w="0" w:type="dxa"/>
              <w:bottom w:w="0" w:type="dxa"/>
              <w:right w:w="15" w:type="dxa"/>
            </w:tcMar>
            <w:vAlign w:val="bottom"/>
            <w:hideMark/>
          </w:tcPr>
          <w:p w14:paraId="07BDC2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5E6A54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5FBC8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FD18807" w14:textId="77777777" w:rsidR="00000000" w:rsidRDefault="007125B5">
            <w:pPr>
              <w:pStyle w:val="a3"/>
              <w:spacing w:before="0" w:beforeAutospacing="0" w:after="0" w:afterAutospacing="0"/>
              <w:jc w:val="right"/>
              <w:rPr>
                <w:color w:val="000000"/>
                <w:sz w:val="20"/>
                <w:szCs w:val="20"/>
              </w:rPr>
            </w:pPr>
            <w:r>
              <w:rPr>
                <w:color w:val="000000"/>
                <w:sz w:val="20"/>
                <w:szCs w:val="20"/>
              </w:rPr>
              <w:t>36,700</w:t>
            </w:r>
          </w:p>
        </w:tc>
        <w:tc>
          <w:tcPr>
            <w:tcW w:w="50" w:type="pct"/>
            <w:shd w:val="clear" w:color="auto" w:fill="FFFFFF"/>
            <w:noWrap/>
            <w:tcMar>
              <w:top w:w="15" w:type="dxa"/>
              <w:left w:w="0" w:type="dxa"/>
              <w:bottom w:w="0" w:type="dxa"/>
              <w:right w:w="15" w:type="dxa"/>
            </w:tcMar>
            <w:vAlign w:val="bottom"/>
            <w:hideMark/>
          </w:tcPr>
          <w:p w14:paraId="745C32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004C7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6BBEB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A8027AF" w14:textId="77777777" w:rsidR="00000000" w:rsidRDefault="007125B5">
            <w:pPr>
              <w:pStyle w:val="a3"/>
              <w:spacing w:before="0" w:beforeAutospacing="0" w:after="0" w:afterAutospacing="0"/>
              <w:jc w:val="right"/>
              <w:rPr>
                <w:color w:val="000000"/>
                <w:sz w:val="20"/>
                <w:szCs w:val="20"/>
              </w:rPr>
            </w:pPr>
            <w:r>
              <w:rPr>
                <w:color w:val="000000"/>
                <w:sz w:val="20"/>
                <w:szCs w:val="20"/>
              </w:rPr>
              <w:t>72,082</w:t>
            </w:r>
          </w:p>
        </w:tc>
        <w:tc>
          <w:tcPr>
            <w:tcW w:w="50" w:type="pct"/>
            <w:shd w:val="clear" w:color="auto" w:fill="FFFFFF"/>
            <w:noWrap/>
            <w:tcMar>
              <w:top w:w="15" w:type="dxa"/>
              <w:left w:w="0" w:type="dxa"/>
              <w:bottom w:w="0" w:type="dxa"/>
              <w:right w:w="15" w:type="dxa"/>
            </w:tcMar>
            <w:vAlign w:val="bottom"/>
            <w:hideMark/>
          </w:tcPr>
          <w:p w14:paraId="417F16B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EA8D595" w14:textId="77777777">
        <w:trPr>
          <w:divId w:val="1539393899"/>
          <w:jc w:val="center"/>
        </w:trPr>
        <w:tc>
          <w:tcPr>
            <w:tcW w:w="2517" w:type="pct"/>
            <w:shd w:val="clear" w:color="auto" w:fill="CFF0FC"/>
            <w:tcMar>
              <w:top w:w="15" w:type="dxa"/>
              <w:left w:w="0" w:type="dxa"/>
              <w:bottom w:w="0" w:type="dxa"/>
              <w:right w:w="15" w:type="dxa"/>
            </w:tcMar>
            <w:hideMark/>
          </w:tcPr>
          <w:p w14:paraId="091F960D" w14:textId="77777777" w:rsidR="00000000" w:rsidRDefault="007125B5">
            <w:pPr>
              <w:pStyle w:val="a3"/>
              <w:spacing w:before="0" w:beforeAutospacing="0" w:after="0" w:afterAutospacing="0"/>
              <w:rPr>
                <w:color w:val="000000"/>
                <w:sz w:val="20"/>
                <w:szCs w:val="20"/>
              </w:rPr>
            </w:pPr>
            <w:r>
              <w:rPr>
                <w:color w:val="000000"/>
                <w:sz w:val="20"/>
                <w:szCs w:val="20"/>
              </w:rPr>
              <w:t>Covenants not to compete</w:t>
            </w:r>
          </w:p>
        </w:tc>
        <w:tc>
          <w:tcPr>
            <w:tcW w:w="61" w:type="pct"/>
            <w:shd w:val="clear" w:color="auto" w:fill="CFF0FC"/>
            <w:tcMar>
              <w:top w:w="15" w:type="dxa"/>
              <w:left w:w="0" w:type="dxa"/>
              <w:bottom w:w="0" w:type="dxa"/>
              <w:right w:w="15" w:type="dxa"/>
            </w:tcMar>
            <w:vAlign w:val="bottom"/>
            <w:hideMark/>
          </w:tcPr>
          <w:p w14:paraId="1BCC38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049507AC" w14:textId="77777777" w:rsidR="00000000" w:rsidRDefault="007125B5">
            <w:pPr>
              <w:pStyle w:val="a3"/>
              <w:spacing w:before="0" w:beforeAutospacing="0" w:after="0" w:afterAutospacing="0"/>
              <w:jc w:val="right"/>
              <w:rPr>
                <w:color w:val="000000"/>
                <w:sz w:val="20"/>
                <w:szCs w:val="20"/>
              </w:rPr>
            </w:pPr>
            <w:r>
              <w:rPr>
                <w:color w:val="000000"/>
                <w:sz w:val="20"/>
                <w:szCs w:val="20"/>
              </w:rPr>
              <w:t>4–5 years</w:t>
            </w:r>
          </w:p>
        </w:tc>
        <w:tc>
          <w:tcPr>
            <w:tcW w:w="61" w:type="pct"/>
            <w:shd w:val="clear" w:color="auto" w:fill="CFF0FC"/>
            <w:tcMar>
              <w:top w:w="15" w:type="dxa"/>
              <w:left w:w="0" w:type="dxa"/>
              <w:bottom w:w="0" w:type="dxa"/>
              <w:right w:w="15" w:type="dxa"/>
            </w:tcMar>
            <w:vAlign w:val="bottom"/>
            <w:hideMark/>
          </w:tcPr>
          <w:p w14:paraId="645410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126E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62F00DB" w14:textId="77777777" w:rsidR="00000000" w:rsidRDefault="007125B5">
            <w:pPr>
              <w:pStyle w:val="a3"/>
              <w:spacing w:before="0" w:beforeAutospacing="0" w:after="0" w:afterAutospacing="0"/>
              <w:jc w:val="right"/>
              <w:rPr>
                <w:color w:val="000000"/>
                <w:sz w:val="20"/>
                <w:szCs w:val="20"/>
              </w:rPr>
            </w:pPr>
            <w:r>
              <w:rPr>
                <w:color w:val="000000"/>
                <w:sz w:val="20"/>
                <w:szCs w:val="20"/>
              </w:rPr>
              <w:t>25,832</w:t>
            </w:r>
          </w:p>
        </w:tc>
        <w:tc>
          <w:tcPr>
            <w:tcW w:w="50" w:type="pct"/>
            <w:shd w:val="clear" w:color="auto" w:fill="CFF0FC"/>
            <w:noWrap/>
            <w:tcMar>
              <w:top w:w="15" w:type="dxa"/>
              <w:left w:w="0" w:type="dxa"/>
              <w:bottom w:w="0" w:type="dxa"/>
              <w:right w:w="15" w:type="dxa"/>
            </w:tcMar>
            <w:vAlign w:val="bottom"/>
            <w:hideMark/>
          </w:tcPr>
          <w:p w14:paraId="1440B4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14F6A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B43D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3973C85" w14:textId="77777777" w:rsidR="00000000" w:rsidRDefault="007125B5">
            <w:pPr>
              <w:pStyle w:val="a3"/>
              <w:spacing w:before="0" w:beforeAutospacing="0" w:after="0" w:afterAutospacing="0"/>
              <w:jc w:val="right"/>
              <w:rPr>
                <w:color w:val="000000"/>
                <w:sz w:val="20"/>
                <w:szCs w:val="20"/>
              </w:rPr>
            </w:pPr>
            <w:r>
              <w:rPr>
                <w:color w:val="000000"/>
                <w:sz w:val="20"/>
                <w:szCs w:val="20"/>
              </w:rPr>
              <w:t>17,572</w:t>
            </w:r>
          </w:p>
        </w:tc>
        <w:tc>
          <w:tcPr>
            <w:tcW w:w="50" w:type="pct"/>
            <w:shd w:val="clear" w:color="auto" w:fill="CFF0FC"/>
            <w:noWrap/>
            <w:tcMar>
              <w:top w:w="15" w:type="dxa"/>
              <w:left w:w="0" w:type="dxa"/>
              <w:bottom w:w="0" w:type="dxa"/>
              <w:right w:w="15" w:type="dxa"/>
            </w:tcMar>
            <w:vAlign w:val="bottom"/>
            <w:hideMark/>
          </w:tcPr>
          <w:p w14:paraId="6BF98C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F9061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F537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A5C6BB4" w14:textId="77777777" w:rsidR="00000000" w:rsidRDefault="007125B5">
            <w:pPr>
              <w:pStyle w:val="a3"/>
              <w:spacing w:before="0" w:beforeAutospacing="0" w:after="0" w:afterAutospacing="0"/>
              <w:jc w:val="right"/>
              <w:rPr>
                <w:color w:val="000000"/>
                <w:sz w:val="20"/>
                <w:szCs w:val="20"/>
              </w:rPr>
            </w:pPr>
            <w:r>
              <w:rPr>
                <w:color w:val="000000"/>
                <w:sz w:val="20"/>
                <w:szCs w:val="20"/>
              </w:rPr>
              <w:t>8,260</w:t>
            </w:r>
          </w:p>
        </w:tc>
        <w:tc>
          <w:tcPr>
            <w:tcW w:w="50" w:type="pct"/>
            <w:shd w:val="clear" w:color="auto" w:fill="CFF0FC"/>
            <w:noWrap/>
            <w:tcMar>
              <w:top w:w="15" w:type="dxa"/>
              <w:left w:w="0" w:type="dxa"/>
              <w:bottom w:w="0" w:type="dxa"/>
              <w:right w:w="15" w:type="dxa"/>
            </w:tcMar>
            <w:vAlign w:val="bottom"/>
            <w:hideMark/>
          </w:tcPr>
          <w:p w14:paraId="669C8BB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5A5AEE9" w14:textId="77777777">
        <w:trPr>
          <w:divId w:val="1539393899"/>
          <w:jc w:val="center"/>
        </w:trPr>
        <w:tc>
          <w:tcPr>
            <w:tcW w:w="2517" w:type="pct"/>
            <w:shd w:val="clear" w:color="auto" w:fill="FFFFFF"/>
            <w:tcMar>
              <w:top w:w="15" w:type="dxa"/>
              <w:left w:w="0" w:type="dxa"/>
              <w:bottom w:w="0" w:type="dxa"/>
              <w:right w:w="15" w:type="dxa"/>
            </w:tcMar>
            <w:hideMark/>
          </w:tcPr>
          <w:p w14:paraId="4E167066" w14:textId="77777777" w:rsidR="00000000" w:rsidRDefault="007125B5">
            <w:pPr>
              <w:pStyle w:val="a3"/>
              <w:spacing w:before="0" w:beforeAutospacing="0" w:after="0" w:afterAutospacing="0"/>
              <w:rPr>
                <w:color w:val="000000"/>
                <w:sz w:val="20"/>
                <w:szCs w:val="20"/>
              </w:rPr>
            </w:pPr>
            <w:r>
              <w:rPr>
                <w:color w:val="000000"/>
                <w:sz w:val="20"/>
                <w:szCs w:val="20"/>
              </w:rPr>
              <w:t>Trade names</w:t>
            </w:r>
          </w:p>
        </w:tc>
        <w:tc>
          <w:tcPr>
            <w:tcW w:w="61" w:type="pct"/>
            <w:shd w:val="clear" w:color="auto" w:fill="FFFFFF"/>
            <w:tcMar>
              <w:top w:w="15" w:type="dxa"/>
              <w:left w:w="0" w:type="dxa"/>
              <w:bottom w:w="0" w:type="dxa"/>
              <w:right w:w="15" w:type="dxa"/>
            </w:tcMar>
            <w:vAlign w:val="bottom"/>
            <w:hideMark/>
          </w:tcPr>
          <w:p w14:paraId="4DE2C68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0FE72235" w14:textId="77777777" w:rsidR="00000000" w:rsidRDefault="007125B5">
            <w:pPr>
              <w:pStyle w:val="a3"/>
              <w:spacing w:before="0" w:beforeAutospacing="0" w:after="0" w:afterAutospacing="0"/>
              <w:jc w:val="right"/>
              <w:rPr>
                <w:color w:val="000000"/>
                <w:sz w:val="20"/>
                <w:szCs w:val="20"/>
              </w:rPr>
            </w:pPr>
            <w:r>
              <w:rPr>
                <w:color w:val="000000"/>
                <w:sz w:val="20"/>
                <w:szCs w:val="20"/>
              </w:rPr>
              <w:t>1–5 years</w:t>
            </w:r>
          </w:p>
        </w:tc>
        <w:tc>
          <w:tcPr>
            <w:tcW w:w="61" w:type="pct"/>
            <w:shd w:val="clear" w:color="auto" w:fill="FFFFFF"/>
            <w:tcMar>
              <w:top w:w="15" w:type="dxa"/>
              <w:left w:w="0" w:type="dxa"/>
              <w:bottom w:w="0" w:type="dxa"/>
              <w:right w:w="15" w:type="dxa"/>
            </w:tcMar>
            <w:vAlign w:val="bottom"/>
            <w:hideMark/>
          </w:tcPr>
          <w:p w14:paraId="3117F3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ED90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AD1CEC4" w14:textId="77777777" w:rsidR="00000000" w:rsidRDefault="007125B5">
            <w:pPr>
              <w:pStyle w:val="a3"/>
              <w:spacing w:before="0" w:beforeAutospacing="0" w:after="0" w:afterAutospacing="0"/>
              <w:jc w:val="right"/>
              <w:rPr>
                <w:color w:val="000000"/>
                <w:sz w:val="20"/>
                <w:szCs w:val="20"/>
              </w:rPr>
            </w:pPr>
            <w:r>
              <w:rPr>
                <w:color w:val="000000"/>
                <w:sz w:val="20"/>
                <w:szCs w:val="20"/>
              </w:rPr>
              <w:t>12,738</w:t>
            </w:r>
          </w:p>
        </w:tc>
        <w:tc>
          <w:tcPr>
            <w:tcW w:w="50" w:type="pct"/>
            <w:shd w:val="clear" w:color="auto" w:fill="FFFFFF"/>
            <w:noWrap/>
            <w:tcMar>
              <w:top w:w="15" w:type="dxa"/>
              <w:left w:w="0" w:type="dxa"/>
              <w:bottom w:w="0" w:type="dxa"/>
              <w:right w:w="15" w:type="dxa"/>
            </w:tcMar>
            <w:vAlign w:val="bottom"/>
            <w:hideMark/>
          </w:tcPr>
          <w:p w14:paraId="5DF63F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AF296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95648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93E8C1A" w14:textId="77777777" w:rsidR="00000000" w:rsidRDefault="007125B5">
            <w:pPr>
              <w:pStyle w:val="a3"/>
              <w:spacing w:before="0" w:beforeAutospacing="0" w:after="0" w:afterAutospacing="0"/>
              <w:jc w:val="right"/>
              <w:rPr>
                <w:color w:val="000000"/>
                <w:sz w:val="20"/>
                <w:szCs w:val="20"/>
              </w:rPr>
            </w:pPr>
            <w:r>
              <w:rPr>
                <w:color w:val="000000"/>
                <w:sz w:val="20"/>
                <w:szCs w:val="20"/>
              </w:rPr>
              <w:t>10,230</w:t>
            </w:r>
          </w:p>
        </w:tc>
        <w:tc>
          <w:tcPr>
            <w:tcW w:w="50" w:type="pct"/>
            <w:shd w:val="clear" w:color="auto" w:fill="FFFFFF"/>
            <w:noWrap/>
            <w:tcMar>
              <w:top w:w="15" w:type="dxa"/>
              <w:left w:w="0" w:type="dxa"/>
              <w:bottom w:w="0" w:type="dxa"/>
              <w:right w:w="15" w:type="dxa"/>
            </w:tcMar>
            <w:vAlign w:val="bottom"/>
            <w:hideMark/>
          </w:tcPr>
          <w:p w14:paraId="0F917A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B2828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B717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10644A2" w14:textId="77777777" w:rsidR="00000000" w:rsidRDefault="007125B5">
            <w:pPr>
              <w:pStyle w:val="a3"/>
              <w:spacing w:before="0" w:beforeAutospacing="0" w:after="0" w:afterAutospacing="0"/>
              <w:jc w:val="right"/>
              <w:rPr>
                <w:color w:val="000000"/>
                <w:sz w:val="20"/>
                <w:szCs w:val="20"/>
              </w:rPr>
            </w:pPr>
            <w:r>
              <w:rPr>
                <w:color w:val="000000"/>
                <w:sz w:val="20"/>
                <w:szCs w:val="20"/>
              </w:rPr>
              <w:t>2,508</w:t>
            </w:r>
          </w:p>
        </w:tc>
        <w:tc>
          <w:tcPr>
            <w:tcW w:w="50" w:type="pct"/>
            <w:shd w:val="clear" w:color="auto" w:fill="FFFFFF"/>
            <w:noWrap/>
            <w:tcMar>
              <w:top w:w="15" w:type="dxa"/>
              <w:left w:w="0" w:type="dxa"/>
              <w:bottom w:w="0" w:type="dxa"/>
              <w:right w:w="15" w:type="dxa"/>
            </w:tcMar>
            <w:vAlign w:val="bottom"/>
            <w:hideMark/>
          </w:tcPr>
          <w:p w14:paraId="2883DC4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F7B9833" w14:textId="77777777">
        <w:trPr>
          <w:divId w:val="1539393899"/>
          <w:jc w:val="center"/>
        </w:trPr>
        <w:tc>
          <w:tcPr>
            <w:tcW w:w="2517" w:type="pct"/>
            <w:shd w:val="clear" w:color="auto" w:fill="CFF0FC"/>
            <w:tcMar>
              <w:top w:w="15" w:type="dxa"/>
              <w:left w:w="0" w:type="dxa"/>
              <w:bottom w:w="0" w:type="dxa"/>
              <w:right w:w="15" w:type="dxa"/>
            </w:tcMar>
            <w:hideMark/>
          </w:tcPr>
          <w:p w14:paraId="2033FFCE" w14:textId="77777777" w:rsidR="00000000" w:rsidRDefault="007125B5">
            <w:pPr>
              <w:pStyle w:val="a3"/>
              <w:spacing w:before="0" w:beforeAutospacing="0" w:after="0" w:afterAutospacing="0"/>
              <w:rPr>
                <w:color w:val="000000"/>
                <w:sz w:val="20"/>
                <w:szCs w:val="20"/>
              </w:rPr>
            </w:pPr>
            <w:r>
              <w:rPr>
                <w:color w:val="000000"/>
                <w:sz w:val="20"/>
                <w:szCs w:val="20"/>
              </w:rPr>
              <w:t>Proprietary software</w:t>
            </w:r>
          </w:p>
        </w:tc>
        <w:tc>
          <w:tcPr>
            <w:tcW w:w="61" w:type="pct"/>
            <w:shd w:val="clear" w:color="auto" w:fill="CFF0FC"/>
            <w:tcMar>
              <w:top w:w="15" w:type="dxa"/>
              <w:left w:w="0" w:type="dxa"/>
              <w:bottom w:w="0" w:type="dxa"/>
              <w:right w:w="15" w:type="dxa"/>
            </w:tcMar>
            <w:vAlign w:val="bottom"/>
            <w:hideMark/>
          </w:tcPr>
          <w:p w14:paraId="05E94F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629D2278" w14:textId="77777777" w:rsidR="00000000" w:rsidRDefault="007125B5">
            <w:pPr>
              <w:pStyle w:val="a3"/>
              <w:spacing w:before="0" w:beforeAutospacing="0" w:after="0" w:afterAutospacing="0"/>
              <w:jc w:val="right"/>
              <w:rPr>
                <w:color w:val="000000"/>
                <w:sz w:val="20"/>
                <w:szCs w:val="20"/>
              </w:rPr>
            </w:pPr>
            <w:r>
              <w:rPr>
                <w:color w:val="000000"/>
                <w:sz w:val="20"/>
                <w:szCs w:val="20"/>
              </w:rPr>
              <w:t>3 years</w:t>
            </w:r>
          </w:p>
        </w:tc>
        <w:tc>
          <w:tcPr>
            <w:tcW w:w="61" w:type="pct"/>
            <w:shd w:val="clear" w:color="auto" w:fill="CFF0FC"/>
            <w:tcMar>
              <w:top w:w="15" w:type="dxa"/>
              <w:left w:w="0" w:type="dxa"/>
              <w:bottom w:w="0" w:type="dxa"/>
              <w:right w:w="15" w:type="dxa"/>
            </w:tcMar>
            <w:vAlign w:val="bottom"/>
            <w:hideMark/>
          </w:tcPr>
          <w:p w14:paraId="41403E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A76D2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A127829" w14:textId="77777777" w:rsidR="00000000" w:rsidRDefault="007125B5">
            <w:pPr>
              <w:pStyle w:val="a3"/>
              <w:spacing w:before="0" w:beforeAutospacing="0" w:after="0" w:afterAutospacing="0"/>
              <w:jc w:val="right"/>
              <w:rPr>
                <w:color w:val="000000"/>
                <w:sz w:val="20"/>
                <w:szCs w:val="20"/>
              </w:rPr>
            </w:pPr>
            <w:r>
              <w:rPr>
                <w:color w:val="000000"/>
                <w:sz w:val="20"/>
                <w:szCs w:val="20"/>
              </w:rPr>
              <w:t>3,885</w:t>
            </w:r>
          </w:p>
        </w:tc>
        <w:tc>
          <w:tcPr>
            <w:tcW w:w="50" w:type="pct"/>
            <w:shd w:val="clear" w:color="auto" w:fill="CFF0FC"/>
            <w:noWrap/>
            <w:tcMar>
              <w:top w:w="15" w:type="dxa"/>
              <w:left w:w="0" w:type="dxa"/>
              <w:bottom w:w="0" w:type="dxa"/>
              <w:right w:w="15" w:type="dxa"/>
            </w:tcMar>
            <w:vAlign w:val="bottom"/>
            <w:hideMark/>
          </w:tcPr>
          <w:p w14:paraId="219889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3D8F3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F3A8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282F920" w14:textId="77777777" w:rsidR="00000000" w:rsidRDefault="007125B5">
            <w:pPr>
              <w:pStyle w:val="a3"/>
              <w:spacing w:before="0" w:beforeAutospacing="0" w:after="0" w:afterAutospacing="0"/>
              <w:jc w:val="right"/>
              <w:rPr>
                <w:color w:val="000000"/>
                <w:sz w:val="20"/>
                <w:szCs w:val="20"/>
              </w:rPr>
            </w:pPr>
            <w:r>
              <w:rPr>
                <w:color w:val="000000"/>
                <w:sz w:val="20"/>
                <w:szCs w:val="20"/>
              </w:rPr>
              <w:t>1,359</w:t>
            </w:r>
          </w:p>
        </w:tc>
        <w:tc>
          <w:tcPr>
            <w:tcW w:w="50" w:type="pct"/>
            <w:shd w:val="clear" w:color="auto" w:fill="CFF0FC"/>
            <w:noWrap/>
            <w:tcMar>
              <w:top w:w="15" w:type="dxa"/>
              <w:left w:w="0" w:type="dxa"/>
              <w:bottom w:w="0" w:type="dxa"/>
              <w:right w:w="15" w:type="dxa"/>
            </w:tcMar>
            <w:vAlign w:val="bottom"/>
            <w:hideMark/>
          </w:tcPr>
          <w:p w14:paraId="259C2A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3259C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FA85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9D12844" w14:textId="77777777" w:rsidR="00000000" w:rsidRDefault="007125B5">
            <w:pPr>
              <w:pStyle w:val="a3"/>
              <w:spacing w:before="0" w:beforeAutospacing="0" w:after="0" w:afterAutospacing="0"/>
              <w:jc w:val="right"/>
              <w:rPr>
                <w:color w:val="000000"/>
                <w:sz w:val="20"/>
                <w:szCs w:val="20"/>
              </w:rPr>
            </w:pPr>
            <w:r>
              <w:rPr>
                <w:color w:val="000000"/>
                <w:sz w:val="20"/>
                <w:szCs w:val="20"/>
              </w:rPr>
              <w:t>2,526</w:t>
            </w:r>
          </w:p>
        </w:tc>
        <w:tc>
          <w:tcPr>
            <w:tcW w:w="50" w:type="pct"/>
            <w:shd w:val="clear" w:color="auto" w:fill="CFF0FC"/>
            <w:noWrap/>
            <w:tcMar>
              <w:top w:w="15" w:type="dxa"/>
              <w:left w:w="0" w:type="dxa"/>
              <w:bottom w:w="0" w:type="dxa"/>
              <w:right w:w="15" w:type="dxa"/>
            </w:tcMar>
            <w:vAlign w:val="bottom"/>
            <w:hideMark/>
          </w:tcPr>
          <w:p w14:paraId="080268D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1530FB1" w14:textId="77777777">
        <w:trPr>
          <w:divId w:val="1539393899"/>
          <w:jc w:val="center"/>
        </w:trPr>
        <w:tc>
          <w:tcPr>
            <w:tcW w:w="2517" w:type="pct"/>
            <w:shd w:val="clear" w:color="auto" w:fill="FFFFFF"/>
            <w:tcMar>
              <w:top w:w="15" w:type="dxa"/>
              <w:left w:w="0" w:type="dxa"/>
              <w:bottom w:w="0" w:type="dxa"/>
              <w:right w:w="15" w:type="dxa"/>
            </w:tcMar>
            <w:hideMark/>
          </w:tcPr>
          <w:p w14:paraId="238AD5EA" w14:textId="77777777" w:rsidR="00000000" w:rsidRDefault="007125B5">
            <w:pPr>
              <w:pStyle w:val="a3"/>
              <w:spacing w:before="0" w:beforeAutospacing="0" w:after="0" w:afterAutospacing="0"/>
              <w:rPr>
                <w:color w:val="000000"/>
                <w:sz w:val="20"/>
                <w:szCs w:val="20"/>
              </w:rPr>
            </w:pPr>
            <w:r>
              <w:rPr>
                <w:color w:val="000000"/>
                <w:sz w:val="20"/>
                <w:szCs w:val="20"/>
              </w:rPr>
              <w:t>Patent</w:t>
            </w:r>
          </w:p>
        </w:tc>
        <w:tc>
          <w:tcPr>
            <w:tcW w:w="61" w:type="pct"/>
            <w:shd w:val="clear" w:color="auto" w:fill="FFFFFF"/>
            <w:tcMar>
              <w:top w:w="15" w:type="dxa"/>
              <w:left w:w="0" w:type="dxa"/>
              <w:bottom w:w="0" w:type="dxa"/>
              <w:right w:w="15" w:type="dxa"/>
            </w:tcMar>
            <w:vAlign w:val="bottom"/>
            <w:hideMark/>
          </w:tcPr>
          <w:p w14:paraId="203D2F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664F46A5" w14:textId="77777777" w:rsidR="00000000" w:rsidRDefault="007125B5">
            <w:pPr>
              <w:pStyle w:val="a3"/>
              <w:spacing w:before="0" w:beforeAutospacing="0" w:after="0" w:afterAutospacing="0"/>
              <w:jc w:val="right"/>
              <w:rPr>
                <w:color w:val="000000"/>
                <w:sz w:val="20"/>
                <w:szCs w:val="20"/>
              </w:rPr>
            </w:pPr>
            <w:r>
              <w:rPr>
                <w:color w:val="000000"/>
                <w:sz w:val="20"/>
                <w:szCs w:val="20"/>
              </w:rPr>
              <w:t>16 years</w:t>
            </w:r>
          </w:p>
        </w:tc>
        <w:tc>
          <w:tcPr>
            <w:tcW w:w="61" w:type="pct"/>
            <w:shd w:val="clear" w:color="auto" w:fill="FFFFFF"/>
            <w:tcMar>
              <w:top w:w="15" w:type="dxa"/>
              <w:left w:w="0" w:type="dxa"/>
              <w:bottom w:w="0" w:type="dxa"/>
              <w:right w:w="15" w:type="dxa"/>
            </w:tcMar>
            <w:vAlign w:val="bottom"/>
            <w:hideMark/>
          </w:tcPr>
          <w:p w14:paraId="0A5620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53531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4C3D9A5" w14:textId="77777777" w:rsidR="00000000" w:rsidRDefault="007125B5">
            <w:pPr>
              <w:pStyle w:val="a3"/>
              <w:spacing w:before="0" w:beforeAutospacing="0" w:after="0" w:afterAutospacing="0"/>
              <w:jc w:val="right"/>
              <w:rPr>
                <w:color w:val="000000"/>
                <w:sz w:val="20"/>
                <w:szCs w:val="20"/>
              </w:rPr>
            </w:pPr>
            <w:r>
              <w:rPr>
                <w:color w:val="000000"/>
                <w:sz w:val="20"/>
                <w:szCs w:val="20"/>
              </w:rPr>
              <w:t>17,479</w:t>
            </w:r>
          </w:p>
        </w:tc>
        <w:tc>
          <w:tcPr>
            <w:tcW w:w="50" w:type="pct"/>
            <w:shd w:val="clear" w:color="auto" w:fill="FFFFFF"/>
            <w:noWrap/>
            <w:tcMar>
              <w:top w:w="15" w:type="dxa"/>
              <w:left w:w="0" w:type="dxa"/>
              <w:bottom w:w="0" w:type="dxa"/>
              <w:right w:w="15" w:type="dxa"/>
            </w:tcMar>
            <w:vAlign w:val="bottom"/>
            <w:hideMark/>
          </w:tcPr>
          <w:p w14:paraId="688138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05F85B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9AAE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82274B8" w14:textId="77777777" w:rsidR="00000000" w:rsidRDefault="007125B5">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14:paraId="0CE4B0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C66438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38A0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964CE6A" w14:textId="77777777" w:rsidR="00000000" w:rsidRDefault="007125B5">
            <w:pPr>
              <w:pStyle w:val="a3"/>
              <w:spacing w:before="0" w:beforeAutospacing="0" w:after="0" w:afterAutospacing="0"/>
              <w:jc w:val="right"/>
              <w:rPr>
                <w:color w:val="000000"/>
                <w:sz w:val="20"/>
                <w:szCs w:val="20"/>
              </w:rPr>
            </w:pPr>
            <w:r>
              <w:rPr>
                <w:color w:val="000000"/>
                <w:sz w:val="20"/>
                <w:szCs w:val="20"/>
              </w:rPr>
              <w:t>17,173</w:t>
            </w:r>
          </w:p>
        </w:tc>
        <w:tc>
          <w:tcPr>
            <w:tcW w:w="50" w:type="pct"/>
            <w:shd w:val="clear" w:color="auto" w:fill="FFFFFF"/>
            <w:noWrap/>
            <w:tcMar>
              <w:top w:w="15" w:type="dxa"/>
              <w:left w:w="0" w:type="dxa"/>
              <w:bottom w:w="0" w:type="dxa"/>
              <w:right w:w="15" w:type="dxa"/>
            </w:tcMar>
            <w:vAlign w:val="bottom"/>
            <w:hideMark/>
          </w:tcPr>
          <w:p w14:paraId="1B4F6E9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FA6370C" w14:textId="77777777">
        <w:trPr>
          <w:divId w:val="1539393899"/>
          <w:jc w:val="center"/>
        </w:trPr>
        <w:tc>
          <w:tcPr>
            <w:tcW w:w="2517" w:type="pct"/>
            <w:shd w:val="clear" w:color="auto" w:fill="CFF0FC"/>
            <w:tcMar>
              <w:top w:w="15" w:type="dxa"/>
              <w:left w:w="0" w:type="dxa"/>
              <w:bottom w:w="0" w:type="dxa"/>
              <w:right w:w="15" w:type="dxa"/>
            </w:tcMar>
            <w:hideMark/>
          </w:tcPr>
          <w:p w14:paraId="7A8DDBE7" w14:textId="77777777" w:rsidR="00000000" w:rsidRDefault="007125B5">
            <w:pPr>
              <w:pStyle w:val="a3"/>
              <w:spacing w:before="0" w:beforeAutospacing="0" w:after="0" w:afterAutospacing="0"/>
              <w:rPr>
                <w:color w:val="000000"/>
                <w:sz w:val="20"/>
                <w:szCs w:val="20"/>
              </w:rPr>
            </w:pPr>
            <w:r>
              <w:rPr>
                <w:color w:val="000000"/>
                <w:sz w:val="20"/>
                <w:szCs w:val="20"/>
              </w:rPr>
              <w:t>Total other intangible assets—net</w:t>
            </w:r>
          </w:p>
        </w:tc>
        <w:tc>
          <w:tcPr>
            <w:tcW w:w="61" w:type="pct"/>
            <w:shd w:val="clear" w:color="auto" w:fill="CFF0FC"/>
            <w:tcMar>
              <w:top w:w="15" w:type="dxa"/>
              <w:left w:w="0" w:type="dxa"/>
              <w:bottom w:w="0" w:type="dxa"/>
              <w:right w:w="15" w:type="dxa"/>
            </w:tcMar>
            <w:vAlign w:val="bottom"/>
            <w:hideMark/>
          </w:tcPr>
          <w:p w14:paraId="2F3A2E9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661B4D6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07602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5A032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37C197" w14:textId="77777777" w:rsidR="00000000" w:rsidRDefault="007125B5">
            <w:pPr>
              <w:pStyle w:val="a3"/>
              <w:spacing w:before="0" w:beforeAutospacing="0" w:after="0" w:afterAutospacing="0"/>
              <w:jc w:val="right"/>
              <w:rPr>
                <w:color w:val="000000"/>
                <w:sz w:val="20"/>
                <w:szCs w:val="20"/>
              </w:rPr>
            </w:pPr>
            <w:r>
              <w:rPr>
                <w:color w:val="000000"/>
                <w:sz w:val="20"/>
                <w:szCs w:val="20"/>
              </w:rPr>
              <w:t>168,716</w:t>
            </w:r>
          </w:p>
        </w:tc>
        <w:tc>
          <w:tcPr>
            <w:tcW w:w="50" w:type="pct"/>
            <w:shd w:val="clear" w:color="auto" w:fill="CFF0FC"/>
            <w:noWrap/>
            <w:tcMar>
              <w:top w:w="15" w:type="dxa"/>
              <w:left w:w="0" w:type="dxa"/>
              <w:bottom w:w="0" w:type="dxa"/>
              <w:right w:w="15" w:type="dxa"/>
            </w:tcMar>
            <w:vAlign w:val="bottom"/>
            <w:hideMark/>
          </w:tcPr>
          <w:p w14:paraId="080A90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84AE6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70B49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CBEDCC" w14:textId="77777777" w:rsidR="00000000" w:rsidRDefault="007125B5">
            <w:pPr>
              <w:pStyle w:val="a3"/>
              <w:spacing w:before="0" w:beforeAutospacing="0" w:after="0" w:afterAutospacing="0"/>
              <w:jc w:val="right"/>
              <w:rPr>
                <w:color w:val="000000"/>
                <w:sz w:val="20"/>
                <w:szCs w:val="20"/>
              </w:rPr>
            </w:pPr>
            <w:r>
              <w:rPr>
                <w:color w:val="000000"/>
                <w:sz w:val="20"/>
                <w:szCs w:val="20"/>
              </w:rPr>
              <w:t>66,167</w:t>
            </w:r>
          </w:p>
        </w:tc>
        <w:tc>
          <w:tcPr>
            <w:tcW w:w="50" w:type="pct"/>
            <w:shd w:val="clear" w:color="auto" w:fill="CFF0FC"/>
            <w:noWrap/>
            <w:tcMar>
              <w:top w:w="15" w:type="dxa"/>
              <w:left w:w="0" w:type="dxa"/>
              <w:bottom w:w="0" w:type="dxa"/>
              <w:right w:w="15" w:type="dxa"/>
            </w:tcMar>
            <w:vAlign w:val="bottom"/>
            <w:hideMark/>
          </w:tcPr>
          <w:p w14:paraId="5C6EA4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B9AFA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7B692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7F00B2" w14:textId="77777777" w:rsidR="00000000" w:rsidRDefault="007125B5">
            <w:pPr>
              <w:pStyle w:val="a3"/>
              <w:spacing w:before="0" w:beforeAutospacing="0" w:after="0" w:afterAutospacing="0"/>
              <w:jc w:val="right"/>
              <w:rPr>
                <w:color w:val="000000"/>
                <w:sz w:val="20"/>
                <w:szCs w:val="20"/>
              </w:rPr>
            </w:pPr>
            <w:r>
              <w:rPr>
                <w:color w:val="000000"/>
                <w:sz w:val="20"/>
                <w:szCs w:val="20"/>
              </w:rPr>
              <w:t>102,549</w:t>
            </w:r>
          </w:p>
        </w:tc>
        <w:tc>
          <w:tcPr>
            <w:tcW w:w="50" w:type="pct"/>
            <w:shd w:val="clear" w:color="auto" w:fill="CFF0FC"/>
            <w:noWrap/>
            <w:tcMar>
              <w:top w:w="15" w:type="dxa"/>
              <w:left w:w="0" w:type="dxa"/>
              <w:bottom w:w="0" w:type="dxa"/>
              <w:right w:w="15" w:type="dxa"/>
            </w:tcMar>
            <w:vAlign w:val="bottom"/>
            <w:hideMark/>
          </w:tcPr>
          <w:p w14:paraId="334A9796"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369AB43B"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8011259" w14:textId="77777777" w:rsidR="00000000" w:rsidRDefault="007125B5">
      <w:pPr>
        <w:pStyle w:val="a3"/>
        <w:spacing w:before="240" w:beforeAutospacing="0" w:after="0" w:afterAutospacing="0"/>
        <w:jc w:val="center"/>
        <w:rPr>
          <w:sz w:val="20"/>
          <w:szCs w:val="20"/>
        </w:rPr>
      </w:pPr>
      <w:r>
        <w:rPr>
          <w:sz w:val="20"/>
          <w:szCs w:val="20"/>
        </w:rPr>
        <w:t>12</w:t>
      </w:r>
    </w:p>
    <w:p w14:paraId="0C29D526" w14:textId="77777777" w:rsidR="00000000" w:rsidRDefault="007125B5">
      <w:pPr>
        <w:rPr>
          <w:rFonts w:eastAsia="Times New Roman"/>
        </w:rPr>
      </w:pPr>
      <w:r>
        <w:rPr>
          <w:rFonts w:eastAsia="Times New Roman"/>
        </w:rPr>
        <w:pict w14:anchorId="1D4EDF99">
          <v:rect id="_x0000_i1038" style="width:415.3pt;height:1.5pt" o:hralign="center" o:hrstd="t" o:hr="t" fillcolor="#a0a0a0" stroked="f"/>
        </w:pict>
      </w:r>
    </w:p>
    <w:p w14:paraId="3BE2CD19" w14:textId="77777777" w:rsidR="00000000" w:rsidRDefault="007125B5">
      <w:pPr>
        <w:pStyle w:val="a3"/>
        <w:spacing w:before="0" w:beforeAutospacing="0" w:after="0" w:afterAutospacing="0"/>
        <w:rPr>
          <w:sz w:val="20"/>
          <w:szCs w:val="20"/>
        </w:rPr>
      </w:pPr>
      <w:r>
        <w:rPr>
          <w:sz w:val="20"/>
          <w:szCs w:val="20"/>
        </w:rPr>
        <w:t> </w:t>
      </w:r>
    </w:p>
    <w:p w14:paraId="06E31E10" w14:textId="77777777" w:rsidR="00000000" w:rsidRDefault="007125B5">
      <w:pPr>
        <w:pStyle w:val="a3"/>
        <w:shd w:val="clear" w:color="auto" w:fill="FFFFFF"/>
        <w:spacing w:before="40" w:beforeAutospacing="0" w:after="0" w:afterAutospacing="0"/>
        <w:ind w:firstLine="556"/>
        <w:rPr>
          <w:color w:val="000000"/>
          <w:sz w:val="20"/>
          <w:szCs w:val="20"/>
        </w:rPr>
      </w:pPr>
      <w:bookmarkStart w:id="24" w:name="_AEIOULastRenderedPageBreakAEIOU15"/>
      <w:bookmarkEnd w:id="24"/>
      <w:r>
        <w:rPr>
          <w:color w:val="000000"/>
          <w:sz w:val="20"/>
          <w:szCs w:val="20"/>
        </w:rPr>
        <w:t>Intangible assets with finite lives are stated at cost, less accumulated a</w:t>
      </w:r>
      <w:r>
        <w:rPr>
          <w:color w:val="000000"/>
          <w:sz w:val="20"/>
          <w:szCs w:val="20"/>
        </w:rPr>
        <w:t>mortization and impairment losses, if any. These intangible assets are amortized using the straight-line method over the estimated useful lives of the assets.</w:t>
      </w:r>
    </w:p>
    <w:p w14:paraId="5205077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Amortization expense was $7.8 million and $13.3 million for the three and six months ended June 3</w:t>
      </w:r>
      <w:r>
        <w:rPr>
          <w:color w:val="000000"/>
          <w:sz w:val="20"/>
          <w:szCs w:val="20"/>
        </w:rPr>
        <w:t xml:space="preserve">0, 2020, respectively and $4.5 million and $9.1 million for the three and six months ended June 30, 2019, respectively. </w:t>
      </w:r>
    </w:p>
    <w:p w14:paraId="25FBDD76"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Future amortization expense is estimated to be as follows for each of the five following years and thereafter:</w:t>
      </w:r>
    </w:p>
    <w:p w14:paraId="4A6BB60F"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72"/>
        <w:gridCol w:w="70"/>
        <w:gridCol w:w="115"/>
        <w:gridCol w:w="762"/>
        <w:gridCol w:w="65"/>
      </w:tblGrid>
      <w:tr w:rsidR="00000000" w14:paraId="50DD99ED" w14:textId="77777777">
        <w:trPr>
          <w:divId w:val="1234393200"/>
          <w:jc w:val="center"/>
        </w:trPr>
        <w:tc>
          <w:tcPr>
            <w:tcW w:w="4011" w:type="pct"/>
            <w:tcBorders>
              <w:bottom w:val="single" w:sz="6" w:space="0" w:color="000000"/>
            </w:tcBorders>
            <w:shd w:val="clear" w:color="auto" w:fill="FFFFFF"/>
            <w:tcMar>
              <w:top w:w="15" w:type="dxa"/>
              <w:left w:w="0" w:type="dxa"/>
              <w:bottom w:w="0" w:type="dxa"/>
              <w:right w:w="15" w:type="dxa"/>
            </w:tcMar>
            <w:vAlign w:val="bottom"/>
            <w:hideMark/>
          </w:tcPr>
          <w:p w14:paraId="21342E26" w14:textId="77777777" w:rsidR="00000000" w:rsidRDefault="007125B5">
            <w:pPr>
              <w:pStyle w:val="a3"/>
              <w:spacing w:before="0" w:beforeAutospacing="0" w:after="0" w:afterAutospacing="0"/>
              <w:rPr>
                <w:b/>
                <w:bCs/>
                <w:color w:val="000000"/>
                <w:sz w:val="16"/>
                <w:szCs w:val="16"/>
              </w:rPr>
            </w:pPr>
            <w:r>
              <w:rPr>
                <w:b/>
                <w:bCs/>
                <w:color w:val="000000"/>
                <w:sz w:val="16"/>
                <w:szCs w:val="16"/>
              </w:rPr>
              <w:t>December 31,</w:t>
            </w:r>
          </w:p>
        </w:tc>
        <w:tc>
          <w:tcPr>
            <w:tcW w:w="97" w:type="pct"/>
            <w:shd w:val="clear" w:color="auto" w:fill="FFFFFF"/>
            <w:tcMar>
              <w:top w:w="15" w:type="dxa"/>
              <w:left w:w="0" w:type="dxa"/>
              <w:bottom w:w="0" w:type="dxa"/>
              <w:right w:w="15" w:type="dxa"/>
            </w:tcMar>
            <w:vAlign w:val="bottom"/>
            <w:hideMark/>
          </w:tcPr>
          <w:p w14:paraId="69DB335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94D215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noWrap/>
            <w:tcMar>
              <w:top w:w="15" w:type="dxa"/>
              <w:left w:w="0" w:type="dxa"/>
              <w:bottom w:w="0" w:type="dxa"/>
              <w:right w:w="15" w:type="dxa"/>
            </w:tcMar>
            <w:vAlign w:val="bottom"/>
            <w:hideMark/>
          </w:tcPr>
          <w:p w14:paraId="3F03E74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3CD951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4896E58" w14:textId="77777777">
        <w:trPr>
          <w:divId w:val="1234393200"/>
          <w:jc w:val="center"/>
        </w:trPr>
        <w:tc>
          <w:tcPr>
            <w:tcW w:w="4011" w:type="pct"/>
            <w:tcBorders>
              <w:top w:val="single" w:sz="6" w:space="0" w:color="000000"/>
            </w:tcBorders>
            <w:shd w:val="clear" w:color="auto" w:fill="CFF0FC"/>
            <w:tcMar>
              <w:top w:w="15" w:type="dxa"/>
              <w:left w:w="0" w:type="dxa"/>
              <w:bottom w:w="0" w:type="dxa"/>
              <w:right w:w="15" w:type="dxa"/>
            </w:tcMar>
            <w:hideMark/>
          </w:tcPr>
          <w:p w14:paraId="6066FBA0" w14:textId="77777777" w:rsidR="00000000" w:rsidRDefault="007125B5">
            <w:pPr>
              <w:pStyle w:val="a3"/>
              <w:spacing w:before="0" w:beforeAutospacing="0" w:after="0" w:afterAutospacing="0"/>
              <w:rPr>
                <w:color w:val="000000"/>
                <w:sz w:val="20"/>
                <w:szCs w:val="20"/>
              </w:rPr>
            </w:pPr>
            <w:r>
              <w:rPr>
                <w:color w:val="000000"/>
                <w:sz w:val="20"/>
                <w:szCs w:val="20"/>
              </w:rPr>
              <w:t>2020 (remaining)</w:t>
            </w:r>
          </w:p>
        </w:tc>
        <w:tc>
          <w:tcPr>
            <w:tcW w:w="97" w:type="pct"/>
            <w:shd w:val="clear" w:color="auto" w:fill="CFF0FC"/>
            <w:tcMar>
              <w:top w:w="15" w:type="dxa"/>
              <w:left w:w="0" w:type="dxa"/>
              <w:bottom w:w="0" w:type="dxa"/>
              <w:right w:w="15" w:type="dxa"/>
            </w:tcMar>
            <w:vAlign w:val="bottom"/>
            <w:hideMark/>
          </w:tcPr>
          <w:p w14:paraId="69D023DB"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FC76A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14:paraId="205FD1D0" w14:textId="77777777" w:rsidR="00000000" w:rsidRDefault="007125B5">
            <w:pPr>
              <w:pStyle w:val="a3"/>
              <w:spacing w:before="0" w:beforeAutospacing="0" w:after="0" w:afterAutospacing="0"/>
              <w:jc w:val="right"/>
              <w:rPr>
                <w:color w:val="000000"/>
                <w:sz w:val="20"/>
                <w:szCs w:val="20"/>
              </w:rPr>
            </w:pPr>
            <w:r>
              <w:rPr>
                <w:color w:val="000000"/>
                <w:sz w:val="20"/>
                <w:szCs w:val="20"/>
              </w:rPr>
              <w:t>15,106</w:t>
            </w:r>
          </w:p>
        </w:tc>
        <w:tc>
          <w:tcPr>
            <w:tcW w:w="50" w:type="pct"/>
            <w:shd w:val="clear" w:color="auto" w:fill="CFF0FC"/>
            <w:noWrap/>
            <w:tcMar>
              <w:top w:w="15" w:type="dxa"/>
              <w:left w:w="0" w:type="dxa"/>
              <w:bottom w:w="0" w:type="dxa"/>
              <w:right w:w="15" w:type="dxa"/>
            </w:tcMar>
            <w:vAlign w:val="bottom"/>
            <w:hideMark/>
          </w:tcPr>
          <w:p w14:paraId="1700CB7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0C3E29B" w14:textId="77777777">
        <w:trPr>
          <w:divId w:val="1234393200"/>
          <w:jc w:val="center"/>
        </w:trPr>
        <w:tc>
          <w:tcPr>
            <w:tcW w:w="4011" w:type="pct"/>
            <w:shd w:val="clear" w:color="auto" w:fill="FFFFFF"/>
            <w:tcMar>
              <w:top w:w="15" w:type="dxa"/>
              <w:left w:w="0" w:type="dxa"/>
              <w:bottom w:w="0" w:type="dxa"/>
              <w:right w:w="15" w:type="dxa"/>
            </w:tcMar>
            <w:hideMark/>
          </w:tcPr>
          <w:p w14:paraId="775AD399" w14:textId="77777777" w:rsidR="00000000" w:rsidRDefault="007125B5">
            <w:pPr>
              <w:pStyle w:val="a3"/>
              <w:spacing w:before="0" w:beforeAutospacing="0" w:after="0" w:afterAutospacing="0"/>
              <w:rPr>
                <w:color w:val="000000"/>
                <w:sz w:val="20"/>
                <w:szCs w:val="20"/>
              </w:rPr>
            </w:pPr>
            <w:r>
              <w:rPr>
                <w:color w:val="000000"/>
                <w:sz w:val="20"/>
                <w:szCs w:val="20"/>
              </w:rPr>
              <w:t>2021</w:t>
            </w:r>
          </w:p>
        </w:tc>
        <w:tc>
          <w:tcPr>
            <w:tcW w:w="97" w:type="pct"/>
            <w:shd w:val="clear" w:color="auto" w:fill="FFFFFF"/>
            <w:tcMar>
              <w:top w:w="15" w:type="dxa"/>
              <w:left w:w="0" w:type="dxa"/>
              <w:bottom w:w="0" w:type="dxa"/>
              <w:right w:w="15" w:type="dxa"/>
            </w:tcMar>
            <w:vAlign w:val="bottom"/>
            <w:hideMark/>
          </w:tcPr>
          <w:p w14:paraId="7274862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4C2D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348A1B16" w14:textId="77777777" w:rsidR="00000000" w:rsidRDefault="007125B5">
            <w:pPr>
              <w:pStyle w:val="a3"/>
              <w:spacing w:before="0" w:beforeAutospacing="0" w:after="0" w:afterAutospacing="0"/>
              <w:jc w:val="right"/>
              <w:rPr>
                <w:color w:val="000000"/>
                <w:sz w:val="20"/>
                <w:szCs w:val="20"/>
              </w:rPr>
            </w:pPr>
            <w:r>
              <w:rPr>
                <w:color w:val="000000"/>
                <w:sz w:val="20"/>
                <w:szCs w:val="20"/>
              </w:rPr>
              <w:t>28,043</w:t>
            </w:r>
          </w:p>
        </w:tc>
        <w:tc>
          <w:tcPr>
            <w:tcW w:w="50" w:type="pct"/>
            <w:shd w:val="clear" w:color="auto" w:fill="FFFFFF"/>
            <w:noWrap/>
            <w:tcMar>
              <w:top w:w="15" w:type="dxa"/>
              <w:left w:w="0" w:type="dxa"/>
              <w:bottom w:w="0" w:type="dxa"/>
              <w:right w:w="15" w:type="dxa"/>
            </w:tcMar>
            <w:vAlign w:val="bottom"/>
            <w:hideMark/>
          </w:tcPr>
          <w:p w14:paraId="313DF3E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55CA28C" w14:textId="77777777">
        <w:trPr>
          <w:divId w:val="1234393200"/>
          <w:jc w:val="center"/>
        </w:trPr>
        <w:tc>
          <w:tcPr>
            <w:tcW w:w="4011" w:type="pct"/>
            <w:shd w:val="clear" w:color="auto" w:fill="CFF0FC"/>
            <w:tcMar>
              <w:top w:w="15" w:type="dxa"/>
              <w:left w:w="0" w:type="dxa"/>
              <w:bottom w:w="0" w:type="dxa"/>
              <w:right w:w="15" w:type="dxa"/>
            </w:tcMar>
            <w:hideMark/>
          </w:tcPr>
          <w:p w14:paraId="65D9126C" w14:textId="77777777" w:rsidR="00000000" w:rsidRDefault="007125B5">
            <w:pPr>
              <w:pStyle w:val="a3"/>
              <w:spacing w:before="0" w:beforeAutospacing="0" w:after="0" w:afterAutospacing="0"/>
              <w:rPr>
                <w:color w:val="000000"/>
                <w:sz w:val="20"/>
                <w:szCs w:val="20"/>
              </w:rPr>
            </w:pPr>
            <w:r>
              <w:rPr>
                <w:color w:val="000000"/>
                <w:sz w:val="20"/>
                <w:szCs w:val="20"/>
              </w:rPr>
              <w:t>2022</w:t>
            </w:r>
          </w:p>
        </w:tc>
        <w:tc>
          <w:tcPr>
            <w:tcW w:w="97" w:type="pct"/>
            <w:shd w:val="clear" w:color="auto" w:fill="CFF0FC"/>
            <w:tcMar>
              <w:top w:w="15" w:type="dxa"/>
              <w:left w:w="0" w:type="dxa"/>
              <w:bottom w:w="0" w:type="dxa"/>
              <w:right w:w="15" w:type="dxa"/>
            </w:tcMar>
            <w:vAlign w:val="bottom"/>
            <w:hideMark/>
          </w:tcPr>
          <w:p w14:paraId="53A4A95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00CB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0C7EE752" w14:textId="77777777" w:rsidR="00000000" w:rsidRDefault="007125B5">
            <w:pPr>
              <w:pStyle w:val="a3"/>
              <w:spacing w:before="0" w:beforeAutospacing="0" w:after="0" w:afterAutospacing="0"/>
              <w:jc w:val="right"/>
              <w:rPr>
                <w:color w:val="000000"/>
                <w:sz w:val="20"/>
                <w:szCs w:val="20"/>
              </w:rPr>
            </w:pPr>
            <w:r>
              <w:rPr>
                <w:color w:val="000000"/>
                <w:sz w:val="20"/>
                <w:szCs w:val="20"/>
              </w:rPr>
              <w:t>23,958</w:t>
            </w:r>
          </w:p>
        </w:tc>
        <w:tc>
          <w:tcPr>
            <w:tcW w:w="50" w:type="pct"/>
            <w:shd w:val="clear" w:color="auto" w:fill="CFF0FC"/>
            <w:noWrap/>
            <w:tcMar>
              <w:top w:w="15" w:type="dxa"/>
              <w:left w:w="0" w:type="dxa"/>
              <w:bottom w:w="0" w:type="dxa"/>
              <w:right w:w="15" w:type="dxa"/>
            </w:tcMar>
            <w:vAlign w:val="bottom"/>
            <w:hideMark/>
          </w:tcPr>
          <w:p w14:paraId="7B7CFF5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ACB3301" w14:textId="77777777">
        <w:trPr>
          <w:divId w:val="1234393200"/>
          <w:jc w:val="center"/>
        </w:trPr>
        <w:tc>
          <w:tcPr>
            <w:tcW w:w="4011" w:type="pct"/>
            <w:shd w:val="clear" w:color="auto" w:fill="FFFFFF"/>
            <w:tcMar>
              <w:top w:w="15" w:type="dxa"/>
              <w:left w:w="0" w:type="dxa"/>
              <w:bottom w:w="0" w:type="dxa"/>
              <w:right w:w="15" w:type="dxa"/>
            </w:tcMar>
            <w:hideMark/>
          </w:tcPr>
          <w:p w14:paraId="4DD484BD" w14:textId="77777777" w:rsidR="00000000" w:rsidRDefault="007125B5">
            <w:pPr>
              <w:pStyle w:val="a3"/>
              <w:spacing w:before="0" w:beforeAutospacing="0" w:after="0" w:afterAutospacing="0"/>
              <w:rPr>
                <w:color w:val="000000"/>
                <w:sz w:val="20"/>
                <w:szCs w:val="20"/>
              </w:rPr>
            </w:pPr>
            <w:r>
              <w:rPr>
                <w:color w:val="000000"/>
                <w:sz w:val="20"/>
                <w:szCs w:val="20"/>
              </w:rPr>
              <w:t>2023</w:t>
            </w:r>
          </w:p>
        </w:tc>
        <w:tc>
          <w:tcPr>
            <w:tcW w:w="97" w:type="pct"/>
            <w:shd w:val="clear" w:color="auto" w:fill="FFFFFF"/>
            <w:tcMar>
              <w:top w:w="15" w:type="dxa"/>
              <w:left w:w="0" w:type="dxa"/>
              <w:bottom w:w="0" w:type="dxa"/>
              <w:right w:w="15" w:type="dxa"/>
            </w:tcMar>
            <w:vAlign w:val="bottom"/>
            <w:hideMark/>
          </w:tcPr>
          <w:p w14:paraId="6CF5231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513B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2E6A0BA0" w14:textId="77777777" w:rsidR="00000000" w:rsidRDefault="007125B5">
            <w:pPr>
              <w:pStyle w:val="a3"/>
              <w:spacing w:before="0" w:beforeAutospacing="0" w:after="0" w:afterAutospacing="0"/>
              <w:jc w:val="right"/>
              <w:rPr>
                <w:color w:val="000000"/>
                <w:sz w:val="20"/>
                <w:szCs w:val="20"/>
              </w:rPr>
            </w:pPr>
            <w:r>
              <w:rPr>
                <w:color w:val="000000"/>
                <w:sz w:val="20"/>
                <w:szCs w:val="20"/>
              </w:rPr>
              <w:t>20,005</w:t>
            </w:r>
          </w:p>
        </w:tc>
        <w:tc>
          <w:tcPr>
            <w:tcW w:w="50" w:type="pct"/>
            <w:shd w:val="clear" w:color="auto" w:fill="FFFFFF"/>
            <w:noWrap/>
            <w:tcMar>
              <w:top w:w="15" w:type="dxa"/>
              <w:left w:w="0" w:type="dxa"/>
              <w:bottom w:w="0" w:type="dxa"/>
              <w:right w:w="15" w:type="dxa"/>
            </w:tcMar>
            <w:vAlign w:val="bottom"/>
            <w:hideMark/>
          </w:tcPr>
          <w:p w14:paraId="354CB51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B693059" w14:textId="77777777">
        <w:trPr>
          <w:divId w:val="1234393200"/>
          <w:jc w:val="center"/>
        </w:trPr>
        <w:tc>
          <w:tcPr>
            <w:tcW w:w="4011" w:type="pct"/>
            <w:shd w:val="clear" w:color="auto" w:fill="CFF0FC"/>
            <w:tcMar>
              <w:top w:w="15" w:type="dxa"/>
              <w:left w:w="0" w:type="dxa"/>
              <w:bottom w:w="0" w:type="dxa"/>
              <w:right w:w="15" w:type="dxa"/>
            </w:tcMar>
            <w:hideMark/>
          </w:tcPr>
          <w:p w14:paraId="4070816F" w14:textId="77777777" w:rsidR="00000000" w:rsidRDefault="007125B5">
            <w:pPr>
              <w:pStyle w:val="a3"/>
              <w:spacing w:before="0" w:beforeAutospacing="0" w:after="0" w:afterAutospacing="0"/>
              <w:rPr>
                <w:color w:val="000000"/>
                <w:sz w:val="20"/>
                <w:szCs w:val="20"/>
              </w:rPr>
            </w:pPr>
            <w:r>
              <w:rPr>
                <w:color w:val="000000"/>
                <w:sz w:val="20"/>
                <w:szCs w:val="20"/>
              </w:rPr>
              <w:t>2024</w:t>
            </w:r>
          </w:p>
        </w:tc>
        <w:tc>
          <w:tcPr>
            <w:tcW w:w="97" w:type="pct"/>
            <w:shd w:val="clear" w:color="auto" w:fill="CFF0FC"/>
            <w:tcMar>
              <w:top w:w="15" w:type="dxa"/>
              <w:left w:w="0" w:type="dxa"/>
              <w:bottom w:w="0" w:type="dxa"/>
              <w:right w:w="15" w:type="dxa"/>
            </w:tcMar>
            <w:vAlign w:val="bottom"/>
            <w:hideMark/>
          </w:tcPr>
          <w:p w14:paraId="3722518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9E3F1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63E86000" w14:textId="77777777" w:rsidR="00000000" w:rsidRDefault="007125B5">
            <w:pPr>
              <w:pStyle w:val="a3"/>
              <w:spacing w:before="0" w:beforeAutospacing="0" w:after="0" w:afterAutospacing="0"/>
              <w:jc w:val="right"/>
              <w:rPr>
                <w:color w:val="000000"/>
                <w:sz w:val="20"/>
                <w:szCs w:val="20"/>
              </w:rPr>
            </w:pPr>
            <w:r>
              <w:rPr>
                <w:color w:val="000000"/>
                <w:sz w:val="20"/>
                <w:szCs w:val="20"/>
              </w:rPr>
              <w:t>16,929</w:t>
            </w:r>
          </w:p>
        </w:tc>
        <w:tc>
          <w:tcPr>
            <w:tcW w:w="50" w:type="pct"/>
            <w:shd w:val="clear" w:color="auto" w:fill="CFF0FC"/>
            <w:noWrap/>
            <w:tcMar>
              <w:top w:w="15" w:type="dxa"/>
              <w:left w:w="0" w:type="dxa"/>
              <w:bottom w:w="0" w:type="dxa"/>
              <w:right w:w="15" w:type="dxa"/>
            </w:tcMar>
            <w:vAlign w:val="bottom"/>
            <w:hideMark/>
          </w:tcPr>
          <w:p w14:paraId="64B7D4B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CD7446F" w14:textId="77777777">
        <w:trPr>
          <w:divId w:val="1234393200"/>
          <w:jc w:val="center"/>
        </w:trPr>
        <w:tc>
          <w:tcPr>
            <w:tcW w:w="4011" w:type="pct"/>
            <w:shd w:val="clear" w:color="auto" w:fill="FFFFFF"/>
            <w:tcMar>
              <w:top w:w="15" w:type="dxa"/>
              <w:left w:w="0" w:type="dxa"/>
              <w:bottom w:w="0" w:type="dxa"/>
              <w:right w:w="15" w:type="dxa"/>
            </w:tcMar>
            <w:hideMark/>
          </w:tcPr>
          <w:p w14:paraId="0D70B06F" w14:textId="77777777" w:rsidR="00000000" w:rsidRDefault="007125B5">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14:paraId="372D4D9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068D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14:paraId="7676B875" w14:textId="77777777" w:rsidR="00000000" w:rsidRDefault="007125B5">
            <w:pPr>
              <w:pStyle w:val="a3"/>
              <w:spacing w:before="0" w:beforeAutospacing="0" w:after="0" w:afterAutospacing="0"/>
              <w:jc w:val="right"/>
              <w:rPr>
                <w:color w:val="000000"/>
                <w:sz w:val="20"/>
                <w:szCs w:val="20"/>
              </w:rPr>
            </w:pPr>
            <w:r>
              <w:rPr>
                <w:color w:val="000000"/>
                <w:sz w:val="20"/>
                <w:szCs w:val="20"/>
              </w:rPr>
              <w:t>65,233</w:t>
            </w:r>
          </w:p>
        </w:tc>
        <w:tc>
          <w:tcPr>
            <w:tcW w:w="50" w:type="pct"/>
            <w:shd w:val="clear" w:color="auto" w:fill="FFFFFF"/>
            <w:noWrap/>
            <w:tcMar>
              <w:top w:w="15" w:type="dxa"/>
              <w:left w:w="0" w:type="dxa"/>
              <w:bottom w:w="0" w:type="dxa"/>
              <w:right w:w="15" w:type="dxa"/>
            </w:tcMar>
            <w:vAlign w:val="bottom"/>
            <w:hideMark/>
          </w:tcPr>
          <w:p w14:paraId="438F55B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AD92E14" w14:textId="77777777">
        <w:trPr>
          <w:divId w:val="1234393200"/>
          <w:jc w:val="center"/>
        </w:trPr>
        <w:tc>
          <w:tcPr>
            <w:tcW w:w="4011" w:type="pct"/>
            <w:shd w:val="clear" w:color="auto" w:fill="CFF0FC"/>
            <w:tcMar>
              <w:top w:w="15" w:type="dxa"/>
              <w:left w:w="0" w:type="dxa"/>
              <w:bottom w:w="0" w:type="dxa"/>
              <w:right w:w="15" w:type="dxa"/>
            </w:tcMar>
            <w:hideMark/>
          </w:tcPr>
          <w:p w14:paraId="19694E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vAlign w:val="bottom"/>
            <w:hideMark/>
          </w:tcPr>
          <w:p w14:paraId="77E4797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31529F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F7D142" w14:textId="77777777" w:rsidR="00000000" w:rsidRDefault="007125B5">
            <w:pPr>
              <w:pStyle w:val="a3"/>
              <w:spacing w:before="0" w:beforeAutospacing="0" w:after="0" w:afterAutospacing="0"/>
              <w:jc w:val="right"/>
              <w:rPr>
                <w:color w:val="000000"/>
                <w:sz w:val="20"/>
                <w:szCs w:val="20"/>
              </w:rPr>
            </w:pPr>
            <w:r>
              <w:rPr>
                <w:color w:val="000000"/>
                <w:sz w:val="20"/>
                <w:szCs w:val="20"/>
              </w:rPr>
              <w:t>169,274</w:t>
            </w:r>
          </w:p>
        </w:tc>
        <w:tc>
          <w:tcPr>
            <w:tcW w:w="50" w:type="pct"/>
            <w:shd w:val="clear" w:color="auto" w:fill="CFF0FC"/>
            <w:noWrap/>
            <w:tcMar>
              <w:top w:w="15" w:type="dxa"/>
              <w:left w:w="0" w:type="dxa"/>
              <w:bottom w:w="0" w:type="dxa"/>
              <w:right w:w="15" w:type="dxa"/>
            </w:tcMar>
            <w:vAlign w:val="bottom"/>
            <w:hideMark/>
          </w:tcPr>
          <w:p w14:paraId="1723935E"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08C98033" w14:textId="77777777" w:rsidR="00000000" w:rsidRDefault="007125B5">
      <w:pPr>
        <w:pStyle w:val="a3"/>
        <w:spacing w:before="0" w:beforeAutospacing="0" w:after="0" w:afterAutospacing="0"/>
        <w:rPr>
          <w:sz w:val="20"/>
          <w:szCs w:val="20"/>
        </w:rPr>
      </w:pPr>
      <w:r>
        <w:rPr>
          <w:sz w:val="20"/>
          <w:szCs w:val="20"/>
        </w:rPr>
        <w:t> </w:t>
      </w:r>
    </w:p>
    <w:p w14:paraId="3547CA38" w14:textId="77777777" w:rsidR="00000000" w:rsidRDefault="007125B5">
      <w:pPr>
        <w:pStyle w:val="a3"/>
        <w:shd w:val="clear" w:color="auto" w:fill="FFFFFF"/>
        <w:spacing w:before="160" w:beforeAutospacing="0" w:after="0" w:afterAutospacing="0"/>
        <w:rPr>
          <w:b/>
          <w:bCs/>
          <w:color w:val="000000"/>
          <w:sz w:val="20"/>
          <w:szCs w:val="20"/>
        </w:rPr>
      </w:pPr>
      <w:r>
        <w:rPr>
          <w:b/>
          <w:bCs/>
          <w:color w:val="000000"/>
          <w:sz w:val="20"/>
          <w:szCs w:val="20"/>
        </w:rPr>
        <w:t>8. ACCOUNTS PAYABLE AND OTHER ACCRUED LIABILITIES</w:t>
      </w:r>
    </w:p>
    <w:p w14:paraId="1E2587D5"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Accounts payable and other accrued liabilities consisted of the following as of June 30, 2020 and December 31, 2019:</w:t>
      </w:r>
    </w:p>
    <w:p w14:paraId="20D8C6C7"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68"/>
        <w:gridCol w:w="115"/>
        <w:gridCol w:w="723"/>
        <w:gridCol w:w="65"/>
        <w:gridCol w:w="69"/>
        <w:gridCol w:w="116"/>
        <w:gridCol w:w="724"/>
        <w:gridCol w:w="65"/>
      </w:tblGrid>
      <w:tr w:rsidR="00000000" w14:paraId="49964DF0" w14:textId="77777777">
        <w:trPr>
          <w:divId w:val="1549995944"/>
          <w:jc w:val="center"/>
        </w:trPr>
        <w:tc>
          <w:tcPr>
            <w:tcW w:w="3349" w:type="pct"/>
            <w:shd w:val="clear" w:color="auto" w:fill="FFFFFF"/>
            <w:tcMar>
              <w:top w:w="15" w:type="dxa"/>
              <w:left w:w="0" w:type="dxa"/>
              <w:bottom w:w="0" w:type="dxa"/>
              <w:right w:w="15" w:type="dxa"/>
            </w:tcMar>
            <w:vAlign w:val="bottom"/>
            <w:hideMark/>
          </w:tcPr>
          <w:p w14:paraId="374E9650"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5CE9429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BAD932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p w14:paraId="4CF2D3E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AB8EAB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43112A2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0489D79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p w14:paraId="37202D5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877737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6A53912" w14:textId="77777777">
        <w:trPr>
          <w:divId w:val="1549995944"/>
          <w:jc w:val="center"/>
        </w:trPr>
        <w:tc>
          <w:tcPr>
            <w:tcW w:w="3349" w:type="pct"/>
            <w:shd w:val="clear" w:color="auto" w:fill="CFF0FC"/>
            <w:tcMar>
              <w:top w:w="15" w:type="dxa"/>
              <w:left w:w="0" w:type="dxa"/>
              <w:bottom w:w="0" w:type="dxa"/>
              <w:right w:w="15" w:type="dxa"/>
            </w:tcMar>
            <w:hideMark/>
          </w:tcPr>
          <w:p w14:paraId="2638CDA0" w14:textId="77777777" w:rsidR="00000000" w:rsidRDefault="007125B5">
            <w:pPr>
              <w:pStyle w:val="a3"/>
              <w:spacing w:before="0" w:beforeAutospacing="0" w:after="0" w:afterAutospacing="0"/>
              <w:rPr>
                <w:color w:val="000000"/>
                <w:sz w:val="20"/>
                <w:szCs w:val="20"/>
              </w:rPr>
            </w:pPr>
            <w:r>
              <w:rPr>
                <w:color w:val="000000"/>
                <w:sz w:val="20"/>
                <w:szCs w:val="20"/>
              </w:rPr>
              <w:t>Accounts payable</w:t>
            </w:r>
          </w:p>
        </w:tc>
        <w:tc>
          <w:tcPr>
            <w:tcW w:w="81" w:type="pct"/>
            <w:shd w:val="clear" w:color="auto" w:fill="CFF0FC"/>
            <w:tcMar>
              <w:top w:w="15" w:type="dxa"/>
              <w:left w:w="0" w:type="dxa"/>
              <w:bottom w:w="0" w:type="dxa"/>
              <w:right w:w="15" w:type="dxa"/>
            </w:tcMar>
            <w:vAlign w:val="bottom"/>
            <w:hideMark/>
          </w:tcPr>
          <w:p w14:paraId="6C353A0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FF321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932AF8B" w14:textId="77777777" w:rsidR="00000000" w:rsidRDefault="007125B5">
            <w:pPr>
              <w:pStyle w:val="a3"/>
              <w:spacing w:before="0" w:beforeAutospacing="0" w:after="0" w:afterAutospacing="0"/>
              <w:jc w:val="right"/>
              <w:rPr>
                <w:color w:val="000000"/>
                <w:sz w:val="20"/>
                <w:szCs w:val="20"/>
              </w:rPr>
            </w:pPr>
            <w:r>
              <w:rPr>
                <w:color w:val="000000"/>
                <w:sz w:val="20"/>
                <w:szCs w:val="20"/>
              </w:rPr>
              <w:t>12,255</w:t>
            </w:r>
          </w:p>
        </w:tc>
        <w:tc>
          <w:tcPr>
            <w:tcW w:w="50" w:type="pct"/>
            <w:shd w:val="clear" w:color="auto" w:fill="CFF0FC"/>
            <w:noWrap/>
            <w:tcMar>
              <w:top w:w="15" w:type="dxa"/>
              <w:left w:w="0" w:type="dxa"/>
              <w:bottom w:w="0" w:type="dxa"/>
              <w:right w:w="15" w:type="dxa"/>
            </w:tcMar>
            <w:vAlign w:val="bottom"/>
            <w:hideMark/>
          </w:tcPr>
          <w:p w14:paraId="588550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D8116E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57CA8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F022CA9" w14:textId="77777777" w:rsidR="00000000" w:rsidRDefault="007125B5">
            <w:pPr>
              <w:pStyle w:val="a3"/>
              <w:spacing w:before="0" w:beforeAutospacing="0" w:after="0" w:afterAutospacing="0"/>
              <w:jc w:val="right"/>
              <w:rPr>
                <w:color w:val="000000"/>
                <w:sz w:val="20"/>
                <w:szCs w:val="20"/>
              </w:rPr>
            </w:pPr>
            <w:r>
              <w:rPr>
                <w:color w:val="000000"/>
                <w:sz w:val="20"/>
                <w:szCs w:val="20"/>
              </w:rPr>
              <w:t>15,034</w:t>
            </w:r>
          </w:p>
        </w:tc>
        <w:tc>
          <w:tcPr>
            <w:tcW w:w="50" w:type="pct"/>
            <w:shd w:val="clear" w:color="auto" w:fill="CFF0FC"/>
            <w:noWrap/>
            <w:tcMar>
              <w:top w:w="15" w:type="dxa"/>
              <w:left w:w="0" w:type="dxa"/>
              <w:bottom w:w="0" w:type="dxa"/>
              <w:right w:w="15" w:type="dxa"/>
            </w:tcMar>
            <w:vAlign w:val="bottom"/>
            <w:hideMark/>
          </w:tcPr>
          <w:p w14:paraId="5178140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C692871" w14:textId="77777777">
        <w:trPr>
          <w:divId w:val="1549995944"/>
          <w:jc w:val="center"/>
        </w:trPr>
        <w:tc>
          <w:tcPr>
            <w:tcW w:w="3349" w:type="pct"/>
            <w:shd w:val="clear" w:color="auto" w:fill="FFFFFF"/>
            <w:tcMar>
              <w:top w:w="15" w:type="dxa"/>
              <w:left w:w="0" w:type="dxa"/>
              <w:bottom w:w="0" w:type="dxa"/>
              <w:right w:w="15" w:type="dxa"/>
            </w:tcMar>
            <w:hideMark/>
          </w:tcPr>
          <w:p w14:paraId="0B8B29EE" w14:textId="77777777" w:rsidR="00000000" w:rsidRDefault="007125B5">
            <w:pPr>
              <w:pStyle w:val="a3"/>
              <w:spacing w:before="0" w:beforeAutospacing="0" w:after="0" w:afterAutospacing="0"/>
              <w:rPr>
                <w:color w:val="000000"/>
                <w:sz w:val="20"/>
                <w:szCs w:val="20"/>
              </w:rPr>
            </w:pPr>
            <w:r>
              <w:rPr>
                <w:color w:val="000000"/>
                <w:sz w:val="20"/>
                <w:szCs w:val="20"/>
              </w:rPr>
              <w:t>Accrued expenses</w:t>
            </w:r>
          </w:p>
        </w:tc>
        <w:tc>
          <w:tcPr>
            <w:tcW w:w="81" w:type="pct"/>
            <w:shd w:val="clear" w:color="auto" w:fill="FFFFFF"/>
            <w:tcMar>
              <w:top w:w="15" w:type="dxa"/>
              <w:left w:w="0" w:type="dxa"/>
              <w:bottom w:w="0" w:type="dxa"/>
              <w:right w:w="15" w:type="dxa"/>
            </w:tcMar>
            <w:vAlign w:val="bottom"/>
            <w:hideMark/>
          </w:tcPr>
          <w:p w14:paraId="74D4406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B707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19E3B07" w14:textId="77777777" w:rsidR="00000000" w:rsidRDefault="007125B5">
            <w:pPr>
              <w:pStyle w:val="a3"/>
              <w:spacing w:before="0" w:beforeAutospacing="0" w:after="0" w:afterAutospacing="0"/>
              <w:jc w:val="right"/>
              <w:rPr>
                <w:color w:val="000000"/>
                <w:sz w:val="20"/>
                <w:szCs w:val="20"/>
              </w:rPr>
            </w:pPr>
            <w:r>
              <w:rPr>
                <w:color w:val="000000"/>
                <w:sz w:val="20"/>
                <w:szCs w:val="20"/>
              </w:rPr>
              <w:t>9,931</w:t>
            </w:r>
          </w:p>
        </w:tc>
        <w:tc>
          <w:tcPr>
            <w:tcW w:w="50" w:type="pct"/>
            <w:shd w:val="clear" w:color="auto" w:fill="FFFFFF"/>
            <w:noWrap/>
            <w:tcMar>
              <w:top w:w="15" w:type="dxa"/>
              <w:left w:w="0" w:type="dxa"/>
              <w:bottom w:w="0" w:type="dxa"/>
              <w:right w:w="15" w:type="dxa"/>
            </w:tcMar>
            <w:vAlign w:val="bottom"/>
            <w:hideMark/>
          </w:tcPr>
          <w:p w14:paraId="6E4B63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D30EA1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914A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8E1EC4E" w14:textId="77777777" w:rsidR="00000000" w:rsidRDefault="007125B5">
            <w:pPr>
              <w:pStyle w:val="a3"/>
              <w:spacing w:before="0" w:beforeAutospacing="0" w:after="0" w:afterAutospacing="0"/>
              <w:jc w:val="right"/>
              <w:rPr>
                <w:color w:val="000000"/>
                <w:sz w:val="20"/>
                <w:szCs w:val="20"/>
              </w:rPr>
            </w:pPr>
            <w:r>
              <w:rPr>
                <w:color w:val="000000"/>
                <w:sz w:val="20"/>
                <w:szCs w:val="20"/>
              </w:rPr>
              <w:t>10,733</w:t>
            </w:r>
          </w:p>
        </w:tc>
        <w:tc>
          <w:tcPr>
            <w:tcW w:w="50" w:type="pct"/>
            <w:shd w:val="clear" w:color="auto" w:fill="FFFFFF"/>
            <w:noWrap/>
            <w:tcMar>
              <w:top w:w="15" w:type="dxa"/>
              <w:left w:w="0" w:type="dxa"/>
              <w:bottom w:w="0" w:type="dxa"/>
              <w:right w:w="15" w:type="dxa"/>
            </w:tcMar>
            <w:vAlign w:val="bottom"/>
            <w:hideMark/>
          </w:tcPr>
          <w:p w14:paraId="4E332D9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41E5A4B" w14:textId="77777777">
        <w:trPr>
          <w:divId w:val="1549995944"/>
          <w:jc w:val="center"/>
        </w:trPr>
        <w:tc>
          <w:tcPr>
            <w:tcW w:w="3349" w:type="pct"/>
            <w:shd w:val="clear" w:color="auto" w:fill="CFF0FC"/>
            <w:tcMar>
              <w:top w:w="15" w:type="dxa"/>
              <w:left w:w="0" w:type="dxa"/>
              <w:bottom w:w="0" w:type="dxa"/>
              <w:right w:w="15" w:type="dxa"/>
            </w:tcMar>
            <w:hideMark/>
          </w:tcPr>
          <w:p w14:paraId="09413312" w14:textId="77777777" w:rsidR="00000000" w:rsidRDefault="007125B5">
            <w:pPr>
              <w:pStyle w:val="a3"/>
              <w:spacing w:before="0" w:beforeAutospacing="0" w:after="0" w:afterAutospacing="0"/>
              <w:rPr>
                <w:color w:val="000000"/>
                <w:sz w:val="20"/>
                <w:szCs w:val="20"/>
              </w:rPr>
            </w:pPr>
            <w:r>
              <w:rPr>
                <w:color w:val="000000"/>
                <w:sz w:val="20"/>
                <w:szCs w:val="20"/>
              </w:rPr>
              <w:t>Contract liabilities</w:t>
            </w:r>
          </w:p>
        </w:tc>
        <w:tc>
          <w:tcPr>
            <w:tcW w:w="81" w:type="pct"/>
            <w:shd w:val="clear" w:color="auto" w:fill="CFF0FC"/>
            <w:tcMar>
              <w:top w:w="15" w:type="dxa"/>
              <w:left w:w="0" w:type="dxa"/>
              <w:bottom w:w="0" w:type="dxa"/>
              <w:right w:w="15" w:type="dxa"/>
            </w:tcMar>
            <w:vAlign w:val="bottom"/>
            <w:hideMark/>
          </w:tcPr>
          <w:p w14:paraId="2550FFF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78C3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6ED3F5A" w14:textId="77777777" w:rsidR="00000000" w:rsidRDefault="007125B5">
            <w:pPr>
              <w:pStyle w:val="a3"/>
              <w:spacing w:before="0" w:beforeAutospacing="0" w:after="0" w:afterAutospacing="0"/>
              <w:jc w:val="right"/>
              <w:rPr>
                <w:color w:val="000000"/>
                <w:sz w:val="20"/>
                <w:szCs w:val="20"/>
              </w:rPr>
            </w:pPr>
            <w:r>
              <w:rPr>
                <w:color w:val="000000"/>
                <w:sz w:val="20"/>
                <w:szCs w:val="20"/>
              </w:rPr>
              <w:t>7,736</w:t>
            </w:r>
          </w:p>
        </w:tc>
        <w:tc>
          <w:tcPr>
            <w:tcW w:w="50" w:type="pct"/>
            <w:shd w:val="clear" w:color="auto" w:fill="CFF0FC"/>
            <w:noWrap/>
            <w:tcMar>
              <w:top w:w="15" w:type="dxa"/>
              <w:left w:w="0" w:type="dxa"/>
              <w:bottom w:w="0" w:type="dxa"/>
              <w:right w:w="15" w:type="dxa"/>
            </w:tcMar>
            <w:vAlign w:val="bottom"/>
            <w:hideMark/>
          </w:tcPr>
          <w:p w14:paraId="16A43F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637435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1E71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7E354B8" w14:textId="77777777" w:rsidR="00000000" w:rsidRDefault="007125B5">
            <w:pPr>
              <w:pStyle w:val="a3"/>
              <w:spacing w:before="0" w:beforeAutospacing="0" w:after="0" w:afterAutospacing="0"/>
              <w:jc w:val="right"/>
              <w:rPr>
                <w:color w:val="000000"/>
                <w:sz w:val="20"/>
                <w:szCs w:val="20"/>
              </w:rPr>
            </w:pPr>
            <w:r>
              <w:rPr>
                <w:color w:val="000000"/>
                <w:sz w:val="20"/>
                <w:szCs w:val="20"/>
              </w:rPr>
              <w:t>3,314</w:t>
            </w:r>
          </w:p>
        </w:tc>
        <w:tc>
          <w:tcPr>
            <w:tcW w:w="50" w:type="pct"/>
            <w:shd w:val="clear" w:color="auto" w:fill="CFF0FC"/>
            <w:noWrap/>
            <w:tcMar>
              <w:top w:w="15" w:type="dxa"/>
              <w:left w:w="0" w:type="dxa"/>
              <w:bottom w:w="0" w:type="dxa"/>
              <w:right w:w="15" w:type="dxa"/>
            </w:tcMar>
            <w:vAlign w:val="bottom"/>
            <w:hideMark/>
          </w:tcPr>
          <w:p w14:paraId="3735C04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805EEE6" w14:textId="77777777">
        <w:trPr>
          <w:divId w:val="1549995944"/>
          <w:jc w:val="center"/>
        </w:trPr>
        <w:tc>
          <w:tcPr>
            <w:tcW w:w="3349" w:type="pct"/>
            <w:shd w:val="clear" w:color="auto" w:fill="FFFFFF"/>
            <w:tcMar>
              <w:top w:w="15" w:type="dxa"/>
              <w:left w:w="0" w:type="dxa"/>
              <w:bottom w:w="0" w:type="dxa"/>
              <w:right w:w="15" w:type="dxa"/>
            </w:tcMar>
            <w:hideMark/>
          </w:tcPr>
          <w:p w14:paraId="3B7AC005" w14:textId="77777777" w:rsidR="00000000" w:rsidRDefault="007125B5">
            <w:pPr>
              <w:pStyle w:val="a3"/>
              <w:spacing w:before="0" w:beforeAutospacing="0" w:after="0" w:afterAutospacing="0"/>
              <w:rPr>
                <w:color w:val="000000"/>
                <w:sz w:val="20"/>
                <w:szCs w:val="20"/>
              </w:rPr>
            </w:pPr>
            <w:r>
              <w:rPr>
                <w:color w:val="000000"/>
                <w:sz w:val="20"/>
                <w:szCs w:val="20"/>
              </w:rPr>
              <w:t>Other current liabilities</w:t>
            </w:r>
          </w:p>
        </w:tc>
        <w:tc>
          <w:tcPr>
            <w:tcW w:w="81" w:type="pct"/>
            <w:shd w:val="clear" w:color="auto" w:fill="FFFFFF"/>
            <w:tcMar>
              <w:top w:w="15" w:type="dxa"/>
              <w:left w:w="0" w:type="dxa"/>
              <w:bottom w:w="0" w:type="dxa"/>
              <w:right w:w="15" w:type="dxa"/>
            </w:tcMar>
            <w:vAlign w:val="bottom"/>
            <w:hideMark/>
          </w:tcPr>
          <w:p w14:paraId="6F25524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D3A0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2BC707F" w14:textId="77777777" w:rsidR="00000000" w:rsidRDefault="007125B5">
            <w:pPr>
              <w:pStyle w:val="a3"/>
              <w:spacing w:before="0" w:beforeAutospacing="0" w:after="0" w:afterAutospacing="0"/>
              <w:jc w:val="right"/>
              <w:rPr>
                <w:color w:val="000000"/>
                <w:sz w:val="20"/>
                <w:szCs w:val="20"/>
              </w:rPr>
            </w:pPr>
            <w:r>
              <w:rPr>
                <w:color w:val="000000"/>
                <w:sz w:val="20"/>
                <w:szCs w:val="20"/>
              </w:rPr>
              <w:t>303</w:t>
            </w:r>
          </w:p>
        </w:tc>
        <w:tc>
          <w:tcPr>
            <w:tcW w:w="50" w:type="pct"/>
            <w:shd w:val="clear" w:color="auto" w:fill="FFFFFF"/>
            <w:noWrap/>
            <w:tcMar>
              <w:top w:w="15" w:type="dxa"/>
              <w:left w:w="0" w:type="dxa"/>
              <w:bottom w:w="0" w:type="dxa"/>
              <w:right w:w="15" w:type="dxa"/>
            </w:tcMar>
            <w:vAlign w:val="bottom"/>
            <w:hideMark/>
          </w:tcPr>
          <w:p w14:paraId="3234880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452A6B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1D1B8B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5A7BA84" w14:textId="77777777" w:rsidR="00000000" w:rsidRDefault="007125B5">
            <w:pPr>
              <w:pStyle w:val="a3"/>
              <w:spacing w:before="0" w:beforeAutospacing="0" w:after="0" w:afterAutospacing="0"/>
              <w:jc w:val="right"/>
              <w:rPr>
                <w:color w:val="000000"/>
                <w:sz w:val="20"/>
                <w:szCs w:val="20"/>
              </w:rPr>
            </w:pPr>
            <w:r>
              <w:rPr>
                <w:color w:val="000000"/>
                <w:sz w:val="20"/>
                <w:szCs w:val="20"/>
              </w:rPr>
              <w:t>504</w:t>
            </w:r>
          </w:p>
        </w:tc>
        <w:tc>
          <w:tcPr>
            <w:tcW w:w="50" w:type="pct"/>
            <w:shd w:val="clear" w:color="auto" w:fill="FFFFFF"/>
            <w:noWrap/>
            <w:tcMar>
              <w:top w:w="15" w:type="dxa"/>
              <w:left w:w="0" w:type="dxa"/>
              <w:bottom w:w="0" w:type="dxa"/>
              <w:right w:w="15" w:type="dxa"/>
            </w:tcMar>
            <w:vAlign w:val="bottom"/>
            <w:hideMark/>
          </w:tcPr>
          <w:p w14:paraId="7EAB2DB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6BB8277" w14:textId="77777777">
        <w:trPr>
          <w:divId w:val="1549995944"/>
          <w:jc w:val="center"/>
        </w:trPr>
        <w:tc>
          <w:tcPr>
            <w:tcW w:w="3349" w:type="pct"/>
            <w:shd w:val="clear" w:color="auto" w:fill="CFF0FC"/>
            <w:tcMar>
              <w:top w:w="15" w:type="dxa"/>
              <w:left w:w="0" w:type="dxa"/>
              <w:bottom w:w="0" w:type="dxa"/>
              <w:right w:w="15" w:type="dxa"/>
            </w:tcMar>
            <w:hideMark/>
          </w:tcPr>
          <w:p w14:paraId="66AA9531" w14:textId="77777777" w:rsidR="00000000" w:rsidRDefault="007125B5">
            <w:pPr>
              <w:pStyle w:val="a3"/>
              <w:spacing w:before="0" w:beforeAutospacing="0" w:after="0" w:afterAutospacing="0"/>
              <w:rPr>
                <w:color w:val="000000"/>
                <w:sz w:val="20"/>
                <w:szCs w:val="20"/>
              </w:rPr>
            </w:pPr>
            <w:r>
              <w:rPr>
                <w:color w:val="000000"/>
                <w:sz w:val="20"/>
                <w:szCs w:val="20"/>
              </w:rPr>
              <w:t>Total accounts payable and other accrued liabilities</w:t>
            </w:r>
          </w:p>
        </w:tc>
        <w:tc>
          <w:tcPr>
            <w:tcW w:w="81" w:type="pct"/>
            <w:shd w:val="clear" w:color="auto" w:fill="CFF0FC"/>
            <w:tcMar>
              <w:top w:w="15" w:type="dxa"/>
              <w:left w:w="0" w:type="dxa"/>
              <w:bottom w:w="0" w:type="dxa"/>
              <w:right w:w="15" w:type="dxa"/>
            </w:tcMar>
            <w:vAlign w:val="bottom"/>
            <w:hideMark/>
          </w:tcPr>
          <w:p w14:paraId="392A560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32896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CF20B8" w14:textId="77777777" w:rsidR="00000000" w:rsidRDefault="007125B5">
            <w:pPr>
              <w:pStyle w:val="a3"/>
              <w:spacing w:before="0" w:beforeAutospacing="0" w:after="0" w:afterAutospacing="0"/>
              <w:jc w:val="right"/>
              <w:rPr>
                <w:color w:val="000000"/>
                <w:sz w:val="20"/>
                <w:szCs w:val="20"/>
              </w:rPr>
            </w:pPr>
            <w:r>
              <w:rPr>
                <w:color w:val="000000"/>
                <w:sz w:val="20"/>
                <w:szCs w:val="20"/>
              </w:rPr>
              <w:t>30,225</w:t>
            </w:r>
          </w:p>
        </w:tc>
        <w:tc>
          <w:tcPr>
            <w:tcW w:w="50" w:type="pct"/>
            <w:shd w:val="clear" w:color="auto" w:fill="CFF0FC"/>
            <w:noWrap/>
            <w:tcMar>
              <w:top w:w="15" w:type="dxa"/>
              <w:left w:w="0" w:type="dxa"/>
              <w:bottom w:w="0" w:type="dxa"/>
              <w:right w:w="15" w:type="dxa"/>
            </w:tcMar>
            <w:vAlign w:val="bottom"/>
            <w:hideMark/>
          </w:tcPr>
          <w:p w14:paraId="662711E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3E79E3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ACA99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5F42136" w14:textId="77777777" w:rsidR="00000000" w:rsidRDefault="007125B5">
            <w:pPr>
              <w:pStyle w:val="a3"/>
              <w:spacing w:before="0" w:beforeAutospacing="0" w:after="0" w:afterAutospacing="0"/>
              <w:jc w:val="right"/>
              <w:rPr>
                <w:color w:val="000000"/>
                <w:sz w:val="20"/>
                <w:szCs w:val="20"/>
              </w:rPr>
            </w:pPr>
            <w:r>
              <w:rPr>
                <w:color w:val="000000"/>
                <w:sz w:val="20"/>
                <w:szCs w:val="20"/>
              </w:rPr>
              <w:t>29,585</w:t>
            </w:r>
          </w:p>
        </w:tc>
        <w:tc>
          <w:tcPr>
            <w:tcW w:w="50" w:type="pct"/>
            <w:shd w:val="clear" w:color="auto" w:fill="CFF0FC"/>
            <w:noWrap/>
            <w:tcMar>
              <w:top w:w="15" w:type="dxa"/>
              <w:left w:w="0" w:type="dxa"/>
              <w:bottom w:w="0" w:type="dxa"/>
              <w:right w:w="15" w:type="dxa"/>
            </w:tcMar>
            <w:vAlign w:val="bottom"/>
            <w:hideMark/>
          </w:tcPr>
          <w:p w14:paraId="61AAF666"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12890027" w14:textId="77777777" w:rsidR="00000000" w:rsidRDefault="007125B5">
      <w:pPr>
        <w:pStyle w:val="a3"/>
        <w:shd w:val="clear" w:color="auto" w:fill="FFFFFF"/>
        <w:spacing w:before="0" w:beforeAutospacing="0" w:after="0" w:afterAutospacing="0"/>
        <w:rPr>
          <w:sz w:val="20"/>
          <w:szCs w:val="20"/>
        </w:rPr>
      </w:pPr>
      <w:r>
        <w:rPr>
          <w:sz w:val="20"/>
          <w:szCs w:val="20"/>
        </w:rPr>
        <w:t> </w:t>
      </w:r>
    </w:p>
    <w:p w14:paraId="2CD78174" w14:textId="77777777" w:rsidR="00000000" w:rsidRDefault="007125B5">
      <w:pPr>
        <w:pStyle w:val="a3"/>
        <w:shd w:val="clear" w:color="auto" w:fill="FFFFFF"/>
        <w:spacing w:before="160" w:beforeAutospacing="0" w:after="0" w:afterAutospacing="0"/>
        <w:rPr>
          <w:b/>
          <w:bCs/>
          <w:color w:val="000000"/>
          <w:sz w:val="20"/>
          <w:szCs w:val="20"/>
        </w:rPr>
      </w:pPr>
      <w:r>
        <w:rPr>
          <w:b/>
          <w:bCs/>
          <w:color w:val="000000"/>
          <w:sz w:val="20"/>
          <w:szCs w:val="20"/>
        </w:rPr>
        <w:t>9. ACCRUED PAYROLL AND BENEFITS</w:t>
      </w:r>
    </w:p>
    <w:p w14:paraId="628E1C33"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Accrued payroll and benefits consisted of the following as of June 30, 2020 and December 31, 2019:</w:t>
      </w:r>
    </w:p>
    <w:p w14:paraId="00DCC14C"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68"/>
        <w:gridCol w:w="115"/>
        <w:gridCol w:w="723"/>
        <w:gridCol w:w="65"/>
        <w:gridCol w:w="69"/>
        <w:gridCol w:w="116"/>
        <w:gridCol w:w="724"/>
        <w:gridCol w:w="65"/>
      </w:tblGrid>
      <w:tr w:rsidR="00000000" w14:paraId="20A28D49" w14:textId="77777777">
        <w:trPr>
          <w:divId w:val="1443917284"/>
          <w:jc w:val="center"/>
        </w:trPr>
        <w:tc>
          <w:tcPr>
            <w:tcW w:w="3349" w:type="pct"/>
            <w:shd w:val="clear" w:color="auto" w:fill="FFFFFF"/>
            <w:tcMar>
              <w:top w:w="15" w:type="dxa"/>
              <w:left w:w="0" w:type="dxa"/>
              <w:bottom w:w="0" w:type="dxa"/>
              <w:right w:w="15" w:type="dxa"/>
            </w:tcMar>
            <w:vAlign w:val="bottom"/>
            <w:hideMark/>
          </w:tcPr>
          <w:p w14:paraId="2FF0423F"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2F2A493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0447E8F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p w14:paraId="55C1E28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A1B2D9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4FB1D1C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3C98EC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p w14:paraId="1677D0E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D94CDA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CF9A667" w14:textId="77777777">
        <w:trPr>
          <w:divId w:val="1443917284"/>
          <w:jc w:val="center"/>
        </w:trPr>
        <w:tc>
          <w:tcPr>
            <w:tcW w:w="3349" w:type="pct"/>
            <w:shd w:val="clear" w:color="auto" w:fill="CFF0FC"/>
            <w:tcMar>
              <w:top w:w="15" w:type="dxa"/>
              <w:left w:w="0" w:type="dxa"/>
              <w:bottom w:w="0" w:type="dxa"/>
              <w:right w:w="15" w:type="dxa"/>
            </w:tcMar>
            <w:hideMark/>
          </w:tcPr>
          <w:p w14:paraId="1712E889" w14:textId="77777777" w:rsidR="00000000" w:rsidRDefault="007125B5">
            <w:pPr>
              <w:pStyle w:val="a3"/>
              <w:spacing w:before="0" w:beforeAutospacing="0" w:after="0" w:afterAutospacing="0"/>
              <w:rPr>
                <w:color w:val="000000"/>
                <w:sz w:val="20"/>
                <w:szCs w:val="20"/>
              </w:rPr>
            </w:pPr>
            <w:r>
              <w:rPr>
                <w:color w:val="000000"/>
                <w:sz w:val="20"/>
                <w:szCs w:val="20"/>
              </w:rPr>
              <w:t>Accrued bonuses</w:t>
            </w:r>
          </w:p>
        </w:tc>
        <w:tc>
          <w:tcPr>
            <w:tcW w:w="81" w:type="pct"/>
            <w:shd w:val="clear" w:color="auto" w:fill="CFF0FC"/>
            <w:tcMar>
              <w:top w:w="15" w:type="dxa"/>
              <w:left w:w="0" w:type="dxa"/>
              <w:bottom w:w="0" w:type="dxa"/>
              <w:right w:w="15" w:type="dxa"/>
            </w:tcMar>
            <w:vAlign w:val="bottom"/>
            <w:hideMark/>
          </w:tcPr>
          <w:p w14:paraId="4B6FA0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469074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C4803CF" w14:textId="77777777" w:rsidR="00000000" w:rsidRDefault="007125B5">
            <w:pPr>
              <w:pStyle w:val="a3"/>
              <w:spacing w:before="0" w:beforeAutospacing="0" w:after="0" w:afterAutospacing="0"/>
              <w:jc w:val="right"/>
              <w:rPr>
                <w:color w:val="000000"/>
                <w:sz w:val="20"/>
                <w:szCs w:val="20"/>
              </w:rPr>
            </w:pPr>
            <w:r>
              <w:rPr>
                <w:color w:val="000000"/>
                <w:sz w:val="20"/>
                <w:szCs w:val="20"/>
              </w:rPr>
              <w:t>3,810</w:t>
            </w:r>
          </w:p>
        </w:tc>
        <w:tc>
          <w:tcPr>
            <w:tcW w:w="50" w:type="pct"/>
            <w:shd w:val="clear" w:color="auto" w:fill="CFF0FC"/>
            <w:noWrap/>
            <w:tcMar>
              <w:top w:w="15" w:type="dxa"/>
              <w:left w:w="0" w:type="dxa"/>
              <w:bottom w:w="0" w:type="dxa"/>
              <w:right w:w="15" w:type="dxa"/>
            </w:tcMar>
            <w:vAlign w:val="bottom"/>
            <w:hideMark/>
          </w:tcPr>
          <w:p w14:paraId="11C6E2B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5F410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3064E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0E9D057C" w14:textId="77777777" w:rsidR="00000000" w:rsidRDefault="007125B5">
            <w:pPr>
              <w:pStyle w:val="a3"/>
              <w:spacing w:before="0" w:beforeAutospacing="0" w:after="0" w:afterAutospacing="0"/>
              <w:jc w:val="right"/>
              <w:rPr>
                <w:color w:val="000000"/>
                <w:sz w:val="20"/>
                <w:szCs w:val="20"/>
              </w:rPr>
            </w:pPr>
            <w:r>
              <w:rPr>
                <w:color w:val="000000"/>
                <w:sz w:val="20"/>
                <w:szCs w:val="20"/>
              </w:rPr>
              <w:t>3,449</w:t>
            </w:r>
          </w:p>
        </w:tc>
        <w:tc>
          <w:tcPr>
            <w:tcW w:w="50" w:type="pct"/>
            <w:shd w:val="clear" w:color="auto" w:fill="CFF0FC"/>
            <w:noWrap/>
            <w:tcMar>
              <w:top w:w="15" w:type="dxa"/>
              <w:left w:w="0" w:type="dxa"/>
              <w:bottom w:w="0" w:type="dxa"/>
              <w:right w:w="15" w:type="dxa"/>
            </w:tcMar>
            <w:vAlign w:val="bottom"/>
            <w:hideMark/>
          </w:tcPr>
          <w:p w14:paraId="38E825A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8B50B1D" w14:textId="77777777">
        <w:trPr>
          <w:divId w:val="1443917284"/>
          <w:jc w:val="center"/>
        </w:trPr>
        <w:tc>
          <w:tcPr>
            <w:tcW w:w="3349" w:type="pct"/>
            <w:shd w:val="clear" w:color="auto" w:fill="FFFFFF"/>
            <w:tcMar>
              <w:top w:w="15" w:type="dxa"/>
              <w:left w:w="0" w:type="dxa"/>
              <w:bottom w:w="0" w:type="dxa"/>
              <w:right w:w="15" w:type="dxa"/>
            </w:tcMar>
            <w:hideMark/>
          </w:tcPr>
          <w:p w14:paraId="5071875F" w14:textId="77777777" w:rsidR="00000000" w:rsidRDefault="007125B5">
            <w:pPr>
              <w:pStyle w:val="a3"/>
              <w:spacing w:before="0" w:beforeAutospacing="0" w:after="0" w:afterAutospacing="0"/>
              <w:rPr>
                <w:color w:val="000000"/>
                <w:sz w:val="20"/>
                <w:szCs w:val="20"/>
              </w:rPr>
            </w:pPr>
            <w:r>
              <w:rPr>
                <w:color w:val="000000"/>
                <w:sz w:val="20"/>
                <w:szCs w:val="20"/>
              </w:rPr>
              <w:t>Accrued paid time off</w:t>
            </w:r>
          </w:p>
        </w:tc>
        <w:tc>
          <w:tcPr>
            <w:tcW w:w="81" w:type="pct"/>
            <w:shd w:val="clear" w:color="auto" w:fill="FFFFFF"/>
            <w:tcMar>
              <w:top w:w="15" w:type="dxa"/>
              <w:left w:w="0" w:type="dxa"/>
              <w:bottom w:w="0" w:type="dxa"/>
              <w:right w:w="15" w:type="dxa"/>
            </w:tcMar>
            <w:vAlign w:val="bottom"/>
            <w:hideMark/>
          </w:tcPr>
          <w:p w14:paraId="2E632C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9E58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EC454E7" w14:textId="77777777" w:rsidR="00000000" w:rsidRDefault="007125B5">
            <w:pPr>
              <w:pStyle w:val="a3"/>
              <w:spacing w:before="0" w:beforeAutospacing="0" w:after="0" w:afterAutospacing="0"/>
              <w:jc w:val="right"/>
              <w:rPr>
                <w:color w:val="000000"/>
                <w:sz w:val="20"/>
                <w:szCs w:val="20"/>
              </w:rPr>
            </w:pPr>
            <w:r>
              <w:rPr>
                <w:color w:val="000000"/>
                <w:sz w:val="20"/>
                <w:szCs w:val="20"/>
              </w:rPr>
              <w:t>2,206</w:t>
            </w:r>
          </w:p>
        </w:tc>
        <w:tc>
          <w:tcPr>
            <w:tcW w:w="50" w:type="pct"/>
            <w:shd w:val="clear" w:color="auto" w:fill="FFFFFF"/>
            <w:noWrap/>
            <w:tcMar>
              <w:top w:w="15" w:type="dxa"/>
              <w:left w:w="0" w:type="dxa"/>
              <w:bottom w:w="0" w:type="dxa"/>
              <w:right w:w="15" w:type="dxa"/>
            </w:tcMar>
            <w:vAlign w:val="bottom"/>
            <w:hideMark/>
          </w:tcPr>
          <w:p w14:paraId="3CF9FF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DC60C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EB4C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AF3C020" w14:textId="77777777" w:rsidR="00000000" w:rsidRDefault="007125B5">
            <w:pPr>
              <w:pStyle w:val="a3"/>
              <w:spacing w:before="0" w:beforeAutospacing="0" w:after="0" w:afterAutospacing="0"/>
              <w:jc w:val="right"/>
              <w:rPr>
                <w:color w:val="000000"/>
                <w:sz w:val="20"/>
                <w:szCs w:val="20"/>
              </w:rPr>
            </w:pPr>
            <w:r>
              <w:rPr>
                <w:color w:val="000000"/>
                <w:sz w:val="20"/>
                <w:szCs w:val="20"/>
              </w:rPr>
              <w:t>2,154</w:t>
            </w:r>
          </w:p>
        </w:tc>
        <w:tc>
          <w:tcPr>
            <w:tcW w:w="50" w:type="pct"/>
            <w:shd w:val="clear" w:color="auto" w:fill="FFFFFF"/>
            <w:noWrap/>
            <w:tcMar>
              <w:top w:w="15" w:type="dxa"/>
              <w:left w:w="0" w:type="dxa"/>
              <w:bottom w:w="0" w:type="dxa"/>
              <w:right w:w="15" w:type="dxa"/>
            </w:tcMar>
            <w:vAlign w:val="bottom"/>
            <w:hideMark/>
          </w:tcPr>
          <w:p w14:paraId="441E47C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9B1F049" w14:textId="77777777">
        <w:trPr>
          <w:divId w:val="1443917284"/>
          <w:jc w:val="center"/>
        </w:trPr>
        <w:tc>
          <w:tcPr>
            <w:tcW w:w="3349" w:type="pct"/>
            <w:shd w:val="clear" w:color="auto" w:fill="CFF0FC"/>
            <w:tcMar>
              <w:top w:w="15" w:type="dxa"/>
              <w:left w:w="0" w:type="dxa"/>
              <w:bottom w:w="0" w:type="dxa"/>
              <w:right w:w="15" w:type="dxa"/>
            </w:tcMar>
            <w:hideMark/>
          </w:tcPr>
          <w:p w14:paraId="3478459B" w14:textId="77777777" w:rsidR="00000000" w:rsidRDefault="007125B5">
            <w:pPr>
              <w:pStyle w:val="a3"/>
              <w:spacing w:before="0" w:beforeAutospacing="0" w:after="0" w:afterAutospacing="0"/>
              <w:rPr>
                <w:color w:val="000000"/>
                <w:sz w:val="20"/>
                <w:szCs w:val="20"/>
              </w:rPr>
            </w:pPr>
            <w:r>
              <w:rPr>
                <w:color w:val="000000"/>
                <w:sz w:val="20"/>
                <w:szCs w:val="20"/>
              </w:rPr>
              <w:t>Accrued payroll</w:t>
            </w:r>
          </w:p>
        </w:tc>
        <w:tc>
          <w:tcPr>
            <w:tcW w:w="81" w:type="pct"/>
            <w:shd w:val="clear" w:color="auto" w:fill="CFF0FC"/>
            <w:tcMar>
              <w:top w:w="15" w:type="dxa"/>
              <w:left w:w="0" w:type="dxa"/>
              <w:bottom w:w="0" w:type="dxa"/>
              <w:right w:w="15" w:type="dxa"/>
            </w:tcMar>
            <w:vAlign w:val="bottom"/>
            <w:hideMark/>
          </w:tcPr>
          <w:p w14:paraId="05131E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8ADF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FB5C938" w14:textId="77777777" w:rsidR="00000000" w:rsidRDefault="007125B5">
            <w:pPr>
              <w:pStyle w:val="a3"/>
              <w:spacing w:before="0" w:beforeAutospacing="0" w:after="0" w:afterAutospacing="0"/>
              <w:jc w:val="right"/>
              <w:rPr>
                <w:color w:val="000000"/>
                <w:sz w:val="20"/>
                <w:szCs w:val="20"/>
              </w:rPr>
            </w:pPr>
            <w:r>
              <w:rPr>
                <w:color w:val="000000"/>
                <w:sz w:val="20"/>
                <w:szCs w:val="20"/>
              </w:rPr>
              <w:t>7,174</w:t>
            </w:r>
          </w:p>
        </w:tc>
        <w:tc>
          <w:tcPr>
            <w:tcW w:w="50" w:type="pct"/>
            <w:shd w:val="clear" w:color="auto" w:fill="CFF0FC"/>
            <w:noWrap/>
            <w:tcMar>
              <w:top w:w="15" w:type="dxa"/>
              <w:left w:w="0" w:type="dxa"/>
              <w:bottom w:w="0" w:type="dxa"/>
              <w:right w:w="15" w:type="dxa"/>
            </w:tcMar>
            <w:vAlign w:val="bottom"/>
            <w:hideMark/>
          </w:tcPr>
          <w:p w14:paraId="2BF563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FFEBB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7364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7D7A568" w14:textId="77777777" w:rsidR="00000000" w:rsidRDefault="007125B5">
            <w:pPr>
              <w:pStyle w:val="a3"/>
              <w:spacing w:before="0" w:beforeAutospacing="0" w:after="0" w:afterAutospacing="0"/>
              <w:jc w:val="right"/>
              <w:rPr>
                <w:color w:val="000000"/>
                <w:sz w:val="20"/>
                <w:szCs w:val="20"/>
              </w:rPr>
            </w:pPr>
            <w:r>
              <w:rPr>
                <w:color w:val="000000"/>
                <w:sz w:val="20"/>
                <w:szCs w:val="20"/>
              </w:rPr>
              <w:t>4,470</w:t>
            </w:r>
          </w:p>
        </w:tc>
        <w:tc>
          <w:tcPr>
            <w:tcW w:w="50" w:type="pct"/>
            <w:shd w:val="clear" w:color="auto" w:fill="CFF0FC"/>
            <w:noWrap/>
            <w:tcMar>
              <w:top w:w="15" w:type="dxa"/>
              <w:left w:w="0" w:type="dxa"/>
              <w:bottom w:w="0" w:type="dxa"/>
              <w:right w:w="15" w:type="dxa"/>
            </w:tcMar>
            <w:vAlign w:val="bottom"/>
            <w:hideMark/>
          </w:tcPr>
          <w:p w14:paraId="56F17F6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AEF7509" w14:textId="77777777">
        <w:trPr>
          <w:divId w:val="1443917284"/>
          <w:jc w:val="center"/>
        </w:trPr>
        <w:tc>
          <w:tcPr>
            <w:tcW w:w="3349" w:type="pct"/>
            <w:shd w:val="clear" w:color="auto" w:fill="FFFFFF"/>
            <w:tcMar>
              <w:top w:w="15" w:type="dxa"/>
              <w:left w:w="0" w:type="dxa"/>
              <w:bottom w:w="0" w:type="dxa"/>
              <w:right w:w="15" w:type="dxa"/>
            </w:tcMar>
            <w:hideMark/>
          </w:tcPr>
          <w:p w14:paraId="0A5BCDC8" w14:textId="77777777" w:rsidR="00000000" w:rsidRDefault="007125B5">
            <w:pPr>
              <w:pStyle w:val="a3"/>
              <w:spacing w:before="0" w:beforeAutospacing="0" w:after="0" w:afterAutospacing="0"/>
              <w:rPr>
                <w:color w:val="000000"/>
                <w:sz w:val="20"/>
                <w:szCs w:val="20"/>
              </w:rPr>
            </w:pPr>
            <w:r>
              <w:rPr>
                <w:color w:val="000000"/>
                <w:sz w:val="20"/>
                <w:szCs w:val="20"/>
              </w:rPr>
              <w:t>Accrued other</w:t>
            </w:r>
          </w:p>
        </w:tc>
        <w:tc>
          <w:tcPr>
            <w:tcW w:w="81" w:type="pct"/>
            <w:shd w:val="clear" w:color="auto" w:fill="FFFFFF"/>
            <w:tcMar>
              <w:top w:w="15" w:type="dxa"/>
              <w:left w:w="0" w:type="dxa"/>
              <w:bottom w:w="0" w:type="dxa"/>
              <w:right w:w="15" w:type="dxa"/>
            </w:tcMar>
            <w:vAlign w:val="bottom"/>
            <w:hideMark/>
          </w:tcPr>
          <w:p w14:paraId="7EF21A0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DDEE2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50696E6" w14:textId="77777777" w:rsidR="00000000" w:rsidRDefault="007125B5">
            <w:pPr>
              <w:pStyle w:val="a3"/>
              <w:spacing w:before="0" w:beforeAutospacing="0" w:after="0" w:afterAutospacing="0"/>
              <w:jc w:val="right"/>
              <w:rPr>
                <w:color w:val="000000"/>
                <w:sz w:val="20"/>
                <w:szCs w:val="20"/>
              </w:rPr>
            </w:pPr>
            <w:r>
              <w:rPr>
                <w:color w:val="000000"/>
                <w:sz w:val="20"/>
                <w:szCs w:val="20"/>
              </w:rPr>
              <w:t>2,040</w:t>
            </w:r>
          </w:p>
        </w:tc>
        <w:tc>
          <w:tcPr>
            <w:tcW w:w="50" w:type="pct"/>
            <w:shd w:val="clear" w:color="auto" w:fill="FFFFFF"/>
            <w:noWrap/>
            <w:tcMar>
              <w:top w:w="15" w:type="dxa"/>
              <w:left w:w="0" w:type="dxa"/>
              <w:bottom w:w="0" w:type="dxa"/>
              <w:right w:w="15" w:type="dxa"/>
            </w:tcMar>
            <w:vAlign w:val="bottom"/>
            <w:hideMark/>
          </w:tcPr>
          <w:p w14:paraId="48D7E6F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DC59E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1633F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1790E072" w14:textId="77777777" w:rsidR="00000000" w:rsidRDefault="007125B5">
            <w:pPr>
              <w:pStyle w:val="a3"/>
              <w:spacing w:before="0" w:beforeAutospacing="0" w:after="0" w:afterAutospacing="0"/>
              <w:jc w:val="right"/>
              <w:rPr>
                <w:color w:val="000000"/>
                <w:sz w:val="20"/>
                <w:szCs w:val="20"/>
              </w:rPr>
            </w:pPr>
            <w:r>
              <w:rPr>
                <w:color w:val="000000"/>
                <w:sz w:val="20"/>
                <w:szCs w:val="20"/>
              </w:rPr>
              <w:t>959</w:t>
            </w:r>
          </w:p>
        </w:tc>
        <w:tc>
          <w:tcPr>
            <w:tcW w:w="50" w:type="pct"/>
            <w:shd w:val="clear" w:color="auto" w:fill="FFFFFF"/>
            <w:noWrap/>
            <w:tcMar>
              <w:top w:w="15" w:type="dxa"/>
              <w:left w:w="0" w:type="dxa"/>
              <w:bottom w:w="0" w:type="dxa"/>
              <w:right w:w="15" w:type="dxa"/>
            </w:tcMar>
            <w:vAlign w:val="bottom"/>
            <w:hideMark/>
          </w:tcPr>
          <w:p w14:paraId="2BFF446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101BBBE" w14:textId="77777777">
        <w:trPr>
          <w:divId w:val="1443917284"/>
          <w:jc w:val="center"/>
        </w:trPr>
        <w:tc>
          <w:tcPr>
            <w:tcW w:w="3349" w:type="pct"/>
            <w:shd w:val="clear" w:color="auto" w:fill="CFF0FC"/>
            <w:tcMar>
              <w:top w:w="15" w:type="dxa"/>
              <w:left w:w="0" w:type="dxa"/>
              <w:bottom w:w="0" w:type="dxa"/>
              <w:right w:w="15" w:type="dxa"/>
            </w:tcMar>
            <w:hideMark/>
          </w:tcPr>
          <w:p w14:paraId="4F69C9C3" w14:textId="77777777" w:rsidR="00000000" w:rsidRDefault="007125B5">
            <w:pPr>
              <w:pStyle w:val="a3"/>
              <w:spacing w:before="0" w:beforeAutospacing="0" w:after="0" w:afterAutospacing="0"/>
              <w:rPr>
                <w:color w:val="000000"/>
                <w:sz w:val="20"/>
                <w:szCs w:val="20"/>
              </w:rPr>
            </w:pPr>
            <w:r>
              <w:rPr>
                <w:color w:val="000000"/>
                <w:sz w:val="20"/>
                <w:szCs w:val="20"/>
              </w:rPr>
              <w:t>Total accrued payroll and benefits</w:t>
            </w:r>
          </w:p>
        </w:tc>
        <w:tc>
          <w:tcPr>
            <w:tcW w:w="81" w:type="pct"/>
            <w:shd w:val="clear" w:color="auto" w:fill="CFF0FC"/>
            <w:tcMar>
              <w:top w:w="15" w:type="dxa"/>
              <w:left w:w="0" w:type="dxa"/>
              <w:bottom w:w="0" w:type="dxa"/>
              <w:right w:w="15" w:type="dxa"/>
            </w:tcMar>
            <w:vAlign w:val="bottom"/>
            <w:hideMark/>
          </w:tcPr>
          <w:p w14:paraId="286E22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2D2D4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2E2ABE" w14:textId="77777777" w:rsidR="00000000" w:rsidRDefault="007125B5">
            <w:pPr>
              <w:pStyle w:val="a3"/>
              <w:spacing w:before="0" w:beforeAutospacing="0" w:after="0" w:afterAutospacing="0"/>
              <w:jc w:val="right"/>
              <w:rPr>
                <w:color w:val="000000"/>
                <w:sz w:val="20"/>
                <w:szCs w:val="20"/>
              </w:rPr>
            </w:pPr>
            <w:r>
              <w:rPr>
                <w:color w:val="000000"/>
                <w:sz w:val="20"/>
                <w:szCs w:val="20"/>
              </w:rPr>
              <w:t>15,230</w:t>
            </w:r>
          </w:p>
        </w:tc>
        <w:tc>
          <w:tcPr>
            <w:tcW w:w="50" w:type="pct"/>
            <w:shd w:val="clear" w:color="auto" w:fill="CFF0FC"/>
            <w:noWrap/>
            <w:tcMar>
              <w:top w:w="15" w:type="dxa"/>
              <w:left w:w="0" w:type="dxa"/>
              <w:bottom w:w="0" w:type="dxa"/>
              <w:right w:w="15" w:type="dxa"/>
            </w:tcMar>
            <w:vAlign w:val="bottom"/>
            <w:hideMark/>
          </w:tcPr>
          <w:p w14:paraId="2A2ABF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4F5CA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754B9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E2CE7B" w14:textId="77777777" w:rsidR="00000000" w:rsidRDefault="007125B5">
            <w:pPr>
              <w:pStyle w:val="a3"/>
              <w:spacing w:before="0" w:beforeAutospacing="0" w:after="0" w:afterAutospacing="0"/>
              <w:jc w:val="right"/>
              <w:rPr>
                <w:color w:val="000000"/>
                <w:sz w:val="20"/>
                <w:szCs w:val="20"/>
              </w:rPr>
            </w:pPr>
            <w:r>
              <w:rPr>
                <w:color w:val="000000"/>
                <w:sz w:val="20"/>
                <w:szCs w:val="20"/>
              </w:rPr>
              <w:t>11,032</w:t>
            </w:r>
          </w:p>
        </w:tc>
        <w:tc>
          <w:tcPr>
            <w:tcW w:w="50" w:type="pct"/>
            <w:shd w:val="clear" w:color="auto" w:fill="CFF0FC"/>
            <w:noWrap/>
            <w:tcMar>
              <w:top w:w="15" w:type="dxa"/>
              <w:left w:w="0" w:type="dxa"/>
              <w:bottom w:w="0" w:type="dxa"/>
              <w:right w:w="15" w:type="dxa"/>
            </w:tcMar>
            <w:vAlign w:val="bottom"/>
            <w:hideMark/>
          </w:tcPr>
          <w:p w14:paraId="1218159C"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A8C3918" w14:textId="77777777" w:rsidR="00000000" w:rsidRDefault="007125B5">
      <w:pPr>
        <w:pStyle w:val="a3"/>
        <w:shd w:val="clear" w:color="auto" w:fill="FFFFFF"/>
        <w:spacing w:before="0" w:beforeAutospacing="0" w:after="0" w:afterAutospacing="0"/>
        <w:rPr>
          <w:sz w:val="20"/>
          <w:szCs w:val="20"/>
        </w:rPr>
      </w:pPr>
      <w:r>
        <w:rPr>
          <w:sz w:val="20"/>
          <w:szCs w:val="20"/>
        </w:rPr>
        <w:t> </w:t>
      </w:r>
    </w:p>
    <w:p w14:paraId="70773C16" w14:textId="77777777" w:rsidR="00000000" w:rsidRDefault="007125B5">
      <w:pPr>
        <w:pStyle w:val="a3"/>
        <w:shd w:val="clear" w:color="auto" w:fill="FFFFFF"/>
        <w:spacing w:before="160" w:beforeAutospacing="0" w:after="0" w:afterAutospacing="0"/>
        <w:rPr>
          <w:b/>
          <w:bCs/>
          <w:color w:val="000000"/>
          <w:sz w:val="20"/>
          <w:szCs w:val="20"/>
        </w:rPr>
      </w:pPr>
      <w:r>
        <w:rPr>
          <w:b/>
          <w:bCs/>
          <w:color w:val="000000"/>
          <w:sz w:val="20"/>
          <w:szCs w:val="20"/>
        </w:rPr>
        <w:t>10. INCOME TAXES</w:t>
      </w:r>
    </w:p>
    <w:p w14:paraId="29490743" w14:textId="77777777" w:rsidR="00000000" w:rsidRDefault="007125B5">
      <w:pPr>
        <w:pStyle w:val="a3"/>
        <w:shd w:val="clear" w:color="auto" w:fill="FFFFFF"/>
        <w:spacing w:before="0" w:beforeAutospacing="0" w:after="0" w:afterAutospacing="0"/>
        <w:rPr>
          <w:b/>
          <w:bCs/>
          <w:sz w:val="20"/>
          <w:szCs w:val="20"/>
        </w:rPr>
      </w:pPr>
      <w:r>
        <w:rPr>
          <w:b/>
          <w:bCs/>
          <w:sz w:val="20"/>
          <w:szCs w:val="20"/>
        </w:rPr>
        <w:t> </w:t>
      </w:r>
    </w:p>
    <w:p w14:paraId="71A86523" w14:textId="77777777" w:rsidR="00000000" w:rsidRDefault="007125B5">
      <w:pPr>
        <w:pStyle w:val="a3"/>
        <w:shd w:val="clear" w:color="auto" w:fill="FFFFFF"/>
        <w:spacing w:before="0" w:beforeAutospacing="0" w:after="0" w:afterAutospacing="0"/>
        <w:ind w:firstLine="556"/>
        <w:rPr>
          <w:color w:val="000000"/>
          <w:sz w:val="20"/>
          <w:szCs w:val="20"/>
        </w:rPr>
      </w:pPr>
      <w:bookmarkStart w:id="25" w:name="_Hlk49365020"/>
      <w:bookmarkStart w:id="26" w:name="_Hlk49365034"/>
      <w:bookmarkEnd w:id="25"/>
      <w:bookmarkEnd w:id="26"/>
      <w:r>
        <w:rPr>
          <w:color w:val="000000"/>
          <w:sz w:val="20"/>
          <w:szCs w:val="20"/>
        </w:rPr>
        <w:t>The Company calculates its interim income tax provision in accordance with Accounting Standard Codification Topic 270, Interim Reporting (“ASC 270”), and ASC 740.  The Company’s effective tax rate (“ETR”) from continuing operations was (15.3)% and 84.2% fo</w:t>
      </w:r>
      <w:r>
        <w:rPr>
          <w:color w:val="000000"/>
          <w:sz w:val="20"/>
          <w:szCs w:val="20"/>
        </w:rPr>
        <w:t>r the three months ended June 30, 2020 and June 30, 2019 and 14.9% and 14.0% for the six months ended June 30, 2020 and June 30, 2019, respectively, and the Company recorded income tax benefits of $1.8 million and $1.7 million for the three months ended Ju</w:t>
      </w:r>
      <w:r>
        <w:rPr>
          <w:color w:val="000000"/>
          <w:sz w:val="20"/>
          <w:szCs w:val="20"/>
        </w:rPr>
        <w:t>ne 30, 2020 and June 30, 2019, respectively and income tax benefits of $4.9 million and $0.9 million for the six months ended June 30, 2020 and June 30, 2019, respectively. The difference between the ETR and federal statutory rate of 21% is primarily attri</w:t>
      </w:r>
      <w:r>
        <w:rPr>
          <w:color w:val="000000"/>
          <w:sz w:val="20"/>
          <w:szCs w:val="20"/>
        </w:rPr>
        <w:t xml:space="preserve">butable to items recorded for GAAP but permanently disallowed for U.S. federal income tax purposes, state and foreign income tax provisions and Global Intangible Low Taxed Income (“GILTI”). </w:t>
      </w:r>
    </w:p>
    <w:p w14:paraId="643CDAB6" w14:textId="77777777" w:rsidR="00000000" w:rsidRDefault="007125B5">
      <w:pPr>
        <w:pStyle w:val="a3"/>
        <w:shd w:val="clear" w:color="auto" w:fill="FFFFFF"/>
        <w:spacing w:before="0" w:beforeAutospacing="0" w:after="0" w:afterAutospacing="0"/>
        <w:ind w:firstLine="1109"/>
        <w:rPr>
          <w:sz w:val="20"/>
          <w:szCs w:val="20"/>
        </w:rPr>
      </w:pPr>
      <w:r>
        <w:rPr>
          <w:sz w:val="20"/>
          <w:szCs w:val="20"/>
        </w:rPr>
        <w:t> </w:t>
      </w:r>
    </w:p>
    <w:p w14:paraId="0D9F60A5" w14:textId="77777777" w:rsidR="00000000" w:rsidRDefault="007125B5">
      <w:pPr>
        <w:pStyle w:val="a3"/>
        <w:shd w:val="clear" w:color="auto" w:fill="FFFFFF"/>
        <w:spacing w:before="0" w:beforeAutospacing="0" w:after="0" w:afterAutospacing="0"/>
        <w:ind w:firstLine="556"/>
        <w:rPr>
          <w:color w:val="000000"/>
          <w:sz w:val="20"/>
          <w:szCs w:val="20"/>
        </w:rPr>
      </w:pPr>
      <w:r>
        <w:rPr>
          <w:color w:val="000000"/>
          <w:sz w:val="20"/>
          <w:szCs w:val="20"/>
        </w:rPr>
        <w:t>A valuation allowance is recorded when it is more-likely-than-n</w:t>
      </w:r>
      <w:r>
        <w:rPr>
          <w:color w:val="000000"/>
          <w:sz w:val="20"/>
          <w:szCs w:val="20"/>
        </w:rPr>
        <w:t>ot some of the Company’s deferred tax assets may not be realized. Significant judgment is applied when assessing the need for a valuation allowance and the Company considers future taxable income, reversals of existing deferred tax assets and liabilities a</w:t>
      </w:r>
      <w:r>
        <w:rPr>
          <w:color w:val="000000"/>
          <w:sz w:val="20"/>
          <w:szCs w:val="20"/>
        </w:rPr>
        <w:t>nd ongoing prudent and feasible tax planning strategies, in making such assessment.  As of June 30, 2020 and December 31, 2019, the Company expected its net deferred tax assets will more-likely-than-not be realized and did not record a valuation allowance.</w:t>
      </w:r>
    </w:p>
    <w:p w14:paraId="364B5C54" w14:textId="77777777" w:rsidR="00000000" w:rsidRDefault="007125B5">
      <w:pPr>
        <w:pStyle w:val="a3"/>
        <w:spacing w:before="240" w:beforeAutospacing="0" w:after="0" w:afterAutospacing="0"/>
        <w:jc w:val="center"/>
        <w:rPr>
          <w:sz w:val="20"/>
          <w:szCs w:val="20"/>
        </w:rPr>
      </w:pPr>
      <w:r>
        <w:rPr>
          <w:sz w:val="20"/>
          <w:szCs w:val="20"/>
        </w:rPr>
        <w:t>13</w:t>
      </w:r>
    </w:p>
    <w:p w14:paraId="0421D9D0" w14:textId="77777777" w:rsidR="00000000" w:rsidRDefault="007125B5">
      <w:pPr>
        <w:rPr>
          <w:rFonts w:eastAsia="Times New Roman"/>
        </w:rPr>
      </w:pPr>
      <w:r>
        <w:rPr>
          <w:rFonts w:eastAsia="Times New Roman"/>
        </w:rPr>
        <w:pict w14:anchorId="75E4AFF8">
          <v:rect id="_x0000_i1039" style="width:415.3pt;height:1.5pt" o:hralign="center" o:hrstd="t" o:hr="t" fillcolor="#a0a0a0" stroked="f"/>
        </w:pict>
      </w:r>
    </w:p>
    <w:p w14:paraId="21ADA521" w14:textId="77777777" w:rsidR="00000000" w:rsidRDefault="007125B5">
      <w:pPr>
        <w:pStyle w:val="a3"/>
        <w:spacing w:before="0" w:beforeAutospacing="0" w:after="0" w:afterAutospacing="0"/>
        <w:rPr>
          <w:sz w:val="20"/>
          <w:szCs w:val="20"/>
        </w:rPr>
      </w:pPr>
      <w:r>
        <w:rPr>
          <w:sz w:val="20"/>
          <w:szCs w:val="20"/>
        </w:rPr>
        <w:t> </w:t>
      </w:r>
    </w:p>
    <w:p w14:paraId="1DA4AF0B" w14:textId="77777777" w:rsidR="00000000" w:rsidRDefault="007125B5">
      <w:pPr>
        <w:pStyle w:val="a3"/>
        <w:shd w:val="clear" w:color="auto" w:fill="FFFFFF"/>
        <w:spacing w:before="240" w:beforeAutospacing="0" w:after="0" w:afterAutospacing="0"/>
        <w:ind w:firstLine="556"/>
        <w:rPr>
          <w:color w:val="000000"/>
          <w:sz w:val="20"/>
          <w:szCs w:val="20"/>
        </w:rPr>
      </w:pPr>
      <w:bookmarkStart w:id="27" w:name="_AEIOULastRenderedPageBreakAEIOU16"/>
      <w:bookmarkEnd w:id="27"/>
      <w:r>
        <w:rPr>
          <w:color w:val="000000"/>
          <w:sz w:val="20"/>
          <w:szCs w:val="20"/>
        </w:rPr>
        <w:t>The Company records uncertain tax positions in accordance with ASC 740, Income Taxes, on the basis of a two-step process in which (i) the Company determines whether it is more likely than not a tax position will be sustained on the basis of the technical m</w:t>
      </w:r>
      <w:r>
        <w:rPr>
          <w:color w:val="000000"/>
          <w:sz w:val="20"/>
          <w:szCs w:val="20"/>
        </w:rPr>
        <w:t>erits of such position and (ii) for those tax positions meeting the more-likely-than-not recognition threshold, the Company would recognize the largest amount of tax benefit that is more than 50.0% likely to be realized upon ultimate settlement with the re</w:t>
      </w:r>
      <w:r>
        <w:rPr>
          <w:color w:val="000000"/>
          <w:sz w:val="20"/>
          <w:szCs w:val="20"/>
        </w:rPr>
        <w:t>lated tax authority.  The Company has determined it has no uncertain tax positions as of June 30, 2020. The Company classifies interest and penalties recognized on uncertain tax positions as a component of income tax expense.</w:t>
      </w:r>
    </w:p>
    <w:p w14:paraId="51DBFA7C"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On March 27, 2020, the Coronav</w:t>
      </w:r>
      <w:r>
        <w:rPr>
          <w:color w:val="000000"/>
          <w:sz w:val="20"/>
          <w:szCs w:val="20"/>
        </w:rPr>
        <w:t xml:space="preserve">irus Aid, Relief, and Economic Security Act (“CARES Act”) was enacted. The CARES Act includes several significant provisions for corporations, including those pertaining to net operating losses, interest deductions and payroll tax benefits. Under ASC 740, </w:t>
      </w:r>
      <w:r>
        <w:rPr>
          <w:color w:val="000000"/>
          <w:sz w:val="20"/>
          <w:szCs w:val="20"/>
        </w:rPr>
        <w:t>the effects of new legislation are recognized upon enactment.  Accordingly, the effects of the CARES Act have been incorporated into the income tax provision computation for the six months ended June 30, 2020.  These provisions did not have a material impa</w:t>
      </w:r>
      <w:r>
        <w:rPr>
          <w:color w:val="000000"/>
          <w:sz w:val="20"/>
          <w:szCs w:val="20"/>
        </w:rPr>
        <w:t xml:space="preserve">ct on the income tax provision. The Company anticipates deferring the employer side social security payments for payroll paid for the remainder of 2020 as permitted by the CARES Act. </w:t>
      </w:r>
    </w:p>
    <w:p w14:paraId="7F253771"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11. WARRANT OPTIONS</w:t>
      </w:r>
    </w:p>
    <w:p w14:paraId="51CCE66E"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In October 2018, in connection with the issuance of </w:t>
      </w:r>
      <w:r>
        <w:rPr>
          <w:color w:val="000000"/>
          <w:sz w:val="20"/>
          <w:szCs w:val="20"/>
        </w:rPr>
        <w:t xml:space="preserve">the Redeemable Series A-1 Preferred Stock, the Company issued a detachable warrant to acquire 534,240 shares of common stock at a price of $0.01 per share at any given time during a period of ten years beginning on the instrument’s issuance date. The fair </w:t>
      </w:r>
      <w:r>
        <w:rPr>
          <w:color w:val="000000"/>
          <w:sz w:val="20"/>
          <w:szCs w:val="20"/>
        </w:rPr>
        <w:t xml:space="preserve">value of this warrant was determined to be $16.9 million as of June 30, 2020 and December 31, 2019. The warrant option will be fair valued at each reporting period until exercised. Fair value adjustments recorded in other income (expense) on the condensed </w:t>
      </w:r>
      <w:r>
        <w:rPr>
          <w:color w:val="000000"/>
          <w:sz w:val="20"/>
          <w:szCs w:val="20"/>
        </w:rPr>
        <w:t>consolidated statements were not material for the three and six months ended June 30, 2020, respectively and $1.5 million for the three and six months ended June 30, 2019, respectively. The warrant was exercised in full for cash on July 30, 2020 (Note 23).</w:t>
      </w:r>
    </w:p>
    <w:p w14:paraId="3CB0F7E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In April 2020, in connection with the issuance of the Convertible and Redeemable Series A-2 </w:t>
      </w:r>
      <w:r>
        <w:rPr>
          <w:color w:val="000000"/>
          <w:sz w:val="20"/>
          <w:szCs w:val="20"/>
        </w:rPr>
        <w:t>Preferred Stock, the Company issued a detachable warrant to acquire 1,351,960 shares of common stock at a price of $0.01 per share at any time following the occurrence of a qualifying IPO, a sale of the Company, or a redemption in full of the Series A-1 pr</w:t>
      </w:r>
      <w:r>
        <w:rPr>
          <w:color w:val="000000"/>
          <w:sz w:val="20"/>
          <w:szCs w:val="20"/>
        </w:rPr>
        <w:t>eferred stock (each, an “Adjustment Event”), with an expiration date of ten years from the instrument’s issuance date. The number of shares underlying the warrant and issuable upon exercise was subject to adjustment based upon the price per share of common</w:t>
      </w:r>
      <w:r>
        <w:rPr>
          <w:color w:val="000000"/>
          <w:sz w:val="20"/>
          <w:szCs w:val="20"/>
        </w:rPr>
        <w:t xml:space="preserve"> stock upon the occurrence of an Adjustment Event (Note 17) to reflect an aggregate value of $30.0 million. The fair value of this warrant was determined to be $30.1 million as of June 30, 2020. The warrant option will be fair valued at each reporting peri</w:t>
      </w:r>
      <w:r>
        <w:rPr>
          <w:color w:val="000000"/>
          <w:sz w:val="20"/>
          <w:szCs w:val="20"/>
        </w:rPr>
        <w:t xml:space="preserve">od until exercised. Fair value adjustments recorded in other income (expense) on the condensed consolidated statements were not material for the three months ended June 30, 2020. The warrant was exercised in full for cash on July 30, 2020 (Note 23). </w:t>
      </w:r>
    </w:p>
    <w:p w14:paraId="6C225E7C"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12. C</w:t>
      </w:r>
      <w:r>
        <w:rPr>
          <w:b/>
          <w:bCs/>
          <w:color w:val="000000"/>
          <w:sz w:val="20"/>
          <w:szCs w:val="20"/>
        </w:rPr>
        <w:t>ONTINGENT PUT OPTION</w:t>
      </w:r>
    </w:p>
    <w:p w14:paraId="7D8F9C86"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As of June 30, 2019, the Company determined that the fair value of the contingent put option related to the Redeemable Series A-1 Preferred Stock was immaterial as the probability of the feature being exercised was considered remote. A</w:t>
      </w:r>
      <w:r>
        <w:rPr>
          <w:color w:val="000000"/>
          <w:sz w:val="20"/>
          <w:szCs w:val="20"/>
        </w:rPr>
        <w:t xml:space="preserve">s of June 30, 2020 and December 31, 2019, the contingent put option issued in connection with the Redeemable Series A-1 Preferred Stock had a fair value of $14.1 million and $7.1 million, respectively. The change in value of $22.6 million and $7.0 million </w:t>
      </w:r>
      <w:r>
        <w:rPr>
          <w:color w:val="000000"/>
          <w:sz w:val="20"/>
          <w:szCs w:val="20"/>
        </w:rPr>
        <w:t>for the three and six months ended June 30, 2020 was recorded to other income (expense). The contingent put option was redeemed in July 2020 (Note 23).</w:t>
      </w:r>
    </w:p>
    <w:p w14:paraId="0974CD06"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13. DEBT</w:t>
      </w:r>
    </w:p>
    <w:p w14:paraId="60EA1AE5"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Debt as of June 30, 2020 and December 31, 2019 consisted of the following:</w:t>
      </w:r>
    </w:p>
    <w:p w14:paraId="1016BA7B"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45"/>
        <w:gridCol w:w="65"/>
        <w:gridCol w:w="115"/>
        <w:gridCol w:w="665"/>
        <w:gridCol w:w="82"/>
        <w:gridCol w:w="65"/>
        <w:gridCol w:w="116"/>
        <w:gridCol w:w="879"/>
        <w:gridCol w:w="82"/>
      </w:tblGrid>
      <w:tr w:rsidR="00000000" w14:paraId="056D76E6" w14:textId="77777777">
        <w:trPr>
          <w:divId w:val="615140495"/>
          <w:jc w:val="center"/>
        </w:trPr>
        <w:tc>
          <w:tcPr>
            <w:tcW w:w="3349" w:type="pct"/>
            <w:shd w:val="clear" w:color="auto" w:fill="FFFFFF"/>
            <w:tcMar>
              <w:top w:w="15" w:type="dxa"/>
              <w:left w:w="0" w:type="dxa"/>
              <w:bottom w:w="0" w:type="dxa"/>
              <w:right w:w="15" w:type="dxa"/>
            </w:tcMar>
            <w:hideMark/>
          </w:tcPr>
          <w:p w14:paraId="52FCBAC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44954F3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2F0BAC7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6DE35A3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4609EBA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05A1DAC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2D53DDB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41474E8" w14:textId="77777777">
        <w:trPr>
          <w:divId w:val="615140495"/>
          <w:jc w:val="center"/>
        </w:trPr>
        <w:tc>
          <w:tcPr>
            <w:tcW w:w="3349" w:type="pct"/>
            <w:shd w:val="clear" w:color="auto" w:fill="FFFFFF"/>
            <w:tcMar>
              <w:top w:w="15" w:type="dxa"/>
              <w:left w:w="0" w:type="dxa"/>
              <w:bottom w:w="0" w:type="dxa"/>
              <w:right w:w="15" w:type="dxa"/>
            </w:tcMar>
            <w:hideMark/>
          </w:tcPr>
          <w:p w14:paraId="5376F89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162CC5E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EB0F61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5DE0C5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628CA86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925F4E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031083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9EB80F0" w14:textId="77777777">
        <w:trPr>
          <w:divId w:val="615140495"/>
          <w:jc w:val="center"/>
        </w:trPr>
        <w:tc>
          <w:tcPr>
            <w:tcW w:w="3349" w:type="pct"/>
            <w:shd w:val="clear" w:color="auto" w:fill="CFF0FC"/>
            <w:tcMar>
              <w:top w:w="15" w:type="dxa"/>
              <w:left w:w="0" w:type="dxa"/>
              <w:bottom w:w="0" w:type="dxa"/>
              <w:right w:w="15" w:type="dxa"/>
            </w:tcMar>
            <w:hideMark/>
          </w:tcPr>
          <w:p w14:paraId="1FD59CBC" w14:textId="77777777" w:rsidR="00000000" w:rsidRDefault="007125B5">
            <w:pPr>
              <w:pStyle w:val="a3"/>
              <w:spacing w:before="0" w:beforeAutospacing="0" w:after="0" w:afterAutospacing="0"/>
              <w:rPr>
                <w:color w:val="000000"/>
                <w:sz w:val="20"/>
                <w:szCs w:val="20"/>
              </w:rPr>
            </w:pPr>
            <w:r>
              <w:rPr>
                <w:color w:val="000000"/>
                <w:sz w:val="20"/>
                <w:szCs w:val="20"/>
              </w:rPr>
              <w:t>Term Loan Facility</w:t>
            </w:r>
          </w:p>
        </w:tc>
        <w:tc>
          <w:tcPr>
            <w:tcW w:w="81" w:type="pct"/>
            <w:shd w:val="clear" w:color="auto" w:fill="CFF0FC"/>
            <w:tcMar>
              <w:top w:w="15" w:type="dxa"/>
              <w:left w:w="0" w:type="dxa"/>
              <w:bottom w:w="0" w:type="dxa"/>
              <w:right w:w="15" w:type="dxa"/>
            </w:tcMar>
            <w:vAlign w:val="bottom"/>
            <w:hideMark/>
          </w:tcPr>
          <w:p w14:paraId="60EA91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DB72C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ACEE906" w14:textId="77777777" w:rsidR="00000000" w:rsidRDefault="007125B5">
            <w:pPr>
              <w:pStyle w:val="a3"/>
              <w:spacing w:before="0" w:beforeAutospacing="0" w:after="0" w:afterAutospacing="0"/>
              <w:jc w:val="right"/>
              <w:rPr>
                <w:color w:val="000000"/>
                <w:sz w:val="20"/>
                <w:szCs w:val="20"/>
              </w:rPr>
            </w:pPr>
            <w:r>
              <w:rPr>
                <w:color w:val="000000"/>
                <w:sz w:val="20"/>
                <w:szCs w:val="20"/>
              </w:rPr>
              <w:t>175,000</w:t>
            </w:r>
          </w:p>
        </w:tc>
        <w:tc>
          <w:tcPr>
            <w:tcW w:w="50" w:type="pct"/>
            <w:shd w:val="clear" w:color="auto" w:fill="CFF0FC"/>
            <w:noWrap/>
            <w:tcMar>
              <w:top w:w="15" w:type="dxa"/>
              <w:left w:w="0" w:type="dxa"/>
              <w:bottom w:w="0" w:type="dxa"/>
              <w:right w:w="15" w:type="dxa"/>
            </w:tcMar>
            <w:vAlign w:val="bottom"/>
            <w:hideMark/>
          </w:tcPr>
          <w:p w14:paraId="6ECE75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18D05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14A04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4557A32" w14:textId="77777777" w:rsidR="00000000" w:rsidRDefault="007125B5">
            <w:pPr>
              <w:pStyle w:val="a3"/>
              <w:spacing w:before="0" w:beforeAutospacing="0" w:after="0" w:afterAutospacing="0"/>
              <w:jc w:val="right"/>
              <w:rPr>
                <w:color w:val="000000"/>
                <w:sz w:val="20"/>
                <w:szCs w:val="20"/>
              </w:rPr>
            </w:pPr>
            <w:r>
              <w:rPr>
                <w:color w:val="000000"/>
                <w:sz w:val="20"/>
                <w:szCs w:val="20"/>
              </w:rPr>
              <w:t>48,750</w:t>
            </w:r>
          </w:p>
        </w:tc>
        <w:tc>
          <w:tcPr>
            <w:tcW w:w="50" w:type="pct"/>
            <w:shd w:val="clear" w:color="auto" w:fill="CFF0FC"/>
            <w:noWrap/>
            <w:tcMar>
              <w:top w:w="15" w:type="dxa"/>
              <w:left w:w="0" w:type="dxa"/>
              <w:bottom w:w="0" w:type="dxa"/>
              <w:right w:w="15" w:type="dxa"/>
            </w:tcMar>
            <w:vAlign w:val="bottom"/>
            <w:hideMark/>
          </w:tcPr>
          <w:p w14:paraId="7E3D8A3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1B27794" w14:textId="77777777">
        <w:trPr>
          <w:divId w:val="615140495"/>
          <w:jc w:val="center"/>
        </w:trPr>
        <w:tc>
          <w:tcPr>
            <w:tcW w:w="3349" w:type="pct"/>
            <w:shd w:val="clear" w:color="auto" w:fill="FFFFFF"/>
            <w:tcMar>
              <w:top w:w="15" w:type="dxa"/>
              <w:left w:w="0" w:type="dxa"/>
              <w:bottom w:w="0" w:type="dxa"/>
              <w:right w:w="15" w:type="dxa"/>
            </w:tcMar>
            <w:hideMark/>
          </w:tcPr>
          <w:p w14:paraId="7ABE2E1B" w14:textId="77777777" w:rsidR="00000000" w:rsidRDefault="007125B5">
            <w:pPr>
              <w:pStyle w:val="a3"/>
              <w:spacing w:before="0" w:beforeAutospacing="0" w:after="0" w:afterAutospacing="0"/>
              <w:rPr>
                <w:color w:val="000000"/>
                <w:sz w:val="20"/>
                <w:szCs w:val="20"/>
              </w:rPr>
            </w:pPr>
            <w:r>
              <w:rPr>
                <w:color w:val="000000"/>
                <w:sz w:val="20"/>
                <w:szCs w:val="20"/>
              </w:rPr>
              <w:t>Revolving Line of Credit</w:t>
            </w:r>
          </w:p>
        </w:tc>
        <w:tc>
          <w:tcPr>
            <w:tcW w:w="81" w:type="pct"/>
            <w:shd w:val="clear" w:color="auto" w:fill="FFFFFF"/>
            <w:tcMar>
              <w:top w:w="15" w:type="dxa"/>
              <w:left w:w="0" w:type="dxa"/>
              <w:bottom w:w="0" w:type="dxa"/>
              <w:right w:w="15" w:type="dxa"/>
            </w:tcMar>
            <w:vAlign w:val="bottom"/>
            <w:hideMark/>
          </w:tcPr>
          <w:p w14:paraId="6CFBC7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2095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70D4A54" w14:textId="77777777" w:rsidR="00000000" w:rsidRDefault="007125B5">
            <w:pPr>
              <w:pStyle w:val="a3"/>
              <w:spacing w:before="0" w:beforeAutospacing="0" w:after="0" w:afterAutospacing="0"/>
              <w:jc w:val="right"/>
              <w:rPr>
                <w:color w:val="000000"/>
                <w:sz w:val="20"/>
                <w:szCs w:val="20"/>
              </w:rPr>
            </w:pPr>
            <w:r>
              <w:rPr>
                <w:color w:val="000000"/>
                <w:sz w:val="20"/>
                <w:szCs w:val="20"/>
              </w:rPr>
              <w:t>25,000</w:t>
            </w:r>
          </w:p>
        </w:tc>
        <w:tc>
          <w:tcPr>
            <w:tcW w:w="50" w:type="pct"/>
            <w:shd w:val="clear" w:color="auto" w:fill="FFFFFF"/>
            <w:noWrap/>
            <w:tcMar>
              <w:top w:w="15" w:type="dxa"/>
              <w:left w:w="0" w:type="dxa"/>
              <w:bottom w:w="0" w:type="dxa"/>
              <w:right w:w="15" w:type="dxa"/>
            </w:tcMar>
            <w:vAlign w:val="bottom"/>
            <w:hideMark/>
          </w:tcPr>
          <w:p w14:paraId="23E91C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0F0BB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682A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D260D2F" w14:textId="77777777" w:rsidR="00000000" w:rsidRDefault="007125B5">
            <w:pPr>
              <w:pStyle w:val="a3"/>
              <w:spacing w:before="0" w:beforeAutospacing="0" w:after="0" w:afterAutospacing="0"/>
              <w:jc w:val="right"/>
              <w:rPr>
                <w:color w:val="000000"/>
                <w:sz w:val="20"/>
                <w:szCs w:val="20"/>
              </w:rPr>
            </w:pPr>
            <w:r>
              <w:rPr>
                <w:color w:val="000000"/>
                <w:sz w:val="20"/>
                <w:szCs w:val="20"/>
              </w:rPr>
              <w:t>97,590</w:t>
            </w:r>
          </w:p>
        </w:tc>
        <w:tc>
          <w:tcPr>
            <w:tcW w:w="50" w:type="pct"/>
            <w:shd w:val="clear" w:color="auto" w:fill="FFFFFF"/>
            <w:noWrap/>
            <w:tcMar>
              <w:top w:w="15" w:type="dxa"/>
              <w:left w:w="0" w:type="dxa"/>
              <w:bottom w:w="0" w:type="dxa"/>
              <w:right w:w="15" w:type="dxa"/>
            </w:tcMar>
            <w:vAlign w:val="bottom"/>
            <w:hideMark/>
          </w:tcPr>
          <w:p w14:paraId="27D4970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8EFB0CB" w14:textId="77777777">
        <w:trPr>
          <w:divId w:val="615140495"/>
          <w:jc w:val="center"/>
        </w:trPr>
        <w:tc>
          <w:tcPr>
            <w:tcW w:w="3349" w:type="pct"/>
            <w:shd w:val="clear" w:color="auto" w:fill="CFF0FC"/>
            <w:tcMar>
              <w:top w:w="15" w:type="dxa"/>
              <w:left w:w="0" w:type="dxa"/>
              <w:bottom w:w="0" w:type="dxa"/>
              <w:right w:w="15" w:type="dxa"/>
            </w:tcMar>
            <w:hideMark/>
          </w:tcPr>
          <w:p w14:paraId="56A23DA9" w14:textId="77777777" w:rsidR="00000000" w:rsidRDefault="007125B5">
            <w:pPr>
              <w:pStyle w:val="a3"/>
              <w:spacing w:before="0" w:beforeAutospacing="0" w:after="0" w:afterAutospacing="0"/>
              <w:rPr>
                <w:color w:val="000000"/>
                <w:sz w:val="20"/>
                <w:szCs w:val="20"/>
              </w:rPr>
            </w:pPr>
            <w:r>
              <w:rPr>
                <w:color w:val="000000"/>
                <w:sz w:val="20"/>
                <w:szCs w:val="20"/>
              </w:rPr>
              <w:t>Capital leases</w:t>
            </w:r>
          </w:p>
        </w:tc>
        <w:tc>
          <w:tcPr>
            <w:tcW w:w="81" w:type="pct"/>
            <w:shd w:val="clear" w:color="auto" w:fill="CFF0FC"/>
            <w:tcMar>
              <w:top w:w="15" w:type="dxa"/>
              <w:left w:w="0" w:type="dxa"/>
              <w:bottom w:w="0" w:type="dxa"/>
              <w:right w:w="15" w:type="dxa"/>
            </w:tcMar>
            <w:vAlign w:val="bottom"/>
            <w:hideMark/>
          </w:tcPr>
          <w:p w14:paraId="29244E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E4FA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B75F33F" w14:textId="77777777" w:rsidR="00000000" w:rsidRDefault="007125B5">
            <w:pPr>
              <w:pStyle w:val="a3"/>
              <w:spacing w:before="0" w:beforeAutospacing="0" w:after="0" w:afterAutospacing="0"/>
              <w:jc w:val="right"/>
              <w:rPr>
                <w:color w:val="000000"/>
                <w:sz w:val="20"/>
                <w:szCs w:val="20"/>
              </w:rPr>
            </w:pPr>
            <w:r>
              <w:rPr>
                <w:color w:val="000000"/>
                <w:sz w:val="20"/>
                <w:szCs w:val="20"/>
              </w:rPr>
              <w:t>3,899</w:t>
            </w:r>
          </w:p>
        </w:tc>
        <w:tc>
          <w:tcPr>
            <w:tcW w:w="50" w:type="pct"/>
            <w:shd w:val="clear" w:color="auto" w:fill="CFF0FC"/>
            <w:noWrap/>
            <w:tcMar>
              <w:top w:w="15" w:type="dxa"/>
              <w:left w:w="0" w:type="dxa"/>
              <w:bottom w:w="0" w:type="dxa"/>
              <w:right w:w="15" w:type="dxa"/>
            </w:tcMar>
            <w:vAlign w:val="bottom"/>
            <w:hideMark/>
          </w:tcPr>
          <w:p w14:paraId="1701860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07FF2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83C2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4DB849A" w14:textId="77777777" w:rsidR="00000000" w:rsidRDefault="007125B5">
            <w:pPr>
              <w:pStyle w:val="a3"/>
              <w:spacing w:before="0" w:beforeAutospacing="0" w:after="0" w:afterAutospacing="0"/>
              <w:jc w:val="right"/>
              <w:rPr>
                <w:color w:val="000000"/>
                <w:sz w:val="20"/>
                <w:szCs w:val="20"/>
              </w:rPr>
            </w:pPr>
            <w:r>
              <w:rPr>
                <w:color w:val="000000"/>
                <w:sz w:val="20"/>
                <w:szCs w:val="20"/>
              </w:rPr>
              <w:t>3,765</w:t>
            </w:r>
          </w:p>
        </w:tc>
        <w:tc>
          <w:tcPr>
            <w:tcW w:w="50" w:type="pct"/>
            <w:shd w:val="clear" w:color="auto" w:fill="CFF0FC"/>
            <w:noWrap/>
            <w:tcMar>
              <w:top w:w="15" w:type="dxa"/>
              <w:left w:w="0" w:type="dxa"/>
              <w:bottom w:w="0" w:type="dxa"/>
              <w:right w:w="15" w:type="dxa"/>
            </w:tcMar>
            <w:vAlign w:val="bottom"/>
            <w:hideMark/>
          </w:tcPr>
          <w:p w14:paraId="047ADFF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D3C1697" w14:textId="77777777">
        <w:trPr>
          <w:divId w:val="615140495"/>
          <w:jc w:val="center"/>
        </w:trPr>
        <w:tc>
          <w:tcPr>
            <w:tcW w:w="3349" w:type="pct"/>
            <w:shd w:val="clear" w:color="auto" w:fill="FFFFFF"/>
            <w:tcMar>
              <w:top w:w="15" w:type="dxa"/>
              <w:left w:w="0" w:type="dxa"/>
              <w:bottom w:w="0" w:type="dxa"/>
              <w:right w:w="15" w:type="dxa"/>
            </w:tcMar>
            <w:hideMark/>
          </w:tcPr>
          <w:p w14:paraId="1E5E4B51" w14:textId="77777777" w:rsidR="00000000" w:rsidRDefault="007125B5">
            <w:pPr>
              <w:pStyle w:val="a3"/>
              <w:spacing w:before="0" w:beforeAutospacing="0" w:after="0" w:afterAutospacing="0"/>
              <w:rPr>
                <w:color w:val="000000"/>
                <w:sz w:val="20"/>
                <w:szCs w:val="20"/>
              </w:rPr>
            </w:pPr>
            <w:r>
              <w:rPr>
                <w:color w:val="000000"/>
                <w:sz w:val="20"/>
                <w:szCs w:val="20"/>
              </w:rPr>
              <w:t>Other leases</w:t>
            </w:r>
          </w:p>
        </w:tc>
        <w:tc>
          <w:tcPr>
            <w:tcW w:w="81" w:type="pct"/>
            <w:shd w:val="clear" w:color="auto" w:fill="FFFFFF"/>
            <w:tcMar>
              <w:top w:w="15" w:type="dxa"/>
              <w:left w:w="0" w:type="dxa"/>
              <w:bottom w:w="0" w:type="dxa"/>
              <w:right w:w="15" w:type="dxa"/>
            </w:tcMar>
            <w:vAlign w:val="bottom"/>
            <w:hideMark/>
          </w:tcPr>
          <w:p w14:paraId="227C27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0D31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53CBC39" w14:textId="77777777" w:rsidR="00000000" w:rsidRDefault="007125B5">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14:paraId="660DB15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65A5B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6613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E0A8091" w14:textId="77777777" w:rsidR="00000000" w:rsidRDefault="007125B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14:paraId="33F3060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0277BED" w14:textId="77777777">
        <w:trPr>
          <w:divId w:val="615140495"/>
          <w:jc w:val="center"/>
        </w:trPr>
        <w:tc>
          <w:tcPr>
            <w:tcW w:w="3349" w:type="pct"/>
            <w:shd w:val="clear" w:color="auto" w:fill="CFF0FC"/>
            <w:tcMar>
              <w:top w:w="15" w:type="dxa"/>
              <w:left w:w="0" w:type="dxa"/>
              <w:bottom w:w="0" w:type="dxa"/>
              <w:right w:w="15" w:type="dxa"/>
            </w:tcMar>
            <w:hideMark/>
          </w:tcPr>
          <w:p w14:paraId="553B479E" w14:textId="77777777" w:rsidR="00000000" w:rsidRDefault="007125B5">
            <w:pPr>
              <w:pStyle w:val="a3"/>
              <w:spacing w:before="0" w:beforeAutospacing="0" w:after="0" w:afterAutospacing="0"/>
              <w:rPr>
                <w:color w:val="000000"/>
                <w:sz w:val="20"/>
                <w:szCs w:val="20"/>
              </w:rPr>
            </w:pPr>
            <w:r>
              <w:rPr>
                <w:color w:val="000000"/>
                <w:sz w:val="20"/>
                <w:szCs w:val="20"/>
              </w:rPr>
              <w:t>Equipment line of credit</w:t>
            </w:r>
          </w:p>
        </w:tc>
        <w:tc>
          <w:tcPr>
            <w:tcW w:w="81" w:type="pct"/>
            <w:shd w:val="clear" w:color="auto" w:fill="CFF0FC"/>
            <w:tcMar>
              <w:top w:w="15" w:type="dxa"/>
              <w:left w:w="0" w:type="dxa"/>
              <w:bottom w:w="0" w:type="dxa"/>
              <w:right w:w="15" w:type="dxa"/>
            </w:tcMar>
            <w:vAlign w:val="bottom"/>
            <w:hideMark/>
          </w:tcPr>
          <w:p w14:paraId="5E374B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46CC4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9167243" w14:textId="77777777" w:rsidR="00000000" w:rsidRDefault="007125B5">
            <w:pPr>
              <w:pStyle w:val="a3"/>
              <w:spacing w:before="0" w:beforeAutospacing="0" w:after="0" w:afterAutospacing="0"/>
              <w:jc w:val="right"/>
              <w:rPr>
                <w:color w:val="000000"/>
                <w:sz w:val="20"/>
                <w:szCs w:val="20"/>
              </w:rPr>
            </w:pPr>
            <w:r>
              <w:rPr>
                <w:color w:val="000000"/>
                <w:sz w:val="20"/>
                <w:szCs w:val="20"/>
              </w:rPr>
              <w:t>3,420</w:t>
            </w:r>
          </w:p>
        </w:tc>
        <w:tc>
          <w:tcPr>
            <w:tcW w:w="50" w:type="pct"/>
            <w:shd w:val="clear" w:color="auto" w:fill="CFF0FC"/>
            <w:noWrap/>
            <w:tcMar>
              <w:top w:w="15" w:type="dxa"/>
              <w:left w:w="0" w:type="dxa"/>
              <w:bottom w:w="0" w:type="dxa"/>
              <w:right w:w="15" w:type="dxa"/>
            </w:tcMar>
            <w:vAlign w:val="bottom"/>
            <w:hideMark/>
          </w:tcPr>
          <w:p w14:paraId="4D2A6B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F643A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14CC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FF49185" w14:textId="77777777" w:rsidR="00000000" w:rsidRDefault="007125B5">
            <w:pPr>
              <w:pStyle w:val="a3"/>
              <w:spacing w:before="0" w:beforeAutospacing="0" w:after="0" w:afterAutospacing="0"/>
              <w:jc w:val="right"/>
              <w:rPr>
                <w:color w:val="000000"/>
                <w:sz w:val="20"/>
                <w:szCs w:val="20"/>
              </w:rPr>
            </w:pPr>
            <w:r>
              <w:rPr>
                <w:color w:val="000000"/>
                <w:sz w:val="20"/>
                <w:szCs w:val="20"/>
              </w:rPr>
              <w:t>3,124</w:t>
            </w:r>
          </w:p>
        </w:tc>
        <w:tc>
          <w:tcPr>
            <w:tcW w:w="50" w:type="pct"/>
            <w:shd w:val="clear" w:color="auto" w:fill="CFF0FC"/>
            <w:noWrap/>
            <w:tcMar>
              <w:top w:w="15" w:type="dxa"/>
              <w:left w:w="0" w:type="dxa"/>
              <w:bottom w:w="0" w:type="dxa"/>
              <w:right w:w="15" w:type="dxa"/>
            </w:tcMar>
            <w:vAlign w:val="bottom"/>
            <w:hideMark/>
          </w:tcPr>
          <w:p w14:paraId="647FA69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9C5E747" w14:textId="77777777">
        <w:trPr>
          <w:divId w:val="615140495"/>
          <w:jc w:val="center"/>
        </w:trPr>
        <w:tc>
          <w:tcPr>
            <w:tcW w:w="3349" w:type="pct"/>
            <w:shd w:val="clear" w:color="auto" w:fill="FFFFFF"/>
            <w:tcMar>
              <w:top w:w="15" w:type="dxa"/>
              <w:left w:w="0" w:type="dxa"/>
              <w:bottom w:w="0" w:type="dxa"/>
              <w:right w:w="15" w:type="dxa"/>
            </w:tcMar>
            <w:hideMark/>
          </w:tcPr>
          <w:p w14:paraId="55C9F0FD" w14:textId="77777777" w:rsidR="00000000" w:rsidRDefault="007125B5">
            <w:pPr>
              <w:pStyle w:val="a3"/>
              <w:spacing w:before="0" w:beforeAutospacing="0" w:after="0" w:afterAutospacing="0"/>
              <w:rPr>
                <w:color w:val="000000"/>
                <w:sz w:val="20"/>
                <w:szCs w:val="20"/>
              </w:rPr>
            </w:pPr>
            <w:r>
              <w:rPr>
                <w:color w:val="000000"/>
                <w:sz w:val="20"/>
                <w:szCs w:val="20"/>
              </w:rPr>
              <w:t>Less deferred debt issuance costs</w:t>
            </w:r>
          </w:p>
        </w:tc>
        <w:tc>
          <w:tcPr>
            <w:tcW w:w="81" w:type="pct"/>
            <w:shd w:val="clear" w:color="auto" w:fill="FFFFFF"/>
            <w:tcMar>
              <w:top w:w="15" w:type="dxa"/>
              <w:left w:w="0" w:type="dxa"/>
              <w:bottom w:w="0" w:type="dxa"/>
              <w:right w:w="15" w:type="dxa"/>
            </w:tcMar>
            <w:vAlign w:val="bottom"/>
            <w:hideMark/>
          </w:tcPr>
          <w:p w14:paraId="3F2EF5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7D9C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78DA20A7" w14:textId="77777777" w:rsidR="00000000" w:rsidRDefault="007125B5">
            <w:pPr>
              <w:pStyle w:val="a3"/>
              <w:spacing w:before="0" w:beforeAutospacing="0" w:after="0" w:afterAutospacing="0"/>
              <w:jc w:val="right"/>
              <w:rPr>
                <w:color w:val="000000"/>
                <w:sz w:val="20"/>
                <w:szCs w:val="20"/>
              </w:rPr>
            </w:pPr>
            <w:r>
              <w:rPr>
                <w:color w:val="000000"/>
                <w:sz w:val="20"/>
                <w:szCs w:val="20"/>
              </w:rPr>
              <w:t>(4,582</w:t>
            </w:r>
          </w:p>
        </w:tc>
        <w:tc>
          <w:tcPr>
            <w:tcW w:w="50" w:type="pct"/>
            <w:shd w:val="clear" w:color="auto" w:fill="FFFFFF"/>
            <w:noWrap/>
            <w:tcMar>
              <w:top w:w="15" w:type="dxa"/>
              <w:left w:w="0" w:type="dxa"/>
              <w:bottom w:w="0" w:type="dxa"/>
              <w:right w:w="15" w:type="dxa"/>
            </w:tcMar>
            <w:vAlign w:val="bottom"/>
            <w:hideMark/>
          </w:tcPr>
          <w:p w14:paraId="6323A20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690AB3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A8B11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4372C8F" w14:textId="77777777" w:rsidR="00000000" w:rsidRDefault="007125B5">
            <w:pPr>
              <w:pStyle w:val="a3"/>
              <w:spacing w:before="0" w:beforeAutospacing="0" w:after="0" w:afterAutospacing="0"/>
              <w:jc w:val="right"/>
              <w:rPr>
                <w:color w:val="000000"/>
                <w:sz w:val="20"/>
                <w:szCs w:val="20"/>
              </w:rPr>
            </w:pPr>
            <w:r>
              <w:rPr>
                <w:color w:val="000000"/>
                <w:sz w:val="20"/>
                <w:szCs w:val="20"/>
              </w:rPr>
              <w:t>(1,052</w:t>
            </w:r>
          </w:p>
        </w:tc>
        <w:tc>
          <w:tcPr>
            <w:tcW w:w="50" w:type="pct"/>
            <w:shd w:val="clear" w:color="auto" w:fill="FFFFFF"/>
            <w:noWrap/>
            <w:tcMar>
              <w:top w:w="15" w:type="dxa"/>
              <w:left w:w="0" w:type="dxa"/>
              <w:bottom w:w="0" w:type="dxa"/>
              <w:right w:w="15" w:type="dxa"/>
            </w:tcMar>
            <w:vAlign w:val="bottom"/>
            <w:hideMark/>
          </w:tcPr>
          <w:p w14:paraId="73B5352D"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5E031927" w14:textId="77777777">
        <w:trPr>
          <w:divId w:val="615140495"/>
          <w:jc w:val="center"/>
        </w:trPr>
        <w:tc>
          <w:tcPr>
            <w:tcW w:w="3349" w:type="pct"/>
            <w:shd w:val="clear" w:color="auto" w:fill="CFF0FC"/>
            <w:tcMar>
              <w:top w:w="15" w:type="dxa"/>
              <w:left w:w="0" w:type="dxa"/>
              <w:bottom w:w="0" w:type="dxa"/>
              <w:right w:w="15" w:type="dxa"/>
            </w:tcMar>
            <w:hideMark/>
          </w:tcPr>
          <w:p w14:paraId="08463FE0" w14:textId="77777777" w:rsidR="00000000" w:rsidRDefault="007125B5">
            <w:pPr>
              <w:pStyle w:val="a3"/>
              <w:spacing w:before="0" w:beforeAutospacing="0" w:after="0" w:afterAutospacing="0"/>
              <w:ind w:left="274"/>
              <w:rPr>
                <w:color w:val="000000"/>
                <w:sz w:val="20"/>
                <w:szCs w:val="20"/>
              </w:rPr>
            </w:pPr>
            <w:r>
              <w:rPr>
                <w:color w:val="000000"/>
                <w:sz w:val="20"/>
                <w:szCs w:val="20"/>
              </w:rPr>
              <w:t>Total debt</w:t>
            </w:r>
          </w:p>
        </w:tc>
        <w:tc>
          <w:tcPr>
            <w:tcW w:w="81" w:type="pct"/>
            <w:shd w:val="clear" w:color="auto" w:fill="CFF0FC"/>
            <w:tcMar>
              <w:top w:w="15" w:type="dxa"/>
              <w:left w:w="0" w:type="dxa"/>
              <w:bottom w:w="0" w:type="dxa"/>
              <w:right w:w="15" w:type="dxa"/>
            </w:tcMar>
            <w:vAlign w:val="bottom"/>
            <w:hideMark/>
          </w:tcPr>
          <w:p w14:paraId="0A0D26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9949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4A76875" w14:textId="77777777" w:rsidR="00000000" w:rsidRDefault="007125B5">
            <w:pPr>
              <w:pStyle w:val="a3"/>
              <w:spacing w:before="0" w:beforeAutospacing="0" w:after="0" w:afterAutospacing="0"/>
              <w:jc w:val="right"/>
              <w:rPr>
                <w:color w:val="000000"/>
                <w:sz w:val="20"/>
                <w:szCs w:val="20"/>
              </w:rPr>
            </w:pPr>
            <w:r>
              <w:rPr>
                <w:color w:val="000000"/>
                <w:sz w:val="20"/>
                <w:szCs w:val="20"/>
              </w:rPr>
              <w:t>202,742</w:t>
            </w:r>
          </w:p>
        </w:tc>
        <w:tc>
          <w:tcPr>
            <w:tcW w:w="50" w:type="pct"/>
            <w:shd w:val="clear" w:color="auto" w:fill="CFF0FC"/>
            <w:noWrap/>
            <w:tcMar>
              <w:top w:w="15" w:type="dxa"/>
              <w:left w:w="0" w:type="dxa"/>
              <w:bottom w:w="0" w:type="dxa"/>
              <w:right w:w="15" w:type="dxa"/>
            </w:tcMar>
            <w:vAlign w:val="bottom"/>
            <w:hideMark/>
          </w:tcPr>
          <w:p w14:paraId="355F40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22F9D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C88C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03B14A88" w14:textId="77777777" w:rsidR="00000000" w:rsidRDefault="007125B5">
            <w:pPr>
              <w:pStyle w:val="a3"/>
              <w:spacing w:before="0" w:beforeAutospacing="0" w:after="0" w:afterAutospacing="0"/>
              <w:jc w:val="right"/>
              <w:rPr>
                <w:color w:val="000000"/>
                <w:sz w:val="20"/>
                <w:szCs w:val="20"/>
              </w:rPr>
            </w:pPr>
            <w:r>
              <w:rPr>
                <w:color w:val="000000"/>
                <w:sz w:val="20"/>
                <w:szCs w:val="20"/>
              </w:rPr>
              <w:t>152,189</w:t>
            </w:r>
          </w:p>
        </w:tc>
        <w:tc>
          <w:tcPr>
            <w:tcW w:w="50" w:type="pct"/>
            <w:shd w:val="clear" w:color="auto" w:fill="CFF0FC"/>
            <w:noWrap/>
            <w:tcMar>
              <w:top w:w="15" w:type="dxa"/>
              <w:left w:w="0" w:type="dxa"/>
              <w:bottom w:w="0" w:type="dxa"/>
              <w:right w:w="15" w:type="dxa"/>
            </w:tcMar>
            <w:vAlign w:val="bottom"/>
            <w:hideMark/>
          </w:tcPr>
          <w:p w14:paraId="4384F04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D0C3728" w14:textId="77777777">
        <w:trPr>
          <w:divId w:val="615140495"/>
          <w:jc w:val="center"/>
        </w:trPr>
        <w:tc>
          <w:tcPr>
            <w:tcW w:w="3349" w:type="pct"/>
            <w:shd w:val="clear" w:color="auto" w:fill="FFFFFF"/>
            <w:tcMar>
              <w:top w:w="15" w:type="dxa"/>
              <w:left w:w="0" w:type="dxa"/>
              <w:bottom w:w="0" w:type="dxa"/>
              <w:right w:w="15" w:type="dxa"/>
            </w:tcMar>
            <w:hideMark/>
          </w:tcPr>
          <w:p w14:paraId="37E8D7F1" w14:textId="77777777" w:rsidR="00000000" w:rsidRDefault="007125B5">
            <w:pPr>
              <w:pStyle w:val="a3"/>
              <w:spacing w:before="0" w:beforeAutospacing="0" w:after="0" w:afterAutospacing="0"/>
              <w:rPr>
                <w:color w:val="000000"/>
                <w:sz w:val="20"/>
                <w:szCs w:val="20"/>
              </w:rPr>
            </w:pPr>
            <w:r>
              <w:rPr>
                <w:color w:val="000000"/>
                <w:sz w:val="20"/>
                <w:szCs w:val="20"/>
              </w:rPr>
              <w:t>Less current portion of long term debt</w:t>
            </w:r>
          </w:p>
        </w:tc>
        <w:tc>
          <w:tcPr>
            <w:tcW w:w="81" w:type="pct"/>
            <w:shd w:val="clear" w:color="auto" w:fill="FFFFFF"/>
            <w:tcMar>
              <w:top w:w="15" w:type="dxa"/>
              <w:left w:w="0" w:type="dxa"/>
              <w:bottom w:w="0" w:type="dxa"/>
              <w:right w:w="15" w:type="dxa"/>
            </w:tcMar>
            <w:vAlign w:val="bottom"/>
            <w:hideMark/>
          </w:tcPr>
          <w:p w14:paraId="7AB10C2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52CC2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1377C8A" w14:textId="77777777" w:rsidR="00000000" w:rsidRDefault="007125B5">
            <w:pPr>
              <w:pStyle w:val="a3"/>
              <w:spacing w:before="0" w:beforeAutospacing="0" w:after="0" w:afterAutospacing="0"/>
              <w:jc w:val="right"/>
              <w:rPr>
                <w:color w:val="000000"/>
                <w:sz w:val="20"/>
                <w:szCs w:val="20"/>
              </w:rPr>
            </w:pPr>
            <w:r>
              <w:rPr>
                <w:color w:val="000000"/>
                <w:sz w:val="20"/>
                <w:szCs w:val="20"/>
              </w:rPr>
              <w:t>(4,653</w:t>
            </w:r>
          </w:p>
        </w:tc>
        <w:tc>
          <w:tcPr>
            <w:tcW w:w="50" w:type="pct"/>
            <w:shd w:val="clear" w:color="auto" w:fill="FFFFFF"/>
            <w:noWrap/>
            <w:tcMar>
              <w:top w:w="15" w:type="dxa"/>
              <w:left w:w="0" w:type="dxa"/>
              <w:bottom w:w="0" w:type="dxa"/>
              <w:right w:w="15" w:type="dxa"/>
            </w:tcMar>
            <w:vAlign w:val="bottom"/>
            <w:hideMark/>
          </w:tcPr>
          <w:p w14:paraId="58B196A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2FEE04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2E747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635EEC3" w14:textId="77777777" w:rsidR="00000000" w:rsidRDefault="007125B5">
            <w:pPr>
              <w:pStyle w:val="a3"/>
              <w:spacing w:before="0" w:beforeAutospacing="0" w:after="0" w:afterAutospacing="0"/>
              <w:jc w:val="right"/>
              <w:rPr>
                <w:color w:val="000000"/>
                <w:sz w:val="20"/>
                <w:szCs w:val="20"/>
              </w:rPr>
            </w:pPr>
            <w:r>
              <w:rPr>
                <w:color w:val="000000"/>
                <w:sz w:val="20"/>
                <w:szCs w:val="20"/>
              </w:rPr>
              <w:t>(7,143</w:t>
            </w:r>
          </w:p>
        </w:tc>
        <w:tc>
          <w:tcPr>
            <w:tcW w:w="50" w:type="pct"/>
            <w:shd w:val="clear" w:color="auto" w:fill="FFFFFF"/>
            <w:noWrap/>
            <w:tcMar>
              <w:top w:w="15" w:type="dxa"/>
              <w:left w:w="0" w:type="dxa"/>
              <w:bottom w:w="0" w:type="dxa"/>
              <w:right w:w="15" w:type="dxa"/>
            </w:tcMar>
            <w:vAlign w:val="bottom"/>
            <w:hideMark/>
          </w:tcPr>
          <w:p w14:paraId="3E159544"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794FBE1" w14:textId="77777777">
        <w:trPr>
          <w:divId w:val="615140495"/>
          <w:jc w:val="center"/>
        </w:trPr>
        <w:tc>
          <w:tcPr>
            <w:tcW w:w="3349" w:type="pct"/>
            <w:shd w:val="clear" w:color="auto" w:fill="CFF0FC"/>
            <w:tcMar>
              <w:top w:w="15" w:type="dxa"/>
              <w:left w:w="0" w:type="dxa"/>
              <w:bottom w:w="0" w:type="dxa"/>
              <w:right w:w="15" w:type="dxa"/>
            </w:tcMar>
            <w:hideMark/>
          </w:tcPr>
          <w:p w14:paraId="38ACD120" w14:textId="77777777" w:rsidR="00000000" w:rsidRDefault="007125B5">
            <w:pPr>
              <w:pStyle w:val="a3"/>
              <w:spacing w:before="0" w:beforeAutospacing="0" w:after="0" w:afterAutospacing="0"/>
              <w:rPr>
                <w:color w:val="000000"/>
                <w:sz w:val="20"/>
                <w:szCs w:val="20"/>
              </w:rPr>
            </w:pPr>
            <w:r>
              <w:rPr>
                <w:color w:val="000000"/>
                <w:sz w:val="20"/>
                <w:szCs w:val="20"/>
              </w:rPr>
              <w:t>Long-term debt, less current portion</w:t>
            </w:r>
          </w:p>
        </w:tc>
        <w:tc>
          <w:tcPr>
            <w:tcW w:w="81" w:type="pct"/>
            <w:shd w:val="clear" w:color="auto" w:fill="CFF0FC"/>
            <w:tcMar>
              <w:top w:w="15" w:type="dxa"/>
              <w:left w:w="0" w:type="dxa"/>
              <w:bottom w:w="0" w:type="dxa"/>
              <w:right w:w="15" w:type="dxa"/>
            </w:tcMar>
            <w:vAlign w:val="bottom"/>
            <w:hideMark/>
          </w:tcPr>
          <w:p w14:paraId="58DF79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0343CB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0B2E5F" w14:textId="77777777" w:rsidR="00000000" w:rsidRDefault="007125B5">
            <w:pPr>
              <w:pStyle w:val="a3"/>
              <w:spacing w:before="0" w:beforeAutospacing="0" w:after="0" w:afterAutospacing="0"/>
              <w:jc w:val="right"/>
              <w:rPr>
                <w:color w:val="000000"/>
                <w:sz w:val="20"/>
                <w:szCs w:val="20"/>
              </w:rPr>
            </w:pPr>
            <w:r>
              <w:rPr>
                <w:color w:val="000000"/>
                <w:sz w:val="20"/>
                <w:szCs w:val="20"/>
              </w:rPr>
              <w:t>198,089</w:t>
            </w:r>
          </w:p>
        </w:tc>
        <w:tc>
          <w:tcPr>
            <w:tcW w:w="50" w:type="pct"/>
            <w:shd w:val="clear" w:color="auto" w:fill="CFF0FC"/>
            <w:noWrap/>
            <w:tcMar>
              <w:top w:w="15" w:type="dxa"/>
              <w:left w:w="0" w:type="dxa"/>
              <w:bottom w:w="0" w:type="dxa"/>
              <w:right w:w="15" w:type="dxa"/>
            </w:tcMar>
            <w:vAlign w:val="bottom"/>
            <w:hideMark/>
          </w:tcPr>
          <w:p w14:paraId="2AFEDB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E2B90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5D57E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019181" w14:textId="77777777" w:rsidR="00000000" w:rsidRDefault="007125B5">
            <w:pPr>
              <w:pStyle w:val="a3"/>
              <w:spacing w:before="0" w:beforeAutospacing="0" w:after="0" w:afterAutospacing="0"/>
              <w:jc w:val="right"/>
              <w:rPr>
                <w:color w:val="000000"/>
                <w:sz w:val="20"/>
                <w:szCs w:val="20"/>
              </w:rPr>
            </w:pPr>
            <w:r>
              <w:rPr>
                <w:color w:val="000000"/>
                <w:sz w:val="20"/>
                <w:szCs w:val="20"/>
              </w:rPr>
              <w:t>145,046</w:t>
            </w:r>
          </w:p>
        </w:tc>
        <w:tc>
          <w:tcPr>
            <w:tcW w:w="50" w:type="pct"/>
            <w:shd w:val="clear" w:color="auto" w:fill="CFF0FC"/>
            <w:noWrap/>
            <w:tcMar>
              <w:top w:w="15" w:type="dxa"/>
              <w:left w:w="0" w:type="dxa"/>
              <w:bottom w:w="0" w:type="dxa"/>
              <w:right w:w="15" w:type="dxa"/>
            </w:tcMar>
            <w:vAlign w:val="bottom"/>
            <w:hideMark/>
          </w:tcPr>
          <w:p w14:paraId="0737ED3D"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98F9B7C" w14:textId="77777777" w:rsidR="00000000" w:rsidRDefault="007125B5">
      <w:pPr>
        <w:pStyle w:val="a3"/>
        <w:shd w:val="clear" w:color="auto" w:fill="FFFFFF"/>
        <w:spacing w:before="0" w:beforeAutospacing="0" w:after="0" w:afterAutospacing="0"/>
        <w:rPr>
          <w:sz w:val="20"/>
          <w:szCs w:val="20"/>
        </w:rPr>
      </w:pPr>
      <w:r>
        <w:rPr>
          <w:sz w:val="20"/>
          <w:szCs w:val="20"/>
        </w:rPr>
        <w:t> </w:t>
      </w:r>
    </w:p>
    <w:p w14:paraId="154CDF75" w14:textId="77777777" w:rsidR="00000000" w:rsidRDefault="007125B5">
      <w:pPr>
        <w:pStyle w:val="a3"/>
        <w:spacing w:before="240" w:beforeAutospacing="0" w:after="0" w:afterAutospacing="0"/>
        <w:jc w:val="center"/>
        <w:rPr>
          <w:sz w:val="20"/>
          <w:szCs w:val="20"/>
        </w:rPr>
      </w:pPr>
      <w:r>
        <w:rPr>
          <w:sz w:val="20"/>
          <w:szCs w:val="20"/>
        </w:rPr>
        <w:t>14</w:t>
      </w:r>
    </w:p>
    <w:p w14:paraId="41254546" w14:textId="77777777" w:rsidR="00000000" w:rsidRDefault="007125B5">
      <w:pPr>
        <w:rPr>
          <w:rFonts w:eastAsia="Times New Roman"/>
        </w:rPr>
      </w:pPr>
      <w:r>
        <w:rPr>
          <w:rFonts w:eastAsia="Times New Roman"/>
        </w:rPr>
        <w:pict w14:anchorId="613FB08E">
          <v:rect id="_x0000_i1040" style="width:415.3pt;height:1.5pt" o:hralign="center" o:hrstd="t" o:hr="t" fillcolor="#a0a0a0" stroked="f"/>
        </w:pict>
      </w:r>
    </w:p>
    <w:p w14:paraId="4DDF69FE" w14:textId="77777777" w:rsidR="00000000" w:rsidRDefault="007125B5">
      <w:pPr>
        <w:pStyle w:val="a3"/>
        <w:spacing w:before="0" w:beforeAutospacing="0" w:after="0" w:afterAutospacing="0"/>
        <w:rPr>
          <w:sz w:val="20"/>
          <w:szCs w:val="20"/>
        </w:rPr>
      </w:pPr>
      <w:r>
        <w:rPr>
          <w:sz w:val="20"/>
          <w:szCs w:val="20"/>
        </w:rPr>
        <w:t> </w:t>
      </w:r>
    </w:p>
    <w:p w14:paraId="0EF20DC4" w14:textId="77777777" w:rsidR="00000000" w:rsidRDefault="007125B5">
      <w:pPr>
        <w:pStyle w:val="a3"/>
        <w:shd w:val="clear" w:color="auto" w:fill="FFFFFF"/>
        <w:spacing w:before="40" w:beforeAutospacing="0" w:after="0" w:afterAutospacing="0"/>
        <w:ind w:firstLine="556"/>
        <w:rPr>
          <w:b/>
          <w:bCs/>
          <w:color w:val="000000"/>
          <w:sz w:val="20"/>
          <w:szCs w:val="20"/>
        </w:rPr>
      </w:pPr>
      <w:bookmarkStart w:id="28" w:name="_AEIOULastRenderedPageBreakAEIOU17"/>
      <w:bookmarkEnd w:id="28"/>
      <w:r>
        <w:rPr>
          <w:b/>
          <w:bCs/>
          <w:color w:val="000000"/>
          <w:sz w:val="20"/>
          <w:szCs w:val="20"/>
        </w:rPr>
        <w:t>Deferred Financing Costs</w:t>
      </w:r>
      <w:r>
        <w:rPr>
          <w:color w:val="000000"/>
          <w:sz w:val="20"/>
          <w:szCs w:val="20"/>
        </w:rPr>
        <w:t>—Costs relating to debt issuance have been deferre</w:t>
      </w:r>
      <w:r>
        <w:rPr>
          <w:color w:val="000000"/>
          <w:sz w:val="20"/>
          <w:szCs w:val="20"/>
        </w:rPr>
        <w:t>d and are presented as discounted against the underlying debt instrument. These costs are amortized to interest expense over the terms of the underlying debt instruments.</w:t>
      </w:r>
    </w:p>
    <w:p w14:paraId="7706DF88"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Revolving Line of Credit and Term Loan Facility</w:t>
      </w:r>
      <w:r>
        <w:rPr>
          <w:color w:val="000000"/>
          <w:sz w:val="20"/>
          <w:szCs w:val="20"/>
        </w:rPr>
        <w:t>—</w:t>
      </w:r>
      <w:r>
        <w:rPr>
          <w:color w:val="000000"/>
          <w:sz w:val="20"/>
          <w:szCs w:val="20"/>
          <w:shd w:val="clear" w:color="auto" w:fill="FFFFFF"/>
        </w:rPr>
        <w:t xml:space="preserve"> On April 13, 2020, the Company entered into a Unitranche Credit Agreement (the “New Credit Facility”) providing for a new $225.0 million credit facility comprised of a $175.0 million term loan and a $50.0 mi</w:t>
      </w:r>
      <w:r>
        <w:rPr>
          <w:color w:val="000000"/>
          <w:sz w:val="20"/>
          <w:szCs w:val="20"/>
          <w:shd w:val="clear" w:color="auto" w:fill="FFFFFF"/>
        </w:rPr>
        <w:t>llion revolving credit facility and repaid all amounts outstanding under the prior senior secured credit facility. As a result of the redemption in full of the Company’s Redeemable Series A-1 Preferred Stock in connection with the Company’s IPO, t</w:t>
      </w:r>
      <w:r>
        <w:rPr>
          <w:color w:val="000000"/>
          <w:sz w:val="20"/>
          <w:szCs w:val="20"/>
        </w:rPr>
        <w:t xml:space="preserve">he facility matures in April 2025 (Note 23). The term loan and the revolver bear interest at LIBOR plus 5.0% with a 1.0% LIBOR floor or the base rate plus 4.0% and LIBOR plus 3.5% </w:t>
      </w:r>
      <w:r>
        <w:rPr>
          <w:color w:val="000000"/>
          <w:sz w:val="20"/>
          <w:szCs w:val="20"/>
          <w:shd w:val="clear" w:color="auto" w:fill="FFFFFF"/>
        </w:rPr>
        <w:t>or the base rate plus 2.5%</w:t>
      </w:r>
      <w:r>
        <w:rPr>
          <w:color w:val="000000"/>
          <w:sz w:val="20"/>
          <w:szCs w:val="20"/>
        </w:rPr>
        <w:t xml:space="preserve">, respectively. </w:t>
      </w:r>
      <w:r>
        <w:rPr>
          <w:color w:val="000000"/>
          <w:sz w:val="20"/>
          <w:szCs w:val="20"/>
          <w:shd w:val="clear" w:color="auto" w:fill="FFFFFF"/>
        </w:rPr>
        <w:t>The revolver is also subject to an</w:t>
      </w:r>
      <w:r>
        <w:rPr>
          <w:color w:val="000000"/>
          <w:sz w:val="20"/>
          <w:szCs w:val="20"/>
          <w:shd w:val="clear" w:color="auto" w:fill="FFFFFF"/>
        </w:rPr>
        <w:t xml:space="preserve"> unused commitment fee of 0.35%. </w:t>
      </w:r>
      <w:r>
        <w:rPr>
          <w:color w:val="000000"/>
          <w:sz w:val="20"/>
          <w:szCs w:val="20"/>
        </w:rPr>
        <w:t>The Term Loan has quarterly repayments starting on September 30, 2020 of $0.5 million, increasing to $1.1 million on September 30, 2021 and further increasing to $1.6 million on September 30, 2022, with the remaining outsta</w:t>
      </w:r>
      <w:r>
        <w:rPr>
          <w:color w:val="000000"/>
          <w:sz w:val="20"/>
          <w:szCs w:val="20"/>
        </w:rPr>
        <w:t xml:space="preserve">nding principal amount due on the maturity date. </w:t>
      </w:r>
      <w:r>
        <w:rPr>
          <w:color w:val="000000"/>
          <w:sz w:val="20"/>
          <w:szCs w:val="20"/>
          <w:shd w:val="clear" w:color="auto" w:fill="FFFFFF"/>
        </w:rPr>
        <w:t xml:space="preserve">The Company has the option to borrow incremental term loans up to an aggregate principal amount of $100.0 million subject to satisfaction of certain conditions, including the borrower’s pro forma compliance </w:t>
      </w:r>
      <w:r>
        <w:rPr>
          <w:color w:val="000000"/>
          <w:sz w:val="20"/>
          <w:szCs w:val="20"/>
          <w:shd w:val="clear" w:color="auto" w:fill="FFFFFF"/>
        </w:rPr>
        <w:t>with the financial covenants under the New Credit Facility. Immediately after giving effect to the incurrence of any such incremental term loans, the unitranche lenders must collectively hold at least 70% of all pari passu debt of all lenders under the cre</w:t>
      </w:r>
      <w:r>
        <w:rPr>
          <w:color w:val="000000"/>
          <w:sz w:val="20"/>
          <w:szCs w:val="20"/>
          <w:shd w:val="clear" w:color="auto" w:fill="FFFFFF"/>
        </w:rPr>
        <w:t>dit facility. The existing lenders are not obligated to participate in any incremental term loan facility.</w:t>
      </w:r>
    </w:p>
    <w:p w14:paraId="5DBA619C"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shd w:val="clear" w:color="auto" w:fill="FFFFFF"/>
        </w:rPr>
        <w:t>The New Credit Facility includes a number of covenants imposing certain restrictions on the Company’s business, including, among other things, restri</w:t>
      </w:r>
      <w:r>
        <w:rPr>
          <w:color w:val="000000"/>
          <w:sz w:val="20"/>
          <w:szCs w:val="20"/>
          <w:shd w:val="clear" w:color="auto" w:fill="FFFFFF"/>
        </w:rPr>
        <w:t>ctions on the Company’s ability to incur indebtedness, prepay or amend other indebtedness, create liens, make certain fundamental changes including mergers or dissolutions, pay dividends and make other payments in respect of capital stock, make certain inv</w:t>
      </w:r>
      <w:r>
        <w:rPr>
          <w:color w:val="000000"/>
          <w:sz w:val="20"/>
          <w:szCs w:val="20"/>
          <w:shd w:val="clear" w:color="auto" w:fill="FFFFFF"/>
        </w:rPr>
        <w:t>estments, sell assets, change the Company’s lines of business, enter into transactions with affiliates and other corporate actions. The New Credit Facility also contains financial covenants requiring the Company to remain below a maximum consolidated total</w:t>
      </w:r>
      <w:r>
        <w:rPr>
          <w:color w:val="000000"/>
          <w:sz w:val="20"/>
          <w:szCs w:val="20"/>
          <w:shd w:val="clear" w:color="auto" w:fill="FFFFFF"/>
        </w:rPr>
        <w:t xml:space="preserve"> leverage ratio of 4.25 times, which steps down to 4.00 times beginning December 31, 2021 and then to 3.75 times beginning December 31, </w:t>
      </w:r>
      <w:r>
        <w:rPr>
          <w:color w:val="000000"/>
          <w:sz w:val="20"/>
          <w:szCs w:val="20"/>
        </w:rPr>
        <w:t>2022</w:t>
      </w:r>
      <w:r>
        <w:rPr>
          <w:color w:val="000000"/>
          <w:sz w:val="20"/>
          <w:szCs w:val="20"/>
          <w:shd w:val="clear" w:color="auto" w:fill="FFFFFF"/>
        </w:rPr>
        <w:t>, and a minimum consolidated fixed charge coverage ratio of 1.25 times. The New Credit Facility contains mandatory p</w:t>
      </w:r>
      <w:r>
        <w:rPr>
          <w:color w:val="000000"/>
          <w:sz w:val="20"/>
          <w:szCs w:val="20"/>
          <w:shd w:val="clear" w:color="auto" w:fill="FFFFFF"/>
        </w:rPr>
        <w:t>repayment features upon a number of events, including with the proceeds of certain asset sales, proceeds from the issuance of any debt and proceeds of the capital contribution amounts contributed to cure a financial covenant default. The New Credit Facilit</w:t>
      </w:r>
      <w:r>
        <w:rPr>
          <w:color w:val="000000"/>
          <w:sz w:val="20"/>
          <w:szCs w:val="20"/>
          <w:shd w:val="clear" w:color="auto" w:fill="FFFFFF"/>
        </w:rPr>
        <w:t>y also includes mandatory prepayments of 50.0% of excess cash flow minus voluntary prepayments of the term loan and, solely to the extent accompanied by a permanent reduction in the revolving commitment, the revolver, if the Company’s consolidated total le</w:t>
      </w:r>
      <w:r>
        <w:rPr>
          <w:color w:val="000000"/>
          <w:sz w:val="20"/>
          <w:szCs w:val="20"/>
          <w:shd w:val="clear" w:color="auto" w:fill="FFFFFF"/>
        </w:rPr>
        <w:t>verage ratio for the year ending December 31, 2020 is greater than or equal to 3.25 times and, for any year thereafter, the amount of any such mandatory prepayment shall be reduced to 25.0% of excess cash flow if the leverage ratio is less than 3.00 times.</w:t>
      </w:r>
    </w:p>
    <w:p w14:paraId="523F8B97"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weighted average interest rate on the New Credit Facility as of June 30, 2020 was 5.91%.</w:t>
      </w:r>
    </w:p>
    <w:p w14:paraId="6ADB0B9A"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New Credit Facility contains a number of customary events of default related to, among other things, the non-payment of principal, interest or fees, violation</w:t>
      </w:r>
      <w:r>
        <w:rPr>
          <w:color w:val="000000"/>
          <w:sz w:val="20"/>
          <w:szCs w:val="20"/>
        </w:rPr>
        <w:t xml:space="preserve">s of covenants, inaccuracy of representations or warranties, certain bankruptcy events, default in payment under or the acceleration of other indebtedness and certain change of control events. In the event of a default, subject to varying cure periods and </w:t>
      </w:r>
      <w:r>
        <w:rPr>
          <w:color w:val="000000"/>
          <w:sz w:val="20"/>
          <w:szCs w:val="20"/>
        </w:rPr>
        <w:t>rights for certain events of default, the required lenders may, at their option, declare the commitments to fund the credit facility to be terminated.</w:t>
      </w:r>
    </w:p>
    <w:p w14:paraId="7058F46D"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Company’s obligations under the credit facility are guaranteed by certain of the Company’s existing a</w:t>
      </w:r>
      <w:r>
        <w:rPr>
          <w:color w:val="000000"/>
          <w:sz w:val="20"/>
          <w:szCs w:val="20"/>
        </w:rPr>
        <w:t>nd future direct and indirect subsidiaries, and such obligations are secured by substantially all of the Company’s assets, including the capital stock or other equity interests in those subsidiaries.</w:t>
      </w:r>
    </w:p>
    <w:p w14:paraId="1FA5DF94"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Prior Senior Secured Credit Facility</w:t>
      </w:r>
      <w:r>
        <w:rPr>
          <w:color w:val="000000"/>
          <w:sz w:val="20"/>
          <w:szCs w:val="20"/>
        </w:rPr>
        <w:t xml:space="preserve">—As of December 31, </w:t>
      </w:r>
      <w:r>
        <w:rPr>
          <w:color w:val="000000"/>
          <w:sz w:val="20"/>
          <w:szCs w:val="20"/>
        </w:rPr>
        <w:t xml:space="preserve">2019, the Company’s Prior Senior Secured Credit Facility (the “Prior Senior Credit Facility”) consisted of a $50.0 million term loan and a $130.0 million revolving credit facility. </w:t>
      </w:r>
    </w:p>
    <w:p w14:paraId="397EEC7C"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Borrowings under the Credit Facility borne interest at either (i) LIBOR pl</w:t>
      </w:r>
      <w:r>
        <w:rPr>
          <w:color w:val="000000"/>
          <w:sz w:val="20"/>
          <w:szCs w:val="20"/>
        </w:rPr>
        <w:t>us the applicable margin or (ii) a base rate (equal to the highest of (a) the federal funds rate plus 0.5%, (b) Lender A’s prime rate and (c) Eurodollar Rate, which is based on LIBOR, (using a one-month period plus 1.0%), plus the applicable margin, as the</w:t>
      </w:r>
      <w:r>
        <w:rPr>
          <w:color w:val="000000"/>
          <w:sz w:val="20"/>
          <w:szCs w:val="20"/>
        </w:rPr>
        <w:t xml:space="preserve"> Company elects. The applicable margin means a percentage per annum determined in accordance with the following table as of December 31, 2019:</w:t>
      </w:r>
    </w:p>
    <w:p w14:paraId="554321F8" w14:textId="77777777" w:rsidR="00000000" w:rsidRDefault="007125B5">
      <w:pPr>
        <w:pStyle w:val="a3"/>
        <w:shd w:val="clear" w:color="auto" w:fill="FFFFFF"/>
        <w:spacing w:before="24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306"/>
      </w:tblGrid>
      <w:tr w:rsidR="00000000" w14:paraId="09DC971E" w14:textId="77777777">
        <w:trPr>
          <w:divId w:val="1084952892"/>
          <w:jc w:val="center"/>
        </w:trPr>
        <w:tc>
          <w:tcPr>
            <w:tcW w:w="0" w:type="auto"/>
            <w:vAlign w:val="center"/>
            <w:hideMark/>
          </w:tcPr>
          <w:p w14:paraId="0B7B0788" w14:textId="77777777" w:rsidR="00000000" w:rsidRDefault="007125B5">
            <w:pPr>
              <w:rPr>
                <w:sz w:val="20"/>
                <w:szCs w:val="20"/>
              </w:rPr>
            </w:pPr>
          </w:p>
        </w:tc>
      </w:tr>
    </w:tbl>
    <w:p w14:paraId="6E9E21E7" w14:textId="77777777" w:rsidR="00000000" w:rsidRDefault="007125B5">
      <w:pPr>
        <w:pStyle w:val="a3"/>
        <w:spacing w:before="240" w:beforeAutospacing="0" w:after="0" w:afterAutospacing="0"/>
        <w:jc w:val="center"/>
        <w:rPr>
          <w:sz w:val="20"/>
          <w:szCs w:val="20"/>
        </w:rPr>
      </w:pPr>
      <w:r>
        <w:rPr>
          <w:sz w:val="20"/>
          <w:szCs w:val="20"/>
        </w:rPr>
        <w:t>15</w:t>
      </w:r>
    </w:p>
    <w:p w14:paraId="43878A1D" w14:textId="77777777" w:rsidR="00000000" w:rsidRDefault="007125B5">
      <w:pPr>
        <w:rPr>
          <w:rFonts w:eastAsia="Times New Roman"/>
        </w:rPr>
      </w:pPr>
      <w:r>
        <w:rPr>
          <w:rFonts w:eastAsia="Times New Roman"/>
        </w:rPr>
        <w:pict w14:anchorId="63653457">
          <v:rect id="_x0000_i1041" style="width:415.3pt;height:1.5pt" o:hralign="center" o:hrstd="t" o:hr="t" fillcolor="#a0a0a0" stroked="f"/>
        </w:pict>
      </w:r>
    </w:p>
    <w:p w14:paraId="41CA434A"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119"/>
        <w:gridCol w:w="67"/>
        <w:gridCol w:w="1816"/>
        <w:gridCol w:w="68"/>
        <w:gridCol w:w="89"/>
        <w:gridCol w:w="833"/>
        <w:gridCol w:w="182"/>
        <w:gridCol w:w="68"/>
        <w:gridCol w:w="75"/>
        <w:gridCol w:w="719"/>
        <w:gridCol w:w="182"/>
        <w:gridCol w:w="68"/>
        <w:gridCol w:w="66"/>
        <w:gridCol w:w="728"/>
        <w:gridCol w:w="182"/>
        <w:gridCol w:w="68"/>
        <w:gridCol w:w="65"/>
        <w:gridCol w:w="729"/>
        <w:gridCol w:w="182"/>
      </w:tblGrid>
      <w:tr w:rsidR="00000000" w14:paraId="3ED06617" w14:textId="77777777">
        <w:trPr>
          <w:divId w:val="29036519"/>
          <w:jc w:val="center"/>
        </w:trPr>
        <w:tc>
          <w:tcPr>
            <w:tcW w:w="1295" w:type="pct"/>
            <w:tcBorders>
              <w:bottom w:val="single" w:sz="6" w:space="0" w:color="000000"/>
            </w:tcBorders>
            <w:shd w:val="clear" w:color="auto" w:fill="FFFFFF"/>
            <w:tcMar>
              <w:top w:w="15" w:type="dxa"/>
              <w:left w:w="0" w:type="dxa"/>
              <w:bottom w:w="0" w:type="dxa"/>
              <w:right w:w="15" w:type="dxa"/>
            </w:tcMar>
            <w:vAlign w:val="bottom"/>
            <w:hideMark/>
          </w:tcPr>
          <w:p w14:paraId="07845609" w14:textId="77777777" w:rsidR="00000000" w:rsidRDefault="007125B5">
            <w:pPr>
              <w:pStyle w:val="a3"/>
              <w:spacing w:before="0" w:beforeAutospacing="0" w:after="0" w:afterAutospacing="0"/>
              <w:rPr>
                <w:b/>
                <w:bCs/>
                <w:color w:val="000000"/>
                <w:sz w:val="16"/>
                <w:szCs w:val="16"/>
              </w:rPr>
            </w:pPr>
            <w:bookmarkStart w:id="29" w:name="_AEIOULastRenderedPageBreakAEIOU18"/>
            <w:bookmarkEnd w:id="29"/>
            <w:r>
              <w:rPr>
                <w:b/>
                <w:bCs/>
                <w:color w:val="000000"/>
                <w:sz w:val="16"/>
                <w:szCs w:val="16"/>
              </w:rPr>
              <w:t>Pricing Tier</w:t>
            </w:r>
          </w:p>
        </w:tc>
        <w:tc>
          <w:tcPr>
            <w:tcW w:w="62" w:type="pct"/>
            <w:shd w:val="clear" w:color="auto" w:fill="FFFFFF"/>
            <w:tcMar>
              <w:top w:w="15" w:type="dxa"/>
              <w:left w:w="0" w:type="dxa"/>
              <w:bottom w:w="0" w:type="dxa"/>
              <w:right w:w="15" w:type="dxa"/>
            </w:tcMar>
            <w:vAlign w:val="bottom"/>
            <w:hideMark/>
          </w:tcPr>
          <w:p w14:paraId="7AE55D2D"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1113" w:type="pct"/>
            <w:tcBorders>
              <w:bottom w:val="single" w:sz="6" w:space="0" w:color="000000"/>
            </w:tcBorders>
            <w:shd w:val="clear" w:color="auto" w:fill="FFFFFF"/>
            <w:tcMar>
              <w:top w:w="15" w:type="dxa"/>
              <w:left w:w="0" w:type="dxa"/>
              <w:bottom w:w="0" w:type="dxa"/>
              <w:right w:w="15" w:type="dxa"/>
            </w:tcMar>
            <w:vAlign w:val="bottom"/>
            <w:hideMark/>
          </w:tcPr>
          <w:p w14:paraId="4C34733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Consolidated</w:t>
            </w:r>
          </w:p>
          <w:p w14:paraId="133600F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Leverage Ratio</w:t>
            </w:r>
          </w:p>
        </w:tc>
        <w:tc>
          <w:tcPr>
            <w:tcW w:w="62" w:type="pct"/>
            <w:shd w:val="clear" w:color="auto" w:fill="FFFFFF"/>
            <w:tcMar>
              <w:top w:w="15" w:type="dxa"/>
              <w:left w:w="0" w:type="dxa"/>
              <w:bottom w:w="0" w:type="dxa"/>
              <w:right w:w="15" w:type="dxa"/>
            </w:tcMar>
            <w:vAlign w:val="bottom"/>
            <w:hideMark/>
          </w:tcPr>
          <w:p w14:paraId="19CEFB37"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3488226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Commitment</w:t>
            </w:r>
          </w:p>
          <w:p w14:paraId="659CB6D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Fee</w:t>
            </w:r>
          </w:p>
        </w:tc>
        <w:tc>
          <w:tcPr>
            <w:tcW w:w="50" w:type="pct"/>
            <w:shd w:val="clear" w:color="auto" w:fill="FFFFFF"/>
            <w:noWrap/>
            <w:tcMar>
              <w:top w:w="15" w:type="dxa"/>
              <w:left w:w="0" w:type="dxa"/>
              <w:bottom w:w="0" w:type="dxa"/>
              <w:right w:w="15" w:type="dxa"/>
            </w:tcMar>
            <w:vAlign w:val="bottom"/>
            <w:hideMark/>
          </w:tcPr>
          <w:p w14:paraId="481E2AE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48606B28"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35FBC0D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Eurodollar</w:t>
            </w:r>
          </w:p>
          <w:p w14:paraId="1620B8E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Rate Loans</w:t>
            </w:r>
          </w:p>
          <w:p w14:paraId="0061C7B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and LIBOR</w:t>
            </w:r>
          </w:p>
          <w:p w14:paraId="4236820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Letter of</w:t>
            </w:r>
          </w:p>
          <w:p w14:paraId="40263CC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Credit Fee</w:t>
            </w:r>
          </w:p>
        </w:tc>
        <w:tc>
          <w:tcPr>
            <w:tcW w:w="50" w:type="pct"/>
            <w:shd w:val="clear" w:color="auto" w:fill="FFFFFF"/>
            <w:noWrap/>
            <w:tcMar>
              <w:top w:w="15" w:type="dxa"/>
              <w:left w:w="0" w:type="dxa"/>
              <w:bottom w:w="0" w:type="dxa"/>
              <w:right w:w="15" w:type="dxa"/>
            </w:tcMar>
            <w:vAlign w:val="bottom"/>
            <w:hideMark/>
          </w:tcPr>
          <w:p w14:paraId="15F5788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051E9B28"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0233108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Daily</w:t>
            </w:r>
          </w:p>
          <w:p w14:paraId="7C0D80A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Floating</w:t>
            </w:r>
          </w:p>
          <w:p w14:paraId="2D0C70D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Rate Loans</w:t>
            </w:r>
          </w:p>
        </w:tc>
        <w:tc>
          <w:tcPr>
            <w:tcW w:w="50" w:type="pct"/>
            <w:shd w:val="clear" w:color="auto" w:fill="FFFFFF"/>
            <w:noWrap/>
            <w:tcMar>
              <w:top w:w="15" w:type="dxa"/>
              <w:left w:w="0" w:type="dxa"/>
              <w:bottom w:w="0" w:type="dxa"/>
              <w:right w:w="15" w:type="dxa"/>
            </w:tcMar>
            <w:vAlign w:val="bottom"/>
            <w:hideMark/>
          </w:tcPr>
          <w:p w14:paraId="5150C1B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22236CE2"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4414DBD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Rate</w:t>
            </w:r>
          </w:p>
          <w:p w14:paraId="6F419FD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Loans</w:t>
            </w:r>
          </w:p>
        </w:tc>
        <w:tc>
          <w:tcPr>
            <w:tcW w:w="50" w:type="pct"/>
            <w:shd w:val="clear" w:color="auto" w:fill="FFFFFF"/>
            <w:noWrap/>
            <w:tcMar>
              <w:top w:w="15" w:type="dxa"/>
              <w:left w:w="0" w:type="dxa"/>
              <w:bottom w:w="0" w:type="dxa"/>
              <w:right w:w="15" w:type="dxa"/>
            </w:tcMar>
            <w:vAlign w:val="bottom"/>
            <w:hideMark/>
          </w:tcPr>
          <w:p w14:paraId="439ED14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8DB0F4C" w14:textId="77777777">
        <w:trPr>
          <w:divId w:val="29036519"/>
          <w:jc w:val="center"/>
        </w:trPr>
        <w:tc>
          <w:tcPr>
            <w:tcW w:w="1295" w:type="pct"/>
            <w:tcBorders>
              <w:top w:val="single" w:sz="6" w:space="0" w:color="000000"/>
            </w:tcBorders>
            <w:shd w:val="clear" w:color="auto" w:fill="CFF0FC"/>
            <w:tcMar>
              <w:top w:w="15" w:type="dxa"/>
              <w:left w:w="0" w:type="dxa"/>
              <w:bottom w:w="0" w:type="dxa"/>
              <w:right w:w="15" w:type="dxa"/>
            </w:tcMar>
            <w:hideMark/>
          </w:tcPr>
          <w:p w14:paraId="5BE96881" w14:textId="77777777" w:rsidR="00000000" w:rsidRDefault="007125B5">
            <w:pPr>
              <w:pStyle w:val="a3"/>
              <w:spacing w:before="0" w:beforeAutospacing="0" w:after="0" w:afterAutospacing="0"/>
              <w:rPr>
                <w:color w:val="000000"/>
                <w:sz w:val="20"/>
                <w:szCs w:val="20"/>
              </w:rPr>
            </w:pPr>
            <w:r>
              <w:rPr>
                <w:color w:val="000000"/>
                <w:sz w:val="20"/>
                <w:szCs w:val="20"/>
              </w:rPr>
              <w:t>1</w:t>
            </w:r>
          </w:p>
        </w:tc>
        <w:tc>
          <w:tcPr>
            <w:tcW w:w="62" w:type="pct"/>
            <w:shd w:val="clear" w:color="auto" w:fill="CFF0FC"/>
            <w:tcMar>
              <w:top w:w="15" w:type="dxa"/>
              <w:left w:w="0" w:type="dxa"/>
              <w:bottom w:w="0" w:type="dxa"/>
              <w:right w:w="15" w:type="dxa"/>
            </w:tcMar>
            <w:vAlign w:val="bottom"/>
            <w:hideMark/>
          </w:tcPr>
          <w:p w14:paraId="245B092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tcBorders>
              <w:top w:val="single" w:sz="6" w:space="0" w:color="000000"/>
            </w:tcBorders>
            <w:shd w:val="clear" w:color="auto" w:fill="CFF0FC"/>
            <w:tcMar>
              <w:top w:w="15" w:type="dxa"/>
              <w:left w:w="0" w:type="dxa"/>
              <w:bottom w:w="0" w:type="dxa"/>
              <w:right w:w="15" w:type="dxa"/>
            </w:tcMar>
            <w:vAlign w:val="bottom"/>
            <w:hideMark/>
          </w:tcPr>
          <w:p w14:paraId="537A493F" w14:textId="77777777" w:rsidR="00000000" w:rsidRDefault="007125B5">
            <w:pPr>
              <w:pStyle w:val="a3"/>
              <w:spacing w:before="0" w:beforeAutospacing="0" w:after="0" w:afterAutospacing="0"/>
              <w:jc w:val="center"/>
              <w:rPr>
                <w:color w:val="000000"/>
                <w:sz w:val="20"/>
                <w:szCs w:val="20"/>
              </w:rPr>
            </w:pPr>
            <w:r>
              <w:rPr>
                <w:color w:val="000000"/>
                <w:sz w:val="20"/>
                <w:szCs w:val="20"/>
              </w:rPr>
              <w:t xml:space="preserve">&gt; </w:t>
            </w:r>
            <w:r>
              <w:rPr>
                <w:color w:val="000000"/>
                <w:sz w:val="20"/>
                <w:szCs w:val="20"/>
              </w:rPr>
              <w:t>3.75 to 1.0</w:t>
            </w:r>
          </w:p>
        </w:tc>
        <w:tc>
          <w:tcPr>
            <w:tcW w:w="62" w:type="pct"/>
            <w:shd w:val="clear" w:color="auto" w:fill="CFF0FC"/>
            <w:tcMar>
              <w:top w:w="15" w:type="dxa"/>
              <w:left w:w="0" w:type="dxa"/>
              <w:bottom w:w="0" w:type="dxa"/>
              <w:right w:w="15" w:type="dxa"/>
            </w:tcMar>
            <w:vAlign w:val="bottom"/>
            <w:hideMark/>
          </w:tcPr>
          <w:p w14:paraId="1558E54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61BF0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56E9186C" w14:textId="77777777" w:rsidR="00000000" w:rsidRDefault="007125B5">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CFF0FC"/>
            <w:noWrap/>
            <w:tcMar>
              <w:top w:w="15" w:type="dxa"/>
              <w:left w:w="0" w:type="dxa"/>
              <w:bottom w:w="0" w:type="dxa"/>
              <w:right w:w="15" w:type="dxa"/>
            </w:tcMar>
            <w:vAlign w:val="bottom"/>
            <w:hideMark/>
          </w:tcPr>
          <w:p w14:paraId="475AD4A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029C05D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9821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05409DE6" w14:textId="77777777" w:rsidR="00000000" w:rsidRDefault="007125B5">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14:paraId="1AF63E8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73C9567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0737D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45F65C38" w14:textId="77777777" w:rsidR="00000000" w:rsidRDefault="007125B5">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14:paraId="173CA8C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0D23013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F202D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696452AA" w14:textId="77777777" w:rsidR="00000000" w:rsidRDefault="007125B5">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48C42C0F"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C0F59C0" w14:textId="77777777">
        <w:trPr>
          <w:divId w:val="29036519"/>
          <w:jc w:val="center"/>
        </w:trPr>
        <w:tc>
          <w:tcPr>
            <w:tcW w:w="1295" w:type="pct"/>
            <w:shd w:val="clear" w:color="auto" w:fill="FFFFFF"/>
            <w:tcMar>
              <w:top w:w="15" w:type="dxa"/>
              <w:left w:w="0" w:type="dxa"/>
              <w:bottom w:w="0" w:type="dxa"/>
              <w:right w:w="15" w:type="dxa"/>
            </w:tcMar>
            <w:hideMark/>
          </w:tcPr>
          <w:p w14:paraId="76E693E6" w14:textId="77777777" w:rsidR="00000000" w:rsidRDefault="007125B5">
            <w:pPr>
              <w:pStyle w:val="a3"/>
              <w:spacing w:before="0" w:beforeAutospacing="0" w:after="0" w:afterAutospacing="0"/>
              <w:rPr>
                <w:color w:val="000000"/>
                <w:sz w:val="20"/>
                <w:szCs w:val="20"/>
              </w:rPr>
            </w:pPr>
            <w:r>
              <w:rPr>
                <w:color w:val="000000"/>
                <w:sz w:val="20"/>
                <w:szCs w:val="20"/>
              </w:rPr>
              <w:t>2</w:t>
            </w:r>
          </w:p>
        </w:tc>
        <w:tc>
          <w:tcPr>
            <w:tcW w:w="62" w:type="pct"/>
            <w:shd w:val="clear" w:color="auto" w:fill="FFFFFF"/>
            <w:tcMar>
              <w:top w:w="15" w:type="dxa"/>
              <w:left w:w="0" w:type="dxa"/>
              <w:bottom w:w="0" w:type="dxa"/>
              <w:right w:w="15" w:type="dxa"/>
            </w:tcMar>
            <w:vAlign w:val="bottom"/>
            <w:hideMark/>
          </w:tcPr>
          <w:p w14:paraId="06C4CEB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14:paraId="473B65E6" w14:textId="77777777" w:rsidR="00000000" w:rsidRDefault="007125B5">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w:t>
            </w:r>
            <w:r>
              <w:rPr>
                <w:rFonts w:ascii="Calibri" w:hAnsi="Calibri" w:cs="Calibri"/>
                <w:color w:val="000000"/>
                <w:sz w:val="20"/>
                <w:szCs w:val="20"/>
              </w:rPr>
              <w:t xml:space="preserve"> </w:t>
            </w:r>
            <w:r>
              <w:rPr>
                <w:color w:val="000000"/>
                <w:sz w:val="20"/>
                <w:szCs w:val="20"/>
              </w:rPr>
              <w:t>3.75 to 1.0 but &gt; 3.00 to 1.0</w:t>
            </w:r>
          </w:p>
        </w:tc>
        <w:tc>
          <w:tcPr>
            <w:tcW w:w="62" w:type="pct"/>
            <w:shd w:val="clear" w:color="auto" w:fill="FFFFFF"/>
            <w:tcMar>
              <w:top w:w="15" w:type="dxa"/>
              <w:left w:w="0" w:type="dxa"/>
              <w:bottom w:w="0" w:type="dxa"/>
              <w:right w:w="15" w:type="dxa"/>
            </w:tcMar>
            <w:vAlign w:val="bottom"/>
            <w:hideMark/>
          </w:tcPr>
          <w:p w14:paraId="4CC1087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6E83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3EC68052" w14:textId="77777777" w:rsidR="00000000" w:rsidRDefault="007125B5">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FFFFFF"/>
            <w:noWrap/>
            <w:tcMar>
              <w:top w:w="15" w:type="dxa"/>
              <w:left w:w="0" w:type="dxa"/>
              <w:bottom w:w="0" w:type="dxa"/>
              <w:right w:w="15" w:type="dxa"/>
            </w:tcMar>
            <w:vAlign w:val="bottom"/>
            <w:hideMark/>
          </w:tcPr>
          <w:p w14:paraId="60358FF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01E20B0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CE83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28A820A0" w14:textId="77777777" w:rsidR="00000000" w:rsidRDefault="007125B5">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14:paraId="54F858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5666ABD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DC26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07CE7D03" w14:textId="77777777" w:rsidR="00000000" w:rsidRDefault="007125B5">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14:paraId="179E9B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3AD0CA0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E292A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6D2202E3" w14:textId="77777777" w:rsidR="00000000" w:rsidRDefault="007125B5">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14:paraId="4CD5AB0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94EB853" w14:textId="77777777">
        <w:trPr>
          <w:divId w:val="29036519"/>
          <w:jc w:val="center"/>
        </w:trPr>
        <w:tc>
          <w:tcPr>
            <w:tcW w:w="1295" w:type="pct"/>
            <w:shd w:val="clear" w:color="auto" w:fill="CFF0FC"/>
            <w:tcMar>
              <w:top w:w="15" w:type="dxa"/>
              <w:left w:w="0" w:type="dxa"/>
              <w:bottom w:w="0" w:type="dxa"/>
              <w:right w:w="15" w:type="dxa"/>
            </w:tcMar>
            <w:hideMark/>
          </w:tcPr>
          <w:p w14:paraId="33F300A7" w14:textId="77777777" w:rsidR="00000000" w:rsidRDefault="007125B5">
            <w:pPr>
              <w:pStyle w:val="a3"/>
              <w:spacing w:before="0" w:beforeAutospacing="0" w:after="0" w:afterAutospacing="0"/>
              <w:rPr>
                <w:color w:val="000000"/>
                <w:sz w:val="20"/>
                <w:szCs w:val="20"/>
              </w:rPr>
            </w:pPr>
            <w:r>
              <w:rPr>
                <w:color w:val="000000"/>
                <w:sz w:val="20"/>
                <w:szCs w:val="20"/>
              </w:rPr>
              <w:t>3</w:t>
            </w:r>
          </w:p>
        </w:tc>
        <w:tc>
          <w:tcPr>
            <w:tcW w:w="62" w:type="pct"/>
            <w:shd w:val="clear" w:color="auto" w:fill="CFF0FC"/>
            <w:tcMar>
              <w:top w:w="15" w:type="dxa"/>
              <w:left w:w="0" w:type="dxa"/>
              <w:bottom w:w="0" w:type="dxa"/>
              <w:right w:w="15" w:type="dxa"/>
            </w:tcMar>
            <w:vAlign w:val="bottom"/>
            <w:hideMark/>
          </w:tcPr>
          <w:p w14:paraId="0C6CE1B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CFF0FC"/>
            <w:tcMar>
              <w:top w:w="15" w:type="dxa"/>
              <w:left w:w="0" w:type="dxa"/>
              <w:bottom w:w="0" w:type="dxa"/>
              <w:right w:w="15" w:type="dxa"/>
            </w:tcMar>
            <w:vAlign w:val="bottom"/>
            <w:hideMark/>
          </w:tcPr>
          <w:p w14:paraId="481BAAD4" w14:textId="77777777" w:rsidR="00000000" w:rsidRDefault="007125B5">
            <w:pPr>
              <w:pStyle w:val="a3"/>
              <w:spacing w:before="0" w:beforeAutospacing="0" w:after="0" w:afterAutospacing="0"/>
              <w:jc w:val="center"/>
              <w:rPr>
                <w:color w:val="000000"/>
                <w:sz w:val="20"/>
                <w:szCs w:val="20"/>
              </w:rPr>
            </w:pPr>
            <w:r>
              <w:rPr>
                <w:color w:val="000000"/>
                <w:sz w:val="20"/>
                <w:szCs w:val="20"/>
              </w:rPr>
              <w:t>≤</w:t>
            </w:r>
            <w:r>
              <w:rPr>
                <w:color w:val="000000"/>
                <w:sz w:val="20"/>
                <w:szCs w:val="20"/>
              </w:rPr>
              <w:t xml:space="preserve"> 3.00 to 1.0 but &gt; 2.25 to 1.0</w:t>
            </w:r>
          </w:p>
        </w:tc>
        <w:tc>
          <w:tcPr>
            <w:tcW w:w="62" w:type="pct"/>
            <w:shd w:val="clear" w:color="auto" w:fill="CFF0FC"/>
            <w:tcMar>
              <w:top w:w="15" w:type="dxa"/>
              <w:left w:w="0" w:type="dxa"/>
              <w:bottom w:w="0" w:type="dxa"/>
              <w:right w:w="15" w:type="dxa"/>
            </w:tcMar>
            <w:vAlign w:val="bottom"/>
            <w:hideMark/>
          </w:tcPr>
          <w:p w14:paraId="68756B3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9E31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7ED95CBB" w14:textId="77777777" w:rsidR="00000000" w:rsidRDefault="007125B5">
            <w:pPr>
              <w:pStyle w:val="a3"/>
              <w:spacing w:before="0" w:beforeAutospacing="0" w:after="0" w:afterAutospacing="0"/>
              <w:jc w:val="right"/>
              <w:rPr>
                <w:color w:val="000000"/>
                <w:sz w:val="20"/>
                <w:szCs w:val="20"/>
              </w:rPr>
            </w:pPr>
            <w:r>
              <w:rPr>
                <w:color w:val="000000"/>
                <w:sz w:val="20"/>
                <w:szCs w:val="20"/>
              </w:rPr>
              <w:t>0.40</w:t>
            </w:r>
          </w:p>
        </w:tc>
        <w:tc>
          <w:tcPr>
            <w:tcW w:w="50" w:type="pct"/>
            <w:shd w:val="clear" w:color="auto" w:fill="CFF0FC"/>
            <w:noWrap/>
            <w:tcMar>
              <w:top w:w="15" w:type="dxa"/>
              <w:left w:w="0" w:type="dxa"/>
              <w:bottom w:w="0" w:type="dxa"/>
              <w:right w:w="15" w:type="dxa"/>
            </w:tcMar>
            <w:vAlign w:val="bottom"/>
            <w:hideMark/>
          </w:tcPr>
          <w:p w14:paraId="73C773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45B7775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6ACE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5E879CE9" w14:textId="77777777" w:rsidR="00000000" w:rsidRDefault="007125B5">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139B7D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4F1FC0B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31BB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5EF8907E" w14:textId="77777777" w:rsidR="00000000" w:rsidRDefault="007125B5">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00CC0C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2F0E95E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995E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5FCF8C01" w14:textId="77777777" w:rsidR="00000000" w:rsidRDefault="007125B5">
            <w:pPr>
              <w:pStyle w:val="a3"/>
              <w:spacing w:before="0" w:beforeAutospacing="0" w:after="0" w:afterAutospacing="0"/>
              <w:jc w:val="right"/>
              <w:rPr>
                <w:color w:val="000000"/>
                <w:sz w:val="20"/>
                <w:szCs w:val="20"/>
              </w:rPr>
            </w:pPr>
            <w:r>
              <w:rPr>
                <w:color w:val="000000"/>
                <w:sz w:val="20"/>
                <w:szCs w:val="20"/>
              </w:rPr>
              <w:t>2.00</w:t>
            </w:r>
          </w:p>
        </w:tc>
        <w:tc>
          <w:tcPr>
            <w:tcW w:w="50" w:type="pct"/>
            <w:shd w:val="clear" w:color="auto" w:fill="CFF0FC"/>
            <w:noWrap/>
            <w:tcMar>
              <w:top w:w="15" w:type="dxa"/>
              <w:left w:w="0" w:type="dxa"/>
              <w:bottom w:w="0" w:type="dxa"/>
              <w:right w:w="15" w:type="dxa"/>
            </w:tcMar>
            <w:vAlign w:val="bottom"/>
            <w:hideMark/>
          </w:tcPr>
          <w:p w14:paraId="383AF82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77F0A11" w14:textId="77777777">
        <w:trPr>
          <w:divId w:val="29036519"/>
          <w:jc w:val="center"/>
        </w:trPr>
        <w:tc>
          <w:tcPr>
            <w:tcW w:w="1295" w:type="pct"/>
            <w:shd w:val="clear" w:color="auto" w:fill="FFFFFF"/>
            <w:tcMar>
              <w:top w:w="15" w:type="dxa"/>
              <w:left w:w="0" w:type="dxa"/>
              <w:bottom w:w="0" w:type="dxa"/>
              <w:right w:w="15" w:type="dxa"/>
            </w:tcMar>
            <w:hideMark/>
          </w:tcPr>
          <w:p w14:paraId="6C021EEB" w14:textId="77777777" w:rsidR="00000000" w:rsidRDefault="007125B5">
            <w:pPr>
              <w:pStyle w:val="a3"/>
              <w:spacing w:before="0" w:beforeAutospacing="0" w:after="0" w:afterAutospacing="0"/>
              <w:rPr>
                <w:color w:val="000000"/>
                <w:sz w:val="20"/>
                <w:szCs w:val="20"/>
              </w:rPr>
            </w:pPr>
            <w:r>
              <w:rPr>
                <w:color w:val="000000"/>
                <w:sz w:val="20"/>
                <w:szCs w:val="20"/>
              </w:rPr>
              <w:t>4</w:t>
            </w:r>
          </w:p>
        </w:tc>
        <w:tc>
          <w:tcPr>
            <w:tcW w:w="62" w:type="pct"/>
            <w:shd w:val="clear" w:color="auto" w:fill="FFFFFF"/>
            <w:tcMar>
              <w:top w:w="15" w:type="dxa"/>
              <w:left w:w="0" w:type="dxa"/>
              <w:bottom w:w="0" w:type="dxa"/>
              <w:right w:w="15" w:type="dxa"/>
            </w:tcMar>
            <w:vAlign w:val="bottom"/>
            <w:hideMark/>
          </w:tcPr>
          <w:p w14:paraId="2869044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14:paraId="5FD4CDDC" w14:textId="77777777" w:rsidR="00000000" w:rsidRDefault="007125B5">
            <w:pPr>
              <w:pStyle w:val="a3"/>
              <w:spacing w:before="0" w:beforeAutospacing="0" w:after="0" w:afterAutospacing="0"/>
              <w:jc w:val="center"/>
              <w:rPr>
                <w:color w:val="000000"/>
                <w:sz w:val="20"/>
                <w:szCs w:val="20"/>
              </w:rPr>
            </w:pPr>
            <w:r>
              <w:rPr>
                <w:color w:val="000000"/>
                <w:sz w:val="20"/>
                <w:szCs w:val="20"/>
              </w:rPr>
              <w:t>&lt; 2.25 to 1.0</w:t>
            </w:r>
          </w:p>
        </w:tc>
        <w:tc>
          <w:tcPr>
            <w:tcW w:w="62" w:type="pct"/>
            <w:shd w:val="clear" w:color="auto" w:fill="FFFFFF"/>
            <w:tcMar>
              <w:top w:w="15" w:type="dxa"/>
              <w:left w:w="0" w:type="dxa"/>
              <w:bottom w:w="0" w:type="dxa"/>
              <w:right w:w="15" w:type="dxa"/>
            </w:tcMar>
            <w:vAlign w:val="bottom"/>
            <w:hideMark/>
          </w:tcPr>
          <w:p w14:paraId="01EA5D1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032C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6FDB8E31" w14:textId="77777777" w:rsidR="00000000" w:rsidRDefault="007125B5">
            <w:pPr>
              <w:pStyle w:val="a3"/>
              <w:spacing w:before="0" w:beforeAutospacing="0" w:after="0" w:afterAutospacing="0"/>
              <w:jc w:val="right"/>
              <w:rPr>
                <w:color w:val="000000"/>
                <w:sz w:val="20"/>
                <w:szCs w:val="20"/>
              </w:rPr>
            </w:pPr>
            <w:r>
              <w:rPr>
                <w:color w:val="000000"/>
                <w:sz w:val="20"/>
                <w:szCs w:val="20"/>
              </w:rPr>
              <w:t>0.30</w:t>
            </w:r>
          </w:p>
        </w:tc>
        <w:tc>
          <w:tcPr>
            <w:tcW w:w="50" w:type="pct"/>
            <w:shd w:val="clear" w:color="auto" w:fill="FFFFFF"/>
            <w:noWrap/>
            <w:tcMar>
              <w:top w:w="15" w:type="dxa"/>
              <w:left w:w="0" w:type="dxa"/>
              <w:bottom w:w="0" w:type="dxa"/>
              <w:right w:w="15" w:type="dxa"/>
            </w:tcMar>
            <w:vAlign w:val="bottom"/>
            <w:hideMark/>
          </w:tcPr>
          <w:p w14:paraId="54EAE2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51F0629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03640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3321D962" w14:textId="77777777" w:rsidR="00000000" w:rsidRDefault="007125B5">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14:paraId="349D40D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0FCD79C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C6BD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5B6B9BB7" w14:textId="77777777" w:rsidR="00000000" w:rsidRDefault="007125B5">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14:paraId="4A4191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506C239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9D94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3B4DFB0D" w14:textId="77777777" w:rsidR="00000000" w:rsidRDefault="007125B5">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14:paraId="39A4EF59"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2FB1F4C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As of December 31, 2019, the Company fell within Pricing Tier 2 and the Company was subject to a fixed charge coverage ratio of greater than 1.25 and a consolidated total leverage ratio of lower than 4.00. The w</w:t>
      </w:r>
      <w:r>
        <w:rPr>
          <w:color w:val="000000"/>
          <w:sz w:val="20"/>
          <w:szCs w:val="20"/>
        </w:rPr>
        <w:t>eighted average interest rate on the Prior Senior Credit Facility as of March 31, 2020 was 4.95%.</w:t>
      </w:r>
    </w:p>
    <w:p w14:paraId="5907945C"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Prior Senior Secured Credit Facility was repaid in full on April 13, 2020 via proceeds from the issuance of the New Credit Facility. The resulting loss on extinguishment amounted to $1.4 million, of which $0.4 million was related to fees paid and $1.0 </w:t>
      </w:r>
      <w:r>
        <w:rPr>
          <w:color w:val="000000"/>
          <w:sz w:val="20"/>
          <w:szCs w:val="20"/>
        </w:rPr>
        <w:t>related to unamortized debt issuance costs. Total loss on extinguishment is recorded in interest expense-net within the condensed consolidated statement of operations for the three and six months ended June 30, 2020.</w:t>
      </w:r>
    </w:p>
    <w:p w14:paraId="12D37E1E"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Equipment Line of Credit</w:t>
      </w:r>
      <w:r>
        <w:rPr>
          <w:color w:val="000000"/>
          <w:sz w:val="20"/>
          <w:szCs w:val="20"/>
        </w:rPr>
        <w:t>—On March 12, 2</w:t>
      </w:r>
      <w:r>
        <w:rPr>
          <w:color w:val="000000"/>
          <w:sz w:val="20"/>
          <w:szCs w:val="20"/>
        </w:rPr>
        <w:t xml:space="preserve">019, the Company increased its equipment line of credit facility for the purchase of equipment and related freight, installation costs and taxes paid for an additional amount not to exceed $2.0 million. On May 16, 2019, the Company entered into a Canadian </w:t>
      </w:r>
      <w:r>
        <w:rPr>
          <w:color w:val="000000"/>
          <w:sz w:val="20"/>
          <w:szCs w:val="20"/>
        </w:rPr>
        <w:t>equipment line of credit facility for an amount not to exceed $1.0 million Canadian dollars. Interest on the line of credit is determined based on a three-year swap rate at the time of funding.</w:t>
      </w:r>
    </w:p>
    <w:p w14:paraId="5699FF91" w14:textId="77777777" w:rsidR="00000000" w:rsidRDefault="007125B5">
      <w:pPr>
        <w:pStyle w:val="a3"/>
        <w:shd w:val="clear" w:color="auto" w:fill="FFFFFF"/>
        <w:spacing w:before="240" w:beforeAutospacing="0" w:after="0" w:afterAutospacing="0"/>
        <w:ind w:firstLine="556"/>
        <w:rPr>
          <w:b/>
          <w:bCs/>
          <w:color w:val="000000"/>
          <w:sz w:val="20"/>
          <w:szCs w:val="20"/>
        </w:rPr>
      </w:pPr>
      <w:bookmarkStart w:id="30" w:name="_Hlk47014280"/>
      <w:r>
        <w:rPr>
          <w:b/>
          <w:bCs/>
          <w:color w:val="000000"/>
          <w:sz w:val="20"/>
          <w:szCs w:val="20"/>
        </w:rPr>
        <w:t>Capital Lease Obligations</w:t>
      </w:r>
      <w:r>
        <w:rPr>
          <w:color w:val="000000"/>
          <w:sz w:val="20"/>
          <w:szCs w:val="20"/>
        </w:rPr>
        <w:t>—</w:t>
      </w:r>
      <w:r>
        <w:rPr>
          <w:color w:val="000000"/>
          <w:sz w:val="20"/>
          <w:szCs w:val="20"/>
        </w:rPr>
        <w:t>The assets and liabilities under capital lease agreements are recorded at the lower of the present value of the minimum lease payments or the fair value of the asset. The assets are being amortized over the shorter of their related lease terms or their est</w:t>
      </w:r>
      <w:r>
        <w:rPr>
          <w:color w:val="000000"/>
          <w:sz w:val="20"/>
          <w:szCs w:val="20"/>
        </w:rPr>
        <w:t>imated useful lives ranging from four to six years. The gross amount of assets under capital leases as of June 30, 2020 and December 31, 2019 was $7.3 </w:t>
      </w:r>
      <w:bookmarkEnd w:id="30"/>
      <w:r>
        <w:rPr>
          <w:color w:val="000000"/>
          <w:sz w:val="20"/>
          <w:szCs w:val="20"/>
        </w:rPr>
        <w:t>million and $6.9 million, respectively. The amortization of assets under capital leases was $0.6 million </w:t>
      </w:r>
      <w:r>
        <w:rPr>
          <w:color w:val="000000"/>
          <w:sz w:val="20"/>
          <w:szCs w:val="20"/>
        </w:rPr>
        <w:t>and $1.1 million for the three and six months ended June 30, 2020, respectively and $0.3 million and $0.6 million for the three and six months ended June 30, 2019, respectively and was included in depreciation and amortization on the condensed consolidated</w:t>
      </w:r>
      <w:r>
        <w:rPr>
          <w:color w:val="000000"/>
          <w:sz w:val="20"/>
          <w:szCs w:val="20"/>
        </w:rPr>
        <w:t xml:space="preserve"> statements of operations. All capital leases (including those purchased through the Company’s equipment line of credit) mature by 2025 as follows:</w:t>
      </w:r>
    </w:p>
    <w:p w14:paraId="6CEE4021"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806"/>
        <w:gridCol w:w="74"/>
        <w:gridCol w:w="116"/>
        <w:gridCol w:w="698"/>
        <w:gridCol w:w="65"/>
        <w:gridCol w:w="65"/>
        <w:gridCol w:w="116"/>
        <w:gridCol w:w="697"/>
        <w:gridCol w:w="65"/>
        <w:gridCol w:w="65"/>
        <w:gridCol w:w="116"/>
        <w:gridCol w:w="697"/>
        <w:gridCol w:w="65"/>
      </w:tblGrid>
      <w:tr w:rsidR="00000000" w14:paraId="1E11E84A" w14:textId="77777777">
        <w:trPr>
          <w:divId w:val="1597593493"/>
          <w:jc w:val="center"/>
        </w:trPr>
        <w:tc>
          <w:tcPr>
            <w:tcW w:w="2874" w:type="pct"/>
            <w:tcBorders>
              <w:bottom w:val="single" w:sz="6" w:space="0" w:color="000000"/>
            </w:tcBorders>
            <w:shd w:val="clear" w:color="auto" w:fill="FFFFFF"/>
            <w:tcMar>
              <w:top w:w="15" w:type="dxa"/>
              <w:left w:w="0" w:type="dxa"/>
              <w:bottom w:w="0" w:type="dxa"/>
              <w:right w:w="15" w:type="dxa"/>
            </w:tcMar>
            <w:vAlign w:val="bottom"/>
            <w:hideMark/>
          </w:tcPr>
          <w:p w14:paraId="0B1F25C2" w14:textId="77777777" w:rsidR="00000000" w:rsidRDefault="007125B5">
            <w:pPr>
              <w:pStyle w:val="a3"/>
              <w:spacing w:before="0" w:beforeAutospacing="0" w:after="0" w:afterAutospacing="0"/>
              <w:rPr>
                <w:b/>
                <w:bCs/>
                <w:color w:val="000000"/>
                <w:sz w:val="16"/>
                <w:szCs w:val="16"/>
              </w:rPr>
            </w:pPr>
            <w:r>
              <w:rPr>
                <w:b/>
                <w:bCs/>
                <w:color w:val="000000"/>
                <w:sz w:val="16"/>
                <w:szCs w:val="16"/>
              </w:rPr>
              <w:t>June 30,</w:t>
            </w:r>
          </w:p>
        </w:tc>
        <w:tc>
          <w:tcPr>
            <w:tcW w:w="69" w:type="pct"/>
            <w:shd w:val="clear" w:color="auto" w:fill="FFFFFF"/>
            <w:tcMar>
              <w:top w:w="15" w:type="dxa"/>
              <w:left w:w="0" w:type="dxa"/>
              <w:bottom w:w="0" w:type="dxa"/>
              <w:right w:w="15" w:type="dxa"/>
            </w:tcMar>
            <w:vAlign w:val="bottom"/>
            <w:hideMark/>
          </w:tcPr>
          <w:p w14:paraId="44F8290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7F4A585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Payments</w:t>
            </w:r>
          </w:p>
        </w:tc>
        <w:tc>
          <w:tcPr>
            <w:tcW w:w="50" w:type="pct"/>
            <w:shd w:val="clear" w:color="auto" w:fill="FFFFFF"/>
            <w:noWrap/>
            <w:tcMar>
              <w:top w:w="15" w:type="dxa"/>
              <w:left w:w="0" w:type="dxa"/>
              <w:bottom w:w="0" w:type="dxa"/>
              <w:right w:w="15" w:type="dxa"/>
            </w:tcMar>
            <w:vAlign w:val="bottom"/>
            <w:hideMark/>
          </w:tcPr>
          <w:p w14:paraId="622CE6C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14:paraId="6F9EA8B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34BBBD2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Interest</w:t>
            </w:r>
          </w:p>
        </w:tc>
        <w:tc>
          <w:tcPr>
            <w:tcW w:w="50" w:type="pct"/>
            <w:shd w:val="clear" w:color="auto" w:fill="FFFFFF"/>
            <w:noWrap/>
            <w:tcMar>
              <w:top w:w="15" w:type="dxa"/>
              <w:left w:w="0" w:type="dxa"/>
              <w:bottom w:w="0" w:type="dxa"/>
              <w:right w:w="15" w:type="dxa"/>
            </w:tcMar>
            <w:vAlign w:val="bottom"/>
            <w:hideMark/>
          </w:tcPr>
          <w:p w14:paraId="2153D25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14:paraId="27B9194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030C02E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Principal</w:t>
            </w:r>
          </w:p>
        </w:tc>
        <w:tc>
          <w:tcPr>
            <w:tcW w:w="50" w:type="pct"/>
            <w:shd w:val="clear" w:color="auto" w:fill="FFFFFF"/>
            <w:noWrap/>
            <w:tcMar>
              <w:top w:w="15" w:type="dxa"/>
              <w:left w:w="0" w:type="dxa"/>
              <w:bottom w:w="0" w:type="dxa"/>
              <w:right w:w="15" w:type="dxa"/>
            </w:tcMar>
            <w:vAlign w:val="bottom"/>
            <w:hideMark/>
          </w:tcPr>
          <w:p w14:paraId="7ED720C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74AED2BA" w14:textId="77777777">
        <w:trPr>
          <w:divId w:val="1597593493"/>
          <w:jc w:val="center"/>
        </w:trPr>
        <w:tc>
          <w:tcPr>
            <w:tcW w:w="2874" w:type="pct"/>
            <w:tcBorders>
              <w:top w:val="single" w:sz="6" w:space="0" w:color="000000"/>
            </w:tcBorders>
            <w:shd w:val="clear" w:color="auto" w:fill="CFF0FC"/>
            <w:tcMar>
              <w:top w:w="15" w:type="dxa"/>
              <w:left w:w="0" w:type="dxa"/>
              <w:bottom w:w="0" w:type="dxa"/>
              <w:right w:w="15" w:type="dxa"/>
            </w:tcMar>
            <w:hideMark/>
          </w:tcPr>
          <w:p w14:paraId="30090F83" w14:textId="77777777" w:rsidR="00000000" w:rsidRDefault="007125B5">
            <w:pPr>
              <w:pStyle w:val="a3"/>
              <w:spacing w:before="0" w:beforeAutospacing="0" w:after="0" w:afterAutospacing="0"/>
              <w:rPr>
                <w:color w:val="000000"/>
                <w:sz w:val="20"/>
                <w:szCs w:val="20"/>
              </w:rPr>
            </w:pPr>
            <w:r>
              <w:rPr>
                <w:color w:val="000000"/>
                <w:sz w:val="20"/>
                <w:szCs w:val="20"/>
              </w:rPr>
              <w:t>2021</w:t>
            </w:r>
          </w:p>
        </w:tc>
        <w:tc>
          <w:tcPr>
            <w:tcW w:w="69" w:type="pct"/>
            <w:shd w:val="clear" w:color="auto" w:fill="CFF0FC"/>
            <w:tcMar>
              <w:top w:w="15" w:type="dxa"/>
              <w:left w:w="0" w:type="dxa"/>
              <w:bottom w:w="0" w:type="dxa"/>
              <w:right w:w="15" w:type="dxa"/>
            </w:tcMar>
            <w:vAlign w:val="bottom"/>
            <w:hideMark/>
          </w:tcPr>
          <w:p w14:paraId="66A4EA0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B22B4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51328FB1" w14:textId="77777777" w:rsidR="00000000" w:rsidRDefault="007125B5">
            <w:pPr>
              <w:pStyle w:val="a3"/>
              <w:spacing w:before="0" w:beforeAutospacing="0" w:after="0" w:afterAutospacing="0"/>
              <w:jc w:val="right"/>
              <w:rPr>
                <w:color w:val="000000"/>
                <w:sz w:val="20"/>
                <w:szCs w:val="20"/>
              </w:rPr>
            </w:pPr>
            <w:r>
              <w:rPr>
                <w:color w:val="000000"/>
                <w:sz w:val="20"/>
                <w:szCs w:val="20"/>
              </w:rPr>
              <w:t>2,863</w:t>
            </w:r>
          </w:p>
        </w:tc>
        <w:tc>
          <w:tcPr>
            <w:tcW w:w="50" w:type="pct"/>
            <w:shd w:val="clear" w:color="auto" w:fill="CFF0FC"/>
            <w:noWrap/>
            <w:tcMar>
              <w:top w:w="15" w:type="dxa"/>
              <w:left w:w="0" w:type="dxa"/>
              <w:bottom w:w="0" w:type="dxa"/>
              <w:right w:w="15" w:type="dxa"/>
            </w:tcMar>
            <w:vAlign w:val="bottom"/>
            <w:hideMark/>
          </w:tcPr>
          <w:p w14:paraId="1BBF57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169795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580D5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5D0567E0" w14:textId="77777777" w:rsidR="00000000" w:rsidRDefault="007125B5">
            <w:pPr>
              <w:pStyle w:val="a3"/>
              <w:spacing w:before="0" w:beforeAutospacing="0" w:after="0" w:afterAutospacing="0"/>
              <w:jc w:val="right"/>
              <w:rPr>
                <w:color w:val="000000"/>
                <w:sz w:val="20"/>
                <w:szCs w:val="20"/>
              </w:rPr>
            </w:pPr>
            <w:r>
              <w:rPr>
                <w:color w:val="000000"/>
                <w:sz w:val="20"/>
                <w:szCs w:val="20"/>
              </w:rPr>
              <w:t>397</w:t>
            </w:r>
          </w:p>
        </w:tc>
        <w:tc>
          <w:tcPr>
            <w:tcW w:w="50" w:type="pct"/>
            <w:shd w:val="clear" w:color="auto" w:fill="CFF0FC"/>
            <w:noWrap/>
            <w:tcMar>
              <w:top w:w="15" w:type="dxa"/>
              <w:left w:w="0" w:type="dxa"/>
              <w:bottom w:w="0" w:type="dxa"/>
              <w:right w:w="15" w:type="dxa"/>
            </w:tcMar>
            <w:vAlign w:val="bottom"/>
            <w:hideMark/>
          </w:tcPr>
          <w:p w14:paraId="336ED3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3DC6918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C9F05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2F15FC98" w14:textId="77777777" w:rsidR="00000000" w:rsidRDefault="007125B5">
            <w:pPr>
              <w:pStyle w:val="a3"/>
              <w:spacing w:before="0" w:beforeAutospacing="0" w:after="0" w:afterAutospacing="0"/>
              <w:jc w:val="right"/>
              <w:rPr>
                <w:color w:val="000000"/>
                <w:sz w:val="20"/>
                <w:szCs w:val="20"/>
              </w:rPr>
            </w:pPr>
            <w:r>
              <w:rPr>
                <w:color w:val="000000"/>
                <w:sz w:val="20"/>
                <w:szCs w:val="20"/>
              </w:rPr>
              <w:t>2,466</w:t>
            </w:r>
          </w:p>
        </w:tc>
        <w:tc>
          <w:tcPr>
            <w:tcW w:w="50" w:type="pct"/>
            <w:shd w:val="clear" w:color="auto" w:fill="CFF0FC"/>
            <w:noWrap/>
            <w:tcMar>
              <w:top w:w="15" w:type="dxa"/>
              <w:left w:w="0" w:type="dxa"/>
              <w:bottom w:w="0" w:type="dxa"/>
              <w:right w:w="15" w:type="dxa"/>
            </w:tcMar>
            <w:vAlign w:val="bottom"/>
            <w:hideMark/>
          </w:tcPr>
          <w:p w14:paraId="7988158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D32C8FC" w14:textId="77777777">
        <w:trPr>
          <w:divId w:val="1597593493"/>
          <w:jc w:val="center"/>
        </w:trPr>
        <w:tc>
          <w:tcPr>
            <w:tcW w:w="2874" w:type="pct"/>
            <w:shd w:val="clear" w:color="auto" w:fill="FFFFFF"/>
            <w:tcMar>
              <w:top w:w="15" w:type="dxa"/>
              <w:left w:w="0" w:type="dxa"/>
              <w:bottom w:w="0" w:type="dxa"/>
              <w:right w:w="15" w:type="dxa"/>
            </w:tcMar>
            <w:hideMark/>
          </w:tcPr>
          <w:p w14:paraId="71D71EFB" w14:textId="77777777" w:rsidR="00000000" w:rsidRDefault="007125B5">
            <w:pPr>
              <w:pStyle w:val="a3"/>
              <w:spacing w:before="0" w:beforeAutospacing="0" w:after="0" w:afterAutospacing="0"/>
              <w:rPr>
                <w:color w:val="000000"/>
                <w:sz w:val="20"/>
                <w:szCs w:val="20"/>
              </w:rPr>
            </w:pPr>
            <w:r>
              <w:rPr>
                <w:color w:val="000000"/>
                <w:sz w:val="20"/>
                <w:szCs w:val="20"/>
              </w:rPr>
              <w:t>2022</w:t>
            </w:r>
          </w:p>
        </w:tc>
        <w:tc>
          <w:tcPr>
            <w:tcW w:w="69" w:type="pct"/>
            <w:shd w:val="clear" w:color="auto" w:fill="FFFFFF"/>
            <w:tcMar>
              <w:top w:w="15" w:type="dxa"/>
              <w:left w:w="0" w:type="dxa"/>
              <w:bottom w:w="0" w:type="dxa"/>
              <w:right w:w="15" w:type="dxa"/>
            </w:tcMar>
            <w:vAlign w:val="bottom"/>
            <w:hideMark/>
          </w:tcPr>
          <w:p w14:paraId="64CC75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BCD7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191E907" w14:textId="77777777" w:rsidR="00000000" w:rsidRDefault="007125B5">
            <w:pPr>
              <w:pStyle w:val="a3"/>
              <w:spacing w:before="0" w:beforeAutospacing="0" w:after="0" w:afterAutospacing="0"/>
              <w:jc w:val="right"/>
              <w:rPr>
                <w:color w:val="000000"/>
                <w:sz w:val="20"/>
                <w:szCs w:val="20"/>
              </w:rPr>
            </w:pPr>
            <w:r>
              <w:rPr>
                <w:color w:val="000000"/>
                <w:sz w:val="20"/>
                <w:szCs w:val="20"/>
              </w:rPr>
              <w:t>2,424</w:t>
            </w:r>
          </w:p>
        </w:tc>
        <w:tc>
          <w:tcPr>
            <w:tcW w:w="50" w:type="pct"/>
            <w:shd w:val="clear" w:color="auto" w:fill="FFFFFF"/>
            <w:noWrap/>
            <w:tcMar>
              <w:top w:w="15" w:type="dxa"/>
              <w:left w:w="0" w:type="dxa"/>
              <w:bottom w:w="0" w:type="dxa"/>
              <w:right w:w="15" w:type="dxa"/>
            </w:tcMar>
            <w:vAlign w:val="bottom"/>
            <w:hideMark/>
          </w:tcPr>
          <w:p w14:paraId="05A5A8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3F368E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02E0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286ADCAD" w14:textId="77777777" w:rsidR="00000000" w:rsidRDefault="007125B5">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FFFFFF"/>
            <w:noWrap/>
            <w:tcMar>
              <w:top w:w="15" w:type="dxa"/>
              <w:left w:w="0" w:type="dxa"/>
              <w:bottom w:w="0" w:type="dxa"/>
              <w:right w:w="15" w:type="dxa"/>
            </w:tcMar>
            <w:vAlign w:val="bottom"/>
            <w:hideMark/>
          </w:tcPr>
          <w:p w14:paraId="26A094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7967AF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D743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23F56EA" w14:textId="77777777" w:rsidR="00000000" w:rsidRDefault="007125B5">
            <w:pPr>
              <w:pStyle w:val="a3"/>
              <w:spacing w:before="0" w:beforeAutospacing="0" w:after="0" w:afterAutospacing="0"/>
              <w:jc w:val="right"/>
              <w:rPr>
                <w:color w:val="000000"/>
                <w:sz w:val="20"/>
                <w:szCs w:val="20"/>
              </w:rPr>
            </w:pPr>
            <w:r>
              <w:rPr>
                <w:color w:val="000000"/>
                <w:sz w:val="20"/>
                <w:szCs w:val="20"/>
              </w:rPr>
              <w:t>2,124</w:t>
            </w:r>
          </w:p>
        </w:tc>
        <w:tc>
          <w:tcPr>
            <w:tcW w:w="50" w:type="pct"/>
            <w:shd w:val="clear" w:color="auto" w:fill="FFFFFF"/>
            <w:noWrap/>
            <w:tcMar>
              <w:top w:w="15" w:type="dxa"/>
              <w:left w:w="0" w:type="dxa"/>
              <w:bottom w:w="0" w:type="dxa"/>
              <w:right w:w="15" w:type="dxa"/>
            </w:tcMar>
            <w:vAlign w:val="bottom"/>
            <w:hideMark/>
          </w:tcPr>
          <w:p w14:paraId="02F647F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4408B6A" w14:textId="77777777">
        <w:trPr>
          <w:divId w:val="1597593493"/>
          <w:jc w:val="center"/>
        </w:trPr>
        <w:tc>
          <w:tcPr>
            <w:tcW w:w="2874" w:type="pct"/>
            <w:shd w:val="clear" w:color="auto" w:fill="CFF0FC"/>
            <w:tcMar>
              <w:top w:w="15" w:type="dxa"/>
              <w:left w:w="0" w:type="dxa"/>
              <w:bottom w:w="0" w:type="dxa"/>
              <w:right w:w="15" w:type="dxa"/>
            </w:tcMar>
            <w:hideMark/>
          </w:tcPr>
          <w:p w14:paraId="60553C9F" w14:textId="77777777" w:rsidR="00000000" w:rsidRDefault="007125B5">
            <w:pPr>
              <w:pStyle w:val="a3"/>
              <w:spacing w:before="0" w:beforeAutospacing="0" w:after="0" w:afterAutospacing="0"/>
              <w:rPr>
                <w:color w:val="000000"/>
                <w:sz w:val="20"/>
                <w:szCs w:val="20"/>
              </w:rPr>
            </w:pPr>
            <w:r>
              <w:rPr>
                <w:color w:val="000000"/>
                <w:sz w:val="20"/>
                <w:szCs w:val="20"/>
              </w:rPr>
              <w:t>2023</w:t>
            </w:r>
          </w:p>
        </w:tc>
        <w:tc>
          <w:tcPr>
            <w:tcW w:w="69" w:type="pct"/>
            <w:shd w:val="clear" w:color="auto" w:fill="CFF0FC"/>
            <w:tcMar>
              <w:top w:w="15" w:type="dxa"/>
              <w:left w:w="0" w:type="dxa"/>
              <w:bottom w:w="0" w:type="dxa"/>
              <w:right w:w="15" w:type="dxa"/>
            </w:tcMar>
            <w:vAlign w:val="bottom"/>
            <w:hideMark/>
          </w:tcPr>
          <w:p w14:paraId="41037EC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2331B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6736433E" w14:textId="77777777" w:rsidR="00000000" w:rsidRDefault="007125B5">
            <w:pPr>
              <w:pStyle w:val="a3"/>
              <w:spacing w:before="0" w:beforeAutospacing="0" w:after="0" w:afterAutospacing="0"/>
              <w:jc w:val="right"/>
              <w:rPr>
                <w:color w:val="000000"/>
                <w:sz w:val="20"/>
                <w:szCs w:val="20"/>
              </w:rPr>
            </w:pPr>
            <w:r>
              <w:rPr>
                <w:color w:val="000000"/>
                <w:sz w:val="20"/>
                <w:szCs w:val="20"/>
              </w:rPr>
              <w:t>1,872</w:t>
            </w:r>
          </w:p>
        </w:tc>
        <w:tc>
          <w:tcPr>
            <w:tcW w:w="50" w:type="pct"/>
            <w:shd w:val="clear" w:color="auto" w:fill="CFF0FC"/>
            <w:noWrap/>
            <w:tcMar>
              <w:top w:w="15" w:type="dxa"/>
              <w:left w:w="0" w:type="dxa"/>
              <w:bottom w:w="0" w:type="dxa"/>
              <w:right w:w="15" w:type="dxa"/>
            </w:tcMar>
            <w:vAlign w:val="bottom"/>
            <w:hideMark/>
          </w:tcPr>
          <w:p w14:paraId="27BE89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53B197E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1CA9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6990D2F1" w14:textId="77777777" w:rsidR="00000000" w:rsidRDefault="007125B5">
            <w:pPr>
              <w:pStyle w:val="a3"/>
              <w:spacing w:before="0" w:beforeAutospacing="0" w:after="0" w:afterAutospacing="0"/>
              <w:jc w:val="right"/>
              <w:rPr>
                <w:color w:val="000000"/>
                <w:sz w:val="20"/>
                <w:szCs w:val="20"/>
              </w:rPr>
            </w:pPr>
            <w:r>
              <w:rPr>
                <w:color w:val="000000"/>
                <w:sz w:val="20"/>
                <w:szCs w:val="20"/>
              </w:rPr>
              <w:t>182</w:t>
            </w:r>
          </w:p>
        </w:tc>
        <w:tc>
          <w:tcPr>
            <w:tcW w:w="50" w:type="pct"/>
            <w:shd w:val="clear" w:color="auto" w:fill="CFF0FC"/>
            <w:noWrap/>
            <w:tcMar>
              <w:top w:w="15" w:type="dxa"/>
              <w:left w:w="0" w:type="dxa"/>
              <w:bottom w:w="0" w:type="dxa"/>
              <w:right w:w="15" w:type="dxa"/>
            </w:tcMar>
            <w:vAlign w:val="bottom"/>
            <w:hideMark/>
          </w:tcPr>
          <w:p w14:paraId="73F948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3D681E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6041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2DC4566D" w14:textId="77777777" w:rsidR="00000000" w:rsidRDefault="007125B5">
            <w:pPr>
              <w:pStyle w:val="a3"/>
              <w:spacing w:before="0" w:beforeAutospacing="0" w:after="0" w:afterAutospacing="0"/>
              <w:jc w:val="right"/>
              <w:rPr>
                <w:color w:val="000000"/>
                <w:sz w:val="20"/>
                <w:szCs w:val="20"/>
              </w:rPr>
            </w:pPr>
            <w:r>
              <w:rPr>
                <w:color w:val="000000"/>
                <w:sz w:val="20"/>
                <w:szCs w:val="20"/>
              </w:rPr>
              <w:t>1,690</w:t>
            </w:r>
          </w:p>
        </w:tc>
        <w:tc>
          <w:tcPr>
            <w:tcW w:w="50" w:type="pct"/>
            <w:shd w:val="clear" w:color="auto" w:fill="CFF0FC"/>
            <w:noWrap/>
            <w:tcMar>
              <w:top w:w="15" w:type="dxa"/>
              <w:left w:w="0" w:type="dxa"/>
              <w:bottom w:w="0" w:type="dxa"/>
              <w:right w:w="15" w:type="dxa"/>
            </w:tcMar>
            <w:vAlign w:val="bottom"/>
            <w:hideMark/>
          </w:tcPr>
          <w:p w14:paraId="60345F8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D671D97" w14:textId="77777777">
        <w:trPr>
          <w:divId w:val="1597593493"/>
          <w:jc w:val="center"/>
        </w:trPr>
        <w:tc>
          <w:tcPr>
            <w:tcW w:w="2874" w:type="pct"/>
            <w:shd w:val="clear" w:color="auto" w:fill="FFFFFF"/>
            <w:tcMar>
              <w:top w:w="15" w:type="dxa"/>
              <w:left w:w="0" w:type="dxa"/>
              <w:bottom w:w="0" w:type="dxa"/>
              <w:right w:w="15" w:type="dxa"/>
            </w:tcMar>
            <w:hideMark/>
          </w:tcPr>
          <w:p w14:paraId="4B313A26" w14:textId="77777777" w:rsidR="00000000" w:rsidRDefault="007125B5">
            <w:pPr>
              <w:pStyle w:val="a3"/>
              <w:spacing w:before="0" w:beforeAutospacing="0" w:after="0" w:afterAutospacing="0"/>
              <w:rPr>
                <w:color w:val="000000"/>
                <w:sz w:val="20"/>
                <w:szCs w:val="20"/>
              </w:rPr>
            </w:pPr>
            <w:r>
              <w:rPr>
                <w:color w:val="000000"/>
                <w:sz w:val="20"/>
                <w:szCs w:val="20"/>
              </w:rPr>
              <w:t>2024</w:t>
            </w:r>
          </w:p>
        </w:tc>
        <w:tc>
          <w:tcPr>
            <w:tcW w:w="69" w:type="pct"/>
            <w:shd w:val="clear" w:color="auto" w:fill="FFFFFF"/>
            <w:tcMar>
              <w:top w:w="15" w:type="dxa"/>
              <w:left w:w="0" w:type="dxa"/>
              <w:bottom w:w="0" w:type="dxa"/>
              <w:right w:w="15" w:type="dxa"/>
            </w:tcMar>
            <w:vAlign w:val="bottom"/>
            <w:hideMark/>
          </w:tcPr>
          <w:p w14:paraId="3A9099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4D3C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2616E919" w14:textId="77777777" w:rsidR="00000000" w:rsidRDefault="007125B5">
            <w:pPr>
              <w:pStyle w:val="a3"/>
              <w:spacing w:before="0" w:beforeAutospacing="0" w:after="0" w:afterAutospacing="0"/>
              <w:jc w:val="right"/>
              <w:rPr>
                <w:color w:val="000000"/>
                <w:sz w:val="20"/>
                <w:szCs w:val="20"/>
              </w:rPr>
            </w:pPr>
            <w:r>
              <w:rPr>
                <w:color w:val="000000"/>
                <w:sz w:val="20"/>
                <w:szCs w:val="20"/>
              </w:rPr>
              <w:t>940</w:t>
            </w:r>
          </w:p>
        </w:tc>
        <w:tc>
          <w:tcPr>
            <w:tcW w:w="50" w:type="pct"/>
            <w:shd w:val="clear" w:color="auto" w:fill="FFFFFF"/>
            <w:noWrap/>
            <w:tcMar>
              <w:top w:w="15" w:type="dxa"/>
              <w:left w:w="0" w:type="dxa"/>
              <w:bottom w:w="0" w:type="dxa"/>
              <w:right w:w="15" w:type="dxa"/>
            </w:tcMar>
            <w:vAlign w:val="bottom"/>
            <w:hideMark/>
          </w:tcPr>
          <w:p w14:paraId="57F91B7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0A9F13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CB21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2CFB3EF" w14:textId="77777777" w:rsidR="00000000" w:rsidRDefault="007125B5">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14:paraId="2536D2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433B5F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CF6D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4B99C707" w14:textId="77777777" w:rsidR="00000000" w:rsidRDefault="007125B5">
            <w:pPr>
              <w:pStyle w:val="a3"/>
              <w:spacing w:before="0" w:beforeAutospacing="0" w:after="0" w:afterAutospacing="0"/>
              <w:jc w:val="right"/>
              <w:rPr>
                <w:color w:val="000000"/>
                <w:sz w:val="20"/>
                <w:szCs w:val="20"/>
              </w:rPr>
            </w:pPr>
            <w:r>
              <w:rPr>
                <w:color w:val="000000"/>
                <w:sz w:val="20"/>
                <w:szCs w:val="20"/>
              </w:rPr>
              <w:t>883</w:t>
            </w:r>
          </w:p>
        </w:tc>
        <w:tc>
          <w:tcPr>
            <w:tcW w:w="50" w:type="pct"/>
            <w:shd w:val="clear" w:color="auto" w:fill="FFFFFF"/>
            <w:noWrap/>
            <w:tcMar>
              <w:top w:w="15" w:type="dxa"/>
              <w:left w:w="0" w:type="dxa"/>
              <w:bottom w:w="0" w:type="dxa"/>
              <w:right w:w="15" w:type="dxa"/>
            </w:tcMar>
            <w:vAlign w:val="bottom"/>
            <w:hideMark/>
          </w:tcPr>
          <w:p w14:paraId="65753B0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CEF437E" w14:textId="77777777">
        <w:trPr>
          <w:divId w:val="1597593493"/>
          <w:jc w:val="center"/>
        </w:trPr>
        <w:tc>
          <w:tcPr>
            <w:tcW w:w="2874" w:type="pct"/>
            <w:shd w:val="clear" w:color="auto" w:fill="CFF0FC"/>
            <w:tcMar>
              <w:top w:w="15" w:type="dxa"/>
              <w:left w:w="0" w:type="dxa"/>
              <w:bottom w:w="0" w:type="dxa"/>
              <w:right w:w="15" w:type="dxa"/>
            </w:tcMar>
            <w:hideMark/>
          </w:tcPr>
          <w:p w14:paraId="57E708B7" w14:textId="77777777" w:rsidR="00000000" w:rsidRDefault="007125B5">
            <w:pPr>
              <w:pStyle w:val="a3"/>
              <w:spacing w:before="0" w:beforeAutospacing="0" w:after="0" w:afterAutospacing="0"/>
              <w:rPr>
                <w:color w:val="000000"/>
                <w:sz w:val="20"/>
                <w:szCs w:val="20"/>
              </w:rPr>
            </w:pPr>
            <w:r>
              <w:rPr>
                <w:color w:val="000000"/>
                <w:sz w:val="20"/>
                <w:szCs w:val="20"/>
              </w:rPr>
              <w:t>2025</w:t>
            </w:r>
          </w:p>
        </w:tc>
        <w:tc>
          <w:tcPr>
            <w:tcW w:w="69" w:type="pct"/>
            <w:shd w:val="clear" w:color="auto" w:fill="CFF0FC"/>
            <w:tcMar>
              <w:top w:w="15" w:type="dxa"/>
              <w:left w:w="0" w:type="dxa"/>
              <w:bottom w:w="0" w:type="dxa"/>
              <w:right w:w="15" w:type="dxa"/>
            </w:tcMar>
            <w:vAlign w:val="bottom"/>
            <w:hideMark/>
          </w:tcPr>
          <w:p w14:paraId="55462C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02C94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49425BA9" w14:textId="77777777" w:rsidR="00000000" w:rsidRDefault="007125B5">
            <w:pPr>
              <w:pStyle w:val="a3"/>
              <w:spacing w:before="0" w:beforeAutospacing="0" w:after="0" w:afterAutospacing="0"/>
              <w:jc w:val="right"/>
              <w:rPr>
                <w:color w:val="000000"/>
                <w:sz w:val="20"/>
                <w:szCs w:val="20"/>
              </w:rPr>
            </w:pPr>
            <w:r>
              <w:rPr>
                <w:color w:val="000000"/>
                <w:sz w:val="20"/>
                <w:szCs w:val="20"/>
              </w:rPr>
              <w:t>158</w:t>
            </w:r>
          </w:p>
        </w:tc>
        <w:tc>
          <w:tcPr>
            <w:tcW w:w="50" w:type="pct"/>
            <w:shd w:val="clear" w:color="auto" w:fill="CFF0FC"/>
            <w:noWrap/>
            <w:tcMar>
              <w:top w:w="15" w:type="dxa"/>
              <w:left w:w="0" w:type="dxa"/>
              <w:bottom w:w="0" w:type="dxa"/>
              <w:right w:w="15" w:type="dxa"/>
            </w:tcMar>
            <w:vAlign w:val="bottom"/>
            <w:hideMark/>
          </w:tcPr>
          <w:p w14:paraId="11C34EB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0CB0A9E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7336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0EF115DE" w14:textId="77777777" w:rsidR="00000000" w:rsidRDefault="007125B5">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51E092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2F6DBD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FFEA8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0786E832" w14:textId="77777777" w:rsidR="00000000" w:rsidRDefault="007125B5">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14:paraId="5D8686D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A256F06" w14:textId="77777777">
        <w:trPr>
          <w:divId w:val="1597593493"/>
          <w:jc w:val="center"/>
        </w:trPr>
        <w:tc>
          <w:tcPr>
            <w:tcW w:w="2874" w:type="pct"/>
            <w:shd w:val="clear" w:color="auto" w:fill="FFFFFF"/>
            <w:tcMar>
              <w:top w:w="15" w:type="dxa"/>
              <w:left w:w="0" w:type="dxa"/>
              <w:bottom w:w="0" w:type="dxa"/>
              <w:right w:w="15" w:type="dxa"/>
            </w:tcMar>
            <w:hideMark/>
          </w:tcPr>
          <w:p w14:paraId="51FCEF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6F78DF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22AA8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F50171" w14:textId="77777777" w:rsidR="00000000" w:rsidRDefault="007125B5">
            <w:pPr>
              <w:pStyle w:val="a3"/>
              <w:spacing w:before="0" w:beforeAutospacing="0" w:after="0" w:afterAutospacing="0"/>
              <w:jc w:val="right"/>
              <w:rPr>
                <w:color w:val="000000"/>
                <w:sz w:val="20"/>
                <w:szCs w:val="20"/>
              </w:rPr>
            </w:pPr>
            <w:r>
              <w:rPr>
                <w:color w:val="000000"/>
                <w:sz w:val="20"/>
                <w:szCs w:val="20"/>
              </w:rPr>
              <w:t>8,257</w:t>
            </w:r>
          </w:p>
        </w:tc>
        <w:tc>
          <w:tcPr>
            <w:tcW w:w="50" w:type="pct"/>
            <w:shd w:val="clear" w:color="auto" w:fill="FFFFFF"/>
            <w:noWrap/>
            <w:tcMar>
              <w:top w:w="15" w:type="dxa"/>
              <w:left w:w="0" w:type="dxa"/>
              <w:bottom w:w="0" w:type="dxa"/>
              <w:right w:w="15" w:type="dxa"/>
            </w:tcMar>
            <w:vAlign w:val="bottom"/>
            <w:hideMark/>
          </w:tcPr>
          <w:p w14:paraId="114524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248F10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6DF13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CA84CB" w14:textId="77777777" w:rsidR="00000000" w:rsidRDefault="007125B5">
            <w:pPr>
              <w:pStyle w:val="a3"/>
              <w:spacing w:before="0" w:beforeAutospacing="0" w:after="0" w:afterAutospacing="0"/>
              <w:jc w:val="right"/>
              <w:rPr>
                <w:color w:val="000000"/>
                <w:sz w:val="20"/>
                <w:szCs w:val="20"/>
              </w:rPr>
            </w:pPr>
            <w:r>
              <w:rPr>
                <w:color w:val="000000"/>
                <w:sz w:val="20"/>
                <w:szCs w:val="20"/>
              </w:rPr>
              <w:t>938</w:t>
            </w:r>
          </w:p>
        </w:tc>
        <w:tc>
          <w:tcPr>
            <w:tcW w:w="50" w:type="pct"/>
            <w:shd w:val="clear" w:color="auto" w:fill="FFFFFF"/>
            <w:noWrap/>
            <w:tcMar>
              <w:top w:w="15" w:type="dxa"/>
              <w:left w:w="0" w:type="dxa"/>
              <w:bottom w:w="0" w:type="dxa"/>
              <w:right w:w="15" w:type="dxa"/>
            </w:tcMar>
            <w:vAlign w:val="bottom"/>
            <w:hideMark/>
          </w:tcPr>
          <w:p w14:paraId="0F554F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56C7FC0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1D384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0475B9" w14:textId="77777777" w:rsidR="00000000" w:rsidRDefault="007125B5">
            <w:pPr>
              <w:pStyle w:val="a3"/>
              <w:spacing w:before="0" w:beforeAutospacing="0" w:after="0" w:afterAutospacing="0"/>
              <w:jc w:val="right"/>
              <w:rPr>
                <w:color w:val="000000"/>
                <w:sz w:val="20"/>
                <w:szCs w:val="20"/>
              </w:rPr>
            </w:pPr>
            <w:r>
              <w:rPr>
                <w:color w:val="000000"/>
                <w:sz w:val="20"/>
                <w:szCs w:val="20"/>
              </w:rPr>
              <w:t>7,319</w:t>
            </w:r>
          </w:p>
        </w:tc>
        <w:tc>
          <w:tcPr>
            <w:tcW w:w="50" w:type="pct"/>
            <w:shd w:val="clear" w:color="auto" w:fill="FFFFFF"/>
            <w:noWrap/>
            <w:tcMar>
              <w:top w:w="15" w:type="dxa"/>
              <w:left w:w="0" w:type="dxa"/>
              <w:bottom w:w="0" w:type="dxa"/>
              <w:right w:w="15" w:type="dxa"/>
            </w:tcMar>
            <w:vAlign w:val="bottom"/>
            <w:hideMark/>
          </w:tcPr>
          <w:p w14:paraId="6B251F0F"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5920F44C"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048ED83"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The following is a schedule of the aggregate annual maturities of long-term debt presented on the condensed consolidated statement of financial position, based on the terms of the credit facility, capital lease obligations and equipment line of credit as o</w:t>
      </w:r>
      <w:r>
        <w:rPr>
          <w:color w:val="000000"/>
          <w:sz w:val="20"/>
          <w:szCs w:val="20"/>
        </w:rPr>
        <w:t>f June 30, 2020:</w:t>
      </w:r>
    </w:p>
    <w:p w14:paraId="68CC95A0"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72"/>
        <w:gridCol w:w="70"/>
        <w:gridCol w:w="115"/>
        <w:gridCol w:w="762"/>
        <w:gridCol w:w="65"/>
      </w:tblGrid>
      <w:tr w:rsidR="00000000" w14:paraId="16D8E99D" w14:textId="77777777">
        <w:trPr>
          <w:divId w:val="1210334946"/>
          <w:jc w:val="center"/>
        </w:trPr>
        <w:tc>
          <w:tcPr>
            <w:tcW w:w="4011" w:type="pct"/>
            <w:tcBorders>
              <w:bottom w:val="single" w:sz="6" w:space="0" w:color="000000"/>
            </w:tcBorders>
            <w:shd w:val="clear" w:color="auto" w:fill="FFFFFF"/>
            <w:tcMar>
              <w:top w:w="15" w:type="dxa"/>
              <w:left w:w="0" w:type="dxa"/>
              <w:bottom w:w="0" w:type="dxa"/>
              <w:right w:w="15" w:type="dxa"/>
            </w:tcMar>
            <w:vAlign w:val="bottom"/>
            <w:hideMark/>
          </w:tcPr>
          <w:p w14:paraId="0B950F91" w14:textId="77777777" w:rsidR="00000000" w:rsidRDefault="007125B5">
            <w:pPr>
              <w:pStyle w:val="a3"/>
              <w:spacing w:before="0" w:beforeAutospacing="0" w:after="0" w:afterAutospacing="0"/>
              <w:rPr>
                <w:b/>
                <w:bCs/>
                <w:color w:val="000000"/>
                <w:sz w:val="16"/>
                <w:szCs w:val="16"/>
              </w:rPr>
            </w:pPr>
            <w:r>
              <w:rPr>
                <w:b/>
                <w:bCs/>
                <w:color w:val="000000"/>
                <w:sz w:val="16"/>
                <w:szCs w:val="16"/>
              </w:rPr>
              <w:t>June 30,</w:t>
            </w:r>
          </w:p>
        </w:tc>
        <w:tc>
          <w:tcPr>
            <w:tcW w:w="97" w:type="pct"/>
            <w:shd w:val="clear" w:color="auto" w:fill="FFFFFF"/>
            <w:tcMar>
              <w:top w:w="15" w:type="dxa"/>
              <w:left w:w="0" w:type="dxa"/>
              <w:bottom w:w="0" w:type="dxa"/>
              <w:right w:w="15" w:type="dxa"/>
            </w:tcMar>
            <w:vAlign w:val="bottom"/>
            <w:hideMark/>
          </w:tcPr>
          <w:p w14:paraId="7082EB7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99114F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noWrap/>
            <w:tcMar>
              <w:top w:w="15" w:type="dxa"/>
              <w:left w:w="0" w:type="dxa"/>
              <w:bottom w:w="0" w:type="dxa"/>
              <w:right w:w="15" w:type="dxa"/>
            </w:tcMar>
            <w:vAlign w:val="bottom"/>
            <w:hideMark/>
          </w:tcPr>
          <w:p w14:paraId="7DDF346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6EA555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E6F66E6" w14:textId="77777777">
        <w:trPr>
          <w:divId w:val="1210334946"/>
          <w:jc w:val="center"/>
        </w:trPr>
        <w:tc>
          <w:tcPr>
            <w:tcW w:w="4011" w:type="pct"/>
            <w:tcBorders>
              <w:top w:val="single" w:sz="6" w:space="0" w:color="000000"/>
            </w:tcBorders>
            <w:shd w:val="clear" w:color="auto" w:fill="CFF0FC"/>
            <w:tcMar>
              <w:top w:w="15" w:type="dxa"/>
              <w:left w:w="0" w:type="dxa"/>
              <w:bottom w:w="0" w:type="dxa"/>
              <w:right w:w="15" w:type="dxa"/>
            </w:tcMar>
            <w:hideMark/>
          </w:tcPr>
          <w:p w14:paraId="1A86DB05" w14:textId="77777777" w:rsidR="00000000" w:rsidRDefault="007125B5">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14:paraId="428CFE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F9F04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14:paraId="508424FE" w14:textId="77777777" w:rsidR="00000000" w:rsidRDefault="007125B5">
            <w:pPr>
              <w:pStyle w:val="a3"/>
              <w:spacing w:before="0" w:beforeAutospacing="0" w:after="0" w:afterAutospacing="0"/>
              <w:jc w:val="right"/>
              <w:rPr>
                <w:color w:val="000000"/>
                <w:sz w:val="20"/>
                <w:szCs w:val="20"/>
              </w:rPr>
            </w:pPr>
            <w:r>
              <w:rPr>
                <w:color w:val="000000"/>
                <w:sz w:val="20"/>
                <w:szCs w:val="20"/>
              </w:rPr>
              <w:t>4,653</w:t>
            </w:r>
          </w:p>
        </w:tc>
        <w:tc>
          <w:tcPr>
            <w:tcW w:w="50" w:type="pct"/>
            <w:shd w:val="clear" w:color="auto" w:fill="CFF0FC"/>
            <w:noWrap/>
            <w:tcMar>
              <w:top w:w="15" w:type="dxa"/>
              <w:left w:w="0" w:type="dxa"/>
              <w:bottom w:w="0" w:type="dxa"/>
              <w:right w:w="15" w:type="dxa"/>
            </w:tcMar>
            <w:vAlign w:val="bottom"/>
            <w:hideMark/>
          </w:tcPr>
          <w:p w14:paraId="788C038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FFD1D7F" w14:textId="77777777">
        <w:trPr>
          <w:divId w:val="1210334946"/>
          <w:jc w:val="center"/>
        </w:trPr>
        <w:tc>
          <w:tcPr>
            <w:tcW w:w="4011" w:type="pct"/>
            <w:shd w:val="clear" w:color="auto" w:fill="FFFFFF"/>
            <w:tcMar>
              <w:top w:w="15" w:type="dxa"/>
              <w:left w:w="0" w:type="dxa"/>
              <w:bottom w:w="0" w:type="dxa"/>
              <w:right w:w="15" w:type="dxa"/>
            </w:tcMar>
            <w:hideMark/>
          </w:tcPr>
          <w:p w14:paraId="02CB42ED" w14:textId="77777777" w:rsidR="00000000" w:rsidRDefault="007125B5">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14:paraId="4AD3288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C5D5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3DA50A86" w14:textId="77777777" w:rsidR="00000000" w:rsidRDefault="007125B5">
            <w:pPr>
              <w:pStyle w:val="a3"/>
              <w:spacing w:before="0" w:beforeAutospacing="0" w:after="0" w:afterAutospacing="0"/>
              <w:jc w:val="right"/>
              <w:rPr>
                <w:color w:val="000000"/>
                <w:sz w:val="20"/>
                <w:szCs w:val="20"/>
              </w:rPr>
            </w:pPr>
            <w:r>
              <w:rPr>
                <w:color w:val="000000"/>
                <w:sz w:val="20"/>
                <w:szCs w:val="20"/>
              </w:rPr>
              <w:t>2,130</w:t>
            </w:r>
          </w:p>
        </w:tc>
        <w:tc>
          <w:tcPr>
            <w:tcW w:w="50" w:type="pct"/>
            <w:shd w:val="clear" w:color="auto" w:fill="FFFFFF"/>
            <w:noWrap/>
            <w:tcMar>
              <w:top w:w="15" w:type="dxa"/>
              <w:left w:w="0" w:type="dxa"/>
              <w:bottom w:w="0" w:type="dxa"/>
              <w:right w:w="15" w:type="dxa"/>
            </w:tcMar>
            <w:vAlign w:val="bottom"/>
            <w:hideMark/>
          </w:tcPr>
          <w:p w14:paraId="7F919B3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221EE3B" w14:textId="77777777">
        <w:trPr>
          <w:divId w:val="1210334946"/>
          <w:jc w:val="center"/>
        </w:trPr>
        <w:tc>
          <w:tcPr>
            <w:tcW w:w="4011" w:type="pct"/>
            <w:shd w:val="clear" w:color="auto" w:fill="CFF0FC"/>
            <w:tcMar>
              <w:top w:w="15" w:type="dxa"/>
              <w:left w:w="0" w:type="dxa"/>
              <w:bottom w:w="0" w:type="dxa"/>
              <w:right w:w="15" w:type="dxa"/>
            </w:tcMar>
            <w:hideMark/>
          </w:tcPr>
          <w:p w14:paraId="7C615CBC" w14:textId="77777777" w:rsidR="00000000" w:rsidRDefault="007125B5">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14:paraId="3E2FA3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8F85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51121BF5" w14:textId="77777777" w:rsidR="00000000" w:rsidRDefault="007125B5">
            <w:pPr>
              <w:pStyle w:val="a3"/>
              <w:spacing w:before="0" w:beforeAutospacing="0" w:after="0" w:afterAutospacing="0"/>
              <w:jc w:val="right"/>
              <w:rPr>
                <w:color w:val="000000"/>
                <w:sz w:val="20"/>
                <w:szCs w:val="20"/>
              </w:rPr>
            </w:pPr>
            <w:r>
              <w:rPr>
                <w:color w:val="000000"/>
                <w:sz w:val="20"/>
                <w:szCs w:val="20"/>
              </w:rPr>
              <w:t>1,690</w:t>
            </w:r>
          </w:p>
        </w:tc>
        <w:tc>
          <w:tcPr>
            <w:tcW w:w="50" w:type="pct"/>
            <w:shd w:val="clear" w:color="auto" w:fill="CFF0FC"/>
            <w:noWrap/>
            <w:tcMar>
              <w:top w:w="15" w:type="dxa"/>
              <w:left w:w="0" w:type="dxa"/>
              <w:bottom w:w="0" w:type="dxa"/>
              <w:right w:w="15" w:type="dxa"/>
            </w:tcMar>
            <w:vAlign w:val="bottom"/>
            <w:hideMark/>
          </w:tcPr>
          <w:p w14:paraId="3EC762B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3B68B74" w14:textId="77777777">
        <w:trPr>
          <w:divId w:val="1210334946"/>
          <w:jc w:val="center"/>
        </w:trPr>
        <w:tc>
          <w:tcPr>
            <w:tcW w:w="4011" w:type="pct"/>
            <w:shd w:val="clear" w:color="auto" w:fill="FFFFFF"/>
            <w:tcMar>
              <w:top w:w="15" w:type="dxa"/>
              <w:left w:w="0" w:type="dxa"/>
              <w:bottom w:w="0" w:type="dxa"/>
              <w:right w:w="15" w:type="dxa"/>
            </w:tcMar>
            <w:hideMark/>
          </w:tcPr>
          <w:p w14:paraId="6ABCFD4F" w14:textId="77777777" w:rsidR="00000000" w:rsidRDefault="007125B5">
            <w:pPr>
              <w:pStyle w:val="a3"/>
              <w:spacing w:before="0" w:beforeAutospacing="0" w:after="0" w:afterAutospacing="0"/>
              <w:rPr>
                <w:color w:val="000000"/>
                <w:sz w:val="20"/>
                <w:szCs w:val="20"/>
              </w:rPr>
            </w:pPr>
            <w:r>
              <w:rPr>
                <w:color w:val="000000"/>
                <w:sz w:val="20"/>
                <w:szCs w:val="20"/>
              </w:rPr>
              <w:t>2024</w:t>
            </w:r>
          </w:p>
        </w:tc>
        <w:tc>
          <w:tcPr>
            <w:tcW w:w="97" w:type="pct"/>
            <w:shd w:val="clear" w:color="auto" w:fill="FFFFFF"/>
            <w:tcMar>
              <w:top w:w="15" w:type="dxa"/>
              <w:left w:w="0" w:type="dxa"/>
              <w:bottom w:w="0" w:type="dxa"/>
              <w:right w:w="15" w:type="dxa"/>
            </w:tcMar>
            <w:vAlign w:val="bottom"/>
            <w:hideMark/>
          </w:tcPr>
          <w:p w14:paraId="6F4EC28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8985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25C2B6B8" w14:textId="77777777" w:rsidR="00000000" w:rsidRDefault="007125B5">
            <w:pPr>
              <w:pStyle w:val="a3"/>
              <w:spacing w:before="0" w:beforeAutospacing="0" w:after="0" w:afterAutospacing="0"/>
              <w:jc w:val="right"/>
              <w:rPr>
                <w:color w:val="000000"/>
                <w:sz w:val="20"/>
                <w:szCs w:val="20"/>
              </w:rPr>
            </w:pPr>
            <w:r>
              <w:rPr>
                <w:color w:val="000000"/>
                <w:sz w:val="20"/>
                <w:szCs w:val="20"/>
              </w:rPr>
              <w:t>883</w:t>
            </w:r>
          </w:p>
        </w:tc>
        <w:tc>
          <w:tcPr>
            <w:tcW w:w="50" w:type="pct"/>
            <w:shd w:val="clear" w:color="auto" w:fill="FFFFFF"/>
            <w:noWrap/>
            <w:tcMar>
              <w:top w:w="15" w:type="dxa"/>
              <w:left w:w="0" w:type="dxa"/>
              <w:bottom w:w="0" w:type="dxa"/>
              <w:right w:w="15" w:type="dxa"/>
            </w:tcMar>
            <w:vAlign w:val="bottom"/>
            <w:hideMark/>
          </w:tcPr>
          <w:p w14:paraId="39E866A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F687A89" w14:textId="77777777">
        <w:trPr>
          <w:divId w:val="1210334946"/>
          <w:jc w:val="center"/>
        </w:trPr>
        <w:tc>
          <w:tcPr>
            <w:tcW w:w="4011" w:type="pct"/>
            <w:shd w:val="clear" w:color="auto" w:fill="CFF0FC"/>
            <w:tcMar>
              <w:top w:w="15" w:type="dxa"/>
              <w:left w:w="0" w:type="dxa"/>
              <w:bottom w:w="0" w:type="dxa"/>
              <w:right w:w="15" w:type="dxa"/>
            </w:tcMar>
            <w:hideMark/>
          </w:tcPr>
          <w:p w14:paraId="2D10ADDE" w14:textId="77777777" w:rsidR="00000000" w:rsidRDefault="007125B5">
            <w:pPr>
              <w:pStyle w:val="a3"/>
              <w:spacing w:before="0" w:beforeAutospacing="0" w:after="0" w:afterAutospacing="0"/>
              <w:rPr>
                <w:color w:val="000000"/>
                <w:sz w:val="20"/>
                <w:szCs w:val="20"/>
              </w:rPr>
            </w:pPr>
            <w:r>
              <w:rPr>
                <w:color w:val="000000"/>
                <w:sz w:val="20"/>
                <w:szCs w:val="20"/>
              </w:rPr>
              <w:t>2025</w:t>
            </w:r>
          </w:p>
        </w:tc>
        <w:tc>
          <w:tcPr>
            <w:tcW w:w="97" w:type="pct"/>
            <w:shd w:val="clear" w:color="auto" w:fill="CFF0FC"/>
            <w:tcMar>
              <w:top w:w="15" w:type="dxa"/>
              <w:left w:w="0" w:type="dxa"/>
              <w:bottom w:w="0" w:type="dxa"/>
              <w:right w:w="15" w:type="dxa"/>
            </w:tcMar>
            <w:vAlign w:val="bottom"/>
            <w:hideMark/>
          </w:tcPr>
          <w:p w14:paraId="73EAF7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25481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14:paraId="694B272B" w14:textId="77777777" w:rsidR="00000000" w:rsidRDefault="007125B5">
            <w:pPr>
              <w:pStyle w:val="a3"/>
              <w:spacing w:before="0" w:beforeAutospacing="0" w:after="0" w:afterAutospacing="0"/>
              <w:jc w:val="right"/>
              <w:rPr>
                <w:color w:val="000000"/>
                <w:sz w:val="20"/>
                <w:szCs w:val="20"/>
              </w:rPr>
            </w:pPr>
            <w:r>
              <w:rPr>
                <w:color w:val="000000"/>
                <w:sz w:val="20"/>
                <w:szCs w:val="20"/>
              </w:rPr>
              <w:t>197,968</w:t>
            </w:r>
          </w:p>
        </w:tc>
        <w:tc>
          <w:tcPr>
            <w:tcW w:w="50" w:type="pct"/>
            <w:shd w:val="clear" w:color="auto" w:fill="CFF0FC"/>
            <w:noWrap/>
            <w:tcMar>
              <w:top w:w="15" w:type="dxa"/>
              <w:left w:w="0" w:type="dxa"/>
              <w:bottom w:w="0" w:type="dxa"/>
              <w:right w:w="15" w:type="dxa"/>
            </w:tcMar>
            <w:vAlign w:val="bottom"/>
            <w:hideMark/>
          </w:tcPr>
          <w:p w14:paraId="032A78C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1C2860E" w14:textId="77777777">
        <w:trPr>
          <w:divId w:val="1210334946"/>
          <w:jc w:val="center"/>
        </w:trPr>
        <w:tc>
          <w:tcPr>
            <w:tcW w:w="4011" w:type="pct"/>
            <w:shd w:val="clear" w:color="auto" w:fill="FFFFFF"/>
            <w:tcMar>
              <w:top w:w="15" w:type="dxa"/>
              <w:left w:w="0" w:type="dxa"/>
              <w:bottom w:w="0" w:type="dxa"/>
              <w:right w:w="15" w:type="dxa"/>
            </w:tcMar>
            <w:hideMark/>
          </w:tcPr>
          <w:p w14:paraId="36318023" w14:textId="77777777" w:rsidR="00000000" w:rsidRDefault="007125B5">
            <w:pPr>
              <w:pStyle w:val="a3"/>
              <w:spacing w:before="0" w:beforeAutospacing="0" w:after="0" w:afterAutospacing="0"/>
              <w:rPr>
                <w:color w:val="000000"/>
                <w:sz w:val="20"/>
                <w:szCs w:val="20"/>
              </w:rPr>
            </w:pPr>
            <w:r>
              <w:rPr>
                <w:color w:val="000000"/>
                <w:sz w:val="20"/>
                <w:szCs w:val="20"/>
              </w:rPr>
              <w:t>Total</w:t>
            </w:r>
          </w:p>
        </w:tc>
        <w:tc>
          <w:tcPr>
            <w:tcW w:w="97" w:type="pct"/>
            <w:shd w:val="clear" w:color="auto" w:fill="FFFFFF"/>
            <w:tcMar>
              <w:top w:w="15" w:type="dxa"/>
              <w:left w:w="0" w:type="dxa"/>
              <w:bottom w:w="0" w:type="dxa"/>
              <w:right w:w="15" w:type="dxa"/>
            </w:tcMar>
            <w:vAlign w:val="bottom"/>
            <w:hideMark/>
          </w:tcPr>
          <w:p w14:paraId="240D89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550BC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B15EC7" w14:textId="77777777" w:rsidR="00000000" w:rsidRDefault="007125B5">
            <w:pPr>
              <w:pStyle w:val="a3"/>
              <w:spacing w:before="0" w:beforeAutospacing="0" w:after="0" w:afterAutospacing="0"/>
              <w:jc w:val="right"/>
              <w:rPr>
                <w:color w:val="000000"/>
                <w:sz w:val="20"/>
                <w:szCs w:val="20"/>
              </w:rPr>
            </w:pPr>
            <w:r>
              <w:rPr>
                <w:color w:val="000000"/>
                <w:sz w:val="20"/>
                <w:szCs w:val="20"/>
              </w:rPr>
              <w:t>207,324</w:t>
            </w:r>
          </w:p>
        </w:tc>
        <w:tc>
          <w:tcPr>
            <w:tcW w:w="50" w:type="pct"/>
            <w:shd w:val="clear" w:color="auto" w:fill="FFFFFF"/>
            <w:noWrap/>
            <w:tcMar>
              <w:top w:w="15" w:type="dxa"/>
              <w:left w:w="0" w:type="dxa"/>
              <w:bottom w:w="0" w:type="dxa"/>
              <w:right w:w="15" w:type="dxa"/>
            </w:tcMar>
            <w:vAlign w:val="bottom"/>
            <w:hideMark/>
          </w:tcPr>
          <w:p w14:paraId="6A8DECCE"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E9DC483" w14:textId="77777777" w:rsidR="00000000" w:rsidRDefault="007125B5">
      <w:pPr>
        <w:pStyle w:val="a3"/>
        <w:spacing w:before="0" w:beforeAutospacing="0" w:after="0" w:afterAutospacing="0"/>
        <w:rPr>
          <w:sz w:val="20"/>
          <w:szCs w:val="20"/>
        </w:rPr>
      </w:pPr>
      <w:r>
        <w:rPr>
          <w:sz w:val="20"/>
          <w:szCs w:val="20"/>
        </w:rPr>
        <w:t> </w:t>
      </w:r>
    </w:p>
    <w:p w14:paraId="0588D858" w14:textId="77777777" w:rsidR="00000000" w:rsidRDefault="007125B5">
      <w:pPr>
        <w:pStyle w:val="a3"/>
        <w:spacing w:before="240" w:beforeAutospacing="0" w:after="0" w:afterAutospacing="0"/>
        <w:jc w:val="center"/>
        <w:rPr>
          <w:sz w:val="20"/>
          <w:szCs w:val="20"/>
        </w:rPr>
      </w:pPr>
      <w:r>
        <w:rPr>
          <w:sz w:val="20"/>
          <w:szCs w:val="20"/>
        </w:rPr>
        <w:t>16</w:t>
      </w:r>
    </w:p>
    <w:p w14:paraId="6DE05A18" w14:textId="77777777" w:rsidR="00000000" w:rsidRDefault="007125B5">
      <w:pPr>
        <w:rPr>
          <w:rFonts w:eastAsia="Times New Roman"/>
        </w:rPr>
      </w:pPr>
      <w:r>
        <w:rPr>
          <w:rFonts w:eastAsia="Times New Roman"/>
        </w:rPr>
        <w:pict w14:anchorId="3C95D801">
          <v:rect id="_x0000_i1042" style="width:415.3pt;height:1.5pt" o:hralign="center" o:hrstd="t" o:hr="t" fillcolor="#a0a0a0" stroked="f"/>
        </w:pict>
      </w:r>
    </w:p>
    <w:p w14:paraId="52ED386A" w14:textId="77777777" w:rsidR="00000000" w:rsidRDefault="007125B5">
      <w:pPr>
        <w:pStyle w:val="a3"/>
        <w:spacing w:before="0" w:beforeAutospacing="0" w:after="0" w:afterAutospacing="0"/>
        <w:rPr>
          <w:sz w:val="20"/>
          <w:szCs w:val="20"/>
        </w:rPr>
      </w:pPr>
      <w:r>
        <w:rPr>
          <w:sz w:val="20"/>
          <w:szCs w:val="20"/>
        </w:rPr>
        <w:t> </w:t>
      </w:r>
    </w:p>
    <w:p w14:paraId="719A1159" w14:textId="77777777" w:rsidR="00000000" w:rsidRDefault="007125B5">
      <w:pPr>
        <w:pStyle w:val="a3"/>
        <w:shd w:val="clear" w:color="auto" w:fill="FFFFFF"/>
        <w:spacing w:before="160" w:beforeAutospacing="0" w:after="0" w:afterAutospacing="0"/>
        <w:rPr>
          <w:b/>
          <w:bCs/>
          <w:color w:val="000000"/>
          <w:sz w:val="20"/>
          <w:szCs w:val="20"/>
        </w:rPr>
      </w:pPr>
      <w:bookmarkStart w:id="31" w:name="_AEIOULastRenderedPageBreakAEIOU19"/>
      <w:bookmarkEnd w:id="31"/>
      <w:r>
        <w:rPr>
          <w:b/>
          <w:bCs/>
          <w:color w:val="000000"/>
          <w:sz w:val="20"/>
          <w:szCs w:val="20"/>
        </w:rPr>
        <w:t>14. FAIR VALUE OF FINANCIAL INSTRUMENTS</w:t>
      </w:r>
    </w:p>
    <w:p w14:paraId="3E98712D"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As of June 30, 2020 and December 3</w:t>
      </w:r>
      <w:r>
        <w:rPr>
          <w:color w:val="000000"/>
          <w:sz w:val="20"/>
          <w:szCs w:val="20"/>
        </w:rPr>
        <w:t>1, 2019, the following financial assets and liabilities are measured at fair value on a recurring basis using significant unobservable inputs (Level 3).</w:t>
      </w:r>
    </w:p>
    <w:p w14:paraId="793AB046"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12"/>
        <w:gridCol w:w="65"/>
        <w:gridCol w:w="115"/>
        <w:gridCol w:w="632"/>
        <w:gridCol w:w="65"/>
        <w:gridCol w:w="65"/>
        <w:gridCol w:w="116"/>
        <w:gridCol w:w="879"/>
        <w:gridCol w:w="65"/>
      </w:tblGrid>
      <w:tr w:rsidR="00000000" w14:paraId="70DB9913" w14:textId="77777777">
        <w:trPr>
          <w:divId w:val="760028361"/>
          <w:jc w:val="center"/>
        </w:trPr>
        <w:tc>
          <w:tcPr>
            <w:tcW w:w="3349" w:type="pct"/>
            <w:shd w:val="clear" w:color="auto" w:fill="FFFFFF"/>
            <w:tcMar>
              <w:top w:w="15" w:type="dxa"/>
              <w:left w:w="0" w:type="dxa"/>
              <w:bottom w:w="0" w:type="dxa"/>
              <w:right w:w="15" w:type="dxa"/>
            </w:tcMar>
            <w:vAlign w:val="bottom"/>
            <w:hideMark/>
          </w:tcPr>
          <w:p w14:paraId="5B8960F8"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4059E78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5414134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2134D14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024D710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14:paraId="6FF4EF8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229608C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2E4DC78" w14:textId="77777777">
        <w:trPr>
          <w:divId w:val="760028361"/>
          <w:jc w:val="center"/>
        </w:trPr>
        <w:tc>
          <w:tcPr>
            <w:tcW w:w="3349" w:type="pct"/>
            <w:shd w:val="clear" w:color="auto" w:fill="FFFFFF"/>
            <w:tcMar>
              <w:top w:w="15" w:type="dxa"/>
              <w:left w:w="0" w:type="dxa"/>
              <w:bottom w:w="0" w:type="dxa"/>
              <w:right w:w="15" w:type="dxa"/>
            </w:tcMar>
            <w:vAlign w:val="bottom"/>
            <w:hideMark/>
          </w:tcPr>
          <w:p w14:paraId="338C657D" w14:textId="77777777" w:rsidR="00000000" w:rsidRDefault="007125B5">
            <w:pPr>
              <w:pStyle w:val="a3"/>
              <w:spacing w:before="0" w:beforeAutospacing="0" w:after="0" w:afterAutospacing="0"/>
              <w:rPr>
                <w:b/>
                <w:bCs/>
                <w:color w:val="000000"/>
                <w:sz w:val="16"/>
                <w:szCs w:val="16"/>
              </w:rPr>
            </w:pPr>
            <w:bookmarkStart w:id="32" w:name="_Hlk49623016"/>
            <w:bookmarkEnd w:id="32"/>
            <w:r>
              <w:rPr>
                <w:b/>
                <w:bCs/>
                <w:color w:val="000000"/>
                <w:sz w:val="16"/>
                <w:szCs w:val="16"/>
              </w:rPr>
              <w:t>Level 3 Assets</w:t>
            </w:r>
          </w:p>
        </w:tc>
        <w:tc>
          <w:tcPr>
            <w:tcW w:w="81" w:type="pct"/>
            <w:shd w:val="clear" w:color="auto" w:fill="FFFFFF"/>
            <w:tcMar>
              <w:top w:w="15" w:type="dxa"/>
              <w:left w:w="0" w:type="dxa"/>
              <w:bottom w:w="0" w:type="dxa"/>
              <w:right w:w="15" w:type="dxa"/>
            </w:tcMar>
            <w:vAlign w:val="bottom"/>
            <w:hideMark/>
          </w:tcPr>
          <w:p w14:paraId="2C1E425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1FE45DA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6E972D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14E6504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62A3A9C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BB4671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63D40367" w14:textId="77777777">
        <w:trPr>
          <w:divId w:val="760028361"/>
          <w:jc w:val="center"/>
        </w:trPr>
        <w:tc>
          <w:tcPr>
            <w:tcW w:w="3349" w:type="pct"/>
            <w:shd w:val="clear" w:color="auto" w:fill="CFF0FC"/>
            <w:tcMar>
              <w:top w:w="15" w:type="dxa"/>
              <w:left w:w="0" w:type="dxa"/>
              <w:bottom w:w="0" w:type="dxa"/>
              <w:right w:w="15" w:type="dxa"/>
            </w:tcMar>
            <w:hideMark/>
          </w:tcPr>
          <w:p w14:paraId="70EA90A7" w14:textId="77777777" w:rsidR="00000000" w:rsidRDefault="007125B5">
            <w:pPr>
              <w:pStyle w:val="a3"/>
              <w:spacing w:before="0" w:beforeAutospacing="0" w:after="0" w:afterAutospacing="0"/>
              <w:rPr>
                <w:color w:val="000000"/>
                <w:sz w:val="20"/>
                <w:szCs w:val="20"/>
              </w:rPr>
            </w:pPr>
            <w:r>
              <w:rPr>
                <w:color w:val="000000"/>
                <w:sz w:val="20"/>
                <w:szCs w:val="20"/>
              </w:rPr>
              <w:t>Compound embedded option</w:t>
            </w:r>
          </w:p>
        </w:tc>
        <w:tc>
          <w:tcPr>
            <w:tcW w:w="81" w:type="pct"/>
            <w:shd w:val="clear" w:color="auto" w:fill="CFF0FC"/>
            <w:tcMar>
              <w:top w:w="15" w:type="dxa"/>
              <w:left w:w="0" w:type="dxa"/>
              <w:bottom w:w="0" w:type="dxa"/>
              <w:right w:w="15" w:type="dxa"/>
            </w:tcMar>
            <w:vAlign w:val="bottom"/>
            <w:hideMark/>
          </w:tcPr>
          <w:p w14:paraId="71BC45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B7194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151A6B7" w14:textId="77777777" w:rsidR="00000000" w:rsidRDefault="007125B5">
            <w:pPr>
              <w:pStyle w:val="a3"/>
              <w:spacing w:before="0" w:beforeAutospacing="0" w:after="0" w:afterAutospacing="0"/>
              <w:jc w:val="right"/>
              <w:rPr>
                <w:color w:val="000000"/>
                <w:sz w:val="20"/>
                <w:szCs w:val="20"/>
              </w:rPr>
            </w:pPr>
            <w:r>
              <w:rPr>
                <w:color w:val="000000"/>
                <w:sz w:val="20"/>
                <w:szCs w:val="20"/>
              </w:rPr>
              <w:t>8,605</w:t>
            </w:r>
          </w:p>
        </w:tc>
        <w:tc>
          <w:tcPr>
            <w:tcW w:w="50" w:type="pct"/>
            <w:shd w:val="clear" w:color="auto" w:fill="CFF0FC"/>
            <w:noWrap/>
            <w:tcMar>
              <w:top w:w="15" w:type="dxa"/>
              <w:left w:w="0" w:type="dxa"/>
              <w:bottom w:w="0" w:type="dxa"/>
              <w:right w:w="15" w:type="dxa"/>
            </w:tcMar>
            <w:vAlign w:val="bottom"/>
            <w:hideMark/>
          </w:tcPr>
          <w:p w14:paraId="24757FD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AB722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BD9F1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B8DA9D8"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4B9B7F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168CAAC" w14:textId="77777777">
        <w:trPr>
          <w:divId w:val="760028361"/>
          <w:jc w:val="center"/>
        </w:trPr>
        <w:tc>
          <w:tcPr>
            <w:tcW w:w="3349" w:type="pct"/>
            <w:shd w:val="clear" w:color="auto" w:fill="FFFFFF"/>
            <w:tcMar>
              <w:top w:w="15" w:type="dxa"/>
              <w:left w:w="0" w:type="dxa"/>
              <w:bottom w:w="0" w:type="dxa"/>
              <w:right w:w="15" w:type="dxa"/>
            </w:tcMar>
            <w:vAlign w:val="bottom"/>
            <w:hideMark/>
          </w:tcPr>
          <w:p w14:paraId="579383D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135F83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E8054C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C407D3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1100ED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3016AEA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137980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7CD14B4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4425FF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7CE7468" w14:textId="77777777">
        <w:trPr>
          <w:divId w:val="760028361"/>
          <w:jc w:val="center"/>
        </w:trPr>
        <w:tc>
          <w:tcPr>
            <w:tcW w:w="3349" w:type="pct"/>
            <w:shd w:val="clear" w:color="auto" w:fill="FFFFFF"/>
            <w:tcMar>
              <w:top w:w="15" w:type="dxa"/>
              <w:left w:w="0" w:type="dxa"/>
              <w:bottom w:w="0" w:type="dxa"/>
              <w:right w:w="15" w:type="dxa"/>
            </w:tcMar>
            <w:vAlign w:val="bottom"/>
            <w:hideMark/>
          </w:tcPr>
          <w:p w14:paraId="2C33DB96" w14:textId="77777777" w:rsidR="00000000" w:rsidRDefault="007125B5">
            <w:pPr>
              <w:pStyle w:val="a3"/>
              <w:spacing w:before="0" w:beforeAutospacing="0" w:after="0" w:afterAutospacing="0"/>
              <w:rPr>
                <w:b/>
                <w:bCs/>
                <w:color w:val="000000"/>
                <w:sz w:val="16"/>
                <w:szCs w:val="16"/>
              </w:rPr>
            </w:pPr>
            <w:r>
              <w:rPr>
                <w:b/>
                <w:bCs/>
                <w:color w:val="000000"/>
                <w:sz w:val="16"/>
                <w:szCs w:val="16"/>
              </w:rPr>
              <w:t>Level 3 Liabilities</w:t>
            </w:r>
          </w:p>
        </w:tc>
        <w:tc>
          <w:tcPr>
            <w:tcW w:w="81" w:type="pct"/>
            <w:shd w:val="clear" w:color="auto" w:fill="FFFFFF"/>
            <w:tcMar>
              <w:top w:w="15" w:type="dxa"/>
              <w:left w:w="0" w:type="dxa"/>
              <w:bottom w:w="0" w:type="dxa"/>
              <w:right w:w="15" w:type="dxa"/>
            </w:tcMar>
            <w:vAlign w:val="bottom"/>
            <w:hideMark/>
          </w:tcPr>
          <w:p w14:paraId="5C7BDEA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71AD91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7C06628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BFDB5F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6F3AD37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ECF7D6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FFFFFF"/>
            <w:noWrap/>
            <w:tcMar>
              <w:top w:w="15" w:type="dxa"/>
              <w:left w:w="0" w:type="dxa"/>
              <w:bottom w:w="0" w:type="dxa"/>
              <w:right w:w="15" w:type="dxa"/>
            </w:tcMar>
            <w:vAlign w:val="bottom"/>
            <w:hideMark/>
          </w:tcPr>
          <w:p w14:paraId="390ADE5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FF939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3976158" w14:textId="77777777">
        <w:trPr>
          <w:divId w:val="760028361"/>
          <w:jc w:val="center"/>
        </w:trPr>
        <w:tc>
          <w:tcPr>
            <w:tcW w:w="3349" w:type="pct"/>
            <w:shd w:val="clear" w:color="auto" w:fill="CFF0FC"/>
            <w:tcMar>
              <w:top w:w="15" w:type="dxa"/>
              <w:left w:w="0" w:type="dxa"/>
              <w:bottom w:w="0" w:type="dxa"/>
              <w:right w:w="15" w:type="dxa"/>
            </w:tcMar>
            <w:hideMark/>
          </w:tcPr>
          <w:p w14:paraId="66547E30" w14:textId="77777777" w:rsidR="00000000" w:rsidRDefault="007125B5">
            <w:pPr>
              <w:pStyle w:val="a3"/>
              <w:spacing w:before="0" w:beforeAutospacing="0" w:after="0" w:afterAutospacing="0"/>
              <w:rPr>
                <w:color w:val="000000"/>
                <w:sz w:val="20"/>
                <w:szCs w:val="20"/>
              </w:rPr>
            </w:pPr>
            <w:r>
              <w:rPr>
                <w:color w:val="000000"/>
                <w:sz w:val="20"/>
                <w:szCs w:val="20"/>
              </w:rPr>
              <w:t>Contingent consideration payable, current</w:t>
            </w:r>
          </w:p>
        </w:tc>
        <w:tc>
          <w:tcPr>
            <w:tcW w:w="81" w:type="pct"/>
            <w:shd w:val="clear" w:color="auto" w:fill="CFF0FC"/>
            <w:tcMar>
              <w:top w:w="15" w:type="dxa"/>
              <w:left w:w="0" w:type="dxa"/>
              <w:bottom w:w="0" w:type="dxa"/>
              <w:right w:w="15" w:type="dxa"/>
            </w:tcMar>
            <w:vAlign w:val="bottom"/>
            <w:hideMark/>
          </w:tcPr>
          <w:p w14:paraId="5279F16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2F8AF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9F3BBB7" w14:textId="77777777" w:rsidR="00000000" w:rsidRDefault="007125B5">
            <w:pPr>
              <w:pStyle w:val="a3"/>
              <w:spacing w:before="0" w:beforeAutospacing="0" w:after="0" w:afterAutospacing="0"/>
              <w:jc w:val="right"/>
              <w:rPr>
                <w:color w:val="000000"/>
                <w:sz w:val="20"/>
                <w:szCs w:val="20"/>
              </w:rPr>
            </w:pPr>
            <w:r>
              <w:rPr>
                <w:color w:val="000000"/>
                <w:sz w:val="20"/>
                <w:szCs w:val="20"/>
              </w:rPr>
              <w:t>36,395</w:t>
            </w:r>
          </w:p>
        </w:tc>
        <w:tc>
          <w:tcPr>
            <w:tcW w:w="50" w:type="pct"/>
            <w:shd w:val="clear" w:color="auto" w:fill="CFF0FC"/>
            <w:noWrap/>
            <w:tcMar>
              <w:top w:w="15" w:type="dxa"/>
              <w:left w:w="0" w:type="dxa"/>
              <w:bottom w:w="0" w:type="dxa"/>
              <w:right w:w="15" w:type="dxa"/>
            </w:tcMar>
            <w:vAlign w:val="bottom"/>
            <w:hideMark/>
          </w:tcPr>
          <w:p w14:paraId="767530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8E4A3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72F69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436B2A71" w14:textId="77777777" w:rsidR="00000000" w:rsidRDefault="007125B5">
            <w:pPr>
              <w:pStyle w:val="a3"/>
              <w:spacing w:before="0" w:beforeAutospacing="0" w:after="0" w:afterAutospacing="0"/>
              <w:jc w:val="right"/>
              <w:rPr>
                <w:color w:val="000000"/>
                <w:sz w:val="20"/>
                <w:szCs w:val="20"/>
              </w:rPr>
            </w:pPr>
            <w:r>
              <w:rPr>
                <w:color w:val="000000"/>
                <w:sz w:val="20"/>
                <w:szCs w:val="20"/>
              </w:rPr>
              <w:t>8,614</w:t>
            </w:r>
          </w:p>
        </w:tc>
        <w:tc>
          <w:tcPr>
            <w:tcW w:w="50" w:type="pct"/>
            <w:shd w:val="clear" w:color="auto" w:fill="CFF0FC"/>
            <w:noWrap/>
            <w:tcMar>
              <w:top w:w="15" w:type="dxa"/>
              <w:left w:w="0" w:type="dxa"/>
              <w:bottom w:w="0" w:type="dxa"/>
              <w:right w:w="15" w:type="dxa"/>
            </w:tcMar>
            <w:vAlign w:val="bottom"/>
            <w:hideMark/>
          </w:tcPr>
          <w:p w14:paraId="0148093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607EC65" w14:textId="77777777">
        <w:trPr>
          <w:divId w:val="760028361"/>
          <w:jc w:val="center"/>
        </w:trPr>
        <w:tc>
          <w:tcPr>
            <w:tcW w:w="3349" w:type="pct"/>
            <w:shd w:val="clear" w:color="auto" w:fill="FFFFFF"/>
            <w:tcMar>
              <w:top w:w="15" w:type="dxa"/>
              <w:left w:w="0" w:type="dxa"/>
              <w:bottom w:w="0" w:type="dxa"/>
              <w:right w:w="15" w:type="dxa"/>
            </w:tcMar>
            <w:hideMark/>
          </w:tcPr>
          <w:p w14:paraId="217E544C" w14:textId="77777777" w:rsidR="00000000" w:rsidRDefault="007125B5">
            <w:pPr>
              <w:pStyle w:val="a3"/>
              <w:spacing w:before="0" w:beforeAutospacing="0" w:after="0" w:afterAutospacing="0"/>
              <w:rPr>
                <w:color w:val="000000"/>
                <w:sz w:val="20"/>
                <w:szCs w:val="20"/>
              </w:rPr>
            </w:pPr>
            <w:r>
              <w:rPr>
                <w:color w:val="000000"/>
                <w:sz w:val="20"/>
                <w:szCs w:val="20"/>
              </w:rPr>
              <w:t>Contingent consideration payable, long term</w:t>
            </w:r>
          </w:p>
        </w:tc>
        <w:tc>
          <w:tcPr>
            <w:tcW w:w="81" w:type="pct"/>
            <w:shd w:val="clear" w:color="auto" w:fill="FFFFFF"/>
            <w:tcMar>
              <w:top w:w="15" w:type="dxa"/>
              <w:left w:w="0" w:type="dxa"/>
              <w:bottom w:w="0" w:type="dxa"/>
              <w:right w:w="15" w:type="dxa"/>
            </w:tcMar>
            <w:vAlign w:val="bottom"/>
            <w:hideMark/>
          </w:tcPr>
          <w:p w14:paraId="0674B9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EC38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F510369" w14:textId="77777777" w:rsidR="00000000" w:rsidRDefault="007125B5">
            <w:pPr>
              <w:pStyle w:val="a3"/>
              <w:spacing w:before="0" w:beforeAutospacing="0" w:after="0" w:afterAutospacing="0"/>
              <w:jc w:val="right"/>
              <w:rPr>
                <w:color w:val="000000"/>
                <w:sz w:val="20"/>
                <w:szCs w:val="20"/>
              </w:rPr>
            </w:pPr>
            <w:r>
              <w:rPr>
                <w:color w:val="000000"/>
                <w:sz w:val="20"/>
                <w:szCs w:val="20"/>
              </w:rPr>
              <w:t>9,117</w:t>
            </w:r>
          </w:p>
        </w:tc>
        <w:tc>
          <w:tcPr>
            <w:tcW w:w="50" w:type="pct"/>
            <w:shd w:val="clear" w:color="auto" w:fill="FFFFFF"/>
            <w:noWrap/>
            <w:tcMar>
              <w:top w:w="15" w:type="dxa"/>
              <w:left w:w="0" w:type="dxa"/>
              <w:bottom w:w="0" w:type="dxa"/>
              <w:right w:w="15" w:type="dxa"/>
            </w:tcMar>
            <w:vAlign w:val="bottom"/>
            <w:hideMark/>
          </w:tcPr>
          <w:p w14:paraId="11FCC42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8FD49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F03A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6124B2D" w14:textId="77777777" w:rsidR="00000000" w:rsidRDefault="007125B5">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FFFFFF"/>
            <w:noWrap/>
            <w:tcMar>
              <w:top w:w="15" w:type="dxa"/>
              <w:left w:w="0" w:type="dxa"/>
              <w:bottom w:w="0" w:type="dxa"/>
              <w:right w:w="15" w:type="dxa"/>
            </w:tcMar>
            <w:vAlign w:val="bottom"/>
            <w:hideMark/>
          </w:tcPr>
          <w:p w14:paraId="36DAE17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AA3EEAD" w14:textId="77777777">
        <w:trPr>
          <w:divId w:val="760028361"/>
          <w:jc w:val="center"/>
        </w:trPr>
        <w:tc>
          <w:tcPr>
            <w:tcW w:w="3349" w:type="pct"/>
            <w:shd w:val="clear" w:color="auto" w:fill="CFF0FC"/>
            <w:tcMar>
              <w:top w:w="15" w:type="dxa"/>
              <w:left w:w="0" w:type="dxa"/>
              <w:bottom w:w="0" w:type="dxa"/>
              <w:right w:w="15" w:type="dxa"/>
            </w:tcMar>
            <w:hideMark/>
          </w:tcPr>
          <w:p w14:paraId="79049C94" w14:textId="77777777" w:rsidR="00000000" w:rsidRDefault="007125B5">
            <w:pPr>
              <w:pStyle w:val="a3"/>
              <w:spacing w:before="0" w:beforeAutospacing="0" w:after="0" w:afterAutospacing="0"/>
              <w:rPr>
                <w:color w:val="000000"/>
                <w:sz w:val="20"/>
                <w:szCs w:val="20"/>
              </w:rPr>
            </w:pPr>
            <w:r>
              <w:rPr>
                <w:color w:val="000000"/>
                <w:sz w:val="20"/>
                <w:szCs w:val="20"/>
              </w:rPr>
              <w:t>Contingent put option</w:t>
            </w:r>
          </w:p>
        </w:tc>
        <w:tc>
          <w:tcPr>
            <w:tcW w:w="81" w:type="pct"/>
            <w:shd w:val="clear" w:color="auto" w:fill="CFF0FC"/>
            <w:tcMar>
              <w:top w:w="15" w:type="dxa"/>
              <w:left w:w="0" w:type="dxa"/>
              <w:bottom w:w="0" w:type="dxa"/>
              <w:right w:w="15" w:type="dxa"/>
            </w:tcMar>
            <w:vAlign w:val="bottom"/>
            <w:hideMark/>
          </w:tcPr>
          <w:p w14:paraId="40F7DB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A58E8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D591A80" w14:textId="77777777" w:rsidR="00000000" w:rsidRDefault="007125B5">
            <w:pPr>
              <w:pStyle w:val="a3"/>
              <w:spacing w:before="0" w:beforeAutospacing="0" w:after="0" w:afterAutospacing="0"/>
              <w:jc w:val="right"/>
              <w:rPr>
                <w:color w:val="000000"/>
                <w:sz w:val="20"/>
                <w:szCs w:val="20"/>
              </w:rPr>
            </w:pPr>
            <w:r>
              <w:rPr>
                <w:color w:val="000000"/>
                <w:sz w:val="20"/>
                <w:szCs w:val="20"/>
              </w:rPr>
              <w:t>14,125</w:t>
            </w:r>
          </w:p>
        </w:tc>
        <w:tc>
          <w:tcPr>
            <w:tcW w:w="50" w:type="pct"/>
            <w:shd w:val="clear" w:color="auto" w:fill="CFF0FC"/>
            <w:noWrap/>
            <w:tcMar>
              <w:top w:w="15" w:type="dxa"/>
              <w:left w:w="0" w:type="dxa"/>
              <w:bottom w:w="0" w:type="dxa"/>
              <w:right w:w="15" w:type="dxa"/>
            </w:tcMar>
            <w:vAlign w:val="bottom"/>
            <w:hideMark/>
          </w:tcPr>
          <w:p w14:paraId="2E5A4A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8FB7F0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446B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2D49727" w14:textId="77777777" w:rsidR="00000000" w:rsidRDefault="007125B5">
            <w:pPr>
              <w:pStyle w:val="a3"/>
              <w:spacing w:before="0" w:beforeAutospacing="0" w:after="0" w:afterAutospacing="0"/>
              <w:jc w:val="right"/>
              <w:rPr>
                <w:color w:val="000000"/>
                <w:sz w:val="20"/>
                <w:szCs w:val="20"/>
              </w:rPr>
            </w:pPr>
            <w:r>
              <w:rPr>
                <w:color w:val="000000"/>
                <w:sz w:val="20"/>
                <w:szCs w:val="20"/>
              </w:rPr>
              <w:t>7,100</w:t>
            </w:r>
          </w:p>
        </w:tc>
        <w:tc>
          <w:tcPr>
            <w:tcW w:w="50" w:type="pct"/>
            <w:shd w:val="clear" w:color="auto" w:fill="CFF0FC"/>
            <w:noWrap/>
            <w:tcMar>
              <w:top w:w="15" w:type="dxa"/>
              <w:left w:w="0" w:type="dxa"/>
              <w:bottom w:w="0" w:type="dxa"/>
              <w:right w:w="15" w:type="dxa"/>
            </w:tcMar>
            <w:vAlign w:val="bottom"/>
            <w:hideMark/>
          </w:tcPr>
          <w:p w14:paraId="20B77F8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C432488" w14:textId="77777777">
        <w:trPr>
          <w:divId w:val="760028361"/>
          <w:jc w:val="center"/>
        </w:trPr>
        <w:tc>
          <w:tcPr>
            <w:tcW w:w="3349" w:type="pct"/>
            <w:shd w:val="clear" w:color="auto" w:fill="FFFFFF"/>
            <w:tcMar>
              <w:top w:w="15" w:type="dxa"/>
              <w:left w:w="0" w:type="dxa"/>
              <w:bottom w:w="0" w:type="dxa"/>
              <w:right w:w="15" w:type="dxa"/>
            </w:tcMar>
            <w:hideMark/>
          </w:tcPr>
          <w:p w14:paraId="3E084920" w14:textId="77777777" w:rsidR="00000000" w:rsidRDefault="007125B5">
            <w:pPr>
              <w:pStyle w:val="a3"/>
              <w:spacing w:before="0" w:beforeAutospacing="0" w:after="0" w:afterAutospacing="0"/>
              <w:rPr>
                <w:color w:val="000000"/>
                <w:sz w:val="20"/>
                <w:szCs w:val="20"/>
              </w:rPr>
            </w:pPr>
            <w:r>
              <w:rPr>
                <w:color w:val="000000"/>
                <w:sz w:val="20"/>
                <w:szCs w:val="20"/>
              </w:rPr>
              <w:t>Warrant options</w:t>
            </w:r>
          </w:p>
        </w:tc>
        <w:tc>
          <w:tcPr>
            <w:tcW w:w="81" w:type="pct"/>
            <w:shd w:val="clear" w:color="auto" w:fill="FFFFFF"/>
            <w:tcMar>
              <w:top w:w="15" w:type="dxa"/>
              <w:left w:w="0" w:type="dxa"/>
              <w:bottom w:w="0" w:type="dxa"/>
              <w:right w:w="15" w:type="dxa"/>
            </w:tcMar>
            <w:vAlign w:val="bottom"/>
            <w:hideMark/>
          </w:tcPr>
          <w:p w14:paraId="5EEA282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12CCE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44BECB2" w14:textId="77777777" w:rsidR="00000000" w:rsidRDefault="007125B5">
            <w:pPr>
              <w:pStyle w:val="a3"/>
              <w:spacing w:before="0" w:beforeAutospacing="0" w:after="0" w:afterAutospacing="0"/>
              <w:jc w:val="right"/>
              <w:rPr>
                <w:color w:val="000000"/>
                <w:sz w:val="20"/>
                <w:szCs w:val="20"/>
              </w:rPr>
            </w:pPr>
            <w:r>
              <w:rPr>
                <w:color w:val="000000"/>
                <w:sz w:val="20"/>
                <w:szCs w:val="20"/>
              </w:rPr>
              <w:t>46,978</w:t>
            </w:r>
          </w:p>
        </w:tc>
        <w:tc>
          <w:tcPr>
            <w:tcW w:w="50" w:type="pct"/>
            <w:shd w:val="clear" w:color="auto" w:fill="FFFFFF"/>
            <w:noWrap/>
            <w:tcMar>
              <w:top w:w="15" w:type="dxa"/>
              <w:left w:w="0" w:type="dxa"/>
              <w:bottom w:w="0" w:type="dxa"/>
              <w:right w:w="15" w:type="dxa"/>
            </w:tcMar>
            <w:vAlign w:val="bottom"/>
            <w:hideMark/>
          </w:tcPr>
          <w:p w14:paraId="4FC451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97CC6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2D48F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F819914" w14:textId="77777777" w:rsidR="00000000" w:rsidRDefault="007125B5">
            <w:pPr>
              <w:pStyle w:val="a3"/>
              <w:spacing w:before="0" w:beforeAutospacing="0" w:after="0" w:afterAutospacing="0"/>
              <w:jc w:val="right"/>
              <w:rPr>
                <w:color w:val="000000"/>
                <w:sz w:val="20"/>
                <w:szCs w:val="20"/>
              </w:rPr>
            </w:pPr>
            <w:r>
              <w:rPr>
                <w:color w:val="000000"/>
                <w:sz w:val="20"/>
                <w:szCs w:val="20"/>
              </w:rPr>
              <w:t>16,878</w:t>
            </w:r>
          </w:p>
        </w:tc>
        <w:tc>
          <w:tcPr>
            <w:tcW w:w="50" w:type="pct"/>
            <w:shd w:val="clear" w:color="auto" w:fill="FFFFFF"/>
            <w:noWrap/>
            <w:tcMar>
              <w:top w:w="15" w:type="dxa"/>
              <w:left w:w="0" w:type="dxa"/>
              <w:bottom w:w="0" w:type="dxa"/>
              <w:right w:w="15" w:type="dxa"/>
            </w:tcMar>
            <w:vAlign w:val="bottom"/>
            <w:hideMark/>
          </w:tcPr>
          <w:p w14:paraId="19DA718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F3D9345" w14:textId="77777777">
        <w:trPr>
          <w:divId w:val="760028361"/>
          <w:jc w:val="center"/>
        </w:trPr>
        <w:tc>
          <w:tcPr>
            <w:tcW w:w="3349" w:type="pct"/>
            <w:shd w:val="clear" w:color="auto" w:fill="CFF0FC"/>
            <w:tcMar>
              <w:top w:w="15" w:type="dxa"/>
              <w:left w:w="0" w:type="dxa"/>
              <w:bottom w:w="0" w:type="dxa"/>
              <w:right w:w="15" w:type="dxa"/>
            </w:tcMar>
            <w:hideMark/>
          </w:tcPr>
          <w:p w14:paraId="66DD6E57" w14:textId="77777777" w:rsidR="00000000" w:rsidRDefault="007125B5">
            <w:pPr>
              <w:pStyle w:val="a3"/>
              <w:spacing w:before="0" w:beforeAutospacing="0" w:after="0" w:afterAutospacing="0"/>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bottom"/>
            <w:hideMark/>
          </w:tcPr>
          <w:p w14:paraId="57DEE0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45B0B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98D7C3" w14:textId="77777777" w:rsidR="00000000" w:rsidRDefault="007125B5">
            <w:pPr>
              <w:pStyle w:val="a3"/>
              <w:spacing w:before="0" w:beforeAutospacing="0" w:after="0" w:afterAutospacing="0"/>
              <w:jc w:val="right"/>
              <w:rPr>
                <w:color w:val="000000"/>
                <w:sz w:val="20"/>
                <w:szCs w:val="20"/>
              </w:rPr>
            </w:pPr>
            <w:r>
              <w:rPr>
                <w:color w:val="000000"/>
                <w:sz w:val="20"/>
                <w:szCs w:val="20"/>
              </w:rPr>
              <w:t>98,010</w:t>
            </w:r>
          </w:p>
        </w:tc>
        <w:tc>
          <w:tcPr>
            <w:tcW w:w="50" w:type="pct"/>
            <w:shd w:val="clear" w:color="auto" w:fill="CFF0FC"/>
            <w:noWrap/>
            <w:tcMar>
              <w:top w:w="15" w:type="dxa"/>
              <w:left w:w="0" w:type="dxa"/>
              <w:bottom w:w="0" w:type="dxa"/>
              <w:right w:w="15" w:type="dxa"/>
            </w:tcMar>
            <w:vAlign w:val="bottom"/>
            <w:hideMark/>
          </w:tcPr>
          <w:p w14:paraId="5A9A1CA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54ABB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FDFB4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9EF1F8" w14:textId="77777777" w:rsidR="00000000" w:rsidRDefault="007125B5">
            <w:pPr>
              <w:pStyle w:val="a3"/>
              <w:spacing w:before="0" w:beforeAutospacing="0" w:after="0" w:afterAutospacing="0"/>
              <w:jc w:val="right"/>
              <w:rPr>
                <w:color w:val="000000"/>
                <w:sz w:val="20"/>
                <w:szCs w:val="20"/>
              </w:rPr>
            </w:pPr>
            <w:r>
              <w:rPr>
                <w:color w:val="000000"/>
                <w:sz w:val="20"/>
                <w:szCs w:val="20"/>
              </w:rPr>
              <w:t>32,971</w:t>
            </w:r>
          </w:p>
        </w:tc>
        <w:tc>
          <w:tcPr>
            <w:tcW w:w="50" w:type="pct"/>
            <w:shd w:val="clear" w:color="auto" w:fill="CFF0FC"/>
            <w:noWrap/>
            <w:tcMar>
              <w:top w:w="15" w:type="dxa"/>
              <w:left w:w="0" w:type="dxa"/>
              <w:bottom w:w="0" w:type="dxa"/>
              <w:right w:w="15" w:type="dxa"/>
            </w:tcMar>
            <w:vAlign w:val="bottom"/>
            <w:hideMark/>
          </w:tcPr>
          <w:p w14:paraId="1CB5A311"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847C4EF" w14:textId="77777777" w:rsidR="00000000" w:rsidRDefault="007125B5">
      <w:pPr>
        <w:pStyle w:val="a3"/>
        <w:shd w:val="clear" w:color="auto" w:fill="FFFFFF"/>
        <w:spacing w:before="0" w:beforeAutospacing="0" w:after="0" w:afterAutospacing="0"/>
        <w:rPr>
          <w:sz w:val="20"/>
          <w:szCs w:val="20"/>
        </w:rPr>
      </w:pPr>
      <w:r>
        <w:rPr>
          <w:sz w:val="20"/>
          <w:szCs w:val="20"/>
        </w:rPr>
        <w:t> </w:t>
      </w:r>
    </w:p>
    <w:p w14:paraId="745B033A"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The estimated fair value amounts shown above are not necessarily indicative of the amounts that the Company would realize upon disposition, nor do they indicate the Company’s intent or ability to dispose of the financial instrument.</w:t>
      </w:r>
    </w:p>
    <w:p w14:paraId="6297B26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following table set</w:t>
      </w:r>
      <w:r>
        <w:rPr>
          <w:color w:val="000000"/>
          <w:sz w:val="20"/>
          <w:szCs w:val="20"/>
        </w:rPr>
        <w:t>s forth the Company’s financial instruments that were measured at fair value on a recurring basis for the six months ended June 30, 2020 and June 30, 2019:</w:t>
      </w:r>
    </w:p>
    <w:p w14:paraId="70A39CF0"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532"/>
        <w:gridCol w:w="116"/>
        <w:gridCol w:w="682"/>
        <w:gridCol w:w="82"/>
        <w:gridCol w:w="65"/>
        <w:gridCol w:w="123"/>
        <w:gridCol w:w="861"/>
        <w:gridCol w:w="82"/>
        <w:gridCol w:w="65"/>
        <w:gridCol w:w="123"/>
        <w:gridCol w:w="861"/>
        <w:gridCol w:w="82"/>
        <w:gridCol w:w="65"/>
        <w:gridCol w:w="116"/>
        <w:gridCol w:w="682"/>
        <w:gridCol w:w="65"/>
        <w:gridCol w:w="65"/>
        <w:gridCol w:w="115"/>
        <w:gridCol w:w="565"/>
        <w:gridCol w:w="65"/>
        <w:gridCol w:w="65"/>
        <w:gridCol w:w="115"/>
        <w:gridCol w:w="632"/>
        <w:gridCol w:w="82"/>
      </w:tblGrid>
      <w:tr w:rsidR="00000000" w14:paraId="7E77DA24" w14:textId="77777777">
        <w:trPr>
          <w:divId w:val="1366179404"/>
          <w:jc w:val="center"/>
        </w:trPr>
        <w:tc>
          <w:tcPr>
            <w:tcW w:w="2037" w:type="pct"/>
            <w:shd w:val="clear" w:color="auto" w:fill="FFFFFF"/>
            <w:tcMar>
              <w:top w:w="15" w:type="dxa"/>
              <w:left w:w="0" w:type="dxa"/>
              <w:bottom w:w="0" w:type="dxa"/>
              <w:right w:w="15" w:type="dxa"/>
            </w:tcMar>
            <w:hideMark/>
          </w:tcPr>
          <w:p w14:paraId="4FC891A2" w14:textId="77777777" w:rsidR="00000000" w:rsidRDefault="007125B5">
            <w:pPr>
              <w:pStyle w:val="a3"/>
              <w:spacing w:before="0" w:beforeAutospacing="0" w:after="0" w:afterAutospacing="0"/>
              <w:rPr>
                <w:sz w:val="20"/>
                <w:szCs w:val="20"/>
              </w:rPr>
            </w:pPr>
            <w:r>
              <w:rPr>
                <w:sz w:val="20"/>
                <w:szCs w:val="20"/>
              </w:rPr>
              <w:t> </w:t>
            </w:r>
          </w:p>
        </w:tc>
        <w:tc>
          <w:tcPr>
            <w:tcW w:w="2410" w:type="pct"/>
            <w:gridSpan w:val="18"/>
            <w:tcBorders>
              <w:bottom w:val="single" w:sz="6" w:space="0" w:color="000000"/>
            </w:tcBorders>
            <w:shd w:val="clear" w:color="auto" w:fill="FFFFFF"/>
            <w:tcMar>
              <w:top w:w="15" w:type="dxa"/>
              <w:left w:w="0" w:type="dxa"/>
              <w:bottom w:w="0" w:type="dxa"/>
              <w:right w:w="15" w:type="dxa"/>
            </w:tcMar>
            <w:vAlign w:val="bottom"/>
            <w:hideMark/>
          </w:tcPr>
          <w:p w14:paraId="5C87C3C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14:paraId="5F6F620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14:paraId="4F11204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102D4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52" w:type="pct"/>
            <w:shd w:val="clear" w:color="auto" w:fill="FFFFFF"/>
            <w:noWrap/>
            <w:tcMar>
              <w:top w:w="15" w:type="dxa"/>
              <w:left w:w="0" w:type="dxa"/>
              <w:bottom w:w="0" w:type="dxa"/>
              <w:right w:w="15" w:type="dxa"/>
            </w:tcMar>
            <w:vAlign w:val="bottom"/>
            <w:hideMark/>
          </w:tcPr>
          <w:p w14:paraId="0AA6667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CB6DE3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3A04710" w14:textId="77777777">
        <w:trPr>
          <w:divId w:val="1366179404"/>
          <w:jc w:val="center"/>
        </w:trPr>
        <w:tc>
          <w:tcPr>
            <w:tcW w:w="2037" w:type="pct"/>
            <w:shd w:val="clear" w:color="auto" w:fill="FFFFFF"/>
            <w:tcMar>
              <w:top w:w="15" w:type="dxa"/>
              <w:left w:w="0" w:type="dxa"/>
              <w:bottom w:w="0" w:type="dxa"/>
              <w:right w:w="15" w:type="dxa"/>
            </w:tcMar>
            <w:hideMark/>
          </w:tcPr>
          <w:p w14:paraId="56F8821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A2FB6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14:paraId="05946D5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2A33C6A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1908"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57B30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14:paraId="027CEC2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14:paraId="0D7BE29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4AFA51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52" w:type="pct"/>
            <w:shd w:val="clear" w:color="auto" w:fill="FFFFFF"/>
            <w:noWrap/>
            <w:tcMar>
              <w:top w:w="15" w:type="dxa"/>
              <w:left w:w="0" w:type="dxa"/>
              <w:bottom w:w="0" w:type="dxa"/>
              <w:right w:w="15" w:type="dxa"/>
            </w:tcMar>
            <w:vAlign w:val="bottom"/>
            <w:hideMark/>
          </w:tcPr>
          <w:p w14:paraId="415CB6E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CE2609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9A9F969" w14:textId="77777777">
        <w:trPr>
          <w:divId w:val="1366179404"/>
          <w:jc w:val="center"/>
        </w:trPr>
        <w:tc>
          <w:tcPr>
            <w:tcW w:w="2037" w:type="pct"/>
            <w:shd w:val="clear" w:color="auto" w:fill="FFFFFF"/>
            <w:tcMar>
              <w:top w:w="15" w:type="dxa"/>
              <w:left w:w="0" w:type="dxa"/>
              <w:bottom w:w="0" w:type="dxa"/>
              <w:right w:w="15" w:type="dxa"/>
            </w:tcMar>
            <w:vAlign w:val="bottom"/>
            <w:hideMark/>
          </w:tcPr>
          <w:p w14:paraId="26D3123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14:paraId="0A6ECD4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Compound</w:t>
            </w:r>
          </w:p>
          <w:p w14:paraId="57C5FBF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Embedded</w:t>
            </w:r>
          </w:p>
          <w:p w14:paraId="615F8D5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w:t>
            </w:r>
          </w:p>
        </w:tc>
        <w:tc>
          <w:tcPr>
            <w:tcW w:w="50" w:type="pct"/>
            <w:shd w:val="clear" w:color="auto" w:fill="FFFFFF"/>
            <w:noWrap/>
            <w:tcMar>
              <w:top w:w="15" w:type="dxa"/>
              <w:left w:w="0" w:type="dxa"/>
              <w:bottom w:w="0" w:type="dxa"/>
              <w:right w:w="15" w:type="dxa"/>
            </w:tcMar>
            <w:vAlign w:val="bottom"/>
            <w:hideMark/>
          </w:tcPr>
          <w:p w14:paraId="29BE2A4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14:paraId="7F69DB2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14:paraId="1B09922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Contingent</w:t>
            </w:r>
          </w:p>
          <w:p w14:paraId="5938CF7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Consideration</w:t>
            </w:r>
          </w:p>
          <w:p w14:paraId="737CC8C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Current</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14:paraId="152F3005"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4E51EC6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14:paraId="37E8362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Contingent</w:t>
            </w:r>
          </w:p>
          <w:p w14:paraId="6271D86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Consideration</w:t>
            </w:r>
          </w:p>
          <w:p w14:paraId="44887CC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Long Term</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14:paraId="4328AEF2"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0ACC580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14:paraId="5C59BD6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Contingent</w:t>
            </w:r>
          </w:p>
          <w:p w14:paraId="79C4602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Put Option</w:t>
            </w:r>
          </w:p>
        </w:tc>
        <w:tc>
          <w:tcPr>
            <w:tcW w:w="50" w:type="pct"/>
            <w:shd w:val="clear" w:color="auto" w:fill="FFFFFF"/>
            <w:noWrap/>
            <w:tcMar>
              <w:top w:w="15" w:type="dxa"/>
              <w:left w:w="0" w:type="dxa"/>
              <w:bottom w:w="0" w:type="dxa"/>
              <w:right w:w="15" w:type="dxa"/>
            </w:tcMar>
            <w:vAlign w:val="bottom"/>
            <w:hideMark/>
          </w:tcPr>
          <w:p w14:paraId="7DAA81E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14:paraId="11474A6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14:paraId="76FD004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Warrant</w:t>
            </w:r>
          </w:p>
          <w:p w14:paraId="630118A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3C1BD5F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14:paraId="12EB9AD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2" w:type="pct"/>
            <w:gridSpan w:val="2"/>
            <w:shd w:val="clear" w:color="auto" w:fill="FFFFFF"/>
            <w:tcMar>
              <w:top w:w="15" w:type="dxa"/>
              <w:left w:w="0" w:type="dxa"/>
              <w:bottom w:w="0" w:type="dxa"/>
              <w:right w:w="15" w:type="dxa"/>
            </w:tcMar>
            <w:vAlign w:val="bottom"/>
            <w:hideMark/>
          </w:tcPr>
          <w:p w14:paraId="73A0734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6D73AC6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6AE1E5DA" w14:textId="77777777">
        <w:trPr>
          <w:divId w:val="1366179404"/>
          <w:jc w:val="center"/>
        </w:trPr>
        <w:tc>
          <w:tcPr>
            <w:tcW w:w="2037" w:type="pct"/>
            <w:shd w:val="clear" w:color="auto" w:fill="CFF0FC"/>
            <w:tcMar>
              <w:top w:w="15" w:type="dxa"/>
              <w:left w:w="0" w:type="dxa"/>
              <w:bottom w:w="0" w:type="dxa"/>
              <w:right w:w="15" w:type="dxa"/>
            </w:tcMar>
            <w:hideMark/>
          </w:tcPr>
          <w:p w14:paraId="58D1ECB6" w14:textId="77777777" w:rsidR="00000000" w:rsidRDefault="007125B5">
            <w:pPr>
              <w:pStyle w:val="a3"/>
              <w:spacing w:before="0" w:beforeAutospacing="0" w:after="0" w:afterAutospacing="0"/>
              <w:rPr>
                <w:color w:val="000000"/>
                <w:sz w:val="20"/>
                <w:szCs w:val="20"/>
              </w:rPr>
            </w:pPr>
            <w:r>
              <w:rPr>
                <w:color w:val="000000"/>
                <w:sz w:val="20"/>
                <w:szCs w:val="20"/>
              </w:rPr>
              <w:t>Balance—at December 31, 2018</w:t>
            </w:r>
          </w:p>
        </w:tc>
        <w:tc>
          <w:tcPr>
            <w:tcW w:w="50" w:type="pct"/>
            <w:shd w:val="clear" w:color="auto" w:fill="CFF0FC"/>
            <w:noWrap/>
            <w:tcMar>
              <w:top w:w="15" w:type="dxa"/>
              <w:left w:w="0" w:type="dxa"/>
              <w:bottom w:w="0" w:type="dxa"/>
              <w:right w:w="15" w:type="dxa"/>
            </w:tcMar>
            <w:vAlign w:val="bottom"/>
            <w:hideMark/>
          </w:tcPr>
          <w:p w14:paraId="0872EB7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14:paraId="3BC01CE8"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421C0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2DE6C95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C79A1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14:paraId="496F9C74" w14:textId="77777777" w:rsidR="00000000" w:rsidRDefault="007125B5">
            <w:pPr>
              <w:pStyle w:val="a3"/>
              <w:spacing w:before="0" w:beforeAutospacing="0" w:after="0" w:afterAutospacing="0"/>
              <w:jc w:val="right"/>
              <w:rPr>
                <w:color w:val="000000"/>
                <w:sz w:val="20"/>
                <w:szCs w:val="20"/>
              </w:rPr>
            </w:pPr>
            <w:r>
              <w:rPr>
                <w:color w:val="000000"/>
                <w:sz w:val="20"/>
                <w:szCs w:val="20"/>
              </w:rPr>
              <w:t>2,754</w:t>
            </w:r>
          </w:p>
        </w:tc>
        <w:tc>
          <w:tcPr>
            <w:tcW w:w="50" w:type="pct"/>
            <w:shd w:val="clear" w:color="auto" w:fill="CFF0FC"/>
            <w:noWrap/>
            <w:tcMar>
              <w:top w:w="15" w:type="dxa"/>
              <w:left w:w="0" w:type="dxa"/>
              <w:bottom w:w="0" w:type="dxa"/>
              <w:right w:w="15" w:type="dxa"/>
            </w:tcMar>
            <w:vAlign w:val="bottom"/>
            <w:hideMark/>
          </w:tcPr>
          <w:p w14:paraId="59D1F3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6669A6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28A1A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14:paraId="77CE89B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98609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362DDD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92C08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14:paraId="50F109A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A0B58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3057BF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5482C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14:paraId="12294CFB" w14:textId="77777777" w:rsidR="00000000" w:rsidRDefault="007125B5">
            <w:pPr>
              <w:pStyle w:val="a3"/>
              <w:spacing w:before="0" w:beforeAutospacing="0" w:after="0" w:afterAutospacing="0"/>
              <w:jc w:val="right"/>
              <w:rPr>
                <w:color w:val="000000"/>
                <w:sz w:val="20"/>
                <w:szCs w:val="20"/>
              </w:rPr>
            </w:pPr>
            <w:r>
              <w:rPr>
                <w:color w:val="000000"/>
                <w:sz w:val="20"/>
                <w:szCs w:val="20"/>
              </w:rPr>
              <w:t>12,818</w:t>
            </w:r>
          </w:p>
        </w:tc>
        <w:tc>
          <w:tcPr>
            <w:tcW w:w="50" w:type="pct"/>
            <w:shd w:val="clear" w:color="auto" w:fill="CFF0FC"/>
            <w:noWrap/>
            <w:tcMar>
              <w:top w:w="15" w:type="dxa"/>
              <w:left w:w="0" w:type="dxa"/>
              <w:bottom w:w="0" w:type="dxa"/>
              <w:right w:w="15" w:type="dxa"/>
            </w:tcMar>
            <w:vAlign w:val="bottom"/>
            <w:hideMark/>
          </w:tcPr>
          <w:p w14:paraId="557B00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6AC9DF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7EEBC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14:paraId="6929483A" w14:textId="77777777" w:rsidR="00000000" w:rsidRDefault="007125B5">
            <w:pPr>
              <w:pStyle w:val="a3"/>
              <w:spacing w:before="0" w:beforeAutospacing="0" w:after="0" w:afterAutospacing="0"/>
              <w:jc w:val="right"/>
              <w:rPr>
                <w:color w:val="000000"/>
                <w:sz w:val="20"/>
                <w:szCs w:val="20"/>
              </w:rPr>
            </w:pPr>
            <w:r>
              <w:rPr>
                <w:color w:val="000000"/>
                <w:sz w:val="20"/>
                <w:szCs w:val="20"/>
              </w:rPr>
              <w:t>15,572</w:t>
            </w:r>
          </w:p>
        </w:tc>
        <w:tc>
          <w:tcPr>
            <w:tcW w:w="50" w:type="pct"/>
            <w:shd w:val="clear" w:color="auto" w:fill="CFF0FC"/>
            <w:noWrap/>
            <w:tcMar>
              <w:top w:w="15" w:type="dxa"/>
              <w:left w:w="0" w:type="dxa"/>
              <w:bottom w:w="0" w:type="dxa"/>
              <w:right w:w="15" w:type="dxa"/>
            </w:tcMar>
            <w:vAlign w:val="bottom"/>
            <w:hideMark/>
          </w:tcPr>
          <w:p w14:paraId="6FC4C5B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46B5ECB" w14:textId="77777777">
        <w:trPr>
          <w:divId w:val="1366179404"/>
          <w:jc w:val="center"/>
        </w:trPr>
        <w:tc>
          <w:tcPr>
            <w:tcW w:w="2037" w:type="pct"/>
            <w:shd w:val="clear" w:color="auto" w:fill="FFFFFF"/>
            <w:tcMar>
              <w:top w:w="15" w:type="dxa"/>
              <w:left w:w="0" w:type="dxa"/>
              <w:bottom w:w="0" w:type="dxa"/>
              <w:right w:w="15" w:type="dxa"/>
            </w:tcMar>
            <w:hideMark/>
          </w:tcPr>
          <w:p w14:paraId="773BDD72" w14:textId="77777777" w:rsidR="00000000" w:rsidRDefault="007125B5">
            <w:pPr>
              <w:pStyle w:val="a3"/>
              <w:spacing w:before="0" w:beforeAutospacing="0" w:after="0" w:afterAutospacing="0"/>
              <w:ind w:left="274"/>
              <w:rPr>
                <w:color w:val="000000"/>
                <w:sz w:val="20"/>
                <w:szCs w:val="20"/>
              </w:rPr>
            </w:pPr>
            <w:r>
              <w:rPr>
                <w:color w:val="000000"/>
                <w:sz w:val="20"/>
                <w:szCs w:val="20"/>
              </w:rPr>
              <w:t>Acquisitions</w:t>
            </w:r>
          </w:p>
        </w:tc>
        <w:tc>
          <w:tcPr>
            <w:tcW w:w="50" w:type="pct"/>
            <w:shd w:val="clear" w:color="auto" w:fill="FFFFFF"/>
            <w:noWrap/>
            <w:tcMar>
              <w:top w:w="15" w:type="dxa"/>
              <w:left w:w="0" w:type="dxa"/>
              <w:bottom w:w="0" w:type="dxa"/>
              <w:right w:w="15" w:type="dxa"/>
            </w:tcMar>
            <w:vAlign w:val="bottom"/>
            <w:hideMark/>
          </w:tcPr>
          <w:p w14:paraId="4EAB44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1B82916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B0FE6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2BFEC9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7AB7C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46E8EA84" w14:textId="77777777" w:rsidR="00000000" w:rsidRDefault="007125B5">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14:paraId="70799D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4A1BF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2A1B3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066355F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BE4B8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07A3D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9A6A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7AF0DE5D"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58F7F3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6D1003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753A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1E56FDF2"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A58DD0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E23D3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81F2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0739A46F" w14:textId="77777777" w:rsidR="00000000" w:rsidRDefault="007125B5">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14:paraId="4965E0B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D87CA80" w14:textId="77777777">
        <w:trPr>
          <w:divId w:val="1366179404"/>
          <w:jc w:val="center"/>
        </w:trPr>
        <w:tc>
          <w:tcPr>
            <w:tcW w:w="2037" w:type="pct"/>
            <w:shd w:val="clear" w:color="auto" w:fill="CFF0FC"/>
            <w:tcMar>
              <w:top w:w="15" w:type="dxa"/>
              <w:left w:w="0" w:type="dxa"/>
              <w:bottom w:w="0" w:type="dxa"/>
              <w:right w:w="15" w:type="dxa"/>
            </w:tcMar>
            <w:hideMark/>
          </w:tcPr>
          <w:p w14:paraId="06206B11" w14:textId="77777777" w:rsidR="00000000" w:rsidRDefault="007125B5">
            <w:pPr>
              <w:pStyle w:val="a3"/>
              <w:spacing w:before="0" w:beforeAutospacing="0" w:after="0" w:afterAutospacing="0"/>
              <w:ind w:left="274"/>
              <w:rPr>
                <w:color w:val="000000"/>
                <w:sz w:val="20"/>
                <w:szCs w:val="20"/>
              </w:rPr>
            </w:pPr>
            <w:r>
              <w:rPr>
                <w:color w:val="000000"/>
                <w:sz w:val="20"/>
                <w:szCs w:val="20"/>
              </w:rPr>
              <w:t>Changes in fair value included in earnings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B80C1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43B3DE6A"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66854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4B6F9A9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89E28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2BC428D0" w14:textId="77777777" w:rsidR="00000000" w:rsidRDefault="007125B5">
            <w:pPr>
              <w:pStyle w:val="a3"/>
              <w:spacing w:before="0" w:beforeAutospacing="0" w:after="0" w:afterAutospacing="0"/>
              <w:jc w:val="right"/>
              <w:rPr>
                <w:color w:val="000000"/>
                <w:sz w:val="20"/>
                <w:szCs w:val="20"/>
              </w:rPr>
            </w:pPr>
            <w:r>
              <w:rPr>
                <w:color w:val="000000"/>
                <w:sz w:val="20"/>
                <w:szCs w:val="20"/>
              </w:rPr>
              <w:t>(926</w:t>
            </w:r>
          </w:p>
        </w:tc>
        <w:tc>
          <w:tcPr>
            <w:tcW w:w="50" w:type="pct"/>
            <w:shd w:val="clear" w:color="auto" w:fill="CFF0FC"/>
            <w:noWrap/>
            <w:tcMar>
              <w:top w:w="15" w:type="dxa"/>
              <w:left w:w="0" w:type="dxa"/>
              <w:bottom w:w="0" w:type="dxa"/>
              <w:right w:w="15" w:type="dxa"/>
            </w:tcMar>
            <w:vAlign w:val="bottom"/>
            <w:hideMark/>
          </w:tcPr>
          <w:p w14:paraId="1F5E904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14:paraId="09D0B5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6C355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2EB75E52"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BAA28C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59EC6F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8A0D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71283AEE"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F69B6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058BE2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6E25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3695742F" w14:textId="77777777" w:rsidR="00000000" w:rsidRDefault="007125B5">
            <w:pPr>
              <w:pStyle w:val="a3"/>
              <w:spacing w:before="0" w:beforeAutospacing="0" w:after="0" w:afterAutospacing="0"/>
              <w:jc w:val="right"/>
              <w:rPr>
                <w:color w:val="000000"/>
                <w:sz w:val="20"/>
                <w:szCs w:val="20"/>
              </w:rPr>
            </w:pPr>
            <w:r>
              <w:rPr>
                <w:color w:val="000000"/>
                <w:sz w:val="20"/>
                <w:szCs w:val="20"/>
              </w:rPr>
              <w:t>1,549</w:t>
            </w:r>
          </w:p>
        </w:tc>
        <w:tc>
          <w:tcPr>
            <w:tcW w:w="50" w:type="pct"/>
            <w:shd w:val="clear" w:color="auto" w:fill="CFF0FC"/>
            <w:noWrap/>
            <w:tcMar>
              <w:top w:w="15" w:type="dxa"/>
              <w:left w:w="0" w:type="dxa"/>
              <w:bottom w:w="0" w:type="dxa"/>
              <w:right w:w="15" w:type="dxa"/>
            </w:tcMar>
            <w:vAlign w:val="bottom"/>
            <w:hideMark/>
          </w:tcPr>
          <w:p w14:paraId="1E970F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2437DF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834B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5DE479CF" w14:textId="77777777" w:rsidR="00000000" w:rsidRDefault="007125B5">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CFF0FC"/>
            <w:noWrap/>
            <w:tcMar>
              <w:top w:w="15" w:type="dxa"/>
              <w:left w:w="0" w:type="dxa"/>
              <w:bottom w:w="0" w:type="dxa"/>
              <w:right w:w="15" w:type="dxa"/>
            </w:tcMar>
            <w:vAlign w:val="bottom"/>
            <w:hideMark/>
          </w:tcPr>
          <w:p w14:paraId="2121ECD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5388184" w14:textId="77777777">
        <w:trPr>
          <w:divId w:val="1366179404"/>
          <w:jc w:val="center"/>
        </w:trPr>
        <w:tc>
          <w:tcPr>
            <w:tcW w:w="2037" w:type="pct"/>
            <w:shd w:val="clear" w:color="auto" w:fill="FFFFFF"/>
            <w:tcMar>
              <w:top w:w="15" w:type="dxa"/>
              <w:left w:w="0" w:type="dxa"/>
              <w:bottom w:w="0" w:type="dxa"/>
              <w:right w:w="15" w:type="dxa"/>
            </w:tcMar>
            <w:hideMark/>
          </w:tcPr>
          <w:p w14:paraId="4D705489" w14:textId="77777777" w:rsidR="00000000" w:rsidRDefault="007125B5">
            <w:pPr>
              <w:pStyle w:val="a3"/>
              <w:spacing w:before="0" w:beforeAutospacing="0" w:after="0" w:afterAutospacing="0"/>
              <w:rPr>
                <w:color w:val="000000"/>
                <w:sz w:val="20"/>
                <w:szCs w:val="20"/>
              </w:rPr>
            </w:pPr>
            <w:r>
              <w:rPr>
                <w:color w:val="000000"/>
                <w:sz w:val="20"/>
                <w:szCs w:val="20"/>
              </w:rPr>
              <w:t>Balance—at June 30, 2019</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67E2E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78E800"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6691C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296F50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6A3DC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D0ADCC" w14:textId="77777777" w:rsidR="00000000" w:rsidRDefault="007125B5">
            <w:pPr>
              <w:pStyle w:val="a3"/>
              <w:spacing w:before="0" w:beforeAutospacing="0" w:after="0" w:afterAutospacing="0"/>
              <w:jc w:val="right"/>
              <w:rPr>
                <w:color w:val="000000"/>
                <w:sz w:val="20"/>
                <w:szCs w:val="20"/>
              </w:rPr>
            </w:pPr>
            <w:r>
              <w:rPr>
                <w:color w:val="000000"/>
                <w:sz w:val="20"/>
                <w:szCs w:val="20"/>
              </w:rPr>
              <w:t>1,859</w:t>
            </w:r>
          </w:p>
        </w:tc>
        <w:tc>
          <w:tcPr>
            <w:tcW w:w="50" w:type="pct"/>
            <w:shd w:val="clear" w:color="auto" w:fill="FFFFFF"/>
            <w:noWrap/>
            <w:tcMar>
              <w:top w:w="15" w:type="dxa"/>
              <w:left w:w="0" w:type="dxa"/>
              <w:bottom w:w="0" w:type="dxa"/>
              <w:right w:w="15" w:type="dxa"/>
            </w:tcMar>
            <w:vAlign w:val="bottom"/>
            <w:hideMark/>
          </w:tcPr>
          <w:p w14:paraId="2CA82EE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B1CD5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497AD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F950B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C9B07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327F67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B1869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843AF3"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8D640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7E7C73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6A03B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1CC046" w14:textId="77777777" w:rsidR="00000000" w:rsidRDefault="007125B5">
            <w:pPr>
              <w:pStyle w:val="a3"/>
              <w:spacing w:before="0" w:beforeAutospacing="0" w:after="0" w:afterAutospacing="0"/>
              <w:jc w:val="right"/>
              <w:rPr>
                <w:color w:val="000000"/>
                <w:sz w:val="20"/>
                <w:szCs w:val="20"/>
              </w:rPr>
            </w:pPr>
            <w:r>
              <w:rPr>
                <w:color w:val="000000"/>
                <w:sz w:val="20"/>
                <w:szCs w:val="20"/>
              </w:rPr>
              <w:t>14,367</w:t>
            </w:r>
          </w:p>
        </w:tc>
        <w:tc>
          <w:tcPr>
            <w:tcW w:w="50" w:type="pct"/>
            <w:shd w:val="clear" w:color="auto" w:fill="FFFFFF"/>
            <w:noWrap/>
            <w:tcMar>
              <w:top w:w="15" w:type="dxa"/>
              <w:left w:w="0" w:type="dxa"/>
              <w:bottom w:w="0" w:type="dxa"/>
              <w:right w:w="15" w:type="dxa"/>
            </w:tcMar>
            <w:vAlign w:val="bottom"/>
            <w:hideMark/>
          </w:tcPr>
          <w:p w14:paraId="2F08F3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57361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6D753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36273B" w14:textId="77777777" w:rsidR="00000000" w:rsidRDefault="007125B5">
            <w:pPr>
              <w:pStyle w:val="a3"/>
              <w:spacing w:before="0" w:beforeAutospacing="0" w:after="0" w:afterAutospacing="0"/>
              <w:jc w:val="right"/>
              <w:rPr>
                <w:color w:val="000000"/>
                <w:sz w:val="20"/>
                <w:szCs w:val="20"/>
              </w:rPr>
            </w:pPr>
            <w:r>
              <w:rPr>
                <w:color w:val="000000"/>
                <w:sz w:val="20"/>
                <w:szCs w:val="20"/>
              </w:rPr>
              <w:t>16,226</w:t>
            </w:r>
          </w:p>
        </w:tc>
        <w:tc>
          <w:tcPr>
            <w:tcW w:w="50" w:type="pct"/>
            <w:shd w:val="clear" w:color="auto" w:fill="FFFFFF"/>
            <w:noWrap/>
            <w:tcMar>
              <w:top w:w="15" w:type="dxa"/>
              <w:left w:w="0" w:type="dxa"/>
              <w:bottom w:w="0" w:type="dxa"/>
              <w:right w:w="15" w:type="dxa"/>
            </w:tcMar>
            <w:vAlign w:val="bottom"/>
            <w:hideMark/>
          </w:tcPr>
          <w:p w14:paraId="588BC60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605501E" w14:textId="77777777">
        <w:trPr>
          <w:divId w:val="1366179404"/>
          <w:jc w:val="center"/>
        </w:trPr>
        <w:tc>
          <w:tcPr>
            <w:tcW w:w="2037" w:type="pct"/>
            <w:shd w:val="clear" w:color="auto" w:fill="CFF0FC"/>
            <w:tcMar>
              <w:top w:w="15" w:type="dxa"/>
              <w:left w:w="0" w:type="dxa"/>
              <w:bottom w:w="0" w:type="dxa"/>
              <w:right w:w="15" w:type="dxa"/>
            </w:tcMar>
            <w:hideMark/>
          </w:tcPr>
          <w:p w14:paraId="63CD544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7282CB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CFF0FC"/>
            <w:noWrap/>
            <w:tcMar>
              <w:top w:w="15" w:type="dxa"/>
              <w:left w:w="0" w:type="dxa"/>
              <w:bottom w:w="0" w:type="dxa"/>
              <w:right w:w="15" w:type="dxa"/>
            </w:tcMar>
            <w:vAlign w:val="bottom"/>
            <w:hideMark/>
          </w:tcPr>
          <w:p w14:paraId="3B49714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8AAA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61BF7D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A333AF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CFF0FC"/>
            <w:noWrap/>
            <w:tcMar>
              <w:top w:w="15" w:type="dxa"/>
              <w:left w:w="0" w:type="dxa"/>
              <w:bottom w:w="0" w:type="dxa"/>
              <w:right w:w="15" w:type="dxa"/>
            </w:tcMar>
            <w:vAlign w:val="bottom"/>
            <w:hideMark/>
          </w:tcPr>
          <w:p w14:paraId="6A6AC27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B439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4914D2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EE4E4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CFF0FC"/>
            <w:noWrap/>
            <w:tcMar>
              <w:top w:w="15" w:type="dxa"/>
              <w:left w:w="0" w:type="dxa"/>
              <w:bottom w:w="0" w:type="dxa"/>
              <w:right w:w="15" w:type="dxa"/>
            </w:tcMar>
            <w:vAlign w:val="bottom"/>
            <w:hideMark/>
          </w:tcPr>
          <w:p w14:paraId="6E14DA9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13AC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5AD900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1F03C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CFF0FC"/>
            <w:noWrap/>
            <w:tcMar>
              <w:top w:w="15" w:type="dxa"/>
              <w:left w:w="0" w:type="dxa"/>
              <w:bottom w:w="0" w:type="dxa"/>
              <w:right w:w="15" w:type="dxa"/>
            </w:tcMar>
            <w:vAlign w:val="bottom"/>
            <w:hideMark/>
          </w:tcPr>
          <w:p w14:paraId="0858EA0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16BD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416EB3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EE458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CFF0FC"/>
            <w:noWrap/>
            <w:tcMar>
              <w:top w:w="15" w:type="dxa"/>
              <w:left w:w="0" w:type="dxa"/>
              <w:bottom w:w="0" w:type="dxa"/>
              <w:right w:w="15" w:type="dxa"/>
            </w:tcMar>
            <w:vAlign w:val="bottom"/>
            <w:hideMark/>
          </w:tcPr>
          <w:p w14:paraId="2922D15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C5664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2AF14E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65741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CFF0FC"/>
            <w:noWrap/>
            <w:tcMar>
              <w:top w:w="15" w:type="dxa"/>
              <w:left w:w="0" w:type="dxa"/>
              <w:bottom w:w="0" w:type="dxa"/>
              <w:right w:w="15" w:type="dxa"/>
            </w:tcMar>
            <w:vAlign w:val="bottom"/>
            <w:hideMark/>
          </w:tcPr>
          <w:p w14:paraId="5C716E8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A93FE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D26F3CF" w14:textId="77777777">
        <w:trPr>
          <w:divId w:val="1366179404"/>
          <w:jc w:val="center"/>
        </w:trPr>
        <w:tc>
          <w:tcPr>
            <w:tcW w:w="2037" w:type="pct"/>
            <w:shd w:val="clear" w:color="auto" w:fill="FFFFFF"/>
            <w:tcMar>
              <w:top w:w="15" w:type="dxa"/>
              <w:left w:w="0" w:type="dxa"/>
              <w:bottom w:w="0" w:type="dxa"/>
              <w:right w:w="15" w:type="dxa"/>
            </w:tcMar>
            <w:hideMark/>
          </w:tcPr>
          <w:p w14:paraId="34DF6884" w14:textId="77777777" w:rsidR="00000000" w:rsidRDefault="007125B5">
            <w:pPr>
              <w:pStyle w:val="a3"/>
              <w:spacing w:before="0" w:beforeAutospacing="0" w:after="0" w:afterAutospacing="0"/>
              <w:rPr>
                <w:color w:val="000000"/>
                <w:sz w:val="20"/>
                <w:szCs w:val="20"/>
              </w:rPr>
            </w:pPr>
            <w:r>
              <w:rPr>
                <w:color w:val="000000"/>
                <w:sz w:val="20"/>
                <w:szCs w:val="20"/>
              </w:rPr>
              <w:t>Balance—at December 31, 2019</w:t>
            </w:r>
          </w:p>
        </w:tc>
        <w:tc>
          <w:tcPr>
            <w:tcW w:w="50" w:type="pct"/>
            <w:shd w:val="clear" w:color="auto" w:fill="FFFFFF"/>
            <w:noWrap/>
            <w:tcMar>
              <w:top w:w="15" w:type="dxa"/>
              <w:left w:w="0" w:type="dxa"/>
              <w:bottom w:w="0" w:type="dxa"/>
              <w:right w:w="15" w:type="dxa"/>
            </w:tcMar>
            <w:vAlign w:val="bottom"/>
            <w:hideMark/>
          </w:tcPr>
          <w:p w14:paraId="79B94CB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FFFFFF"/>
            <w:noWrap/>
            <w:tcMar>
              <w:top w:w="15" w:type="dxa"/>
              <w:left w:w="0" w:type="dxa"/>
              <w:bottom w:w="0" w:type="dxa"/>
              <w:right w:w="15" w:type="dxa"/>
            </w:tcMar>
            <w:vAlign w:val="bottom"/>
            <w:hideMark/>
          </w:tcPr>
          <w:p w14:paraId="54C11498"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E3FFE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82015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EAC30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FFFFFF"/>
            <w:noWrap/>
            <w:tcMar>
              <w:top w:w="15" w:type="dxa"/>
              <w:left w:w="0" w:type="dxa"/>
              <w:bottom w:w="0" w:type="dxa"/>
              <w:right w:w="15" w:type="dxa"/>
            </w:tcMar>
            <w:vAlign w:val="bottom"/>
            <w:hideMark/>
          </w:tcPr>
          <w:p w14:paraId="764932A4" w14:textId="77777777" w:rsidR="00000000" w:rsidRDefault="007125B5">
            <w:pPr>
              <w:pStyle w:val="a3"/>
              <w:spacing w:before="0" w:beforeAutospacing="0" w:after="0" w:afterAutospacing="0"/>
              <w:jc w:val="right"/>
              <w:rPr>
                <w:color w:val="000000"/>
                <w:sz w:val="20"/>
                <w:szCs w:val="20"/>
              </w:rPr>
            </w:pPr>
            <w:r>
              <w:rPr>
                <w:color w:val="000000"/>
                <w:sz w:val="20"/>
                <w:szCs w:val="20"/>
              </w:rPr>
              <w:t>8,614</w:t>
            </w:r>
          </w:p>
        </w:tc>
        <w:tc>
          <w:tcPr>
            <w:tcW w:w="50" w:type="pct"/>
            <w:shd w:val="clear" w:color="auto" w:fill="FFFFFF"/>
            <w:noWrap/>
            <w:tcMar>
              <w:top w:w="15" w:type="dxa"/>
              <w:left w:w="0" w:type="dxa"/>
              <w:bottom w:w="0" w:type="dxa"/>
              <w:right w:w="15" w:type="dxa"/>
            </w:tcMar>
            <w:vAlign w:val="bottom"/>
            <w:hideMark/>
          </w:tcPr>
          <w:p w14:paraId="7128BF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355EFC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DCABC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FFFFFF"/>
            <w:noWrap/>
            <w:tcMar>
              <w:top w:w="15" w:type="dxa"/>
              <w:left w:w="0" w:type="dxa"/>
              <w:bottom w:w="0" w:type="dxa"/>
              <w:right w:w="15" w:type="dxa"/>
            </w:tcMar>
            <w:vAlign w:val="bottom"/>
            <w:hideMark/>
          </w:tcPr>
          <w:p w14:paraId="76B73FF1" w14:textId="77777777" w:rsidR="00000000" w:rsidRDefault="007125B5">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FFFFFF"/>
            <w:noWrap/>
            <w:tcMar>
              <w:top w:w="15" w:type="dxa"/>
              <w:left w:w="0" w:type="dxa"/>
              <w:bottom w:w="0" w:type="dxa"/>
              <w:right w:w="15" w:type="dxa"/>
            </w:tcMar>
            <w:vAlign w:val="bottom"/>
            <w:hideMark/>
          </w:tcPr>
          <w:p w14:paraId="6F1CFF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67F00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370F5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FFFFFF"/>
            <w:noWrap/>
            <w:tcMar>
              <w:top w:w="15" w:type="dxa"/>
              <w:left w:w="0" w:type="dxa"/>
              <w:bottom w:w="0" w:type="dxa"/>
              <w:right w:w="15" w:type="dxa"/>
            </w:tcMar>
            <w:vAlign w:val="bottom"/>
            <w:hideMark/>
          </w:tcPr>
          <w:p w14:paraId="0853AD7C" w14:textId="77777777" w:rsidR="00000000" w:rsidRDefault="007125B5">
            <w:pPr>
              <w:pStyle w:val="a3"/>
              <w:spacing w:before="0" w:beforeAutospacing="0" w:after="0" w:afterAutospacing="0"/>
              <w:jc w:val="right"/>
              <w:rPr>
                <w:color w:val="000000"/>
                <w:sz w:val="20"/>
                <w:szCs w:val="20"/>
              </w:rPr>
            </w:pPr>
            <w:r>
              <w:rPr>
                <w:color w:val="000000"/>
                <w:sz w:val="20"/>
                <w:szCs w:val="20"/>
              </w:rPr>
              <w:t>7,100</w:t>
            </w:r>
          </w:p>
        </w:tc>
        <w:tc>
          <w:tcPr>
            <w:tcW w:w="50" w:type="pct"/>
            <w:shd w:val="clear" w:color="auto" w:fill="FFFFFF"/>
            <w:noWrap/>
            <w:tcMar>
              <w:top w:w="15" w:type="dxa"/>
              <w:left w:w="0" w:type="dxa"/>
              <w:bottom w:w="0" w:type="dxa"/>
              <w:right w:w="15" w:type="dxa"/>
            </w:tcMar>
            <w:vAlign w:val="bottom"/>
            <w:hideMark/>
          </w:tcPr>
          <w:p w14:paraId="0D3328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7EADD6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1B829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FFFFFF"/>
            <w:noWrap/>
            <w:tcMar>
              <w:top w:w="15" w:type="dxa"/>
              <w:left w:w="0" w:type="dxa"/>
              <w:bottom w:w="0" w:type="dxa"/>
              <w:right w:w="15" w:type="dxa"/>
            </w:tcMar>
            <w:vAlign w:val="bottom"/>
            <w:hideMark/>
          </w:tcPr>
          <w:p w14:paraId="306DA6C2" w14:textId="77777777" w:rsidR="00000000" w:rsidRDefault="007125B5">
            <w:pPr>
              <w:pStyle w:val="a3"/>
              <w:spacing w:before="0" w:beforeAutospacing="0" w:after="0" w:afterAutospacing="0"/>
              <w:jc w:val="right"/>
              <w:rPr>
                <w:color w:val="000000"/>
                <w:sz w:val="20"/>
                <w:szCs w:val="20"/>
              </w:rPr>
            </w:pPr>
            <w:r>
              <w:rPr>
                <w:color w:val="000000"/>
                <w:sz w:val="20"/>
                <w:szCs w:val="20"/>
              </w:rPr>
              <w:t>16,878</w:t>
            </w:r>
          </w:p>
        </w:tc>
        <w:tc>
          <w:tcPr>
            <w:tcW w:w="50" w:type="pct"/>
            <w:shd w:val="clear" w:color="auto" w:fill="FFFFFF"/>
            <w:noWrap/>
            <w:tcMar>
              <w:top w:w="15" w:type="dxa"/>
              <w:left w:w="0" w:type="dxa"/>
              <w:bottom w:w="0" w:type="dxa"/>
              <w:right w:w="15" w:type="dxa"/>
            </w:tcMar>
            <w:vAlign w:val="bottom"/>
            <w:hideMark/>
          </w:tcPr>
          <w:p w14:paraId="79A33A7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606C6D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06F74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shd w:val="clear" w:color="auto" w:fill="FFFFFF"/>
            <w:noWrap/>
            <w:tcMar>
              <w:top w:w="15" w:type="dxa"/>
              <w:left w:w="0" w:type="dxa"/>
              <w:bottom w:w="0" w:type="dxa"/>
              <w:right w:w="15" w:type="dxa"/>
            </w:tcMar>
            <w:vAlign w:val="bottom"/>
            <w:hideMark/>
          </w:tcPr>
          <w:p w14:paraId="1F484797" w14:textId="77777777" w:rsidR="00000000" w:rsidRDefault="007125B5">
            <w:pPr>
              <w:pStyle w:val="a3"/>
              <w:spacing w:before="0" w:beforeAutospacing="0" w:after="0" w:afterAutospacing="0"/>
              <w:jc w:val="right"/>
              <w:rPr>
                <w:color w:val="000000"/>
                <w:sz w:val="20"/>
                <w:szCs w:val="20"/>
              </w:rPr>
            </w:pPr>
            <w:r>
              <w:rPr>
                <w:color w:val="000000"/>
                <w:sz w:val="20"/>
                <w:szCs w:val="20"/>
              </w:rPr>
              <w:t>32,971</w:t>
            </w:r>
          </w:p>
        </w:tc>
        <w:tc>
          <w:tcPr>
            <w:tcW w:w="50" w:type="pct"/>
            <w:shd w:val="clear" w:color="auto" w:fill="FFFFFF"/>
            <w:noWrap/>
            <w:tcMar>
              <w:top w:w="15" w:type="dxa"/>
              <w:left w:w="0" w:type="dxa"/>
              <w:bottom w:w="0" w:type="dxa"/>
              <w:right w:w="15" w:type="dxa"/>
            </w:tcMar>
            <w:vAlign w:val="bottom"/>
            <w:hideMark/>
          </w:tcPr>
          <w:p w14:paraId="32EF309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629EB01" w14:textId="77777777">
        <w:trPr>
          <w:divId w:val="1366179404"/>
          <w:jc w:val="center"/>
        </w:trPr>
        <w:tc>
          <w:tcPr>
            <w:tcW w:w="2037" w:type="pct"/>
            <w:shd w:val="clear" w:color="auto" w:fill="CFF0FC"/>
            <w:tcMar>
              <w:top w:w="15" w:type="dxa"/>
              <w:left w:w="0" w:type="dxa"/>
              <w:bottom w:w="0" w:type="dxa"/>
              <w:right w:w="15" w:type="dxa"/>
            </w:tcMar>
            <w:hideMark/>
          </w:tcPr>
          <w:p w14:paraId="7A640A76" w14:textId="77777777" w:rsidR="00000000" w:rsidRDefault="007125B5">
            <w:pPr>
              <w:pStyle w:val="a3"/>
              <w:spacing w:before="0" w:beforeAutospacing="0" w:after="0" w:afterAutospacing="0"/>
              <w:rPr>
                <w:color w:val="000000"/>
                <w:sz w:val="20"/>
                <w:szCs w:val="20"/>
              </w:rPr>
            </w:pPr>
            <w:r>
              <w:rPr>
                <w:color w:val="000000"/>
                <w:sz w:val="20"/>
                <w:szCs w:val="20"/>
              </w:rPr>
              <w:t>   Payment of contingent consideration</w:t>
            </w:r>
          </w:p>
          <w:p w14:paraId="6AF24EE5" w14:textId="77777777" w:rsidR="00000000" w:rsidRDefault="007125B5">
            <w:pPr>
              <w:pStyle w:val="a3"/>
              <w:spacing w:before="0" w:beforeAutospacing="0" w:after="0" w:afterAutospacing="0"/>
              <w:rPr>
                <w:color w:val="000000"/>
                <w:sz w:val="20"/>
                <w:szCs w:val="20"/>
              </w:rPr>
            </w:pPr>
            <w:r>
              <w:rPr>
                <w:color w:val="000000"/>
                <w:sz w:val="20"/>
                <w:szCs w:val="20"/>
              </w:rPr>
              <w:t>   payable</w:t>
            </w:r>
          </w:p>
        </w:tc>
        <w:tc>
          <w:tcPr>
            <w:tcW w:w="50" w:type="pct"/>
            <w:shd w:val="clear" w:color="auto" w:fill="CFF0FC"/>
            <w:noWrap/>
            <w:tcMar>
              <w:top w:w="15" w:type="dxa"/>
              <w:left w:w="0" w:type="dxa"/>
              <w:bottom w:w="0" w:type="dxa"/>
              <w:right w:w="15" w:type="dxa"/>
            </w:tcMar>
            <w:vAlign w:val="bottom"/>
            <w:hideMark/>
          </w:tcPr>
          <w:p w14:paraId="6CC995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0C6A3EFF"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2FF7E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7EB040D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B50F3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1F157BFC" w14:textId="77777777" w:rsidR="00000000" w:rsidRDefault="007125B5">
            <w:pPr>
              <w:pStyle w:val="a3"/>
              <w:spacing w:before="0" w:beforeAutospacing="0" w:after="0" w:afterAutospacing="0"/>
              <w:jc w:val="right"/>
              <w:rPr>
                <w:color w:val="000000"/>
                <w:sz w:val="20"/>
                <w:szCs w:val="20"/>
              </w:rPr>
            </w:pPr>
            <w:r>
              <w:rPr>
                <w:color w:val="000000"/>
                <w:sz w:val="20"/>
                <w:szCs w:val="20"/>
              </w:rPr>
              <w:t>(12,250</w:t>
            </w:r>
          </w:p>
        </w:tc>
        <w:tc>
          <w:tcPr>
            <w:tcW w:w="50" w:type="pct"/>
            <w:shd w:val="clear" w:color="auto" w:fill="CFF0FC"/>
            <w:noWrap/>
            <w:tcMar>
              <w:top w:w="15" w:type="dxa"/>
              <w:left w:w="0" w:type="dxa"/>
              <w:bottom w:w="0" w:type="dxa"/>
              <w:right w:w="15" w:type="dxa"/>
            </w:tcMar>
            <w:vAlign w:val="bottom"/>
            <w:hideMark/>
          </w:tcPr>
          <w:p w14:paraId="1642459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14:paraId="0773AF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1CF9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7E9E8F14"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3E3F2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7AC878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B4E99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7273409D"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A82CE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1741B3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A241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41BF85F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B82F3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19C82E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AC5F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02DD84C0" w14:textId="77777777" w:rsidR="00000000" w:rsidRDefault="007125B5">
            <w:pPr>
              <w:pStyle w:val="a3"/>
              <w:spacing w:before="0" w:beforeAutospacing="0" w:after="0" w:afterAutospacing="0"/>
              <w:jc w:val="right"/>
              <w:rPr>
                <w:color w:val="000000"/>
                <w:sz w:val="20"/>
                <w:szCs w:val="20"/>
              </w:rPr>
            </w:pPr>
            <w:r>
              <w:rPr>
                <w:color w:val="000000"/>
                <w:sz w:val="20"/>
                <w:szCs w:val="20"/>
              </w:rPr>
              <w:t>(12,250</w:t>
            </w:r>
          </w:p>
        </w:tc>
        <w:tc>
          <w:tcPr>
            <w:tcW w:w="50" w:type="pct"/>
            <w:shd w:val="clear" w:color="auto" w:fill="CFF0FC"/>
            <w:noWrap/>
            <w:tcMar>
              <w:top w:w="15" w:type="dxa"/>
              <w:left w:w="0" w:type="dxa"/>
              <w:bottom w:w="0" w:type="dxa"/>
              <w:right w:w="15" w:type="dxa"/>
            </w:tcMar>
            <w:vAlign w:val="bottom"/>
            <w:hideMark/>
          </w:tcPr>
          <w:p w14:paraId="073A6463"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40B01E5" w14:textId="77777777">
        <w:trPr>
          <w:divId w:val="1366179404"/>
          <w:jc w:val="center"/>
        </w:trPr>
        <w:tc>
          <w:tcPr>
            <w:tcW w:w="2037" w:type="pct"/>
            <w:shd w:val="clear" w:color="auto" w:fill="FFFFFF"/>
            <w:tcMar>
              <w:top w:w="15" w:type="dxa"/>
              <w:left w:w="0" w:type="dxa"/>
              <w:bottom w:w="0" w:type="dxa"/>
              <w:right w:w="15" w:type="dxa"/>
            </w:tcMar>
            <w:hideMark/>
          </w:tcPr>
          <w:p w14:paraId="7129694E" w14:textId="77777777" w:rsidR="00000000" w:rsidRDefault="007125B5">
            <w:pPr>
              <w:pStyle w:val="a3"/>
              <w:spacing w:before="0" w:beforeAutospacing="0" w:after="0" w:afterAutospacing="0"/>
              <w:rPr>
                <w:color w:val="000000"/>
                <w:sz w:val="20"/>
                <w:szCs w:val="20"/>
              </w:rPr>
            </w:pPr>
            <w:r>
              <w:rPr>
                <w:color w:val="000000"/>
                <w:sz w:val="20"/>
                <w:szCs w:val="20"/>
              </w:rPr>
              <w:t>    Foreign currency translation of contingent</w:t>
            </w:r>
          </w:p>
          <w:p w14:paraId="5CB9D217" w14:textId="77777777" w:rsidR="00000000" w:rsidRDefault="007125B5">
            <w:pPr>
              <w:pStyle w:val="a3"/>
              <w:spacing w:before="0" w:beforeAutospacing="0" w:after="0" w:afterAutospacing="0"/>
              <w:rPr>
                <w:color w:val="000000"/>
                <w:sz w:val="20"/>
                <w:szCs w:val="20"/>
              </w:rPr>
            </w:pPr>
            <w:r>
              <w:rPr>
                <w:color w:val="000000"/>
                <w:sz w:val="20"/>
                <w:szCs w:val="20"/>
              </w:rPr>
              <w:t>   consideration payment</w:t>
            </w:r>
          </w:p>
        </w:tc>
        <w:tc>
          <w:tcPr>
            <w:tcW w:w="50" w:type="pct"/>
            <w:shd w:val="clear" w:color="auto" w:fill="FFFFFF"/>
            <w:noWrap/>
            <w:tcMar>
              <w:top w:w="15" w:type="dxa"/>
              <w:left w:w="0" w:type="dxa"/>
              <w:bottom w:w="0" w:type="dxa"/>
              <w:right w:w="15" w:type="dxa"/>
            </w:tcMar>
            <w:vAlign w:val="bottom"/>
            <w:hideMark/>
          </w:tcPr>
          <w:p w14:paraId="5FBDA6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09B5F12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3F037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519BC7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44CF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4AD6BE86" w14:textId="77777777" w:rsidR="00000000" w:rsidRDefault="007125B5">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FFFFFF"/>
            <w:noWrap/>
            <w:tcMar>
              <w:top w:w="15" w:type="dxa"/>
              <w:left w:w="0" w:type="dxa"/>
              <w:bottom w:w="0" w:type="dxa"/>
              <w:right w:w="15" w:type="dxa"/>
            </w:tcMar>
            <w:vAlign w:val="bottom"/>
            <w:hideMark/>
          </w:tcPr>
          <w:p w14:paraId="2B57F56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14:paraId="686EE2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F1B0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531FACA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12E8A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718C2E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DFC74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08EDB735"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29A24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E80B1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373C5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3413EFD7"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BE4D1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14390B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83C5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394BCE8A" w14:textId="77777777" w:rsidR="00000000" w:rsidRDefault="007125B5">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FFFFFF"/>
            <w:noWrap/>
            <w:tcMar>
              <w:top w:w="15" w:type="dxa"/>
              <w:left w:w="0" w:type="dxa"/>
              <w:bottom w:w="0" w:type="dxa"/>
              <w:right w:w="15" w:type="dxa"/>
            </w:tcMar>
            <w:vAlign w:val="bottom"/>
            <w:hideMark/>
          </w:tcPr>
          <w:p w14:paraId="2C3F50C9"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7D3AD7A4" w14:textId="77777777">
        <w:trPr>
          <w:divId w:val="1366179404"/>
          <w:jc w:val="center"/>
        </w:trPr>
        <w:tc>
          <w:tcPr>
            <w:tcW w:w="2037" w:type="pct"/>
            <w:shd w:val="clear" w:color="auto" w:fill="CFF0FC"/>
            <w:tcMar>
              <w:top w:w="15" w:type="dxa"/>
              <w:left w:w="0" w:type="dxa"/>
              <w:bottom w:w="0" w:type="dxa"/>
              <w:right w:w="15" w:type="dxa"/>
            </w:tcMar>
            <w:hideMark/>
          </w:tcPr>
          <w:p w14:paraId="05545DA0" w14:textId="77777777" w:rsidR="00000000" w:rsidRDefault="007125B5">
            <w:pPr>
              <w:pStyle w:val="a3"/>
              <w:spacing w:before="0" w:beforeAutospacing="0" w:after="0" w:afterAutospacing="0"/>
              <w:rPr>
                <w:color w:val="000000"/>
                <w:sz w:val="20"/>
                <w:szCs w:val="20"/>
              </w:rPr>
            </w:pPr>
            <w:r>
              <w:rPr>
                <w:color w:val="000000"/>
                <w:sz w:val="20"/>
                <w:szCs w:val="20"/>
              </w:rPr>
              <w:t>   Acquisitions</w:t>
            </w:r>
          </w:p>
        </w:tc>
        <w:tc>
          <w:tcPr>
            <w:tcW w:w="50" w:type="pct"/>
            <w:shd w:val="clear" w:color="auto" w:fill="CFF0FC"/>
            <w:noWrap/>
            <w:tcMar>
              <w:top w:w="15" w:type="dxa"/>
              <w:left w:w="0" w:type="dxa"/>
              <w:bottom w:w="0" w:type="dxa"/>
              <w:right w:w="15" w:type="dxa"/>
            </w:tcMar>
            <w:vAlign w:val="bottom"/>
            <w:hideMark/>
          </w:tcPr>
          <w:p w14:paraId="109875C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43EB250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F8D0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1A766A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DBD7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4BE1F99B" w14:textId="77777777" w:rsidR="00000000" w:rsidRDefault="007125B5">
            <w:pPr>
              <w:pStyle w:val="a3"/>
              <w:spacing w:before="0" w:beforeAutospacing="0" w:after="0" w:afterAutospacing="0"/>
              <w:jc w:val="right"/>
              <w:rPr>
                <w:color w:val="000000"/>
                <w:sz w:val="20"/>
                <w:szCs w:val="20"/>
              </w:rPr>
            </w:pPr>
            <w:r>
              <w:rPr>
                <w:color w:val="000000"/>
                <w:sz w:val="20"/>
                <w:szCs w:val="20"/>
              </w:rPr>
              <w:t>34,451</w:t>
            </w:r>
          </w:p>
        </w:tc>
        <w:tc>
          <w:tcPr>
            <w:tcW w:w="50" w:type="pct"/>
            <w:shd w:val="clear" w:color="auto" w:fill="CFF0FC"/>
            <w:noWrap/>
            <w:tcMar>
              <w:top w:w="15" w:type="dxa"/>
              <w:left w:w="0" w:type="dxa"/>
              <w:bottom w:w="0" w:type="dxa"/>
              <w:right w:w="15" w:type="dxa"/>
            </w:tcMar>
            <w:vAlign w:val="bottom"/>
            <w:hideMark/>
          </w:tcPr>
          <w:p w14:paraId="37317B9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005EFF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8B6B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1AA7E4A5" w14:textId="77777777" w:rsidR="00000000" w:rsidRDefault="007125B5">
            <w:pPr>
              <w:pStyle w:val="a3"/>
              <w:spacing w:before="0" w:beforeAutospacing="0" w:after="0" w:afterAutospacing="0"/>
              <w:jc w:val="right"/>
              <w:rPr>
                <w:color w:val="000000"/>
                <w:sz w:val="20"/>
                <w:szCs w:val="20"/>
              </w:rPr>
            </w:pPr>
            <w:r>
              <w:rPr>
                <w:color w:val="000000"/>
                <w:sz w:val="20"/>
                <w:szCs w:val="20"/>
              </w:rPr>
              <w:t>10,543</w:t>
            </w:r>
          </w:p>
        </w:tc>
        <w:tc>
          <w:tcPr>
            <w:tcW w:w="50" w:type="pct"/>
            <w:shd w:val="clear" w:color="auto" w:fill="CFF0FC"/>
            <w:noWrap/>
            <w:tcMar>
              <w:top w:w="15" w:type="dxa"/>
              <w:left w:w="0" w:type="dxa"/>
              <w:bottom w:w="0" w:type="dxa"/>
              <w:right w:w="15" w:type="dxa"/>
            </w:tcMar>
            <w:vAlign w:val="bottom"/>
            <w:hideMark/>
          </w:tcPr>
          <w:p w14:paraId="35FB59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069E6E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F9DC0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3A7A0B6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1322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342978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F5CD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31C7EA8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7CF4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1DADE9C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EE71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5D73DFEE" w14:textId="77777777" w:rsidR="00000000" w:rsidRDefault="007125B5">
            <w:pPr>
              <w:pStyle w:val="a3"/>
              <w:spacing w:before="0" w:beforeAutospacing="0" w:after="0" w:afterAutospacing="0"/>
              <w:jc w:val="right"/>
              <w:rPr>
                <w:color w:val="000000"/>
                <w:sz w:val="20"/>
                <w:szCs w:val="20"/>
              </w:rPr>
            </w:pPr>
            <w:r>
              <w:rPr>
                <w:color w:val="000000"/>
                <w:sz w:val="20"/>
                <w:szCs w:val="20"/>
              </w:rPr>
              <w:t>44,994</w:t>
            </w:r>
          </w:p>
        </w:tc>
        <w:tc>
          <w:tcPr>
            <w:tcW w:w="50" w:type="pct"/>
            <w:shd w:val="clear" w:color="auto" w:fill="CFF0FC"/>
            <w:noWrap/>
            <w:tcMar>
              <w:top w:w="15" w:type="dxa"/>
              <w:left w:w="0" w:type="dxa"/>
              <w:bottom w:w="0" w:type="dxa"/>
              <w:right w:w="15" w:type="dxa"/>
            </w:tcMar>
            <w:vAlign w:val="bottom"/>
            <w:hideMark/>
          </w:tcPr>
          <w:p w14:paraId="41628FF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A1C72E8" w14:textId="77777777">
        <w:trPr>
          <w:divId w:val="1366179404"/>
          <w:jc w:val="center"/>
        </w:trPr>
        <w:tc>
          <w:tcPr>
            <w:tcW w:w="2037" w:type="pct"/>
            <w:shd w:val="clear" w:color="auto" w:fill="FFFFFF"/>
            <w:tcMar>
              <w:top w:w="15" w:type="dxa"/>
              <w:left w:w="0" w:type="dxa"/>
              <w:bottom w:w="0" w:type="dxa"/>
              <w:right w:w="15" w:type="dxa"/>
            </w:tcMar>
            <w:hideMark/>
          </w:tcPr>
          <w:p w14:paraId="556F9CA6" w14:textId="77777777" w:rsidR="00000000" w:rsidRDefault="007125B5">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Series A-2 compound embedded option</w:t>
            </w:r>
          </w:p>
        </w:tc>
        <w:tc>
          <w:tcPr>
            <w:tcW w:w="50" w:type="pct"/>
            <w:shd w:val="clear" w:color="auto" w:fill="FFFFFF"/>
            <w:noWrap/>
            <w:tcMar>
              <w:top w:w="15" w:type="dxa"/>
              <w:left w:w="0" w:type="dxa"/>
              <w:bottom w:w="0" w:type="dxa"/>
              <w:right w:w="15" w:type="dxa"/>
            </w:tcMar>
            <w:vAlign w:val="bottom"/>
            <w:hideMark/>
          </w:tcPr>
          <w:p w14:paraId="35D95FB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6F39363C" w14:textId="77777777" w:rsidR="00000000" w:rsidRDefault="007125B5">
            <w:pPr>
              <w:pStyle w:val="a3"/>
              <w:spacing w:before="0" w:beforeAutospacing="0" w:after="0" w:afterAutospacing="0"/>
              <w:jc w:val="right"/>
              <w:rPr>
                <w:color w:val="000000"/>
                <w:sz w:val="20"/>
                <w:szCs w:val="20"/>
              </w:rPr>
            </w:pPr>
            <w:r>
              <w:rPr>
                <w:color w:val="000000"/>
                <w:sz w:val="20"/>
                <w:szCs w:val="20"/>
              </w:rPr>
              <w:t>9,361</w:t>
            </w:r>
          </w:p>
        </w:tc>
        <w:tc>
          <w:tcPr>
            <w:tcW w:w="50" w:type="pct"/>
            <w:shd w:val="clear" w:color="auto" w:fill="FFFFFF"/>
            <w:noWrap/>
            <w:tcMar>
              <w:top w:w="15" w:type="dxa"/>
              <w:left w:w="0" w:type="dxa"/>
              <w:bottom w:w="0" w:type="dxa"/>
              <w:right w:w="15" w:type="dxa"/>
            </w:tcMar>
            <w:vAlign w:val="bottom"/>
            <w:hideMark/>
          </w:tcPr>
          <w:p w14:paraId="00E27E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C1530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041C0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4CB4ACB2"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A5210E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96037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41F1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7BCE2A34"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F360B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761E6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CD52F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0CF5C28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B3375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102ACB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D38F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53258C38"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812D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10CA4C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EE98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4B4ADBD8" w14:textId="77777777" w:rsidR="00000000" w:rsidRDefault="007125B5">
            <w:pPr>
              <w:pStyle w:val="a3"/>
              <w:spacing w:before="0" w:beforeAutospacing="0" w:after="0" w:afterAutospacing="0"/>
              <w:jc w:val="right"/>
              <w:rPr>
                <w:color w:val="000000"/>
                <w:sz w:val="20"/>
                <w:szCs w:val="20"/>
              </w:rPr>
            </w:pPr>
            <w:r>
              <w:rPr>
                <w:color w:val="000000"/>
                <w:sz w:val="20"/>
                <w:szCs w:val="20"/>
              </w:rPr>
              <w:t>(9,361</w:t>
            </w:r>
          </w:p>
        </w:tc>
        <w:tc>
          <w:tcPr>
            <w:tcW w:w="50" w:type="pct"/>
            <w:shd w:val="clear" w:color="auto" w:fill="FFFFFF"/>
            <w:noWrap/>
            <w:tcMar>
              <w:top w:w="15" w:type="dxa"/>
              <w:left w:w="0" w:type="dxa"/>
              <w:bottom w:w="0" w:type="dxa"/>
              <w:right w:w="15" w:type="dxa"/>
            </w:tcMar>
            <w:vAlign w:val="bottom"/>
            <w:hideMark/>
          </w:tcPr>
          <w:p w14:paraId="11E0DA1E"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331B56C" w14:textId="77777777">
        <w:trPr>
          <w:divId w:val="1366179404"/>
          <w:jc w:val="center"/>
        </w:trPr>
        <w:tc>
          <w:tcPr>
            <w:tcW w:w="2037" w:type="pct"/>
            <w:shd w:val="clear" w:color="auto" w:fill="CFF0FC"/>
            <w:tcMar>
              <w:top w:w="15" w:type="dxa"/>
              <w:left w:w="0" w:type="dxa"/>
              <w:bottom w:w="0" w:type="dxa"/>
              <w:right w:w="15" w:type="dxa"/>
            </w:tcMar>
            <w:hideMark/>
          </w:tcPr>
          <w:p w14:paraId="30712F75" w14:textId="77777777" w:rsidR="00000000" w:rsidRDefault="007125B5">
            <w:pPr>
              <w:pStyle w:val="a3"/>
              <w:spacing w:before="0" w:beforeAutospacing="0" w:after="0" w:afterAutospacing="0"/>
              <w:rPr>
                <w:color w:val="000000"/>
                <w:sz w:val="20"/>
                <w:szCs w:val="20"/>
              </w:rPr>
            </w:pPr>
            <w:r>
              <w:rPr>
                <w:color w:val="000000"/>
                <w:sz w:val="20"/>
                <w:szCs w:val="20"/>
              </w:rPr>
              <w:t>   Issuance of warrant option</w:t>
            </w:r>
          </w:p>
        </w:tc>
        <w:tc>
          <w:tcPr>
            <w:tcW w:w="50" w:type="pct"/>
            <w:shd w:val="clear" w:color="auto" w:fill="CFF0FC"/>
            <w:noWrap/>
            <w:tcMar>
              <w:top w:w="15" w:type="dxa"/>
              <w:left w:w="0" w:type="dxa"/>
              <w:bottom w:w="0" w:type="dxa"/>
              <w:right w:w="15" w:type="dxa"/>
            </w:tcMar>
            <w:vAlign w:val="bottom"/>
            <w:hideMark/>
          </w:tcPr>
          <w:p w14:paraId="01367B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221AF8D0"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FC816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3A1A21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79AFC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32590284"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BC255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095C97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1A933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568EEDF0"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44AF0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09EC95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3462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78AFF65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18B2B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23172FE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94FF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2E195691" w14:textId="77777777" w:rsidR="00000000" w:rsidRDefault="007125B5">
            <w:pPr>
              <w:pStyle w:val="a3"/>
              <w:spacing w:before="0" w:beforeAutospacing="0" w:after="0" w:afterAutospacing="0"/>
              <w:jc w:val="right"/>
              <w:rPr>
                <w:color w:val="000000"/>
                <w:sz w:val="20"/>
                <w:szCs w:val="20"/>
              </w:rPr>
            </w:pPr>
            <w:r>
              <w:rPr>
                <w:color w:val="000000"/>
                <w:sz w:val="20"/>
                <w:szCs w:val="20"/>
              </w:rPr>
              <w:t>30,099</w:t>
            </w:r>
          </w:p>
        </w:tc>
        <w:tc>
          <w:tcPr>
            <w:tcW w:w="50" w:type="pct"/>
            <w:shd w:val="clear" w:color="auto" w:fill="CFF0FC"/>
            <w:noWrap/>
            <w:tcMar>
              <w:top w:w="15" w:type="dxa"/>
              <w:left w:w="0" w:type="dxa"/>
              <w:bottom w:w="0" w:type="dxa"/>
              <w:right w:w="15" w:type="dxa"/>
            </w:tcMar>
            <w:vAlign w:val="bottom"/>
            <w:hideMark/>
          </w:tcPr>
          <w:p w14:paraId="1D1AC67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273C187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82B2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14:paraId="7BF80788" w14:textId="77777777" w:rsidR="00000000" w:rsidRDefault="007125B5">
            <w:pPr>
              <w:pStyle w:val="a3"/>
              <w:spacing w:before="0" w:beforeAutospacing="0" w:after="0" w:afterAutospacing="0"/>
              <w:jc w:val="right"/>
              <w:rPr>
                <w:color w:val="000000"/>
                <w:sz w:val="20"/>
                <w:szCs w:val="20"/>
              </w:rPr>
            </w:pPr>
            <w:r>
              <w:rPr>
                <w:color w:val="000000"/>
                <w:sz w:val="20"/>
                <w:szCs w:val="20"/>
              </w:rPr>
              <w:t>30,099</w:t>
            </w:r>
          </w:p>
        </w:tc>
        <w:tc>
          <w:tcPr>
            <w:tcW w:w="50" w:type="pct"/>
            <w:shd w:val="clear" w:color="auto" w:fill="CFF0FC"/>
            <w:noWrap/>
            <w:tcMar>
              <w:top w:w="15" w:type="dxa"/>
              <w:left w:w="0" w:type="dxa"/>
              <w:bottom w:w="0" w:type="dxa"/>
              <w:right w:w="15" w:type="dxa"/>
            </w:tcMar>
            <w:vAlign w:val="bottom"/>
            <w:hideMark/>
          </w:tcPr>
          <w:p w14:paraId="7545D60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2775ACA" w14:textId="77777777">
        <w:trPr>
          <w:divId w:val="1366179404"/>
          <w:jc w:val="center"/>
        </w:trPr>
        <w:tc>
          <w:tcPr>
            <w:tcW w:w="2037" w:type="pct"/>
            <w:shd w:val="clear" w:color="auto" w:fill="FFFFFF"/>
            <w:tcMar>
              <w:top w:w="15" w:type="dxa"/>
              <w:left w:w="0" w:type="dxa"/>
              <w:bottom w:w="0" w:type="dxa"/>
              <w:right w:w="15" w:type="dxa"/>
            </w:tcMar>
            <w:hideMark/>
          </w:tcPr>
          <w:p w14:paraId="7509BE15" w14:textId="77777777" w:rsidR="00000000" w:rsidRDefault="007125B5">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Reclass of long term to short term contingent</w:t>
            </w:r>
          </w:p>
          <w:p w14:paraId="11CE2145" w14:textId="77777777" w:rsidR="00000000" w:rsidRDefault="007125B5">
            <w:pPr>
              <w:pStyle w:val="a3"/>
              <w:spacing w:before="0" w:beforeAutospacing="0" w:after="0" w:afterAutospacing="0"/>
              <w:rPr>
                <w:color w:val="000000"/>
                <w:sz w:val="20"/>
                <w:szCs w:val="20"/>
              </w:rPr>
            </w:pPr>
            <w:r>
              <w:rPr>
                <w:color w:val="000000"/>
                <w:sz w:val="20"/>
                <w:szCs w:val="20"/>
              </w:rPr>
              <w:t>   liabilities</w:t>
            </w:r>
          </w:p>
        </w:tc>
        <w:tc>
          <w:tcPr>
            <w:tcW w:w="50" w:type="pct"/>
            <w:shd w:val="clear" w:color="auto" w:fill="FFFFFF"/>
            <w:noWrap/>
            <w:tcMar>
              <w:top w:w="15" w:type="dxa"/>
              <w:left w:w="0" w:type="dxa"/>
              <w:bottom w:w="0" w:type="dxa"/>
              <w:right w:w="15" w:type="dxa"/>
            </w:tcMar>
            <w:vAlign w:val="bottom"/>
            <w:hideMark/>
          </w:tcPr>
          <w:p w14:paraId="2BDF0E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2739A54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98625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5A6ACB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1FCA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349A1015" w14:textId="77777777" w:rsidR="00000000" w:rsidRDefault="007125B5">
            <w:pPr>
              <w:pStyle w:val="a3"/>
              <w:spacing w:before="0" w:beforeAutospacing="0" w:after="0" w:afterAutospacing="0"/>
              <w:jc w:val="right"/>
              <w:rPr>
                <w:color w:val="000000"/>
                <w:sz w:val="20"/>
                <w:szCs w:val="20"/>
              </w:rPr>
            </w:pPr>
            <w:r>
              <w:rPr>
                <w:color w:val="000000"/>
                <w:sz w:val="20"/>
                <w:szCs w:val="20"/>
              </w:rPr>
              <w:t>180</w:t>
            </w:r>
          </w:p>
        </w:tc>
        <w:tc>
          <w:tcPr>
            <w:tcW w:w="50" w:type="pct"/>
            <w:shd w:val="clear" w:color="auto" w:fill="FFFFFF"/>
            <w:noWrap/>
            <w:tcMar>
              <w:top w:w="15" w:type="dxa"/>
              <w:left w:w="0" w:type="dxa"/>
              <w:bottom w:w="0" w:type="dxa"/>
              <w:right w:w="15" w:type="dxa"/>
            </w:tcMar>
            <w:vAlign w:val="bottom"/>
            <w:hideMark/>
          </w:tcPr>
          <w:p w14:paraId="1567C3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8B1D5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6160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57B60749" w14:textId="77777777" w:rsidR="00000000" w:rsidRDefault="007125B5">
            <w:pPr>
              <w:pStyle w:val="a3"/>
              <w:spacing w:before="0" w:beforeAutospacing="0" w:after="0" w:afterAutospacing="0"/>
              <w:jc w:val="right"/>
              <w:rPr>
                <w:color w:val="000000"/>
                <w:sz w:val="20"/>
                <w:szCs w:val="20"/>
              </w:rPr>
            </w:pPr>
            <w:r>
              <w:rPr>
                <w:color w:val="000000"/>
                <w:sz w:val="20"/>
                <w:szCs w:val="20"/>
              </w:rPr>
              <w:t>(180</w:t>
            </w:r>
          </w:p>
        </w:tc>
        <w:tc>
          <w:tcPr>
            <w:tcW w:w="50" w:type="pct"/>
            <w:shd w:val="clear" w:color="auto" w:fill="FFFFFF"/>
            <w:noWrap/>
            <w:tcMar>
              <w:top w:w="15" w:type="dxa"/>
              <w:left w:w="0" w:type="dxa"/>
              <w:bottom w:w="0" w:type="dxa"/>
              <w:right w:w="15" w:type="dxa"/>
            </w:tcMar>
            <w:vAlign w:val="bottom"/>
            <w:hideMark/>
          </w:tcPr>
          <w:p w14:paraId="7D42506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14:paraId="7413C4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6B31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6C50191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7DF5C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2EE5B56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6CA3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0BDBA82F"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4CFB7F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2FD05A1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1DE1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14:paraId="00702CD2"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A7415D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DCD5B5F" w14:textId="77777777">
        <w:trPr>
          <w:divId w:val="1366179404"/>
          <w:jc w:val="center"/>
        </w:trPr>
        <w:tc>
          <w:tcPr>
            <w:tcW w:w="2037" w:type="pct"/>
            <w:shd w:val="clear" w:color="auto" w:fill="CFF0FC"/>
            <w:tcMar>
              <w:top w:w="15" w:type="dxa"/>
              <w:left w:w="0" w:type="dxa"/>
              <w:bottom w:w="0" w:type="dxa"/>
              <w:right w:w="15" w:type="dxa"/>
            </w:tcMar>
            <w:hideMark/>
          </w:tcPr>
          <w:p w14:paraId="37E2A95C" w14:textId="77777777" w:rsidR="00000000" w:rsidRDefault="007125B5">
            <w:pPr>
              <w:pStyle w:val="a3"/>
              <w:spacing w:before="0" w:beforeAutospacing="0" w:after="0" w:afterAutospacing="0"/>
              <w:rPr>
                <w:color w:val="000000"/>
                <w:sz w:val="20"/>
                <w:szCs w:val="20"/>
              </w:rPr>
            </w:pPr>
            <w:r>
              <w:rPr>
                <w:color w:val="000000"/>
                <w:sz w:val="20"/>
                <w:szCs w:val="20"/>
              </w:rPr>
              <w:t>   Changes in fair value included in earnings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D880E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3794F0CC" w14:textId="77777777" w:rsidR="00000000" w:rsidRDefault="007125B5">
            <w:pPr>
              <w:pStyle w:val="a3"/>
              <w:spacing w:before="0" w:beforeAutospacing="0" w:after="0" w:afterAutospacing="0"/>
              <w:jc w:val="right"/>
              <w:rPr>
                <w:color w:val="000000"/>
                <w:sz w:val="20"/>
                <w:szCs w:val="20"/>
              </w:rPr>
            </w:pPr>
            <w:r>
              <w:rPr>
                <w:color w:val="000000"/>
                <w:sz w:val="20"/>
                <w:szCs w:val="20"/>
              </w:rPr>
              <w:t>(756</w:t>
            </w:r>
          </w:p>
        </w:tc>
        <w:tc>
          <w:tcPr>
            <w:tcW w:w="50" w:type="pct"/>
            <w:shd w:val="clear" w:color="auto" w:fill="CFF0FC"/>
            <w:noWrap/>
            <w:tcMar>
              <w:top w:w="15" w:type="dxa"/>
              <w:left w:w="0" w:type="dxa"/>
              <w:bottom w:w="0" w:type="dxa"/>
              <w:right w:w="15" w:type="dxa"/>
            </w:tcMar>
            <w:vAlign w:val="bottom"/>
            <w:hideMark/>
          </w:tcPr>
          <w:p w14:paraId="67E6A62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14:paraId="168079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BCA6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3557BAEC" w14:textId="77777777" w:rsidR="00000000" w:rsidRDefault="007125B5">
            <w:pPr>
              <w:pStyle w:val="a3"/>
              <w:spacing w:before="0" w:beforeAutospacing="0" w:after="0" w:afterAutospacing="0"/>
              <w:jc w:val="right"/>
              <w:rPr>
                <w:color w:val="000000"/>
                <w:sz w:val="20"/>
                <w:szCs w:val="20"/>
              </w:rPr>
            </w:pPr>
            <w:r>
              <w:rPr>
                <w:color w:val="000000"/>
                <w:sz w:val="20"/>
                <w:szCs w:val="20"/>
              </w:rPr>
              <w:t>5,608</w:t>
            </w:r>
          </w:p>
        </w:tc>
        <w:tc>
          <w:tcPr>
            <w:tcW w:w="50" w:type="pct"/>
            <w:shd w:val="clear" w:color="auto" w:fill="CFF0FC"/>
            <w:noWrap/>
            <w:tcMar>
              <w:top w:w="15" w:type="dxa"/>
              <w:left w:w="0" w:type="dxa"/>
              <w:bottom w:w="0" w:type="dxa"/>
              <w:right w:w="15" w:type="dxa"/>
            </w:tcMar>
            <w:vAlign w:val="bottom"/>
            <w:hideMark/>
          </w:tcPr>
          <w:p w14:paraId="01AACF4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10DE544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52C7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4ECEE9E2" w14:textId="77777777" w:rsidR="00000000" w:rsidRDefault="007125B5">
            <w:pPr>
              <w:pStyle w:val="a3"/>
              <w:spacing w:before="0" w:beforeAutospacing="0" w:after="0" w:afterAutospacing="0"/>
              <w:jc w:val="right"/>
              <w:rPr>
                <w:color w:val="000000"/>
                <w:sz w:val="20"/>
                <w:szCs w:val="20"/>
              </w:rPr>
            </w:pPr>
            <w:r>
              <w:rPr>
                <w:color w:val="000000"/>
                <w:sz w:val="20"/>
                <w:szCs w:val="20"/>
              </w:rPr>
              <w:t>(1,625</w:t>
            </w:r>
          </w:p>
        </w:tc>
        <w:tc>
          <w:tcPr>
            <w:tcW w:w="50" w:type="pct"/>
            <w:shd w:val="clear" w:color="auto" w:fill="CFF0FC"/>
            <w:noWrap/>
            <w:tcMar>
              <w:top w:w="15" w:type="dxa"/>
              <w:left w:w="0" w:type="dxa"/>
              <w:bottom w:w="0" w:type="dxa"/>
              <w:right w:w="15" w:type="dxa"/>
            </w:tcMar>
            <w:vAlign w:val="bottom"/>
            <w:hideMark/>
          </w:tcPr>
          <w:p w14:paraId="72EF6D0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14:paraId="66375F6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5461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41338FC6" w14:textId="77777777" w:rsidR="00000000" w:rsidRDefault="007125B5">
            <w:pPr>
              <w:pStyle w:val="a3"/>
              <w:spacing w:before="0" w:beforeAutospacing="0" w:after="0" w:afterAutospacing="0"/>
              <w:jc w:val="right"/>
              <w:rPr>
                <w:color w:val="000000"/>
                <w:sz w:val="20"/>
                <w:szCs w:val="20"/>
              </w:rPr>
            </w:pPr>
            <w:r>
              <w:rPr>
                <w:color w:val="000000"/>
                <w:sz w:val="20"/>
                <w:szCs w:val="20"/>
              </w:rPr>
              <w:t>7,025</w:t>
            </w:r>
          </w:p>
        </w:tc>
        <w:tc>
          <w:tcPr>
            <w:tcW w:w="50" w:type="pct"/>
            <w:shd w:val="clear" w:color="auto" w:fill="CFF0FC"/>
            <w:noWrap/>
            <w:tcMar>
              <w:top w:w="15" w:type="dxa"/>
              <w:left w:w="0" w:type="dxa"/>
              <w:bottom w:w="0" w:type="dxa"/>
              <w:right w:w="15" w:type="dxa"/>
            </w:tcMar>
            <w:vAlign w:val="bottom"/>
            <w:hideMark/>
          </w:tcPr>
          <w:p w14:paraId="721F70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3B327D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FA24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0957694B" w14:textId="77777777" w:rsidR="00000000" w:rsidRDefault="007125B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796F22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14:paraId="3789D5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DF81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CFF0FC"/>
            <w:noWrap/>
            <w:tcMar>
              <w:top w:w="15" w:type="dxa"/>
              <w:left w:w="0" w:type="dxa"/>
              <w:bottom w:w="0" w:type="dxa"/>
              <w:right w:w="15" w:type="dxa"/>
            </w:tcMar>
            <w:vAlign w:val="bottom"/>
            <w:hideMark/>
          </w:tcPr>
          <w:p w14:paraId="427972AF" w14:textId="77777777" w:rsidR="00000000" w:rsidRDefault="007125B5">
            <w:pPr>
              <w:pStyle w:val="a3"/>
              <w:spacing w:before="0" w:beforeAutospacing="0" w:after="0" w:afterAutospacing="0"/>
              <w:jc w:val="right"/>
              <w:rPr>
                <w:color w:val="000000"/>
                <w:sz w:val="20"/>
                <w:szCs w:val="20"/>
              </w:rPr>
            </w:pPr>
            <w:r>
              <w:rPr>
                <w:color w:val="000000"/>
                <w:sz w:val="20"/>
                <w:szCs w:val="20"/>
              </w:rPr>
              <w:t>11,765</w:t>
            </w:r>
          </w:p>
        </w:tc>
        <w:tc>
          <w:tcPr>
            <w:tcW w:w="50" w:type="pct"/>
            <w:shd w:val="clear" w:color="auto" w:fill="CFF0FC"/>
            <w:noWrap/>
            <w:tcMar>
              <w:top w:w="15" w:type="dxa"/>
              <w:left w:w="0" w:type="dxa"/>
              <w:bottom w:w="0" w:type="dxa"/>
              <w:right w:w="15" w:type="dxa"/>
            </w:tcMar>
            <w:vAlign w:val="bottom"/>
            <w:hideMark/>
          </w:tcPr>
          <w:p w14:paraId="48317E7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6876DCD" w14:textId="77777777">
        <w:trPr>
          <w:divId w:val="1366179404"/>
          <w:jc w:val="center"/>
        </w:trPr>
        <w:tc>
          <w:tcPr>
            <w:tcW w:w="2037" w:type="pct"/>
            <w:shd w:val="clear" w:color="auto" w:fill="FFFFFF"/>
            <w:tcMar>
              <w:top w:w="15" w:type="dxa"/>
              <w:left w:w="0" w:type="dxa"/>
              <w:bottom w:w="0" w:type="dxa"/>
              <w:right w:w="15" w:type="dxa"/>
            </w:tcMar>
            <w:hideMark/>
          </w:tcPr>
          <w:p w14:paraId="3A371192" w14:textId="77777777" w:rsidR="00000000" w:rsidRDefault="007125B5">
            <w:pPr>
              <w:pStyle w:val="a3"/>
              <w:spacing w:before="0" w:beforeAutospacing="0" w:after="0" w:afterAutospacing="0"/>
              <w:rPr>
                <w:color w:val="000000"/>
                <w:sz w:val="20"/>
                <w:szCs w:val="20"/>
              </w:rPr>
            </w:pPr>
            <w:r>
              <w:rPr>
                <w:color w:val="000000"/>
                <w:sz w:val="20"/>
                <w:szCs w:val="20"/>
              </w:rPr>
              <w:t>Balance—</w:t>
            </w:r>
            <w:r>
              <w:rPr>
                <w:color w:val="000000"/>
                <w:sz w:val="20"/>
                <w:szCs w:val="20"/>
              </w:rPr>
              <w:t>at June 30, 2020</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A9E18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93D1F68" w14:textId="77777777" w:rsidR="00000000" w:rsidRDefault="007125B5">
            <w:pPr>
              <w:pStyle w:val="a3"/>
              <w:spacing w:before="0" w:beforeAutospacing="0" w:after="0" w:afterAutospacing="0"/>
              <w:jc w:val="right"/>
              <w:rPr>
                <w:color w:val="000000"/>
                <w:sz w:val="20"/>
                <w:szCs w:val="20"/>
              </w:rPr>
            </w:pPr>
            <w:r>
              <w:rPr>
                <w:color w:val="000000"/>
                <w:sz w:val="20"/>
                <w:szCs w:val="20"/>
              </w:rPr>
              <w:t>8,605</w:t>
            </w:r>
          </w:p>
        </w:tc>
        <w:tc>
          <w:tcPr>
            <w:tcW w:w="50" w:type="pct"/>
            <w:shd w:val="clear" w:color="auto" w:fill="FFFFFF"/>
            <w:noWrap/>
            <w:tcMar>
              <w:top w:w="15" w:type="dxa"/>
              <w:left w:w="0" w:type="dxa"/>
              <w:bottom w:w="0" w:type="dxa"/>
              <w:right w:w="15" w:type="dxa"/>
            </w:tcMar>
            <w:vAlign w:val="bottom"/>
            <w:hideMark/>
          </w:tcPr>
          <w:p w14:paraId="28EA90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49C5C9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D50BE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36F576" w14:textId="77777777" w:rsidR="00000000" w:rsidRDefault="007125B5">
            <w:pPr>
              <w:pStyle w:val="a3"/>
              <w:spacing w:before="0" w:beforeAutospacing="0" w:after="0" w:afterAutospacing="0"/>
              <w:jc w:val="right"/>
              <w:rPr>
                <w:color w:val="000000"/>
                <w:sz w:val="20"/>
                <w:szCs w:val="20"/>
              </w:rPr>
            </w:pPr>
            <w:r>
              <w:rPr>
                <w:color w:val="000000"/>
                <w:sz w:val="20"/>
                <w:szCs w:val="20"/>
              </w:rPr>
              <w:t>36,395</w:t>
            </w:r>
          </w:p>
        </w:tc>
        <w:tc>
          <w:tcPr>
            <w:tcW w:w="50" w:type="pct"/>
            <w:shd w:val="clear" w:color="auto" w:fill="FFFFFF"/>
            <w:noWrap/>
            <w:tcMar>
              <w:top w:w="15" w:type="dxa"/>
              <w:left w:w="0" w:type="dxa"/>
              <w:bottom w:w="0" w:type="dxa"/>
              <w:right w:w="15" w:type="dxa"/>
            </w:tcMar>
            <w:vAlign w:val="bottom"/>
            <w:hideMark/>
          </w:tcPr>
          <w:p w14:paraId="5A7387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1D207A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00E44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41EE0D" w14:textId="77777777" w:rsidR="00000000" w:rsidRDefault="007125B5">
            <w:pPr>
              <w:pStyle w:val="a3"/>
              <w:spacing w:before="0" w:beforeAutospacing="0" w:after="0" w:afterAutospacing="0"/>
              <w:jc w:val="right"/>
              <w:rPr>
                <w:color w:val="000000"/>
                <w:sz w:val="20"/>
                <w:szCs w:val="20"/>
              </w:rPr>
            </w:pPr>
            <w:r>
              <w:rPr>
                <w:color w:val="000000"/>
                <w:sz w:val="20"/>
                <w:szCs w:val="20"/>
              </w:rPr>
              <w:t>9,117</w:t>
            </w:r>
          </w:p>
        </w:tc>
        <w:tc>
          <w:tcPr>
            <w:tcW w:w="50" w:type="pct"/>
            <w:shd w:val="clear" w:color="auto" w:fill="FFFFFF"/>
            <w:noWrap/>
            <w:tcMar>
              <w:top w:w="15" w:type="dxa"/>
              <w:left w:w="0" w:type="dxa"/>
              <w:bottom w:w="0" w:type="dxa"/>
              <w:right w:w="15" w:type="dxa"/>
            </w:tcMar>
            <w:vAlign w:val="bottom"/>
            <w:hideMark/>
          </w:tcPr>
          <w:p w14:paraId="375651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057D9D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0B7E9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040CFF" w14:textId="77777777" w:rsidR="00000000" w:rsidRDefault="007125B5">
            <w:pPr>
              <w:pStyle w:val="a3"/>
              <w:spacing w:before="0" w:beforeAutospacing="0" w:after="0" w:afterAutospacing="0"/>
              <w:jc w:val="right"/>
              <w:rPr>
                <w:color w:val="000000"/>
                <w:sz w:val="20"/>
                <w:szCs w:val="20"/>
              </w:rPr>
            </w:pPr>
            <w:r>
              <w:rPr>
                <w:color w:val="000000"/>
                <w:sz w:val="20"/>
                <w:szCs w:val="20"/>
              </w:rPr>
              <w:t>14,125</w:t>
            </w:r>
          </w:p>
        </w:tc>
        <w:tc>
          <w:tcPr>
            <w:tcW w:w="50" w:type="pct"/>
            <w:shd w:val="clear" w:color="auto" w:fill="FFFFFF"/>
            <w:noWrap/>
            <w:tcMar>
              <w:top w:w="15" w:type="dxa"/>
              <w:left w:w="0" w:type="dxa"/>
              <w:bottom w:w="0" w:type="dxa"/>
              <w:right w:w="15" w:type="dxa"/>
            </w:tcMar>
            <w:vAlign w:val="bottom"/>
            <w:hideMark/>
          </w:tcPr>
          <w:p w14:paraId="317357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30F35A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D3632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90416A" w14:textId="77777777" w:rsidR="00000000" w:rsidRDefault="007125B5">
            <w:pPr>
              <w:pStyle w:val="a3"/>
              <w:spacing w:before="0" w:beforeAutospacing="0" w:after="0" w:afterAutospacing="0"/>
              <w:jc w:val="right"/>
              <w:rPr>
                <w:color w:val="000000"/>
                <w:sz w:val="20"/>
                <w:szCs w:val="20"/>
              </w:rPr>
            </w:pPr>
            <w:r>
              <w:rPr>
                <w:color w:val="000000"/>
                <w:sz w:val="20"/>
                <w:szCs w:val="20"/>
              </w:rPr>
              <w:t>46,978</w:t>
            </w:r>
          </w:p>
        </w:tc>
        <w:tc>
          <w:tcPr>
            <w:tcW w:w="50" w:type="pct"/>
            <w:shd w:val="clear" w:color="auto" w:fill="FFFFFF"/>
            <w:noWrap/>
            <w:tcMar>
              <w:top w:w="15" w:type="dxa"/>
              <w:left w:w="0" w:type="dxa"/>
              <w:bottom w:w="0" w:type="dxa"/>
              <w:right w:w="15" w:type="dxa"/>
            </w:tcMar>
            <w:vAlign w:val="bottom"/>
            <w:hideMark/>
          </w:tcPr>
          <w:p w14:paraId="732A3C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14:paraId="365A26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729F8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5E0F73" w14:textId="77777777" w:rsidR="00000000" w:rsidRDefault="007125B5">
            <w:pPr>
              <w:pStyle w:val="a3"/>
              <w:spacing w:before="0" w:beforeAutospacing="0" w:after="0" w:afterAutospacing="0"/>
              <w:jc w:val="right"/>
              <w:rPr>
                <w:color w:val="000000"/>
                <w:sz w:val="20"/>
                <w:szCs w:val="20"/>
              </w:rPr>
            </w:pPr>
            <w:r>
              <w:rPr>
                <w:color w:val="000000"/>
                <w:sz w:val="20"/>
                <w:szCs w:val="20"/>
              </w:rPr>
              <w:t>98,010</w:t>
            </w:r>
          </w:p>
        </w:tc>
        <w:tc>
          <w:tcPr>
            <w:tcW w:w="50" w:type="pct"/>
            <w:shd w:val="clear" w:color="auto" w:fill="FFFFFF"/>
            <w:noWrap/>
            <w:tcMar>
              <w:top w:w="15" w:type="dxa"/>
              <w:left w:w="0" w:type="dxa"/>
              <w:bottom w:w="0" w:type="dxa"/>
              <w:right w:w="15" w:type="dxa"/>
            </w:tcMar>
            <w:vAlign w:val="bottom"/>
            <w:hideMark/>
          </w:tcPr>
          <w:p w14:paraId="2E8384B9"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148BF49E"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4A13E025" w14:textId="77777777">
        <w:tc>
          <w:tcPr>
            <w:tcW w:w="227" w:type="pct"/>
            <w:noWrap/>
            <w:hideMark/>
          </w:tcPr>
          <w:p w14:paraId="58340C24" w14:textId="77777777" w:rsidR="00000000" w:rsidRDefault="007125B5">
            <w:pPr>
              <w:pStyle w:val="a3"/>
              <w:shd w:val="clear" w:color="auto" w:fill="FFFFFF"/>
              <w:spacing w:before="40" w:beforeAutospacing="0" w:after="0" w:afterAutospacing="0"/>
              <w:rPr>
                <w:color w:val="000000"/>
                <w:sz w:val="20"/>
                <w:szCs w:val="20"/>
              </w:rPr>
            </w:pPr>
            <w:r>
              <w:rPr>
                <w:color w:val="000000"/>
                <w:sz w:val="20"/>
                <w:szCs w:val="20"/>
              </w:rPr>
              <w:t>(1)</w:t>
            </w:r>
          </w:p>
        </w:tc>
        <w:tc>
          <w:tcPr>
            <w:tcW w:w="0" w:type="auto"/>
            <w:hideMark/>
          </w:tcPr>
          <w:p w14:paraId="5FC2AA80" w14:textId="77777777" w:rsidR="00000000" w:rsidRDefault="007125B5">
            <w:pPr>
              <w:pStyle w:val="a3"/>
              <w:shd w:val="clear" w:color="auto" w:fill="FFFFFF"/>
              <w:spacing w:before="40" w:beforeAutospacing="0" w:after="0" w:afterAutospacing="0"/>
              <w:rPr>
                <w:color w:val="000000"/>
                <w:sz w:val="20"/>
                <w:szCs w:val="20"/>
              </w:rPr>
            </w:pPr>
            <w:r>
              <w:rPr>
                <w:color w:val="000000"/>
                <w:sz w:val="20"/>
                <w:szCs w:val="20"/>
              </w:rPr>
              <w:t>Current portion of the contingent consideration is recorded in accounts payable and other accrued liabilities.</w:t>
            </w:r>
          </w:p>
        </w:tc>
      </w:tr>
    </w:tbl>
    <w:p w14:paraId="778AB7A4"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381A511B" w14:textId="77777777">
        <w:tc>
          <w:tcPr>
            <w:tcW w:w="227" w:type="pct"/>
            <w:noWrap/>
            <w:hideMark/>
          </w:tcPr>
          <w:p w14:paraId="1FB4045E" w14:textId="77777777" w:rsidR="00000000" w:rsidRDefault="007125B5">
            <w:pPr>
              <w:pStyle w:val="a3"/>
              <w:shd w:val="clear" w:color="auto" w:fill="FFFFFF"/>
              <w:spacing w:before="0" w:beforeAutospacing="0" w:after="0" w:afterAutospacing="0"/>
              <w:rPr>
                <w:color w:val="000000"/>
                <w:sz w:val="20"/>
                <w:szCs w:val="20"/>
              </w:rPr>
            </w:pPr>
            <w:r>
              <w:rPr>
                <w:color w:val="000000"/>
                <w:sz w:val="20"/>
                <w:szCs w:val="20"/>
              </w:rPr>
              <w:t>(2)</w:t>
            </w:r>
          </w:p>
        </w:tc>
        <w:tc>
          <w:tcPr>
            <w:tcW w:w="0" w:type="auto"/>
            <w:hideMark/>
          </w:tcPr>
          <w:p w14:paraId="5818524E" w14:textId="77777777" w:rsidR="00000000" w:rsidRDefault="007125B5">
            <w:pPr>
              <w:pStyle w:val="a3"/>
              <w:shd w:val="clear" w:color="auto" w:fill="FFFFFF"/>
              <w:spacing w:before="0" w:beforeAutospacing="0" w:after="0" w:afterAutospacing="0"/>
              <w:rPr>
                <w:color w:val="000000"/>
                <w:sz w:val="20"/>
                <w:szCs w:val="20"/>
              </w:rPr>
            </w:pPr>
            <w:r>
              <w:rPr>
                <w:color w:val="000000"/>
                <w:sz w:val="20"/>
                <w:szCs w:val="20"/>
              </w:rPr>
              <w:t>Long term portion of the contingent consideration is recorded in other non-current liabilities.</w:t>
            </w:r>
          </w:p>
        </w:tc>
      </w:tr>
    </w:tbl>
    <w:p w14:paraId="64A6395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Quantitative Information about Assets and </w:t>
      </w:r>
      <w:r>
        <w:rPr>
          <w:color w:val="000000"/>
          <w:sz w:val="20"/>
          <w:szCs w:val="20"/>
        </w:rPr>
        <w:t>Liabilities Measured at Fair Value on a Recurring Basis Using Significant Unobservable Inputs (Level 3):</w:t>
      </w:r>
    </w:p>
    <w:p w14:paraId="57F1E7B0" w14:textId="77777777" w:rsidR="00000000" w:rsidRDefault="007125B5">
      <w:pPr>
        <w:pStyle w:val="a3"/>
        <w:shd w:val="clear" w:color="auto" w:fill="FFFFFF"/>
        <w:spacing w:before="240" w:beforeAutospacing="0" w:after="0" w:afterAutospacing="0"/>
        <w:ind w:firstLine="556"/>
        <w:rPr>
          <w:b/>
          <w:bCs/>
          <w:i/>
          <w:iCs/>
          <w:color w:val="000000"/>
          <w:sz w:val="20"/>
          <w:szCs w:val="20"/>
        </w:rPr>
      </w:pPr>
      <w:bookmarkStart w:id="33" w:name="_Hlk46868647"/>
      <w:r>
        <w:rPr>
          <w:b/>
          <w:bCs/>
          <w:i/>
          <w:iCs/>
          <w:color w:val="000000"/>
          <w:sz w:val="20"/>
          <w:szCs w:val="20"/>
        </w:rPr>
        <w:t>Contingent Consideration Payable</w:t>
      </w:r>
      <w:r>
        <w:rPr>
          <w:color w:val="000000"/>
          <w:sz w:val="20"/>
          <w:szCs w:val="20"/>
        </w:rPr>
        <w:t xml:space="preserve">—CTEH’s contingent consideration payable fair value </w:t>
      </w:r>
      <w:bookmarkEnd w:id="33"/>
      <w:r>
        <w:rPr>
          <w:color w:val="000000"/>
          <w:sz w:val="20"/>
          <w:szCs w:val="20"/>
        </w:rPr>
        <w:t>was valued using a Monte Carlo simulation analysis in a risk-neutra</w:t>
      </w:r>
      <w:r>
        <w:rPr>
          <w:color w:val="000000"/>
          <w:sz w:val="20"/>
          <w:szCs w:val="20"/>
        </w:rPr>
        <w:t>l framework with assumptions for volatility, risk-free rate and dividend yield. The fair values of the contingent consideration payables for the other acquisitions were calculated based on expected target achievement amounts, which are measured quarterly a</w:t>
      </w:r>
      <w:r>
        <w:rPr>
          <w:color w:val="000000"/>
          <w:sz w:val="20"/>
          <w:szCs w:val="20"/>
        </w:rPr>
        <w:t xml:space="preserve">nd then subsequently adjusted to actuals at the target measurement date. </w:t>
      </w:r>
    </w:p>
    <w:p w14:paraId="7652302A"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method used to price these liabilities is considered level 3 due to the subjective nature of the unobservable inputs used to determine the fair value. The input is the expected a</w:t>
      </w:r>
      <w:r>
        <w:rPr>
          <w:color w:val="000000"/>
          <w:sz w:val="20"/>
          <w:szCs w:val="20"/>
        </w:rPr>
        <w:t>chievement of earnout thresholds.</w:t>
      </w:r>
    </w:p>
    <w:p w14:paraId="4A0EA44F" w14:textId="77777777" w:rsidR="00000000" w:rsidRDefault="007125B5">
      <w:pPr>
        <w:pStyle w:val="a3"/>
        <w:spacing w:before="240" w:beforeAutospacing="0" w:after="0" w:afterAutospacing="0"/>
        <w:jc w:val="center"/>
        <w:rPr>
          <w:sz w:val="20"/>
          <w:szCs w:val="20"/>
        </w:rPr>
      </w:pPr>
      <w:r>
        <w:rPr>
          <w:sz w:val="20"/>
          <w:szCs w:val="20"/>
        </w:rPr>
        <w:t>17</w:t>
      </w:r>
    </w:p>
    <w:p w14:paraId="2EC237A7" w14:textId="77777777" w:rsidR="00000000" w:rsidRDefault="007125B5">
      <w:pPr>
        <w:rPr>
          <w:rFonts w:eastAsia="Times New Roman"/>
        </w:rPr>
      </w:pPr>
      <w:r>
        <w:rPr>
          <w:rFonts w:eastAsia="Times New Roman"/>
        </w:rPr>
        <w:pict w14:anchorId="5B8C7581">
          <v:rect id="_x0000_i1043" style="width:415.3pt;height:1.5pt" o:hralign="center" o:hrstd="t" o:hr="t" fillcolor="#a0a0a0" stroked="f"/>
        </w:pict>
      </w:r>
    </w:p>
    <w:p w14:paraId="6BDDCA0C" w14:textId="77777777" w:rsidR="00000000" w:rsidRDefault="007125B5">
      <w:pPr>
        <w:pStyle w:val="a3"/>
        <w:spacing w:before="0" w:beforeAutospacing="0" w:after="0" w:afterAutospacing="0"/>
        <w:rPr>
          <w:sz w:val="20"/>
          <w:szCs w:val="20"/>
        </w:rPr>
      </w:pPr>
      <w:r>
        <w:rPr>
          <w:sz w:val="20"/>
          <w:szCs w:val="20"/>
        </w:rPr>
        <w:t> </w:t>
      </w:r>
    </w:p>
    <w:p w14:paraId="369D1A08" w14:textId="77777777" w:rsidR="00000000" w:rsidRDefault="007125B5">
      <w:pPr>
        <w:pStyle w:val="a3"/>
        <w:shd w:val="clear" w:color="auto" w:fill="FFFFFF"/>
        <w:spacing w:before="240" w:beforeAutospacing="0" w:after="0" w:afterAutospacing="0"/>
        <w:ind w:firstLine="556"/>
        <w:rPr>
          <w:b/>
          <w:bCs/>
          <w:i/>
          <w:iCs/>
          <w:color w:val="000000"/>
          <w:sz w:val="20"/>
          <w:szCs w:val="20"/>
        </w:rPr>
      </w:pPr>
      <w:bookmarkStart w:id="34" w:name="_Hlk49333592"/>
      <w:bookmarkStart w:id="35" w:name="_AEIOULastRenderedPageBreakAEIOU20"/>
      <w:bookmarkEnd w:id="34"/>
      <w:bookmarkEnd w:id="35"/>
      <w:r>
        <w:rPr>
          <w:b/>
          <w:bCs/>
          <w:i/>
          <w:iCs/>
          <w:color w:val="000000"/>
          <w:sz w:val="20"/>
          <w:szCs w:val="20"/>
        </w:rPr>
        <w:t>Compound Embedded Option</w:t>
      </w:r>
      <w:r>
        <w:rPr>
          <w:color w:val="000000"/>
          <w:sz w:val="20"/>
          <w:szCs w:val="20"/>
        </w:rPr>
        <w:t>—The fair va</w:t>
      </w:r>
      <w:r>
        <w:rPr>
          <w:color w:val="000000"/>
          <w:sz w:val="20"/>
          <w:szCs w:val="20"/>
        </w:rPr>
        <w:t>lue of the compound embedded option associated with the issuance of the Convertible and Redeemable Series A-2 Preferred Stock was estimated using a “with-and-without” method. The “with-and-without” methodology involves valuing the whole instrument on an as</w:t>
      </w:r>
      <w:r>
        <w:rPr>
          <w:color w:val="000000"/>
          <w:sz w:val="20"/>
          <w:szCs w:val="20"/>
        </w:rPr>
        <w:t>-is basis and then valuing the instrument without the embedded derivative feature. The difference between the entire instrument with the embedded derivative feature compared to the instrument without the embedded derivative feature is the fair value of the</w:t>
      </w:r>
      <w:r>
        <w:rPr>
          <w:color w:val="000000"/>
          <w:sz w:val="20"/>
          <w:szCs w:val="20"/>
        </w:rPr>
        <w:t xml:space="preserve"> derivative. The unobservable inputs are based on a 100% probability of an IPO event and IPO date. The considerable quantifiable inputs in the compound embedded option were: (i) the future value of the compound embedded option, (ii) the fair value of the C</w:t>
      </w:r>
      <w:r>
        <w:rPr>
          <w:color w:val="000000"/>
          <w:sz w:val="20"/>
          <w:szCs w:val="20"/>
        </w:rPr>
        <w:t>onvertible and Redeemable Series A-2 Preferred Stock, (iii) the present value of the total instrument, as well as the present value of the compound embedded feature plus the fair value of the instrument, and (iv) the risk free, discount rates, conversion d</w:t>
      </w:r>
      <w:r>
        <w:rPr>
          <w:color w:val="000000"/>
          <w:sz w:val="20"/>
          <w:szCs w:val="20"/>
        </w:rPr>
        <w:t>ate and maximum conversion amounts.</w:t>
      </w:r>
    </w:p>
    <w:p w14:paraId="43FC7F7F" w14:textId="77777777" w:rsidR="00000000" w:rsidRDefault="007125B5">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Contingent Put Option</w:t>
      </w:r>
      <w:r>
        <w:rPr>
          <w:color w:val="000000"/>
          <w:sz w:val="20"/>
          <w:szCs w:val="20"/>
        </w:rPr>
        <w:t>—The fair value of the contingent put option associated with the issuance of the Redeemable Series A-1 Preferred Stock was estimated using a “with-and-without” method. The “with-and-without” methodol</w:t>
      </w:r>
      <w:r>
        <w:rPr>
          <w:color w:val="000000"/>
          <w:sz w:val="20"/>
          <w:szCs w:val="20"/>
        </w:rPr>
        <w:t>ogy involves valuing the whole instrument on an as-is basis and then valuing the instrument without the individual embedded contingent put option. The difference between the entire instrument with the embedded contingent put option compared to the instrume</w:t>
      </w:r>
      <w:r>
        <w:rPr>
          <w:color w:val="000000"/>
          <w:sz w:val="20"/>
          <w:szCs w:val="20"/>
        </w:rPr>
        <w:t>nt without the embedded contingent put option is the fair value of the derivative, recorded as the contingent put option liability. The unobservable inputs are based on a 100% probability of an IPO event and IPO date. The considerable quantifiable inputs i</w:t>
      </w:r>
      <w:r>
        <w:rPr>
          <w:color w:val="000000"/>
          <w:sz w:val="20"/>
          <w:szCs w:val="20"/>
        </w:rPr>
        <w:t>n the contingent put option liability were: (i) the future value of the put option, (ii) the fair value of the Redeemable Series A-1 Preferred Stock, (iii) the present value of the total instrument, as well as the present value of the contingent put option</w:t>
      </w:r>
      <w:r>
        <w:rPr>
          <w:color w:val="000000"/>
          <w:sz w:val="20"/>
          <w:szCs w:val="20"/>
        </w:rPr>
        <w:t xml:space="preserve"> feature plus the fair value of the instrument, and (iv) the risk free and discount rates. The contingent put option was redeemed in July 2020 (Note 22).</w:t>
      </w:r>
    </w:p>
    <w:p w14:paraId="48B3F5C4" w14:textId="77777777" w:rsidR="00000000" w:rsidRDefault="007125B5">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Warrant Options</w:t>
      </w:r>
      <w:r>
        <w:rPr>
          <w:color w:val="000000"/>
          <w:sz w:val="20"/>
          <w:szCs w:val="20"/>
        </w:rPr>
        <w:t>—The fair value of the warrant option associated with the issuance of the Redeemable Se</w:t>
      </w:r>
      <w:r>
        <w:rPr>
          <w:color w:val="000000"/>
          <w:sz w:val="20"/>
          <w:szCs w:val="20"/>
        </w:rPr>
        <w:t>ries A-1 Preferred Stock was calculated based on the Black-Sholes pricing model using the following assumptions:</w:t>
      </w:r>
    </w:p>
    <w:p w14:paraId="3AE836BF"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22"/>
        <w:gridCol w:w="65"/>
        <w:gridCol w:w="115"/>
        <w:gridCol w:w="634"/>
        <w:gridCol w:w="182"/>
        <w:gridCol w:w="65"/>
        <w:gridCol w:w="115"/>
        <w:gridCol w:w="634"/>
        <w:gridCol w:w="182"/>
      </w:tblGrid>
      <w:tr w:rsidR="00000000" w14:paraId="2C26AF32" w14:textId="77777777">
        <w:trPr>
          <w:divId w:val="1492596672"/>
          <w:jc w:val="center"/>
        </w:trPr>
        <w:tc>
          <w:tcPr>
            <w:tcW w:w="3349" w:type="pct"/>
            <w:shd w:val="clear" w:color="auto" w:fill="FFFFFF"/>
            <w:tcMar>
              <w:top w:w="15" w:type="dxa"/>
              <w:left w:w="0" w:type="dxa"/>
              <w:bottom w:w="0" w:type="dxa"/>
              <w:right w:w="15" w:type="dxa"/>
            </w:tcMar>
            <w:hideMark/>
          </w:tcPr>
          <w:p w14:paraId="79890F5B" w14:textId="77777777" w:rsidR="00000000" w:rsidRDefault="007125B5">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1A1F0B5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34022CF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5283FA5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0A84CB9" w14:textId="77777777">
        <w:trPr>
          <w:divId w:val="1492596672"/>
          <w:jc w:val="center"/>
        </w:trPr>
        <w:tc>
          <w:tcPr>
            <w:tcW w:w="3349" w:type="pct"/>
            <w:shd w:val="clear" w:color="auto" w:fill="FFFFFF"/>
            <w:tcMar>
              <w:top w:w="15" w:type="dxa"/>
              <w:left w:w="0" w:type="dxa"/>
              <w:bottom w:w="0" w:type="dxa"/>
              <w:right w:w="15" w:type="dxa"/>
            </w:tcMar>
            <w:hideMark/>
          </w:tcPr>
          <w:p w14:paraId="631BECB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4155741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52512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EFFCF4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56BFEB0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A743C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AE00EE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5CE7219" w14:textId="77777777">
        <w:trPr>
          <w:divId w:val="1492596672"/>
          <w:jc w:val="center"/>
        </w:trPr>
        <w:tc>
          <w:tcPr>
            <w:tcW w:w="3349" w:type="pct"/>
            <w:shd w:val="clear" w:color="auto" w:fill="CFF0FC"/>
            <w:tcMar>
              <w:top w:w="15" w:type="dxa"/>
              <w:left w:w="0" w:type="dxa"/>
              <w:bottom w:w="0" w:type="dxa"/>
              <w:right w:w="15" w:type="dxa"/>
            </w:tcMar>
            <w:hideMark/>
          </w:tcPr>
          <w:p w14:paraId="53940D7A" w14:textId="77777777" w:rsidR="00000000" w:rsidRDefault="007125B5">
            <w:pPr>
              <w:pStyle w:val="a3"/>
              <w:spacing w:before="0" w:beforeAutospacing="0" w:after="0" w:afterAutospacing="0"/>
              <w:rPr>
                <w:color w:val="000000"/>
                <w:sz w:val="20"/>
                <w:szCs w:val="20"/>
              </w:rPr>
            </w:pPr>
            <w:r>
              <w:rPr>
                <w:color w:val="000000"/>
                <w:sz w:val="20"/>
                <w:szCs w:val="20"/>
              </w:rPr>
              <w:t>Common stock value (per share)</w:t>
            </w:r>
          </w:p>
        </w:tc>
        <w:tc>
          <w:tcPr>
            <w:tcW w:w="81" w:type="pct"/>
            <w:shd w:val="clear" w:color="auto" w:fill="CFF0FC"/>
            <w:tcMar>
              <w:top w:w="15" w:type="dxa"/>
              <w:left w:w="0" w:type="dxa"/>
              <w:bottom w:w="0" w:type="dxa"/>
              <w:right w:w="15" w:type="dxa"/>
            </w:tcMar>
            <w:vAlign w:val="bottom"/>
            <w:hideMark/>
          </w:tcPr>
          <w:p w14:paraId="71D5EA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A415B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FE2F85C" w14:textId="77777777" w:rsidR="00000000" w:rsidRDefault="007125B5">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CFF0FC"/>
            <w:noWrap/>
            <w:tcMar>
              <w:top w:w="15" w:type="dxa"/>
              <w:left w:w="0" w:type="dxa"/>
              <w:bottom w:w="0" w:type="dxa"/>
              <w:right w:w="15" w:type="dxa"/>
            </w:tcMar>
            <w:vAlign w:val="bottom"/>
            <w:hideMark/>
          </w:tcPr>
          <w:p w14:paraId="515EAF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873FFD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2A731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88DCB43" w14:textId="77777777" w:rsidR="00000000" w:rsidRDefault="007125B5">
            <w:pPr>
              <w:pStyle w:val="a3"/>
              <w:spacing w:before="0" w:beforeAutospacing="0" w:after="0" w:afterAutospacing="0"/>
              <w:jc w:val="right"/>
              <w:rPr>
                <w:color w:val="000000"/>
                <w:sz w:val="20"/>
                <w:szCs w:val="20"/>
              </w:rPr>
            </w:pPr>
            <w:r>
              <w:rPr>
                <w:color w:val="000000"/>
                <w:sz w:val="20"/>
                <w:szCs w:val="20"/>
              </w:rPr>
              <w:t>26.90</w:t>
            </w:r>
          </w:p>
        </w:tc>
        <w:tc>
          <w:tcPr>
            <w:tcW w:w="50" w:type="pct"/>
            <w:shd w:val="clear" w:color="auto" w:fill="CFF0FC"/>
            <w:noWrap/>
            <w:tcMar>
              <w:top w:w="15" w:type="dxa"/>
              <w:left w:w="0" w:type="dxa"/>
              <w:bottom w:w="0" w:type="dxa"/>
              <w:right w:w="15" w:type="dxa"/>
            </w:tcMar>
            <w:vAlign w:val="bottom"/>
            <w:hideMark/>
          </w:tcPr>
          <w:p w14:paraId="52BBB2F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483FBD9" w14:textId="77777777">
        <w:trPr>
          <w:divId w:val="1492596672"/>
          <w:jc w:val="center"/>
        </w:trPr>
        <w:tc>
          <w:tcPr>
            <w:tcW w:w="3349" w:type="pct"/>
            <w:shd w:val="clear" w:color="auto" w:fill="FFFFFF"/>
            <w:tcMar>
              <w:top w:w="15" w:type="dxa"/>
              <w:left w:w="0" w:type="dxa"/>
              <w:bottom w:w="0" w:type="dxa"/>
              <w:right w:w="15" w:type="dxa"/>
            </w:tcMar>
            <w:hideMark/>
          </w:tcPr>
          <w:p w14:paraId="5BFBE8EB" w14:textId="77777777" w:rsidR="00000000" w:rsidRDefault="007125B5">
            <w:pPr>
              <w:pStyle w:val="a3"/>
              <w:spacing w:before="0" w:beforeAutospacing="0" w:after="0" w:afterAutospacing="0"/>
              <w:rPr>
                <w:color w:val="000000"/>
                <w:sz w:val="20"/>
                <w:szCs w:val="20"/>
              </w:rPr>
            </w:pPr>
            <w:r>
              <w:rPr>
                <w:color w:val="000000"/>
                <w:sz w:val="20"/>
                <w:szCs w:val="20"/>
              </w:rPr>
              <w:t>Expected volatility</w:t>
            </w:r>
          </w:p>
        </w:tc>
        <w:tc>
          <w:tcPr>
            <w:tcW w:w="81" w:type="pct"/>
            <w:shd w:val="clear" w:color="auto" w:fill="FFFFFF"/>
            <w:tcMar>
              <w:top w:w="15" w:type="dxa"/>
              <w:left w:w="0" w:type="dxa"/>
              <w:bottom w:w="0" w:type="dxa"/>
              <w:right w:w="15" w:type="dxa"/>
            </w:tcMar>
            <w:vAlign w:val="bottom"/>
            <w:hideMark/>
          </w:tcPr>
          <w:p w14:paraId="6A23764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7D8C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474F3DB" w14:textId="77777777" w:rsidR="00000000" w:rsidRDefault="007125B5">
            <w:pPr>
              <w:pStyle w:val="a3"/>
              <w:spacing w:before="0" w:beforeAutospacing="0" w:after="0" w:afterAutospacing="0"/>
              <w:jc w:val="right"/>
              <w:rPr>
                <w:color w:val="000000"/>
                <w:sz w:val="20"/>
                <w:szCs w:val="20"/>
              </w:rPr>
            </w:pPr>
            <w:r>
              <w:rPr>
                <w:color w:val="000000"/>
                <w:sz w:val="20"/>
                <w:szCs w:val="20"/>
              </w:rPr>
              <w:t>43.64</w:t>
            </w:r>
          </w:p>
        </w:tc>
        <w:tc>
          <w:tcPr>
            <w:tcW w:w="50" w:type="pct"/>
            <w:shd w:val="clear" w:color="auto" w:fill="FFFFFF"/>
            <w:noWrap/>
            <w:tcMar>
              <w:top w:w="15" w:type="dxa"/>
              <w:left w:w="0" w:type="dxa"/>
              <w:bottom w:w="0" w:type="dxa"/>
              <w:right w:w="15" w:type="dxa"/>
            </w:tcMar>
            <w:vAlign w:val="bottom"/>
            <w:hideMark/>
          </w:tcPr>
          <w:p w14:paraId="15BBB86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D9E28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9105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1902AA7" w14:textId="77777777" w:rsidR="00000000" w:rsidRDefault="007125B5">
            <w:pPr>
              <w:pStyle w:val="a3"/>
              <w:spacing w:before="0" w:beforeAutospacing="0" w:after="0" w:afterAutospacing="0"/>
              <w:jc w:val="right"/>
              <w:rPr>
                <w:color w:val="000000"/>
                <w:sz w:val="20"/>
                <w:szCs w:val="20"/>
              </w:rPr>
            </w:pPr>
            <w:r>
              <w:rPr>
                <w:color w:val="000000"/>
                <w:sz w:val="20"/>
                <w:szCs w:val="20"/>
              </w:rPr>
              <w:t>49.17</w:t>
            </w:r>
          </w:p>
        </w:tc>
        <w:tc>
          <w:tcPr>
            <w:tcW w:w="50" w:type="pct"/>
            <w:shd w:val="clear" w:color="auto" w:fill="FFFFFF"/>
            <w:noWrap/>
            <w:tcMar>
              <w:top w:w="15" w:type="dxa"/>
              <w:left w:w="0" w:type="dxa"/>
              <w:bottom w:w="0" w:type="dxa"/>
              <w:right w:w="15" w:type="dxa"/>
            </w:tcMar>
            <w:vAlign w:val="bottom"/>
            <w:hideMark/>
          </w:tcPr>
          <w:p w14:paraId="02C1165F"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9AE44F3" w14:textId="77777777">
        <w:trPr>
          <w:divId w:val="1492596672"/>
          <w:jc w:val="center"/>
        </w:trPr>
        <w:tc>
          <w:tcPr>
            <w:tcW w:w="3349" w:type="pct"/>
            <w:shd w:val="clear" w:color="auto" w:fill="CFF0FC"/>
            <w:tcMar>
              <w:top w:w="15" w:type="dxa"/>
              <w:left w:w="0" w:type="dxa"/>
              <w:bottom w:w="0" w:type="dxa"/>
              <w:right w:w="15" w:type="dxa"/>
            </w:tcMar>
            <w:hideMark/>
          </w:tcPr>
          <w:p w14:paraId="16619CA9" w14:textId="77777777" w:rsidR="00000000" w:rsidRDefault="007125B5">
            <w:pPr>
              <w:pStyle w:val="a3"/>
              <w:spacing w:before="0" w:beforeAutospacing="0" w:after="0" w:afterAutospacing="0"/>
              <w:rPr>
                <w:color w:val="000000"/>
                <w:sz w:val="20"/>
                <w:szCs w:val="20"/>
              </w:rPr>
            </w:pPr>
            <w:r>
              <w:rPr>
                <w:color w:val="000000"/>
                <w:sz w:val="20"/>
                <w:szCs w:val="20"/>
              </w:rPr>
              <w:t>Risk-free interest rate</w:t>
            </w:r>
          </w:p>
        </w:tc>
        <w:tc>
          <w:tcPr>
            <w:tcW w:w="81" w:type="pct"/>
            <w:shd w:val="clear" w:color="auto" w:fill="CFF0FC"/>
            <w:tcMar>
              <w:top w:w="15" w:type="dxa"/>
              <w:left w:w="0" w:type="dxa"/>
              <w:bottom w:w="0" w:type="dxa"/>
              <w:right w:w="15" w:type="dxa"/>
            </w:tcMar>
            <w:vAlign w:val="bottom"/>
            <w:hideMark/>
          </w:tcPr>
          <w:p w14:paraId="39C3CE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CDF7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39704F3" w14:textId="77777777" w:rsidR="00000000" w:rsidRDefault="007125B5">
            <w:pPr>
              <w:pStyle w:val="a3"/>
              <w:spacing w:before="0" w:beforeAutospacing="0" w:after="0" w:afterAutospacing="0"/>
              <w:jc w:val="right"/>
              <w:rPr>
                <w:color w:val="000000"/>
                <w:sz w:val="20"/>
                <w:szCs w:val="20"/>
              </w:rPr>
            </w:pPr>
            <w:r>
              <w:rPr>
                <w:color w:val="000000"/>
                <w:sz w:val="20"/>
                <w:szCs w:val="20"/>
              </w:rPr>
              <w:t>0.66</w:t>
            </w:r>
          </w:p>
        </w:tc>
        <w:tc>
          <w:tcPr>
            <w:tcW w:w="50" w:type="pct"/>
            <w:shd w:val="clear" w:color="auto" w:fill="CFF0FC"/>
            <w:noWrap/>
            <w:tcMar>
              <w:top w:w="15" w:type="dxa"/>
              <w:left w:w="0" w:type="dxa"/>
              <w:bottom w:w="0" w:type="dxa"/>
              <w:right w:w="15" w:type="dxa"/>
            </w:tcMar>
            <w:vAlign w:val="bottom"/>
            <w:hideMark/>
          </w:tcPr>
          <w:p w14:paraId="73A59C2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3364F8C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A9F9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ACD486C" w14:textId="77777777" w:rsidR="00000000" w:rsidRDefault="007125B5">
            <w:pPr>
              <w:pStyle w:val="a3"/>
              <w:spacing w:before="0" w:beforeAutospacing="0" w:after="0" w:afterAutospacing="0"/>
              <w:jc w:val="right"/>
              <w:rPr>
                <w:color w:val="000000"/>
                <w:sz w:val="20"/>
                <w:szCs w:val="20"/>
              </w:rPr>
            </w:pPr>
            <w:r>
              <w:rPr>
                <w:color w:val="000000"/>
                <w:sz w:val="20"/>
                <w:szCs w:val="20"/>
              </w:rPr>
              <w:t>2.00</w:t>
            </w:r>
          </w:p>
        </w:tc>
        <w:tc>
          <w:tcPr>
            <w:tcW w:w="50" w:type="pct"/>
            <w:shd w:val="clear" w:color="auto" w:fill="CFF0FC"/>
            <w:noWrap/>
            <w:tcMar>
              <w:top w:w="15" w:type="dxa"/>
              <w:left w:w="0" w:type="dxa"/>
              <w:bottom w:w="0" w:type="dxa"/>
              <w:right w:w="15" w:type="dxa"/>
            </w:tcMar>
            <w:vAlign w:val="bottom"/>
            <w:hideMark/>
          </w:tcPr>
          <w:p w14:paraId="60604E72"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9A5017A" w14:textId="77777777">
        <w:trPr>
          <w:divId w:val="1492596672"/>
          <w:jc w:val="center"/>
        </w:trPr>
        <w:tc>
          <w:tcPr>
            <w:tcW w:w="3349" w:type="pct"/>
            <w:shd w:val="clear" w:color="auto" w:fill="FFFFFF"/>
            <w:tcMar>
              <w:top w:w="15" w:type="dxa"/>
              <w:left w:w="0" w:type="dxa"/>
              <w:bottom w:w="0" w:type="dxa"/>
              <w:right w:w="15" w:type="dxa"/>
            </w:tcMar>
            <w:hideMark/>
          </w:tcPr>
          <w:p w14:paraId="5D9820CD" w14:textId="77777777" w:rsidR="00000000" w:rsidRDefault="007125B5">
            <w:pPr>
              <w:pStyle w:val="a3"/>
              <w:spacing w:before="0" w:beforeAutospacing="0" w:after="0" w:afterAutospacing="0"/>
              <w:rPr>
                <w:color w:val="000000"/>
                <w:sz w:val="20"/>
                <w:szCs w:val="20"/>
              </w:rPr>
            </w:pPr>
            <w:r>
              <w:rPr>
                <w:color w:val="000000"/>
                <w:sz w:val="20"/>
                <w:szCs w:val="20"/>
              </w:rPr>
              <w:t>Expected life (years)</w:t>
            </w:r>
          </w:p>
        </w:tc>
        <w:tc>
          <w:tcPr>
            <w:tcW w:w="81" w:type="pct"/>
            <w:shd w:val="clear" w:color="auto" w:fill="FFFFFF"/>
            <w:tcMar>
              <w:top w:w="15" w:type="dxa"/>
              <w:left w:w="0" w:type="dxa"/>
              <w:bottom w:w="0" w:type="dxa"/>
              <w:right w:w="15" w:type="dxa"/>
            </w:tcMar>
            <w:vAlign w:val="bottom"/>
            <w:hideMark/>
          </w:tcPr>
          <w:p w14:paraId="302F42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111D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B94A24A" w14:textId="77777777" w:rsidR="00000000" w:rsidRDefault="007125B5">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2022C2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08E9A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DC370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038931E" w14:textId="77777777" w:rsidR="00000000" w:rsidRDefault="007125B5">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15708B84"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6A3661D7" w14:textId="77777777" w:rsidR="00000000" w:rsidRDefault="007125B5">
      <w:pPr>
        <w:pStyle w:val="a3"/>
        <w:shd w:val="clear" w:color="auto" w:fill="FFFFFF"/>
        <w:spacing w:before="0" w:beforeAutospacing="0" w:after="0" w:afterAutospacing="0"/>
        <w:rPr>
          <w:sz w:val="20"/>
          <w:szCs w:val="20"/>
        </w:rPr>
      </w:pPr>
      <w:r>
        <w:rPr>
          <w:sz w:val="20"/>
          <w:szCs w:val="20"/>
        </w:rPr>
        <w:t> </w:t>
      </w:r>
    </w:p>
    <w:p w14:paraId="4354742A"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The fair value of the warrant option associated with the issuance of the Convertible and Redeemable Series A-2 Preferred Stock was calculated based on a Monte Carlo simulation analysis with assumptions for (i) stock price, (ii) volatility based on the medi</w:t>
      </w:r>
      <w:r>
        <w:rPr>
          <w:color w:val="000000"/>
          <w:sz w:val="20"/>
          <w:szCs w:val="20"/>
        </w:rPr>
        <w:t>an historical volatility of publicly listed comparable companies’ stock price returns, (iii) risk-free rates based on U.S. treasury yields and (iv) dividend yield.</w:t>
      </w:r>
    </w:p>
    <w:p w14:paraId="19F9535D"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method used to price these liabilities is considered Level 3 due to the subjective natur</w:t>
      </w:r>
      <w:r>
        <w:rPr>
          <w:color w:val="000000"/>
          <w:sz w:val="20"/>
          <w:szCs w:val="20"/>
        </w:rPr>
        <w:t>e of the unobservable inputs (common stock value and expected volatility) used to determine the fair value.</w:t>
      </w:r>
    </w:p>
    <w:p w14:paraId="0CFFE40A"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15. COMMITMENTS AND CONTINGENCIES</w:t>
      </w:r>
    </w:p>
    <w:p w14:paraId="4FDC1186" w14:textId="77777777" w:rsidR="00000000" w:rsidRDefault="007125B5">
      <w:pPr>
        <w:pStyle w:val="a3"/>
        <w:shd w:val="clear" w:color="auto" w:fill="FFFFFF"/>
        <w:spacing w:before="120" w:beforeAutospacing="0" w:after="0" w:afterAutospacing="0"/>
        <w:ind w:firstLine="556"/>
        <w:rPr>
          <w:b/>
          <w:bCs/>
          <w:color w:val="000000"/>
          <w:sz w:val="20"/>
          <w:szCs w:val="20"/>
        </w:rPr>
      </w:pPr>
      <w:r>
        <w:rPr>
          <w:b/>
          <w:bCs/>
          <w:color w:val="000000"/>
          <w:sz w:val="20"/>
          <w:szCs w:val="20"/>
        </w:rPr>
        <w:t>Operating Leases</w:t>
      </w:r>
      <w:r>
        <w:rPr>
          <w:color w:val="000000"/>
          <w:sz w:val="20"/>
          <w:szCs w:val="20"/>
        </w:rPr>
        <w:t>—</w:t>
      </w:r>
      <w:r>
        <w:rPr>
          <w:color w:val="000000"/>
          <w:sz w:val="20"/>
          <w:szCs w:val="20"/>
        </w:rPr>
        <w:t>The Company leases office facilities over various terms expiring through 2028. Certain of these operating leases contain rent escalation clauses. The Company also has office equipment leases that expire through 2025. The following is a schedule of the futu</w:t>
      </w:r>
      <w:r>
        <w:rPr>
          <w:color w:val="000000"/>
          <w:sz w:val="20"/>
          <w:szCs w:val="20"/>
        </w:rPr>
        <w:t>re minimum lease payments by year under the leases as of June 30, 2020:</w:t>
      </w:r>
    </w:p>
    <w:p w14:paraId="48991CDE"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805"/>
        <w:gridCol w:w="74"/>
        <w:gridCol w:w="115"/>
        <w:gridCol w:w="698"/>
        <w:gridCol w:w="65"/>
        <w:gridCol w:w="65"/>
        <w:gridCol w:w="116"/>
        <w:gridCol w:w="713"/>
        <w:gridCol w:w="65"/>
        <w:gridCol w:w="65"/>
        <w:gridCol w:w="115"/>
        <w:gridCol w:w="684"/>
        <w:gridCol w:w="65"/>
      </w:tblGrid>
      <w:tr w:rsidR="00000000" w14:paraId="24D4647E" w14:textId="77777777">
        <w:trPr>
          <w:divId w:val="1640459410"/>
          <w:jc w:val="center"/>
        </w:trPr>
        <w:tc>
          <w:tcPr>
            <w:tcW w:w="2874" w:type="pct"/>
            <w:tcBorders>
              <w:bottom w:val="single" w:sz="6" w:space="0" w:color="000000"/>
            </w:tcBorders>
            <w:shd w:val="clear" w:color="auto" w:fill="FFFFFF"/>
            <w:tcMar>
              <w:top w:w="15" w:type="dxa"/>
              <w:left w:w="0" w:type="dxa"/>
              <w:bottom w:w="0" w:type="dxa"/>
              <w:right w:w="15" w:type="dxa"/>
            </w:tcMar>
            <w:vAlign w:val="bottom"/>
            <w:hideMark/>
          </w:tcPr>
          <w:p w14:paraId="34F54CA9" w14:textId="77777777" w:rsidR="00000000" w:rsidRDefault="007125B5">
            <w:pPr>
              <w:pStyle w:val="a3"/>
              <w:spacing w:before="0" w:beforeAutospacing="0" w:after="0" w:afterAutospacing="0"/>
              <w:rPr>
                <w:b/>
                <w:bCs/>
                <w:color w:val="000000"/>
                <w:sz w:val="16"/>
                <w:szCs w:val="16"/>
              </w:rPr>
            </w:pPr>
            <w:r>
              <w:rPr>
                <w:b/>
                <w:bCs/>
                <w:color w:val="000000"/>
                <w:sz w:val="16"/>
                <w:szCs w:val="16"/>
              </w:rPr>
              <w:t>June 30,</w:t>
            </w:r>
          </w:p>
        </w:tc>
        <w:tc>
          <w:tcPr>
            <w:tcW w:w="69" w:type="pct"/>
            <w:shd w:val="clear" w:color="auto" w:fill="FFFFFF"/>
            <w:tcMar>
              <w:top w:w="15" w:type="dxa"/>
              <w:left w:w="0" w:type="dxa"/>
              <w:bottom w:w="0" w:type="dxa"/>
              <w:right w:w="15" w:type="dxa"/>
            </w:tcMar>
            <w:vAlign w:val="bottom"/>
            <w:hideMark/>
          </w:tcPr>
          <w:p w14:paraId="418ACB5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04A750D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Rent</w:t>
            </w:r>
          </w:p>
        </w:tc>
        <w:tc>
          <w:tcPr>
            <w:tcW w:w="50" w:type="pct"/>
            <w:shd w:val="clear" w:color="auto" w:fill="FFFFFF"/>
            <w:noWrap/>
            <w:tcMar>
              <w:top w:w="15" w:type="dxa"/>
              <w:left w:w="0" w:type="dxa"/>
              <w:bottom w:w="0" w:type="dxa"/>
              <w:right w:w="15" w:type="dxa"/>
            </w:tcMar>
            <w:vAlign w:val="bottom"/>
            <w:hideMark/>
          </w:tcPr>
          <w:p w14:paraId="21D56DE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14:paraId="13E6CF7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18B14B0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Office</w:t>
            </w:r>
          </w:p>
          <w:p w14:paraId="6497A2E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Equipment</w:t>
            </w:r>
          </w:p>
        </w:tc>
        <w:tc>
          <w:tcPr>
            <w:tcW w:w="50" w:type="pct"/>
            <w:shd w:val="clear" w:color="auto" w:fill="FFFFFF"/>
            <w:noWrap/>
            <w:tcMar>
              <w:top w:w="15" w:type="dxa"/>
              <w:left w:w="0" w:type="dxa"/>
              <w:bottom w:w="0" w:type="dxa"/>
              <w:right w:w="15" w:type="dxa"/>
            </w:tcMar>
            <w:vAlign w:val="bottom"/>
            <w:hideMark/>
          </w:tcPr>
          <w:p w14:paraId="2852736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14:paraId="7E231D2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2423158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70FC945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DADDA4B" w14:textId="77777777">
        <w:trPr>
          <w:divId w:val="1640459410"/>
          <w:jc w:val="center"/>
        </w:trPr>
        <w:tc>
          <w:tcPr>
            <w:tcW w:w="2874" w:type="pct"/>
            <w:tcBorders>
              <w:top w:val="single" w:sz="6" w:space="0" w:color="000000"/>
            </w:tcBorders>
            <w:shd w:val="clear" w:color="auto" w:fill="CFF0FC"/>
            <w:tcMar>
              <w:top w:w="15" w:type="dxa"/>
              <w:left w:w="0" w:type="dxa"/>
              <w:bottom w:w="0" w:type="dxa"/>
              <w:right w:w="15" w:type="dxa"/>
            </w:tcMar>
            <w:hideMark/>
          </w:tcPr>
          <w:p w14:paraId="031FEBF3" w14:textId="77777777" w:rsidR="00000000" w:rsidRDefault="007125B5">
            <w:pPr>
              <w:pStyle w:val="a3"/>
              <w:spacing w:before="0" w:beforeAutospacing="0" w:after="0" w:afterAutospacing="0"/>
              <w:rPr>
                <w:color w:val="000000"/>
                <w:sz w:val="20"/>
                <w:szCs w:val="20"/>
              </w:rPr>
            </w:pPr>
            <w:r>
              <w:rPr>
                <w:color w:val="000000"/>
                <w:sz w:val="20"/>
                <w:szCs w:val="20"/>
              </w:rPr>
              <w:t>2021</w:t>
            </w:r>
          </w:p>
        </w:tc>
        <w:tc>
          <w:tcPr>
            <w:tcW w:w="69" w:type="pct"/>
            <w:shd w:val="clear" w:color="auto" w:fill="CFF0FC"/>
            <w:tcMar>
              <w:top w:w="15" w:type="dxa"/>
              <w:left w:w="0" w:type="dxa"/>
              <w:bottom w:w="0" w:type="dxa"/>
              <w:right w:w="15" w:type="dxa"/>
            </w:tcMar>
            <w:vAlign w:val="bottom"/>
            <w:hideMark/>
          </w:tcPr>
          <w:p w14:paraId="7AAB89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BDD43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0A822828" w14:textId="77777777" w:rsidR="00000000" w:rsidRDefault="007125B5">
            <w:pPr>
              <w:pStyle w:val="a3"/>
              <w:spacing w:before="0" w:beforeAutospacing="0" w:after="0" w:afterAutospacing="0"/>
              <w:jc w:val="right"/>
              <w:rPr>
                <w:color w:val="000000"/>
                <w:sz w:val="20"/>
                <w:szCs w:val="20"/>
              </w:rPr>
            </w:pPr>
            <w:r>
              <w:rPr>
                <w:color w:val="000000"/>
                <w:sz w:val="20"/>
                <w:szCs w:val="20"/>
              </w:rPr>
              <w:t>6,095</w:t>
            </w:r>
          </w:p>
        </w:tc>
        <w:tc>
          <w:tcPr>
            <w:tcW w:w="50" w:type="pct"/>
            <w:shd w:val="clear" w:color="auto" w:fill="CFF0FC"/>
            <w:noWrap/>
            <w:tcMar>
              <w:top w:w="15" w:type="dxa"/>
              <w:left w:w="0" w:type="dxa"/>
              <w:bottom w:w="0" w:type="dxa"/>
              <w:right w:w="15" w:type="dxa"/>
            </w:tcMar>
            <w:vAlign w:val="bottom"/>
            <w:hideMark/>
          </w:tcPr>
          <w:p w14:paraId="3E4B3D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67844A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924034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559FA72B" w14:textId="77777777" w:rsidR="00000000" w:rsidRDefault="007125B5">
            <w:pPr>
              <w:pStyle w:val="a3"/>
              <w:spacing w:before="0" w:beforeAutospacing="0" w:after="0" w:afterAutospacing="0"/>
              <w:jc w:val="right"/>
              <w:rPr>
                <w:color w:val="000000"/>
                <w:sz w:val="20"/>
                <w:szCs w:val="20"/>
              </w:rPr>
            </w:pPr>
            <w:r>
              <w:rPr>
                <w:color w:val="000000"/>
                <w:sz w:val="20"/>
                <w:szCs w:val="20"/>
              </w:rPr>
              <w:t>344</w:t>
            </w:r>
          </w:p>
        </w:tc>
        <w:tc>
          <w:tcPr>
            <w:tcW w:w="50" w:type="pct"/>
            <w:shd w:val="clear" w:color="auto" w:fill="CFF0FC"/>
            <w:noWrap/>
            <w:tcMar>
              <w:top w:w="15" w:type="dxa"/>
              <w:left w:w="0" w:type="dxa"/>
              <w:bottom w:w="0" w:type="dxa"/>
              <w:right w:w="15" w:type="dxa"/>
            </w:tcMar>
            <w:vAlign w:val="bottom"/>
            <w:hideMark/>
          </w:tcPr>
          <w:p w14:paraId="68DD02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01BC69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2699B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47E34CF5" w14:textId="77777777" w:rsidR="00000000" w:rsidRDefault="007125B5">
            <w:pPr>
              <w:pStyle w:val="a3"/>
              <w:spacing w:before="0" w:beforeAutospacing="0" w:after="0" w:afterAutospacing="0"/>
              <w:jc w:val="right"/>
              <w:rPr>
                <w:color w:val="000000"/>
                <w:sz w:val="20"/>
                <w:szCs w:val="20"/>
              </w:rPr>
            </w:pPr>
            <w:r>
              <w:rPr>
                <w:color w:val="000000"/>
                <w:sz w:val="20"/>
                <w:szCs w:val="20"/>
              </w:rPr>
              <w:t>6,439</w:t>
            </w:r>
          </w:p>
        </w:tc>
        <w:tc>
          <w:tcPr>
            <w:tcW w:w="50" w:type="pct"/>
            <w:shd w:val="clear" w:color="auto" w:fill="CFF0FC"/>
            <w:noWrap/>
            <w:tcMar>
              <w:top w:w="15" w:type="dxa"/>
              <w:left w:w="0" w:type="dxa"/>
              <w:bottom w:w="0" w:type="dxa"/>
              <w:right w:w="15" w:type="dxa"/>
            </w:tcMar>
            <w:vAlign w:val="bottom"/>
            <w:hideMark/>
          </w:tcPr>
          <w:p w14:paraId="760C372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E3CBE00" w14:textId="77777777">
        <w:trPr>
          <w:divId w:val="1640459410"/>
          <w:jc w:val="center"/>
        </w:trPr>
        <w:tc>
          <w:tcPr>
            <w:tcW w:w="2874" w:type="pct"/>
            <w:shd w:val="clear" w:color="auto" w:fill="FFFFFF"/>
            <w:tcMar>
              <w:top w:w="15" w:type="dxa"/>
              <w:left w:w="0" w:type="dxa"/>
              <w:bottom w:w="0" w:type="dxa"/>
              <w:right w:w="15" w:type="dxa"/>
            </w:tcMar>
            <w:hideMark/>
          </w:tcPr>
          <w:p w14:paraId="219C4F62" w14:textId="77777777" w:rsidR="00000000" w:rsidRDefault="007125B5">
            <w:pPr>
              <w:pStyle w:val="a3"/>
              <w:spacing w:before="0" w:beforeAutospacing="0" w:after="0" w:afterAutospacing="0"/>
              <w:rPr>
                <w:color w:val="000000"/>
                <w:sz w:val="20"/>
                <w:szCs w:val="20"/>
              </w:rPr>
            </w:pPr>
            <w:r>
              <w:rPr>
                <w:color w:val="000000"/>
                <w:sz w:val="20"/>
                <w:szCs w:val="20"/>
              </w:rPr>
              <w:t>2022</w:t>
            </w:r>
          </w:p>
        </w:tc>
        <w:tc>
          <w:tcPr>
            <w:tcW w:w="69" w:type="pct"/>
            <w:shd w:val="clear" w:color="auto" w:fill="FFFFFF"/>
            <w:tcMar>
              <w:top w:w="15" w:type="dxa"/>
              <w:left w:w="0" w:type="dxa"/>
              <w:bottom w:w="0" w:type="dxa"/>
              <w:right w:w="15" w:type="dxa"/>
            </w:tcMar>
            <w:vAlign w:val="bottom"/>
            <w:hideMark/>
          </w:tcPr>
          <w:p w14:paraId="049E17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03EB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1802A0F" w14:textId="77777777" w:rsidR="00000000" w:rsidRDefault="007125B5">
            <w:pPr>
              <w:pStyle w:val="a3"/>
              <w:spacing w:before="0" w:beforeAutospacing="0" w:after="0" w:afterAutospacing="0"/>
              <w:jc w:val="right"/>
              <w:rPr>
                <w:color w:val="000000"/>
                <w:sz w:val="20"/>
                <w:szCs w:val="20"/>
              </w:rPr>
            </w:pPr>
            <w:r>
              <w:rPr>
                <w:color w:val="000000"/>
                <w:sz w:val="20"/>
                <w:szCs w:val="20"/>
              </w:rPr>
              <w:t>4,846</w:t>
            </w:r>
          </w:p>
        </w:tc>
        <w:tc>
          <w:tcPr>
            <w:tcW w:w="50" w:type="pct"/>
            <w:shd w:val="clear" w:color="auto" w:fill="FFFFFF"/>
            <w:noWrap/>
            <w:tcMar>
              <w:top w:w="15" w:type="dxa"/>
              <w:left w:w="0" w:type="dxa"/>
              <w:bottom w:w="0" w:type="dxa"/>
              <w:right w:w="15" w:type="dxa"/>
            </w:tcMar>
            <w:vAlign w:val="bottom"/>
            <w:hideMark/>
          </w:tcPr>
          <w:p w14:paraId="5CDA7E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4539BA9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B7F8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6BB1DA4" w14:textId="77777777" w:rsidR="00000000" w:rsidRDefault="007125B5">
            <w:pPr>
              <w:pStyle w:val="a3"/>
              <w:spacing w:before="0" w:beforeAutospacing="0" w:after="0" w:afterAutospacing="0"/>
              <w:jc w:val="right"/>
              <w:rPr>
                <w:color w:val="000000"/>
                <w:sz w:val="20"/>
                <w:szCs w:val="20"/>
              </w:rPr>
            </w:pPr>
            <w:r>
              <w:rPr>
                <w:color w:val="000000"/>
                <w:sz w:val="20"/>
                <w:szCs w:val="20"/>
              </w:rPr>
              <w:t>311</w:t>
            </w:r>
          </w:p>
        </w:tc>
        <w:tc>
          <w:tcPr>
            <w:tcW w:w="50" w:type="pct"/>
            <w:shd w:val="clear" w:color="auto" w:fill="FFFFFF"/>
            <w:noWrap/>
            <w:tcMar>
              <w:top w:w="15" w:type="dxa"/>
              <w:left w:w="0" w:type="dxa"/>
              <w:bottom w:w="0" w:type="dxa"/>
              <w:right w:w="15" w:type="dxa"/>
            </w:tcMar>
            <w:vAlign w:val="bottom"/>
            <w:hideMark/>
          </w:tcPr>
          <w:p w14:paraId="036D02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080503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6C9E4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39011456" w14:textId="77777777" w:rsidR="00000000" w:rsidRDefault="007125B5">
            <w:pPr>
              <w:pStyle w:val="a3"/>
              <w:spacing w:before="0" w:beforeAutospacing="0" w:after="0" w:afterAutospacing="0"/>
              <w:jc w:val="right"/>
              <w:rPr>
                <w:color w:val="000000"/>
                <w:sz w:val="20"/>
                <w:szCs w:val="20"/>
              </w:rPr>
            </w:pPr>
            <w:r>
              <w:rPr>
                <w:color w:val="000000"/>
                <w:sz w:val="20"/>
                <w:szCs w:val="20"/>
              </w:rPr>
              <w:t>5,157</w:t>
            </w:r>
          </w:p>
        </w:tc>
        <w:tc>
          <w:tcPr>
            <w:tcW w:w="50" w:type="pct"/>
            <w:shd w:val="clear" w:color="auto" w:fill="FFFFFF"/>
            <w:noWrap/>
            <w:tcMar>
              <w:top w:w="15" w:type="dxa"/>
              <w:left w:w="0" w:type="dxa"/>
              <w:bottom w:w="0" w:type="dxa"/>
              <w:right w:w="15" w:type="dxa"/>
            </w:tcMar>
            <w:vAlign w:val="bottom"/>
            <w:hideMark/>
          </w:tcPr>
          <w:p w14:paraId="7975FB7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16FA039" w14:textId="77777777">
        <w:trPr>
          <w:divId w:val="1640459410"/>
          <w:jc w:val="center"/>
        </w:trPr>
        <w:tc>
          <w:tcPr>
            <w:tcW w:w="2874" w:type="pct"/>
            <w:shd w:val="clear" w:color="auto" w:fill="CFF0FC"/>
            <w:tcMar>
              <w:top w:w="15" w:type="dxa"/>
              <w:left w:w="0" w:type="dxa"/>
              <w:bottom w:w="0" w:type="dxa"/>
              <w:right w:w="15" w:type="dxa"/>
            </w:tcMar>
            <w:hideMark/>
          </w:tcPr>
          <w:p w14:paraId="3B51E1A3" w14:textId="77777777" w:rsidR="00000000" w:rsidRDefault="007125B5">
            <w:pPr>
              <w:pStyle w:val="a3"/>
              <w:spacing w:before="0" w:beforeAutospacing="0" w:after="0" w:afterAutospacing="0"/>
              <w:rPr>
                <w:color w:val="000000"/>
                <w:sz w:val="20"/>
                <w:szCs w:val="20"/>
              </w:rPr>
            </w:pPr>
            <w:r>
              <w:rPr>
                <w:color w:val="000000"/>
                <w:sz w:val="20"/>
                <w:szCs w:val="20"/>
              </w:rPr>
              <w:t>2023</w:t>
            </w:r>
          </w:p>
        </w:tc>
        <w:tc>
          <w:tcPr>
            <w:tcW w:w="69" w:type="pct"/>
            <w:shd w:val="clear" w:color="auto" w:fill="CFF0FC"/>
            <w:tcMar>
              <w:top w:w="15" w:type="dxa"/>
              <w:left w:w="0" w:type="dxa"/>
              <w:bottom w:w="0" w:type="dxa"/>
              <w:right w:w="15" w:type="dxa"/>
            </w:tcMar>
            <w:vAlign w:val="bottom"/>
            <w:hideMark/>
          </w:tcPr>
          <w:p w14:paraId="4F4A09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61F50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570317AA" w14:textId="77777777" w:rsidR="00000000" w:rsidRDefault="007125B5">
            <w:pPr>
              <w:pStyle w:val="a3"/>
              <w:spacing w:before="0" w:beforeAutospacing="0" w:after="0" w:afterAutospacing="0"/>
              <w:jc w:val="right"/>
              <w:rPr>
                <w:color w:val="000000"/>
                <w:sz w:val="20"/>
                <w:szCs w:val="20"/>
              </w:rPr>
            </w:pPr>
            <w:r>
              <w:rPr>
                <w:color w:val="000000"/>
                <w:sz w:val="20"/>
                <w:szCs w:val="20"/>
              </w:rPr>
              <w:t>3,513</w:t>
            </w:r>
          </w:p>
        </w:tc>
        <w:tc>
          <w:tcPr>
            <w:tcW w:w="50" w:type="pct"/>
            <w:shd w:val="clear" w:color="auto" w:fill="CFF0FC"/>
            <w:noWrap/>
            <w:tcMar>
              <w:top w:w="15" w:type="dxa"/>
              <w:left w:w="0" w:type="dxa"/>
              <w:bottom w:w="0" w:type="dxa"/>
              <w:right w:w="15" w:type="dxa"/>
            </w:tcMar>
            <w:vAlign w:val="bottom"/>
            <w:hideMark/>
          </w:tcPr>
          <w:p w14:paraId="2CAFBF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6D4258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5597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5FB31945" w14:textId="77777777" w:rsidR="00000000" w:rsidRDefault="007125B5">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CFF0FC"/>
            <w:noWrap/>
            <w:tcMar>
              <w:top w:w="15" w:type="dxa"/>
              <w:left w:w="0" w:type="dxa"/>
              <w:bottom w:w="0" w:type="dxa"/>
              <w:right w:w="15" w:type="dxa"/>
            </w:tcMar>
            <w:vAlign w:val="bottom"/>
            <w:hideMark/>
          </w:tcPr>
          <w:p w14:paraId="74DD5D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6B5EDD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75D7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10D7095B" w14:textId="77777777" w:rsidR="00000000" w:rsidRDefault="007125B5">
            <w:pPr>
              <w:pStyle w:val="a3"/>
              <w:spacing w:before="0" w:beforeAutospacing="0" w:after="0" w:afterAutospacing="0"/>
              <w:jc w:val="right"/>
              <w:rPr>
                <w:color w:val="000000"/>
                <w:sz w:val="20"/>
                <w:szCs w:val="20"/>
              </w:rPr>
            </w:pPr>
            <w:r>
              <w:rPr>
                <w:color w:val="000000"/>
                <w:sz w:val="20"/>
                <w:szCs w:val="20"/>
              </w:rPr>
              <w:t>3,714</w:t>
            </w:r>
          </w:p>
        </w:tc>
        <w:tc>
          <w:tcPr>
            <w:tcW w:w="50" w:type="pct"/>
            <w:shd w:val="clear" w:color="auto" w:fill="CFF0FC"/>
            <w:noWrap/>
            <w:tcMar>
              <w:top w:w="15" w:type="dxa"/>
              <w:left w:w="0" w:type="dxa"/>
              <w:bottom w:w="0" w:type="dxa"/>
              <w:right w:w="15" w:type="dxa"/>
            </w:tcMar>
            <w:vAlign w:val="bottom"/>
            <w:hideMark/>
          </w:tcPr>
          <w:p w14:paraId="248EB2D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F9E8AF9" w14:textId="77777777">
        <w:trPr>
          <w:divId w:val="1640459410"/>
          <w:jc w:val="center"/>
        </w:trPr>
        <w:tc>
          <w:tcPr>
            <w:tcW w:w="2874" w:type="pct"/>
            <w:shd w:val="clear" w:color="auto" w:fill="FFFFFF"/>
            <w:tcMar>
              <w:top w:w="15" w:type="dxa"/>
              <w:left w:w="0" w:type="dxa"/>
              <w:bottom w:w="0" w:type="dxa"/>
              <w:right w:w="15" w:type="dxa"/>
            </w:tcMar>
            <w:hideMark/>
          </w:tcPr>
          <w:p w14:paraId="02627471" w14:textId="77777777" w:rsidR="00000000" w:rsidRDefault="007125B5">
            <w:pPr>
              <w:pStyle w:val="a3"/>
              <w:spacing w:before="0" w:beforeAutospacing="0" w:after="0" w:afterAutospacing="0"/>
              <w:rPr>
                <w:color w:val="000000"/>
                <w:sz w:val="20"/>
                <w:szCs w:val="20"/>
              </w:rPr>
            </w:pPr>
            <w:r>
              <w:rPr>
                <w:color w:val="000000"/>
                <w:sz w:val="20"/>
                <w:szCs w:val="20"/>
              </w:rPr>
              <w:t>2024</w:t>
            </w:r>
          </w:p>
        </w:tc>
        <w:tc>
          <w:tcPr>
            <w:tcW w:w="69" w:type="pct"/>
            <w:shd w:val="clear" w:color="auto" w:fill="FFFFFF"/>
            <w:tcMar>
              <w:top w:w="15" w:type="dxa"/>
              <w:left w:w="0" w:type="dxa"/>
              <w:bottom w:w="0" w:type="dxa"/>
              <w:right w:w="15" w:type="dxa"/>
            </w:tcMar>
            <w:vAlign w:val="bottom"/>
            <w:hideMark/>
          </w:tcPr>
          <w:p w14:paraId="1619BC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5B0C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63F3EDBE" w14:textId="77777777" w:rsidR="00000000" w:rsidRDefault="007125B5">
            <w:pPr>
              <w:pStyle w:val="a3"/>
              <w:spacing w:before="0" w:beforeAutospacing="0" w:after="0" w:afterAutospacing="0"/>
              <w:jc w:val="right"/>
              <w:rPr>
                <w:color w:val="000000"/>
                <w:sz w:val="20"/>
                <w:szCs w:val="20"/>
              </w:rPr>
            </w:pPr>
            <w:r>
              <w:rPr>
                <w:color w:val="000000"/>
                <w:sz w:val="20"/>
                <w:szCs w:val="20"/>
              </w:rPr>
              <w:t>2,030</w:t>
            </w:r>
          </w:p>
        </w:tc>
        <w:tc>
          <w:tcPr>
            <w:tcW w:w="50" w:type="pct"/>
            <w:shd w:val="clear" w:color="auto" w:fill="FFFFFF"/>
            <w:noWrap/>
            <w:tcMar>
              <w:top w:w="15" w:type="dxa"/>
              <w:left w:w="0" w:type="dxa"/>
              <w:bottom w:w="0" w:type="dxa"/>
              <w:right w:w="15" w:type="dxa"/>
            </w:tcMar>
            <w:vAlign w:val="bottom"/>
            <w:hideMark/>
          </w:tcPr>
          <w:p w14:paraId="1FF470F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7F9E46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F686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0DA44CC8" w14:textId="77777777" w:rsidR="00000000" w:rsidRDefault="007125B5">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14:paraId="73225E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08832C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3BE5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33DD4FE1" w14:textId="77777777" w:rsidR="00000000" w:rsidRDefault="007125B5">
            <w:pPr>
              <w:pStyle w:val="a3"/>
              <w:spacing w:before="0" w:beforeAutospacing="0" w:after="0" w:afterAutospacing="0"/>
              <w:jc w:val="right"/>
              <w:rPr>
                <w:color w:val="000000"/>
                <w:sz w:val="20"/>
                <w:szCs w:val="20"/>
              </w:rPr>
            </w:pPr>
            <w:r>
              <w:rPr>
                <w:color w:val="000000"/>
                <w:sz w:val="20"/>
                <w:szCs w:val="20"/>
              </w:rPr>
              <w:t>2,092</w:t>
            </w:r>
          </w:p>
        </w:tc>
        <w:tc>
          <w:tcPr>
            <w:tcW w:w="50" w:type="pct"/>
            <w:shd w:val="clear" w:color="auto" w:fill="FFFFFF"/>
            <w:noWrap/>
            <w:tcMar>
              <w:top w:w="15" w:type="dxa"/>
              <w:left w:w="0" w:type="dxa"/>
              <w:bottom w:w="0" w:type="dxa"/>
              <w:right w:w="15" w:type="dxa"/>
            </w:tcMar>
            <w:vAlign w:val="bottom"/>
            <w:hideMark/>
          </w:tcPr>
          <w:p w14:paraId="4C4E36F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C735A90" w14:textId="77777777">
        <w:trPr>
          <w:divId w:val="1640459410"/>
          <w:jc w:val="center"/>
        </w:trPr>
        <w:tc>
          <w:tcPr>
            <w:tcW w:w="2874" w:type="pct"/>
            <w:shd w:val="clear" w:color="auto" w:fill="CFF0FC"/>
            <w:tcMar>
              <w:top w:w="15" w:type="dxa"/>
              <w:left w:w="0" w:type="dxa"/>
              <w:bottom w:w="0" w:type="dxa"/>
              <w:right w:w="15" w:type="dxa"/>
            </w:tcMar>
            <w:hideMark/>
          </w:tcPr>
          <w:p w14:paraId="304660FA" w14:textId="77777777" w:rsidR="00000000" w:rsidRDefault="007125B5">
            <w:pPr>
              <w:pStyle w:val="a3"/>
              <w:spacing w:before="0" w:beforeAutospacing="0" w:after="0" w:afterAutospacing="0"/>
              <w:rPr>
                <w:color w:val="000000"/>
                <w:sz w:val="20"/>
                <w:szCs w:val="20"/>
              </w:rPr>
            </w:pPr>
            <w:r>
              <w:rPr>
                <w:color w:val="000000"/>
                <w:sz w:val="20"/>
                <w:szCs w:val="20"/>
              </w:rPr>
              <w:t>2025 and thereafter</w:t>
            </w:r>
          </w:p>
        </w:tc>
        <w:tc>
          <w:tcPr>
            <w:tcW w:w="69" w:type="pct"/>
            <w:shd w:val="clear" w:color="auto" w:fill="CFF0FC"/>
            <w:tcMar>
              <w:top w:w="15" w:type="dxa"/>
              <w:left w:w="0" w:type="dxa"/>
              <w:bottom w:w="0" w:type="dxa"/>
              <w:right w:w="15" w:type="dxa"/>
            </w:tcMar>
            <w:vAlign w:val="bottom"/>
            <w:hideMark/>
          </w:tcPr>
          <w:p w14:paraId="17032D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FB9A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2258FAF1" w14:textId="77777777" w:rsidR="00000000" w:rsidRDefault="007125B5">
            <w:pPr>
              <w:pStyle w:val="a3"/>
              <w:spacing w:before="0" w:beforeAutospacing="0" w:after="0" w:afterAutospacing="0"/>
              <w:jc w:val="right"/>
              <w:rPr>
                <w:color w:val="000000"/>
                <w:sz w:val="20"/>
                <w:szCs w:val="20"/>
              </w:rPr>
            </w:pPr>
            <w:r>
              <w:rPr>
                <w:color w:val="000000"/>
                <w:sz w:val="20"/>
                <w:szCs w:val="20"/>
              </w:rPr>
              <w:t>1,573</w:t>
            </w:r>
          </w:p>
        </w:tc>
        <w:tc>
          <w:tcPr>
            <w:tcW w:w="50" w:type="pct"/>
            <w:shd w:val="clear" w:color="auto" w:fill="CFF0FC"/>
            <w:noWrap/>
            <w:tcMar>
              <w:top w:w="15" w:type="dxa"/>
              <w:left w:w="0" w:type="dxa"/>
              <w:bottom w:w="0" w:type="dxa"/>
              <w:right w:w="15" w:type="dxa"/>
            </w:tcMar>
            <w:vAlign w:val="bottom"/>
            <w:hideMark/>
          </w:tcPr>
          <w:p w14:paraId="4A9FAE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6B0440C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D3613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3E8762D9" w14:textId="77777777" w:rsidR="00000000" w:rsidRDefault="007125B5">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6AE804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14:paraId="6204BB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A9D8C9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39282712" w14:textId="77777777" w:rsidR="00000000" w:rsidRDefault="007125B5">
            <w:pPr>
              <w:pStyle w:val="a3"/>
              <w:spacing w:before="0" w:beforeAutospacing="0" w:after="0" w:afterAutospacing="0"/>
              <w:jc w:val="right"/>
              <w:rPr>
                <w:color w:val="000000"/>
                <w:sz w:val="20"/>
                <w:szCs w:val="20"/>
              </w:rPr>
            </w:pPr>
            <w:r>
              <w:rPr>
                <w:color w:val="000000"/>
                <w:sz w:val="20"/>
                <w:szCs w:val="20"/>
              </w:rPr>
              <w:t>1,576</w:t>
            </w:r>
          </w:p>
        </w:tc>
        <w:tc>
          <w:tcPr>
            <w:tcW w:w="50" w:type="pct"/>
            <w:shd w:val="clear" w:color="auto" w:fill="CFF0FC"/>
            <w:noWrap/>
            <w:tcMar>
              <w:top w:w="15" w:type="dxa"/>
              <w:left w:w="0" w:type="dxa"/>
              <w:bottom w:w="0" w:type="dxa"/>
              <w:right w:w="15" w:type="dxa"/>
            </w:tcMar>
            <w:vAlign w:val="bottom"/>
            <w:hideMark/>
          </w:tcPr>
          <w:p w14:paraId="546FB4A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99BCBC1" w14:textId="77777777">
        <w:trPr>
          <w:divId w:val="1640459410"/>
          <w:jc w:val="center"/>
        </w:trPr>
        <w:tc>
          <w:tcPr>
            <w:tcW w:w="2874" w:type="pct"/>
            <w:shd w:val="clear" w:color="auto" w:fill="FFFFFF"/>
            <w:tcMar>
              <w:top w:w="15" w:type="dxa"/>
              <w:left w:w="0" w:type="dxa"/>
              <w:bottom w:w="0" w:type="dxa"/>
              <w:right w:w="15" w:type="dxa"/>
            </w:tcMar>
            <w:hideMark/>
          </w:tcPr>
          <w:p w14:paraId="506640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7DD751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52C29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008D40" w14:textId="77777777" w:rsidR="00000000" w:rsidRDefault="007125B5">
            <w:pPr>
              <w:pStyle w:val="a3"/>
              <w:spacing w:before="0" w:beforeAutospacing="0" w:after="0" w:afterAutospacing="0"/>
              <w:jc w:val="right"/>
              <w:rPr>
                <w:color w:val="000000"/>
                <w:sz w:val="20"/>
                <w:szCs w:val="20"/>
              </w:rPr>
            </w:pPr>
            <w:r>
              <w:rPr>
                <w:color w:val="000000"/>
                <w:sz w:val="20"/>
                <w:szCs w:val="20"/>
              </w:rPr>
              <w:t>18,057</w:t>
            </w:r>
          </w:p>
        </w:tc>
        <w:tc>
          <w:tcPr>
            <w:tcW w:w="50" w:type="pct"/>
            <w:shd w:val="clear" w:color="auto" w:fill="FFFFFF"/>
            <w:noWrap/>
            <w:tcMar>
              <w:top w:w="15" w:type="dxa"/>
              <w:left w:w="0" w:type="dxa"/>
              <w:bottom w:w="0" w:type="dxa"/>
              <w:right w:w="15" w:type="dxa"/>
            </w:tcMar>
            <w:vAlign w:val="bottom"/>
            <w:hideMark/>
          </w:tcPr>
          <w:p w14:paraId="72379B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5A4340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FBEFF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326D2A" w14:textId="77777777" w:rsidR="00000000" w:rsidRDefault="007125B5">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FFFFFF"/>
            <w:noWrap/>
            <w:tcMar>
              <w:top w:w="15" w:type="dxa"/>
              <w:left w:w="0" w:type="dxa"/>
              <w:bottom w:w="0" w:type="dxa"/>
              <w:right w:w="15" w:type="dxa"/>
            </w:tcMar>
            <w:vAlign w:val="bottom"/>
            <w:hideMark/>
          </w:tcPr>
          <w:p w14:paraId="7592BD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14:paraId="197118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BE4CF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9B7765" w14:textId="77777777" w:rsidR="00000000" w:rsidRDefault="007125B5">
            <w:pPr>
              <w:pStyle w:val="a3"/>
              <w:spacing w:before="0" w:beforeAutospacing="0" w:after="0" w:afterAutospacing="0"/>
              <w:jc w:val="right"/>
              <w:rPr>
                <w:color w:val="000000"/>
                <w:sz w:val="20"/>
                <w:szCs w:val="20"/>
              </w:rPr>
            </w:pPr>
            <w:r>
              <w:rPr>
                <w:color w:val="000000"/>
                <w:sz w:val="20"/>
                <w:szCs w:val="20"/>
              </w:rPr>
              <w:t>18,978</w:t>
            </w:r>
          </w:p>
        </w:tc>
        <w:tc>
          <w:tcPr>
            <w:tcW w:w="50" w:type="pct"/>
            <w:shd w:val="clear" w:color="auto" w:fill="FFFFFF"/>
            <w:noWrap/>
            <w:tcMar>
              <w:top w:w="15" w:type="dxa"/>
              <w:left w:w="0" w:type="dxa"/>
              <w:bottom w:w="0" w:type="dxa"/>
              <w:right w:w="15" w:type="dxa"/>
            </w:tcMar>
            <w:vAlign w:val="bottom"/>
            <w:hideMark/>
          </w:tcPr>
          <w:p w14:paraId="5C404B76"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58E47571" w14:textId="77777777" w:rsidR="00000000" w:rsidRDefault="007125B5">
      <w:pPr>
        <w:pStyle w:val="a3"/>
        <w:shd w:val="clear" w:color="auto" w:fill="FFFFFF"/>
        <w:spacing w:before="0" w:beforeAutospacing="0" w:after="0" w:afterAutospacing="0"/>
        <w:rPr>
          <w:sz w:val="20"/>
          <w:szCs w:val="20"/>
        </w:rPr>
      </w:pPr>
      <w:r>
        <w:rPr>
          <w:sz w:val="20"/>
          <w:szCs w:val="20"/>
        </w:rPr>
        <w:t> </w:t>
      </w:r>
    </w:p>
    <w:p w14:paraId="4F7A5115"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Total rent expense under operating leases was $2.1 and $4.2 for the three and six months ended June 30, 2020, respectively, and $1.8 and $3.6 for the three and six months ended June 30, 2019, respectively</w:t>
      </w:r>
    </w:p>
    <w:p w14:paraId="22857516"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Other Commitments</w:t>
      </w:r>
      <w:r>
        <w:rPr>
          <w:color w:val="000000"/>
          <w:sz w:val="20"/>
          <w:szCs w:val="20"/>
        </w:rPr>
        <w:t>—</w:t>
      </w:r>
      <w:r>
        <w:rPr>
          <w:color w:val="000000"/>
          <w:sz w:val="20"/>
          <w:szCs w:val="20"/>
        </w:rPr>
        <w:t>The Company has commitments under the New Credit Facility, its equipment line of credit and its capital lease obligations (Note 14).</w:t>
      </w:r>
    </w:p>
    <w:p w14:paraId="74E99A64" w14:textId="77777777" w:rsidR="00000000" w:rsidRDefault="007125B5">
      <w:pPr>
        <w:pStyle w:val="a3"/>
        <w:spacing w:before="240" w:beforeAutospacing="0" w:after="0" w:afterAutospacing="0"/>
        <w:jc w:val="center"/>
        <w:rPr>
          <w:sz w:val="20"/>
          <w:szCs w:val="20"/>
        </w:rPr>
      </w:pPr>
      <w:r>
        <w:rPr>
          <w:sz w:val="20"/>
          <w:szCs w:val="20"/>
        </w:rPr>
        <w:t>18</w:t>
      </w:r>
    </w:p>
    <w:p w14:paraId="40D4E085" w14:textId="77777777" w:rsidR="00000000" w:rsidRDefault="007125B5">
      <w:pPr>
        <w:rPr>
          <w:rFonts w:eastAsia="Times New Roman"/>
        </w:rPr>
      </w:pPr>
      <w:r>
        <w:rPr>
          <w:rFonts w:eastAsia="Times New Roman"/>
        </w:rPr>
        <w:pict w14:anchorId="3684B938">
          <v:rect id="_x0000_i1044" style="width:415.3pt;height:1.5pt" o:hralign="center" o:hrstd="t" o:hr="t" fillcolor="#a0a0a0" stroked="f"/>
        </w:pict>
      </w:r>
    </w:p>
    <w:p w14:paraId="41B62143" w14:textId="77777777" w:rsidR="00000000" w:rsidRDefault="007125B5">
      <w:pPr>
        <w:pStyle w:val="a3"/>
        <w:spacing w:before="0" w:beforeAutospacing="0" w:after="0" w:afterAutospacing="0"/>
        <w:rPr>
          <w:sz w:val="20"/>
          <w:szCs w:val="20"/>
        </w:rPr>
      </w:pPr>
      <w:r>
        <w:rPr>
          <w:sz w:val="20"/>
          <w:szCs w:val="20"/>
        </w:rPr>
        <w:t> </w:t>
      </w:r>
    </w:p>
    <w:p w14:paraId="0326E41B" w14:textId="77777777" w:rsidR="00000000" w:rsidRDefault="007125B5">
      <w:pPr>
        <w:pStyle w:val="a3"/>
        <w:shd w:val="clear" w:color="auto" w:fill="FFFFFF"/>
        <w:spacing w:before="240" w:beforeAutospacing="0" w:after="0" w:afterAutospacing="0"/>
        <w:ind w:firstLine="556"/>
        <w:rPr>
          <w:b/>
          <w:bCs/>
          <w:color w:val="000000"/>
          <w:sz w:val="20"/>
          <w:szCs w:val="20"/>
        </w:rPr>
      </w:pPr>
      <w:bookmarkStart w:id="36" w:name="_AEIOULastRenderedPageBreakAEIOU21"/>
      <w:bookmarkEnd w:id="36"/>
      <w:r>
        <w:rPr>
          <w:b/>
          <w:bCs/>
          <w:color w:val="000000"/>
          <w:sz w:val="20"/>
          <w:szCs w:val="20"/>
        </w:rPr>
        <w:t>Contingencies</w:t>
      </w:r>
      <w:r>
        <w:rPr>
          <w:color w:val="000000"/>
          <w:sz w:val="20"/>
          <w:szCs w:val="20"/>
        </w:rPr>
        <w:t>—The Company is subject to purchase price contingencies related to earn-outs associated with certain acquisitions (Note 6).</w:t>
      </w:r>
    </w:p>
    <w:p w14:paraId="06098E58" w14:textId="77777777" w:rsidR="00000000" w:rsidRDefault="007125B5">
      <w:pPr>
        <w:pStyle w:val="a3"/>
        <w:shd w:val="clear" w:color="auto" w:fill="FFFFFF"/>
        <w:spacing w:before="240" w:beforeAutospacing="0" w:after="0" w:afterAutospacing="0"/>
        <w:ind w:firstLine="556"/>
        <w:rPr>
          <w:b/>
          <w:bCs/>
          <w:color w:val="000000"/>
          <w:sz w:val="20"/>
          <w:szCs w:val="20"/>
        </w:rPr>
      </w:pPr>
      <w:r>
        <w:rPr>
          <w:b/>
          <w:bCs/>
          <w:color w:val="000000"/>
          <w:sz w:val="20"/>
          <w:szCs w:val="20"/>
        </w:rPr>
        <w:t>Legal</w:t>
      </w:r>
      <w:r>
        <w:rPr>
          <w:color w:val="000000"/>
          <w:sz w:val="20"/>
          <w:szCs w:val="20"/>
        </w:rPr>
        <w:t>—In the normal course of business, the Company is at</w:t>
      </w:r>
      <w:r>
        <w:rPr>
          <w:color w:val="000000"/>
          <w:sz w:val="20"/>
          <w:szCs w:val="20"/>
        </w:rPr>
        <w:t xml:space="preserve"> times subject to pending and threatened legal actions. In management’s opinion, any potential loss resulting from the resolution of these matters is not expected to have a material effect on the condensed consolidated results of operations, financial posi</w:t>
      </w:r>
      <w:r>
        <w:rPr>
          <w:color w:val="000000"/>
          <w:sz w:val="20"/>
          <w:szCs w:val="20"/>
        </w:rPr>
        <w:t>tion or cash flows of the Company.</w:t>
      </w:r>
    </w:p>
    <w:p w14:paraId="37A671BB"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16. REDEEMABLE SERIES A-1 PREFERRED STOCK</w:t>
      </w:r>
    </w:p>
    <w:p w14:paraId="0765E067"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On October 19, 2018, the Company issued 12,000 shares of Redeemable Series A-1 Preferred Stock with a par value of $0.0001 per share and a detachable warrant to purchase 534,240 s</w:t>
      </w:r>
      <w:r>
        <w:rPr>
          <w:color w:val="000000"/>
          <w:sz w:val="20"/>
          <w:szCs w:val="20"/>
        </w:rPr>
        <w:t>hares of the Company’s common stock. Each preferred share was issued as part of a unit, which consisted of one share of the Redeemable Series A-1 Preferred Stock at $0.01 million per share.</w:t>
      </w:r>
    </w:p>
    <w:p w14:paraId="6A5E92ED"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On April 13, 2020, the Company amended and restated the certificat</w:t>
      </w:r>
      <w:r>
        <w:rPr>
          <w:color w:val="000000"/>
          <w:sz w:val="20"/>
          <w:szCs w:val="20"/>
        </w:rPr>
        <w:t>e of designation of the Company’s Redeemable Series A-1 Preferred Stock. The most significant changes in the amendment included (i) the Redeemable Series A-1 Preferred Stock became pari passu with the Convertible and Redeemable Series A-2 Preferred Stock (</w:t>
      </w:r>
      <w:r>
        <w:rPr>
          <w:color w:val="000000"/>
          <w:sz w:val="20"/>
          <w:szCs w:val="20"/>
        </w:rPr>
        <w:t>Note 17), (ii) the maturity was extended to October 2024; (iii) the Company may use up to $50.0 million of indebtedness or cash on hand to redeem the Redeemable Series A-1 Preferred Stock, and (iv) upon an IPO, up to 50.0% of accumulated dividends may be p</w:t>
      </w:r>
      <w:r>
        <w:rPr>
          <w:color w:val="000000"/>
          <w:sz w:val="20"/>
          <w:szCs w:val="20"/>
        </w:rPr>
        <w:t>aid in shares of common shares and (v) the Company may elect to reduce the three year make whole penalty to a two year make whole penalty if the warrant issued in connection with the issuance of the Redeemable Series A-1 Preferred Stock is redeemed in full</w:t>
      </w:r>
      <w:r>
        <w:rPr>
          <w:color w:val="000000"/>
          <w:sz w:val="20"/>
          <w:szCs w:val="20"/>
        </w:rPr>
        <w:t xml:space="preserve"> at a share price of no less than $31.60. Following a partial redemption of outstanding Redeemable Series A-1 Preferred Stock, the dividend rate of the remaining Redeemable Series A-1 Preferred Stock would be reduced proportionally (between 15.0% and 9.0%)</w:t>
      </w:r>
      <w:r>
        <w:rPr>
          <w:color w:val="000000"/>
          <w:sz w:val="20"/>
          <w:szCs w:val="20"/>
        </w:rPr>
        <w:t xml:space="preserve"> in relation to the proportion of Redeemable Series A-1 Preferred Stock redeemed, with the rate increasing by an additional 1.0% for dividends that are accrued versus paid in cash. Based on a qualitative assessment performed by the Company, the Redeemable </w:t>
      </w:r>
      <w:r>
        <w:rPr>
          <w:color w:val="000000"/>
          <w:sz w:val="20"/>
          <w:szCs w:val="20"/>
        </w:rPr>
        <w:t>Series A-1 Preferred Stock amendments did not represent a significant long-term change to the original terms of the instrument and, therefore, there was no change in the accounting of the instrument.</w:t>
      </w:r>
    </w:p>
    <w:p w14:paraId="4937813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Redeemable Series A-1 Preferred Stock contains restr</w:t>
      </w:r>
      <w:r>
        <w:rPr>
          <w:color w:val="000000"/>
          <w:sz w:val="20"/>
          <w:szCs w:val="20"/>
        </w:rPr>
        <w:t>ictive covenants. As of June 30, 2020 and December 31, 2019, the Company was subject to a consolidated total leverage ratio (including the outstanding principal and accrued dividend on the Redeemable Series A-1 Preferred Stock) limit of less than 10.0 time</w:t>
      </w:r>
      <w:r>
        <w:rPr>
          <w:color w:val="000000"/>
          <w:sz w:val="20"/>
          <w:szCs w:val="20"/>
        </w:rPr>
        <w:t>s as of the end of any fiscal quarter ending until maturity. The Company was in compliance with the covenants as of June 30, 2020 and December 31, 2019. The Redeemable Series A-1 Preferred Stock has a liquidation preference of $0.01 million per share.</w:t>
      </w:r>
    </w:p>
    <w:p w14:paraId="7163E846"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w:t>
      </w:r>
      <w:r>
        <w:rPr>
          <w:color w:val="000000"/>
          <w:sz w:val="20"/>
          <w:szCs w:val="20"/>
        </w:rPr>
        <w:t>Redeemable Series A-1 Preferred Stock accrues dividends quarterly at an annual rate of 15.0% with respect to any dividends paid in cash and at an annual rate of 14.2% with respect to dividends that are accrued. In the case of a redemption upon the occurren</w:t>
      </w:r>
      <w:r>
        <w:rPr>
          <w:color w:val="000000"/>
          <w:sz w:val="20"/>
          <w:szCs w:val="20"/>
        </w:rPr>
        <w:t>ce of an IPO, the holder is guaranteed a minimum of two years of dividends or in the event of an optional redemption event other than in connection with an IPO, the holder is guaranteed a minimum of three years of dividends. Total accrued and unpaid divide</w:t>
      </w:r>
      <w:r>
        <w:rPr>
          <w:color w:val="000000"/>
          <w:sz w:val="20"/>
          <w:szCs w:val="20"/>
        </w:rPr>
        <w:t>nds as of June 30, 2020 and December 31, 2019 were $32.2 million and $21.9 million, respectively.</w:t>
      </w:r>
    </w:p>
    <w:p w14:paraId="20D2BD78"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total accreted amount as of June 30, 2020 was $34.3 million. At issuance the Company determined that the detachable warrant and the contingent put option </w:t>
      </w:r>
      <w:r>
        <w:rPr>
          <w:color w:val="000000"/>
          <w:sz w:val="20"/>
          <w:szCs w:val="20"/>
        </w:rPr>
        <w:t>were required to be accounted for separately (Notes 11 and 12). The Redeemable Series A-1 Preferred Stock, including the guaranteed minimum dividend, was fully redeemed on July 27, 2020 (Note 23).</w:t>
      </w:r>
    </w:p>
    <w:p w14:paraId="4FBB57C5"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17. CONVERTIBLE AND REDEEMABLE SERIES A-2 PREFERRED STOCK</w:t>
      </w:r>
    </w:p>
    <w:p w14:paraId="6122FCBA"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w:t>
      </w:r>
      <w:r>
        <w:rPr>
          <w:color w:val="000000"/>
          <w:sz w:val="20"/>
          <w:szCs w:val="20"/>
        </w:rPr>
        <w:t>n April 13, 2020, the Company entered into an agreement to issue 17,500 shares of the Convertible and Redeemable Series A-2 Preferred Stock with a par value of $0.0001 per share and a detachable warrant to purchase shares of the Company’s common stock with</w:t>
      </w:r>
      <w:r>
        <w:rPr>
          <w:color w:val="000000"/>
          <w:sz w:val="20"/>
          <w:szCs w:val="20"/>
        </w:rPr>
        <w:t xml:space="preserve"> a 10-year life, in exchange for gross proceeds of $175.0 million, net of $1.3 million debt issuance costs. Each share of Convertible and Redeemable Series A-2 Preferred Stock accrues dividends at the rate of 15.0% per annum, with respect to dividends that</w:t>
      </w:r>
      <w:r>
        <w:rPr>
          <w:color w:val="000000"/>
          <w:sz w:val="20"/>
          <w:szCs w:val="20"/>
        </w:rPr>
        <w:t xml:space="preserve"> are paid in cash, and 14.2% per annum, with respect to dividends that are accrued. The Convertible and Redeemable Series A-2 Preferred Stock contains restrictive covenants that include: (i) maximum 4.0 times debt incurrence test and (ii) 10.0 times total </w:t>
      </w:r>
      <w:r>
        <w:rPr>
          <w:color w:val="000000"/>
          <w:sz w:val="20"/>
          <w:szCs w:val="20"/>
        </w:rPr>
        <w:t>leverage cap (inclusive of the outstanding balance on the Convertible and Redeemable Series A-2 Preferred Stock).</w:t>
      </w:r>
    </w:p>
    <w:p w14:paraId="1646557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Company may, at its option on any one or more dates, redeem all or a minimum portion (the lesser of (i) $50.0 million in aggregate stated </w:t>
      </w:r>
      <w:r>
        <w:rPr>
          <w:color w:val="000000"/>
          <w:sz w:val="20"/>
          <w:szCs w:val="20"/>
        </w:rPr>
        <w:t>value of the Convertible and Redeemable Series A-2 Preferred Stock and (ii) all of the Convertible and Redeemable Series A-2 Preferred Stock then outstanding) of the outstanding Convertible and Redeemable Series A-2 Preferred Stock in cash. In the event th</w:t>
      </w:r>
      <w:r>
        <w:rPr>
          <w:color w:val="000000"/>
          <w:sz w:val="20"/>
          <w:szCs w:val="20"/>
        </w:rPr>
        <w:t xml:space="preserve">e Company redeemed all or a portion of the Convertible and Redeemable Series A-2 Preferred Stock prior to the three year anniversary of the issuance date, such redemption amount shall include principal, accrued but unpaid interest and a make whole payment </w:t>
      </w:r>
      <w:r>
        <w:rPr>
          <w:color w:val="000000"/>
          <w:sz w:val="20"/>
          <w:szCs w:val="20"/>
        </w:rPr>
        <w:t>such that the aggregate redemption amount reflects three years of dividends.</w:t>
      </w:r>
    </w:p>
    <w:p w14:paraId="2348C325" w14:textId="77777777" w:rsidR="00000000" w:rsidRDefault="007125B5">
      <w:pPr>
        <w:pStyle w:val="a3"/>
        <w:spacing w:before="240" w:beforeAutospacing="0" w:after="0" w:afterAutospacing="0"/>
        <w:jc w:val="center"/>
        <w:rPr>
          <w:sz w:val="20"/>
          <w:szCs w:val="20"/>
        </w:rPr>
      </w:pPr>
      <w:r>
        <w:rPr>
          <w:sz w:val="20"/>
          <w:szCs w:val="20"/>
        </w:rPr>
        <w:t>19</w:t>
      </w:r>
    </w:p>
    <w:p w14:paraId="397315EB" w14:textId="77777777" w:rsidR="00000000" w:rsidRDefault="007125B5">
      <w:pPr>
        <w:rPr>
          <w:rFonts w:eastAsia="Times New Roman"/>
        </w:rPr>
      </w:pPr>
      <w:r>
        <w:rPr>
          <w:rFonts w:eastAsia="Times New Roman"/>
        </w:rPr>
        <w:pict w14:anchorId="1CC26DA4">
          <v:rect id="_x0000_i1045" style="width:415.3pt;height:1.5pt" o:hralign="center" o:hrstd="t" o:hr="t" fillcolor="#a0a0a0" stroked="f"/>
        </w:pict>
      </w:r>
    </w:p>
    <w:p w14:paraId="0F1CAA0C" w14:textId="77777777" w:rsidR="00000000" w:rsidRDefault="007125B5">
      <w:pPr>
        <w:pStyle w:val="a3"/>
        <w:spacing w:before="0" w:beforeAutospacing="0" w:after="0" w:afterAutospacing="0"/>
        <w:rPr>
          <w:sz w:val="20"/>
          <w:szCs w:val="20"/>
        </w:rPr>
      </w:pPr>
      <w:r>
        <w:rPr>
          <w:sz w:val="20"/>
          <w:szCs w:val="20"/>
        </w:rPr>
        <w:t> </w:t>
      </w:r>
    </w:p>
    <w:p w14:paraId="59B44162" w14:textId="77777777" w:rsidR="00000000" w:rsidRDefault="007125B5">
      <w:pPr>
        <w:pStyle w:val="a3"/>
        <w:shd w:val="clear" w:color="auto" w:fill="FFFFFF"/>
        <w:spacing w:before="240" w:beforeAutospacing="0" w:after="0" w:afterAutospacing="0"/>
        <w:ind w:firstLine="556"/>
        <w:rPr>
          <w:color w:val="000000"/>
          <w:sz w:val="20"/>
          <w:szCs w:val="20"/>
        </w:rPr>
      </w:pPr>
      <w:bookmarkStart w:id="37" w:name="_AEIOULastRenderedPageBreakAEIOU22"/>
      <w:bookmarkEnd w:id="37"/>
      <w:r>
        <w:rPr>
          <w:color w:val="000000"/>
          <w:sz w:val="20"/>
          <w:szCs w:val="20"/>
        </w:rPr>
        <w:t>On the occurrence of (i)(x) before a private offering which results in a redemption in full of the Redeemable Series A-1 Preferred Stock, the four-and-a-half-year anniversary of the closing date or (y) after a private offering which results in a redemption</w:t>
      </w:r>
      <w:r>
        <w:rPr>
          <w:color w:val="000000"/>
          <w:sz w:val="20"/>
          <w:szCs w:val="20"/>
        </w:rPr>
        <w:t xml:space="preserve"> in full of the Redeemable Series A-1 Preferred Stock, the five-year anniversary of the closing date, (ii) a change of control, (iii) a sale of the Company, (iv) a non-qualifying IPO, (v) any recapitalization of the Company (other than a redemption of the </w:t>
      </w:r>
      <w:r>
        <w:rPr>
          <w:color w:val="000000"/>
          <w:sz w:val="20"/>
          <w:szCs w:val="20"/>
        </w:rPr>
        <w:t>Redeemable Series A-1 Preferred Stock) or (vi) an event of noncompliance, as defined in the Series A-2 certificate of designation (each, a “mandatory redemption event”), the Company shall, at the option of the holders of a majority of the Convertible and R</w:t>
      </w:r>
      <w:r>
        <w:rPr>
          <w:color w:val="000000"/>
          <w:sz w:val="20"/>
          <w:szCs w:val="20"/>
        </w:rPr>
        <w:t>edeemable Series A-2 Preferred Stock, redeem all shares of the Convertible and Redeemable Series A-2 Preferred Stock, for cash, at a price per share of Convertible and Redeemable Series A-2 Preferred Stock equal to the applicable redemption price on such m</w:t>
      </w:r>
      <w:r>
        <w:rPr>
          <w:color w:val="000000"/>
          <w:sz w:val="20"/>
          <w:szCs w:val="20"/>
        </w:rPr>
        <w:t>andatory redemption date.</w:t>
      </w:r>
    </w:p>
    <w:p w14:paraId="733D413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Upon a qualifying IPO, following which the Redeemable Series A-1 Preferred Stock is fully redeemed, the Convertible and Redeemable Series A-2 Preferred Stock terms automatically update to the following: (i) no mandatory redemption</w:t>
      </w:r>
      <w:r>
        <w:rPr>
          <w:color w:val="000000"/>
          <w:sz w:val="20"/>
          <w:szCs w:val="20"/>
        </w:rPr>
        <w:t xml:space="preserve">, (ii) no principal cash repayment obligation other than in the event of certain defined liquidation events, (iii) only redeemable at the Company’s option, (iv) the instrument becomes convertible into common stock beginning on the four year anniversary of </w:t>
      </w:r>
      <w:r>
        <w:rPr>
          <w:color w:val="000000"/>
          <w:sz w:val="20"/>
          <w:szCs w:val="20"/>
        </w:rPr>
        <w:t>issuance at a 15.0% discount to the common stock market price (with a limit of $60.0 million in stated value of Convertible and Redeemable Series A-2 Preferred Stock eligible to be converted in any 60-day period prior to the seventh anniversary of issuance</w:t>
      </w:r>
      <w:r>
        <w:rPr>
          <w:color w:val="000000"/>
          <w:sz w:val="20"/>
          <w:szCs w:val="20"/>
        </w:rPr>
        <w:t xml:space="preserve"> and the amount of stated value of the Convertible and Redeemable Series A-2 Preferred Stock eligible for conversion limited to $60.0 million during year 5 and $120.0 million (which includes the aggregate amount of principal of the Convertible and Redeemab</w:t>
      </w:r>
      <w:r>
        <w:rPr>
          <w:color w:val="000000"/>
          <w:sz w:val="20"/>
          <w:szCs w:val="20"/>
        </w:rPr>
        <w:t>le Series A-2 Preferred Stock and any accrued but unpaid dividends added to such principal of any shares of Convertible and Redeemable Series A-2 Preferred Stock converted in year 5) during year 6), (v) the dividend rate steps down to 9.0% per year with re</w:t>
      </w:r>
      <w:r>
        <w:rPr>
          <w:color w:val="000000"/>
          <w:sz w:val="20"/>
          <w:szCs w:val="20"/>
        </w:rPr>
        <w:t>quired quarterly cash payments, (vi) the debt incurrence test ratio increases to 4.5 times (unless the Redeemable Series A-1 Preferred Stock is partially repaid with debt but only for so long as such debt remains unpaid) and (vii) removal of the total leve</w:t>
      </w:r>
      <w:r>
        <w:rPr>
          <w:color w:val="000000"/>
          <w:sz w:val="20"/>
          <w:szCs w:val="20"/>
        </w:rPr>
        <w:t>rage cap covenant. The Company’s IPO in July 2020 constituted a qualifying IPO for purposes of the terms of the Convertible and Redeemable Series A-2 Preferred Stock (Note 23).</w:t>
      </w:r>
    </w:p>
    <w:p w14:paraId="0FFAC08E"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With respect to any redemption of any share of the Convertible and Redeemable S</w:t>
      </w:r>
      <w:r>
        <w:rPr>
          <w:color w:val="000000"/>
          <w:sz w:val="20"/>
          <w:szCs w:val="20"/>
        </w:rPr>
        <w:t>eries A-2 Preferred Stock prior to the third-year anniversary, the Company is subject to a make whole penalty in which the holders of the Convertible and Redeemable Series A-2 Preferred Stock are guaranteed a minimum repayment equal to outstanding redeemed</w:t>
      </w:r>
      <w:r>
        <w:rPr>
          <w:color w:val="000000"/>
          <w:sz w:val="20"/>
          <w:szCs w:val="20"/>
        </w:rPr>
        <w:t xml:space="preserve"> principal plus three years of dividends accrued or accruable thereon.</w:t>
      </w:r>
    </w:p>
    <w:p w14:paraId="21B9D3A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Following a private offering, following which the Redeemable Series A-1 Preferred Stock is fully redeemed, the Convertible and Redeemable Series A-2 Preferred Stock terms automatically </w:t>
      </w:r>
      <w:r>
        <w:rPr>
          <w:color w:val="000000"/>
          <w:sz w:val="20"/>
          <w:szCs w:val="20"/>
        </w:rPr>
        <w:t>update to the following (i) mandatory redemption date extended to 5 years from date of issuance, (ii) the dividend rate steps down to 9.0% per year (payable in cash only) with quarterly cash payments required and (iii) the total leverage cap covenant is re</w:t>
      </w:r>
      <w:r>
        <w:rPr>
          <w:color w:val="000000"/>
          <w:sz w:val="20"/>
          <w:szCs w:val="20"/>
        </w:rPr>
        <w:t>moved and (iv) the debt incurrence test ratio increases to 4.5 times (unless the Redeemable Series A-1 Preferred Stock is partially repaid with debt but only for so long as such debt remains unpaid).</w:t>
      </w:r>
    </w:p>
    <w:p w14:paraId="70F8FC1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shd w:val="clear" w:color="auto" w:fill="FFFFFF"/>
        </w:rPr>
        <w:t>Following a partial redemption of outstanding Redeemable</w:t>
      </w:r>
      <w:r>
        <w:rPr>
          <w:color w:val="000000"/>
          <w:sz w:val="20"/>
          <w:szCs w:val="20"/>
          <w:shd w:val="clear" w:color="auto" w:fill="FFFFFF"/>
        </w:rPr>
        <w:t xml:space="preserve"> Series A-1 Preferred Stock, the dividend rate of the Convertible and Redeemable Series A-2 Preferred Stock is reduced proportionally (between 15.0% and 9.0%) in relation to the proportion of the Redeemable Series A-1 Preferred Stock redeemed, with the rat</w:t>
      </w:r>
      <w:r>
        <w:rPr>
          <w:color w:val="000000"/>
          <w:sz w:val="20"/>
          <w:szCs w:val="20"/>
          <w:shd w:val="clear" w:color="auto" w:fill="FFFFFF"/>
        </w:rPr>
        <w:t>e increasing by an additional 1.0% for dividends are accrued versus paid in cash. Following the completion of the Company’s initial public offering and redemption of the Series A-1 preferred stock on July 27, 2020, the Series A-2 preferred stock dividend r</w:t>
      </w:r>
      <w:r>
        <w:rPr>
          <w:color w:val="000000"/>
          <w:sz w:val="20"/>
          <w:szCs w:val="20"/>
          <w:shd w:val="clear" w:color="auto" w:fill="FFFFFF"/>
        </w:rPr>
        <w:t>ate changed to 9.0% per annum, with such dividends accruing daily and compounding quarterly (Note 23).</w:t>
      </w:r>
    </w:p>
    <w:p w14:paraId="1AEAE89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shd w:val="clear" w:color="auto" w:fill="FFFFFF"/>
        </w:rPr>
        <w:t>The Company classified the Convertible and Redeemable Series A-2 Preferred Stock as mezzanine equity since the instrument does not meet the definition of</w:t>
      </w:r>
      <w:r>
        <w:rPr>
          <w:color w:val="000000"/>
          <w:sz w:val="20"/>
          <w:szCs w:val="20"/>
          <w:shd w:val="clear" w:color="auto" w:fill="FFFFFF"/>
        </w:rPr>
        <w:t xml:space="preserve"> a liability pursuant to “ASC 480- Distinguishing Liabilities from Equity” and the instrument is redeemable upon the occurrence of an event that is not solely within the control of the Company. Given that the Company has determined that the instrument is n</w:t>
      </w:r>
      <w:r>
        <w:rPr>
          <w:color w:val="000000"/>
          <w:sz w:val="20"/>
          <w:szCs w:val="20"/>
          <w:shd w:val="clear" w:color="auto" w:fill="FFFFFF"/>
        </w:rPr>
        <w:t xml:space="preserve">ot probable of becoming redeemable (it is only redeemable upon liquidation/ or a change of control), subsequent adjustment of the carrying value of the instrument is not necessary. </w:t>
      </w:r>
      <w:r>
        <w:rPr>
          <w:color w:val="000000"/>
          <w:sz w:val="20"/>
          <w:szCs w:val="20"/>
        </w:rPr>
        <w:t xml:space="preserve">The Convertible and Redeemable Series A-2 Preferred Stock has an aggregate </w:t>
      </w:r>
      <w:r>
        <w:rPr>
          <w:color w:val="000000"/>
          <w:sz w:val="20"/>
          <w:szCs w:val="20"/>
        </w:rPr>
        <w:t>liquidation preference of $181.2 million, as of June 30, 2020.</w:t>
      </w:r>
    </w:p>
    <w:p w14:paraId="40E9257F" w14:textId="77777777" w:rsidR="00000000" w:rsidRDefault="007125B5">
      <w:pPr>
        <w:pStyle w:val="a3"/>
        <w:shd w:val="clear" w:color="auto" w:fill="FFFFFF"/>
        <w:spacing w:before="240" w:beforeAutospacing="0" w:after="0" w:afterAutospacing="0"/>
        <w:ind w:firstLine="556"/>
        <w:rPr>
          <w:sz w:val="20"/>
          <w:szCs w:val="20"/>
        </w:rPr>
      </w:pPr>
      <w:r>
        <w:rPr>
          <w:sz w:val="20"/>
          <w:szCs w:val="20"/>
        </w:rPr>
        <w:t xml:space="preserve">The Convertible and Redeemable Series A-2 Preferred Stock </w:t>
      </w:r>
      <w:r>
        <w:rPr>
          <w:color w:val="000000"/>
          <w:sz w:val="20"/>
          <w:szCs w:val="20"/>
        </w:rPr>
        <w:t>contains embedded features that are required to be bifurcated and are subject to separate accounting treatment from the instrument itse</w:t>
      </w:r>
      <w:r>
        <w:rPr>
          <w:color w:val="000000"/>
          <w:sz w:val="20"/>
          <w:szCs w:val="20"/>
        </w:rPr>
        <w:t>lf. These embedded features consist of (i) a contingent dividend feature associated with the decrease in the dividend rate upon an IPO and (ii) a conversion option of the preferred shares to common shares beginning on the fourth-year anniversary of the iss</w:t>
      </w:r>
      <w:r>
        <w:rPr>
          <w:color w:val="000000"/>
          <w:sz w:val="20"/>
          <w:szCs w:val="20"/>
        </w:rPr>
        <w:t>uance date. As of June 30, 2020, these embedded features had a net fair value of $8.6 million.  The change in value of $0.8 million for the three and six months ended June 30, 2020 was recorded to other income (expense). The contingent dividend rate featur</w:t>
      </w:r>
      <w:r>
        <w:rPr>
          <w:color w:val="000000"/>
          <w:sz w:val="20"/>
          <w:szCs w:val="20"/>
        </w:rPr>
        <w:t>e and the conversion option are bundled together as a single, compound embedded derivative, as an asset or a liability.</w:t>
      </w:r>
    </w:p>
    <w:p w14:paraId="4B5047A9"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At issuance, the Company determined that Convertible and Redeemable Series A-2 Preferred Stock and the detachable warrant, was also requ</w:t>
      </w:r>
      <w:r>
        <w:rPr>
          <w:color w:val="000000"/>
          <w:sz w:val="20"/>
          <w:szCs w:val="20"/>
        </w:rPr>
        <w:t xml:space="preserve">ired to be accounted for separately (Notes 11). </w:t>
      </w:r>
    </w:p>
    <w:p w14:paraId="61DA0605" w14:textId="77777777" w:rsidR="00000000" w:rsidRDefault="007125B5">
      <w:pPr>
        <w:pStyle w:val="a3"/>
        <w:spacing w:before="240" w:beforeAutospacing="0" w:after="0" w:afterAutospacing="0"/>
        <w:jc w:val="center"/>
        <w:rPr>
          <w:sz w:val="20"/>
          <w:szCs w:val="20"/>
        </w:rPr>
      </w:pPr>
      <w:r>
        <w:rPr>
          <w:sz w:val="20"/>
          <w:szCs w:val="20"/>
        </w:rPr>
        <w:t>20</w:t>
      </w:r>
    </w:p>
    <w:p w14:paraId="0425CFAD" w14:textId="77777777" w:rsidR="00000000" w:rsidRDefault="007125B5">
      <w:pPr>
        <w:rPr>
          <w:rFonts w:eastAsia="Times New Roman"/>
        </w:rPr>
      </w:pPr>
      <w:r>
        <w:rPr>
          <w:rFonts w:eastAsia="Times New Roman"/>
        </w:rPr>
        <w:pict w14:anchorId="69F4ED50">
          <v:rect id="_x0000_i1046" style="width:415.3pt;height:1.5pt" o:hralign="center" o:hrstd="t" o:hr="t" fillcolor="#a0a0a0" stroked="f"/>
        </w:pict>
      </w:r>
    </w:p>
    <w:p w14:paraId="399CDBDE" w14:textId="77777777" w:rsidR="00000000" w:rsidRDefault="007125B5">
      <w:pPr>
        <w:pStyle w:val="a3"/>
        <w:spacing w:before="0" w:beforeAutospacing="0" w:after="0" w:afterAutospacing="0"/>
        <w:rPr>
          <w:sz w:val="20"/>
          <w:szCs w:val="20"/>
        </w:rPr>
      </w:pPr>
      <w:r>
        <w:rPr>
          <w:sz w:val="20"/>
          <w:szCs w:val="20"/>
        </w:rPr>
        <w:t> </w:t>
      </w:r>
    </w:p>
    <w:p w14:paraId="51AB9A15" w14:textId="77777777" w:rsidR="00000000" w:rsidRDefault="007125B5">
      <w:pPr>
        <w:pStyle w:val="a3"/>
        <w:shd w:val="clear" w:color="auto" w:fill="FFFFFF"/>
        <w:spacing w:before="360" w:beforeAutospacing="0" w:after="0" w:afterAutospacing="0"/>
        <w:rPr>
          <w:b/>
          <w:bCs/>
          <w:sz w:val="20"/>
          <w:szCs w:val="20"/>
        </w:rPr>
      </w:pPr>
      <w:bookmarkStart w:id="38" w:name="_AEIOULastRenderedPageBreakAEIOU23"/>
      <w:bookmarkEnd w:id="38"/>
      <w:r>
        <w:rPr>
          <w:b/>
          <w:bCs/>
          <w:sz w:val="20"/>
          <w:szCs w:val="20"/>
        </w:rPr>
        <w:t>18. STOCKHOLDERS’ DEFI</w:t>
      </w:r>
      <w:r>
        <w:rPr>
          <w:b/>
          <w:bCs/>
          <w:sz w:val="20"/>
          <w:szCs w:val="20"/>
        </w:rPr>
        <w:t>CIT</w:t>
      </w:r>
    </w:p>
    <w:p w14:paraId="3F42E794" w14:textId="77777777" w:rsidR="00000000" w:rsidRDefault="007125B5">
      <w:pPr>
        <w:pStyle w:val="a3"/>
        <w:shd w:val="clear" w:color="auto" w:fill="FFFFFF"/>
        <w:spacing w:before="120" w:beforeAutospacing="0" w:after="0" w:afterAutospacing="0"/>
        <w:ind w:firstLine="556"/>
        <w:rPr>
          <w:b/>
          <w:bCs/>
          <w:sz w:val="20"/>
          <w:szCs w:val="20"/>
        </w:rPr>
      </w:pPr>
      <w:r>
        <w:rPr>
          <w:b/>
          <w:bCs/>
          <w:sz w:val="20"/>
          <w:szCs w:val="20"/>
        </w:rPr>
        <w:t>Authorized Capital Stock—</w:t>
      </w:r>
      <w:r>
        <w:rPr>
          <w:sz w:val="20"/>
          <w:szCs w:val="20"/>
        </w:rPr>
        <w:t>The Company was authorized to issue 25,000,000 shares of common stock, with a par value of $0.000004 per share as of June 30, 2020 and December 31, 2019.</w:t>
      </w:r>
    </w:p>
    <w:p w14:paraId="04BAEB57" w14:textId="77777777" w:rsidR="00000000" w:rsidRDefault="007125B5">
      <w:pPr>
        <w:pStyle w:val="a3"/>
        <w:shd w:val="clear" w:color="auto" w:fill="FFFFFF"/>
        <w:spacing w:before="240" w:beforeAutospacing="0" w:after="0" w:afterAutospacing="0"/>
        <w:ind w:firstLine="556"/>
        <w:rPr>
          <w:b/>
          <w:bCs/>
          <w:sz w:val="20"/>
          <w:szCs w:val="20"/>
        </w:rPr>
      </w:pPr>
      <w:r>
        <w:rPr>
          <w:b/>
          <w:bCs/>
          <w:sz w:val="20"/>
          <w:szCs w:val="20"/>
        </w:rPr>
        <w:t>Warrants—</w:t>
      </w:r>
      <w:r>
        <w:rPr>
          <w:sz w:val="20"/>
          <w:szCs w:val="20"/>
        </w:rPr>
        <w:t>In May 2015, the Company issued warrants to acquire 116,350 shar</w:t>
      </w:r>
      <w:r>
        <w:rPr>
          <w:sz w:val="20"/>
          <w:szCs w:val="20"/>
        </w:rPr>
        <w:t>es of Common Stock at a price of approximately $17.19 per share to the placement agent as consideration for backstopping the financing completed in May 2015. There were no changes related to these warrants during the three and six months ended June 30, 202</w:t>
      </w:r>
      <w:r>
        <w:rPr>
          <w:sz w:val="20"/>
          <w:szCs w:val="20"/>
        </w:rPr>
        <w:t>0 and June 30, 2019.</w:t>
      </w:r>
    </w:p>
    <w:p w14:paraId="11E32287" w14:textId="77777777" w:rsidR="00000000" w:rsidRDefault="007125B5">
      <w:pPr>
        <w:pStyle w:val="a3"/>
        <w:shd w:val="clear" w:color="auto" w:fill="FFFFFF"/>
        <w:spacing w:before="240" w:beforeAutospacing="0" w:after="0" w:afterAutospacing="0"/>
        <w:ind w:firstLine="556"/>
        <w:rPr>
          <w:b/>
          <w:bCs/>
          <w:sz w:val="20"/>
          <w:szCs w:val="20"/>
        </w:rPr>
      </w:pPr>
      <w:r>
        <w:rPr>
          <w:b/>
          <w:bCs/>
          <w:sz w:val="20"/>
          <w:szCs w:val="20"/>
        </w:rPr>
        <w:t>Common Stock Issuances and Repurchases</w:t>
      </w:r>
      <w:r>
        <w:rPr>
          <w:sz w:val="20"/>
          <w:szCs w:val="20"/>
        </w:rPr>
        <w:t>—During the three and six months ended June 30, 2020, the Company issued 791,139 shares of common stock with an average price per share of $31.60, in connection with the CTEH business acquisition a</w:t>
      </w:r>
      <w:r>
        <w:rPr>
          <w:sz w:val="20"/>
          <w:szCs w:val="20"/>
        </w:rPr>
        <w:t>nd issued 3,500 shares at an average price per share of $6.03, in connection with the exercise of certain employee stock options. During the three months ended June 30, 2019, the Company issued 125,031 shares of common stock with an average price per share</w:t>
      </w:r>
      <w:r>
        <w:rPr>
          <w:sz w:val="20"/>
          <w:szCs w:val="20"/>
        </w:rPr>
        <w:t xml:space="preserve"> of $26.90, in connection with the TES and TESUS business acquisition and 13,750 shares of common stock with an average price per share of $7.38, in connection with the exercise of certain employee stock options. During the six months ended June 30, 2019, </w:t>
      </w:r>
      <w:r>
        <w:rPr>
          <w:sz w:val="20"/>
          <w:szCs w:val="20"/>
        </w:rPr>
        <w:t>the Company issued 125,031 shares of common stock with an average price per share of $26.90, in connection with the TES and TESUS business acquisition and 15,000 shares of common stock with an average price per share of $6.71, in connection with the exerci</w:t>
      </w:r>
      <w:r>
        <w:rPr>
          <w:sz w:val="20"/>
          <w:szCs w:val="20"/>
        </w:rPr>
        <w:t>se of certain employee stock options.</w:t>
      </w:r>
    </w:p>
    <w:p w14:paraId="51B0582E" w14:textId="77777777" w:rsidR="00000000" w:rsidRDefault="007125B5">
      <w:pPr>
        <w:pStyle w:val="a3"/>
        <w:shd w:val="clear" w:color="auto" w:fill="FFFFFF"/>
        <w:spacing w:before="240" w:beforeAutospacing="0" w:after="0" w:afterAutospacing="0"/>
        <w:ind w:firstLine="556"/>
        <w:rPr>
          <w:b/>
          <w:bCs/>
          <w:sz w:val="20"/>
          <w:szCs w:val="20"/>
        </w:rPr>
      </w:pPr>
      <w:r>
        <w:rPr>
          <w:b/>
          <w:bCs/>
          <w:sz w:val="20"/>
          <w:szCs w:val="20"/>
        </w:rPr>
        <w:t>Employee Equity Incentive Plans</w:t>
      </w:r>
      <w:r>
        <w:rPr>
          <w:sz w:val="20"/>
          <w:szCs w:val="20"/>
        </w:rPr>
        <w:t>—The Company has two plans under which stock-based awards have been issued: (i) the Montrose Amended&amp; Restated 2017 Stock Incentive Plan (“2017 Plan”) and (ii) the Montrose Amended &amp; Rest</w:t>
      </w:r>
      <w:r>
        <w:rPr>
          <w:sz w:val="20"/>
          <w:szCs w:val="20"/>
        </w:rPr>
        <w:t>ated 2013 Stock Option Plan (“2013 Plan”) (collectively the “Plans”).</w:t>
      </w:r>
    </w:p>
    <w:p w14:paraId="7533ACF5" w14:textId="77777777" w:rsidR="00000000" w:rsidRDefault="007125B5">
      <w:pPr>
        <w:pStyle w:val="a3"/>
        <w:shd w:val="clear" w:color="auto" w:fill="FFFFFF"/>
        <w:spacing w:before="240" w:beforeAutospacing="0" w:after="0" w:afterAutospacing="0"/>
        <w:ind w:firstLine="556"/>
        <w:rPr>
          <w:sz w:val="20"/>
          <w:szCs w:val="20"/>
        </w:rPr>
      </w:pPr>
      <w:r>
        <w:rPr>
          <w:sz w:val="20"/>
          <w:szCs w:val="20"/>
        </w:rPr>
        <w:t xml:space="preserve">As of June 30, 2020 and June 30, 2019, there was $6.5 million and $6.8 million, respectively, of total unrecognized stock compensation expense related to unvested options and restricted </w:t>
      </w:r>
      <w:r>
        <w:rPr>
          <w:sz w:val="20"/>
          <w:szCs w:val="20"/>
        </w:rPr>
        <w:t>stock granted under the Plans. Such unrecognized expense is expected to be recognized over the next two years. The following number of shares were authorized to be issued and available for grant as of June 30, 2020 and June 30, 2019:</w:t>
      </w:r>
    </w:p>
    <w:p w14:paraId="5A7F2172"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94"/>
        <w:gridCol w:w="65"/>
        <w:gridCol w:w="65"/>
        <w:gridCol w:w="815"/>
        <w:gridCol w:w="65"/>
        <w:gridCol w:w="65"/>
        <w:gridCol w:w="65"/>
        <w:gridCol w:w="815"/>
        <w:gridCol w:w="65"/>
      </w:tblGrid>
      <w:tr w:rsidR="00000000" w14:paraId="5857E6ED" w14:textId="77777777">
        <w:trPr>
          <w:divId w:val="906378440"/>
          <w:jc w:val="center"/>
        </w:trPr>
        <w:tc>
          <w:tcPr>
            <w:tcW w:w="3349" w:type="pct"/>
            <w:shd w:val="clear" w:color="auto" w:fill="FFFFFF"/>
            <w:tcMar>
              <w:top w:w="15" w:type="dxa"/>
              <w:left w:w="0" w:type="dxa"/>
              <w:bottom w:w="0" w:type="dxa"/>
              <w:right w:w="15" w:type="dxa"/>
            </w:tcMar>
            <w:vAlign w:val="bottom"/>
            <w:hideMark/>
          </w:tcPr>
          <w:p w14:paraId="5A3308B9"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72E29A2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7A40375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shd w:val="clear" w:color="auto" w:fill="FFFFFF"/>
            <w:noWrap/>
            <w:tcMar>
              <w:top w:w="15" w:type="dxa"/>
              <w:left w:w="0" w:type="dxa"/>
              <w:bottom w:w="0" w:type="dxa"/>
              <w:right w:w="15" w:type="dxa"/>
            </w:tcMar>
            <w:vAlign w:val="bottom"/>
            <w:hideMark/>
          </w:tcPr>
          <w:p w14:paraId="0C98AE0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62B3553A" w14:textId="77777777">
        <w:trPr>
          <w:divId w:val="906378440"/>
          <w:jc w:val="center"/>
        </w:trPr>
        <w:tc>
          <w:tcPr>
            <w:tcW w:w="3349" w:type="pct"/>
            <w:shd w:val="clear" w:color="auto" w:fill="FFFFFF"/>
            <w:tcMar>
              <w:top w:w="15" w:type="dxa"/>
              <w:left w:w="0" w:type="dxa"/>
              <w:bottom w:w="0" w:type="dxa"/>
              <w:right w:w="15" w:type="dxa"/>
            </w:tcMar>
            <w:vAlign w:val="bottom"/>
            <w:hideMark/>
          </w:tcPr>
          <w:p w14:paraId="3F43036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08E5DF6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B7741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14:paraId="19ED66C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438BD03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BF4FC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14:paraId="77646CE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5171507" w14:textId="77777777">
        <w:trPr>
          <w:divId w:val="906378440"/>
          <w:jc w:val="center"/>
        </w:trPr>
        <w:tc>
          <w:tcPr>
            <w:tcW w:w="3349" w:type="pct"/>
            <w:shd w:val="clear" w:color="auto" w:fill="CFF0FC"/>
            <w:tcMar>
              <w:top w:w="15" w:type="dxa"/>
              <w:left w:w="0" w:type="dxa"/>
              <w:bottom w:w="0" w:type="dxa"/>
              <w:right w:w="15" w:type="dxa"/>
            </w:tcMar>
            <w:hideMark/>
          </w:tcPr>
          <w:p w14:paraId="14D9749B" w14:textId="77777777" w:rsidR="00000000" w:rsidRDefault="007125B5">
            <w:pPr>
              <w:pStyle w:val="a3"/>
              <w:spacing w:before="0" w:beforeAutospacing="0" w:after="0" w:afterAutospacing="0"/>
              <w:rPr>
                <w:color w:val="000000"/>
                <w:sz w:val="20"/>
                <w:szCs w:val="20"/>
              </w:rPr>
            </w:pPr>
            <w:r>
              <w:rPr>
                <w:color w:val="000000"/>
                <w:sz w:val="20"/>
                <w:szCs w:val="20"/>
              </w:rPr>
              <w:t>Shares authorized to be issued</w:t>
            </w:r>
          </w:p>
        </w:tc>
        <w:tc>
          <w:tcPr>
            <w:tcW w:w="81" w:type="pct"/>
            <w:shd w:val="clear" w:color="auto" w:fill="CFF0FC"/>
            <w:tcMar>
              <w:top w:w="15" w:type="dxa"/>
              <w:left w:w="0" w:type="dxa"/>
              <w:bottom w:w="0" w:type="dxa"/>
              <w:right w:w="15" w:type="dxa"/>
            </w:tcMar>
            <w:vAlign w:val="bottom"/>
            <w:hideMark/>
          </w:tcPr>
          <w:p w14:paraId="755B0C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F4472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659B6BE" w14:textId="77777777" w:rsidR="00000000" w:rsidRDefault="007125B5">
            <w:pPr>
              <w:pStyle w:val="a3"/>
              <w:spacing w:before="0" w:beforeAutospacing="0" w:after="0" w:afterAutospacing="0"/>
              <w:jc w:val="right"/>
              <w:rPr>
                <w:color w:val="000000"/>
                <w:sz w:val="20"/>
                <w:szCs w:val="20"/>
              </w:rPr>
            </w:pPr>
            <w:r>
              <w:rPr>
                <w:color w:val="000000"/>
                <w:sz w:val="20"/>
                <w:szCs w:val="20"/>
              </w:rPr>
              <w:t>1,066,160</w:t>
            </w:r>
          </w:p>
        </w:tc>
        <w:tc>
          <w:tcPr>
            <w:tcW w:w="50" w:type="pct"/>
            <w:shd w:val="clear" w:color="auto" w:fill="CFF0FC"/>
            <w:noWrap/>
            <w:tcMar>
              <w:top w:w="15" w:type="dxa"/>
              <w:left w:w="0" w:type="dxa"/>
              <w:bottom w:w="0" w:type="dxa"/>
              <w:right w:w="15" w:type="dxa"/>
            </w:tcMar>
            <w:vAlign w:val="bottom"/>
            <w:hideMark/>
          </w:tcPr>
          <w:p w14:paraId="6AC49D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3DEB2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7C44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75100D6" w14:textId="77777777" w:rsidR="00000000" w:rsidRDefault="007125B5">
            <w:pPr>
              <w:pStyle w:val="a3"/>
              <w:spacing w:before="0" w:beforeAutospacing="0" w:after="0" w:afterAutospacing="0"/>
              <w:jc w:val="right"/>
              <w:rPr>
                <w:color w:val="000000"/>
                <w:sz w:val="20"/>
                <w:szCs w:val="20"/>
              </w:rPr>
            </w:pPr>
            <w:r>
              <w:rPr>
                <w:color w:val="000000"/>
                <w:sz w:val="20"/>
                <w:szCs w:val="20"/>
              </w:rPr>
              <w:t>2,050,244</w:t>
            </w:r>
          </w:p>
        </w:tc>
        <w:tc>
          <w:tcPr>
            <w:tcW w:w="50" w:type="pct"/>
            <w:shd w:val="clear" w:color="auto" w:fill="CFF0FC"/>
            <w:noWrap/>
            <w:tcMar>
              <w:top w:w="15" w:type="dxa"/>
              <w:left w:w="0" w:type="dxa"/>
              <w:bottom w:w="0" w:type="dxa"/>
              <w:right w:w="15" w:type="dxa"/>
            </w:tcMar>
            <w:vAlign w:val="bottom"/>
            <w:hideMark/>
          </w:tcPr>
          <w:p w14:paraId="799A074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214F398" w14:textId="77777777">
        <w:trPr>
          <w:divId w:val="906378440"/>
          <w:jc w:val="center"/>
        </w:trPr>
        <w:tc>
          <w:tcPr>
            <w:tcW w:w="3349" w:type="pct"/>
            <w:shd w:val="clear" w:color="auto" w:fill="FFFFFF"/>
            <w:tcMar>
              <w:top w:w="15" w:type="dxa"/>
              <w:left w:w="0" w:type="dxa"/>
              <w:bottom w:w="0" w:type="dxa"/>
              <w:right w:w="15" w:type="dxa"/>
            </w:tcMar>
            <w:hideMark/>
          </w:tcPr>
          <w:p w14:paraId="018E715B" w14:textId="77777777" w:rsidR="00000000" w:rsidRDefault="007125B5">
            <w:pPr>
              <w:pStyle w:val="a3"/>
              <w:spacing w:before="0" w:beforeAutospacing="0" w:after="0" w:afterAutospacing="0"/>
              <w:rPr>
                <w:color w:val="000000"/>
                <w:sz w:val="20"/>
                <w:szCs w:val="20"/>
              </w:rPr>
            </w:pPr>
            <w:r>
              <w:rPr>
                <w:color w:val="000000"/>
                <w:sz w:val="20"/>
                <w:szCs w:val="20"/>
              </w:rPr>
              <w:t>Shares available for grant</w:t>
            </w:r>
          </w:p>
        </w:tc>
        <w:tc>
          <w:tcPr>
            <w:tcW w:w="81" w:type="pct"/>
            <w:shd w:val="clear" w:color="auto" w:fill="FFFFFF"/>
            <w:tcMar>
              <w:top w:w="15" w:type="dxa"/>
              <w:left w:w="0" w:type="dxa"/>
              <w:bottom w:w="0" w:type="dxa"/>
              <w:right w:w="15" w:type="dxa"/>
            </w:tcMar>
            <w:vAlign w:val="bottom"/>
            <w:hideMark/>
          </w:tcPr>
          <w:p w14:paraId="509F72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F096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BDC605E" w14:textId="77777777" w:rsidR="00000000" w:rsidRDefault="007125B5">
            <w:pPr>
              <w:pStyle w:val="a3"/>
              <w:spacing w:before="0" w:beforeAutospacing="0" w:after="0" w:afterAutospacing="0"/>
              <w:jc w:val="right"/>
              <w:rPr>
                <w:color w:val="000000"/>
                <w:sz w:val="20"/>
                <w:szCs w:val="20"/>
              </w:rPr>
            </w:pPr>
            <w:r>
              <w:rPr>
                <w:color w:val="000000"/>
                <w:sz w:val="20"/>
                <w:szCs w:val="20"/>
              </w:rPr>
              <w:t>20,817</w:t>
            </w:r>
          </w:p>
        </w:tc>
        <w:tc>
          <w:tcPr>
            <w:tcW w:w="50" w:type="pct"/>
            <w:shd w:val="clear" w:color="auto" w:fill="FFFFFF"/>
            <w:noWrap/>
            <w:tcMar>
              <w:top w:w="15" w:type="dxa"/>
              <w:left w:w="0" w:type="dxa"/>
              <w:bottom w:w="0" w:type="dxa"/>
              <w:right w:w="15" w:type="dxa"/>
            </w:tcMar>
            <w:vAlign w:val="bottom"/>
            <w:hideMark/>
          </w:tcPr>
          <w:p w14:paraId="7069B9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2FBB5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6F22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B8B8662"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2AF171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D20F09F" w14:textId="77777777">
        <w:trPr>
          <w:divId w:val="906378440"/>
          <w:jc w:val="center"/>
        </w:trPr>
        <w:tc>
          <w:tcPr>
            <w:tcW w:w="3349" w:type="pct"/>
            <w:shd w:val="clear" w:color="auto" w:fill="FFFFFF"/>
            <w:tcMar>
              <w:top w:w="15" w:type="dxa"/>
              <w:left w:w="0" w:type="dxa"/>
              <w:bottom w:w="0" w:type="dxa"/>
              <w:right w:w="15" w:type="dxa"/>
            </w:tcMar>
            <w:hideMark/>
          </w:tcPr>
          <w:p w14:paraId="18D1D0D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44541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E399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9865D0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ABFF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B77C9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8931D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349717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93188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559247A" w14:textId="77777777">
        <w:trPr>
          <w:divId w:val="906378440"/>
          <w:jc w:val="center"/>
        </w:trPr>
        <w:tc>
          <w:tcPr>
            <w:tcW w:w="3349" w:type="pct"/>
            <w:shd w:val="clear" w:color="auto" w:fill="FFFFFF"/>
            <w:tcMar>
              <w:top w:w="15" w:type="dxa"/>
              <w:left w:w="0" w:type="dxa"/>
              <w:bottom w:w="0" w:type="dxa"/>
              <w:right w:w="15" w:type="dxa"/>
            </w:tcMar>
            <w:hideMark/>
          </w:tcPr>
          <w:p w14:paraId="53BBEE1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6BA9922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63593CB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717BCC4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F96C2DB" w14:textId="77777777">
        <w:trPr>
          <w:divId w:val="906378440"/>
          <w:jc w:val="center"/>
        </w:trPr>
        <w:tc>
          <w:tcPr>
            <w:tcW w:w="3349" w:type="pct"/>
            <w:shd w:val="clear" w:color="auto" w:fill="FFFFFF"/>
            <w:tcMar>
              <w:top w:w="15" w:type="dxa"/>
              <w:left w:w="0" w:type="dxa"/>
              <w:bottom w:w="0" w:type="dxa"/>
              <w:right w:w="15" w:type="dxa"/>
            </w:tcMar>
            <w:hideMark/>
          </w:tcPr>
          <w:p w14:paraId="37D91DE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1F5C3E7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D5537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14:paraId="02F0D0B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6B83719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AA874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14:paraId="2514874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43B9AFA" w14:textId="77777777">
        <w:trPr>
          <w:divId w:val="906378440"/>
          <w:jc w:val="center"/>
        </w:trPr>
        <w:tc>
          <w:tcPr>
            <w:tcW w:w="3349" w:type="pct"/>
            <w:shd w:val="clear" w:color="auto" w:fill="CFF0FC"/>
            <w:tcMar>
              <w:top w:w="15" w:type="dxa"/>
              <w:left w:w="0" w:type="dxa"/>
              <w:bottom w:w="0" w:type="dxa"/>
              <w:right w:w="15" w:type="dxa"/>
            </w:tcMar>
            <w:hideMark/>
          </w:tcPr>
          <w:p w14:paraId="75BDFC09" w14:textId="77777777" w:rsidR="00000000" w:rsidRDefault="007125B5">
            <w:pPr>
              <w:pStyle w:val="a3"/>
              <w:spacing w:before="0" w:beforeAutospacing="0" w:after="0" w:afterAutospacing="0"/>
              <w:rPr>
                <w:color w:val="000000"/>
                <w:sz w:val="20"/>
                <w:szCs w:val="20"/>
              </w:rPr>
            </w:pPr>
            <w:r>
              <w:rPr>
                <w:color w:val="000000"/>
                <w:sz w:val="20"/>
                <w:szCs w:val="20"/>
              </w:rPr>
              <w:t>Shares authorized to be issued</w:t>
            </w:r>
          </w:p>
        </w:tc>
        <w:tc>
          <w:tcPr>
            <w:tcW w:w="81" w:type="pct"/>
            <w:shd w:val="clear" w:color="auto" w:fill="CFF0FC"/>
            <w:tcMar>
              <w:top w:w="15" w:type="dxa"/>
              <w:left w:w="0" w:type="dxa"/>
              <w:bottom w:w="0" w:type="dxa"/>
              <w:right w:w="15" w:type="dxa"/>
            </w:tcMar>
            <w:vAlign w:val="bottom"/>
            <w:hideMark/>
          </w:tcPr>
          <w:p w14:paraId="147AD3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01E4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EA67668" w14:textId="77777777" w:rsidR="00000000" w:rsidRDefault="007125B5">
            <w:pPr>
              <w:pStyle w:val="a3"/>
              <w:spacing w:before="0" w:beforeAutospacing="0" w:after="0" w:afterAutospacing="0"/>
              <w:jc w:val="right"/>
              <w:rPr>
                <w:color w:val="000000"/>
                <w:sz w:val="20"/>
                <w:szCs w:val="20"/>
              </w:rPr>
            </w:pPr>
            <w:r>
              <w:rPr>
                <w:color w:val="000000"/>
                <w:sz w:val="20"/>
                <w:szCs w:val="20"/>
              </w:rPr>
              <w:t>981,800</w:t>
            </w:r>
          </w:p>
        </w:tc>
        <w:tc>
          <w:tcPr>
            <w:tcW w:w="50" w:type="pct"/>
            <w:shd w:val="clear" w:color="auto" w:fill="CFF0FC"/>
            <w:noWrap/>
            <w:tcMar>
              <w:top w:w="15" w:type="dxa"/>
              <w:left w:w="0" w:type="dxa"/>
              <w:bottom w:w="0" w:type="dxa"/>
              <w:right w:w="15" w:type="dxa"/>
            </w:tcMar>
            <w:vAlign w:val="bottom"/>
            <w:hideMark/>
          </w:tcPr>
          <w:p w14:paraId="431951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D47D8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848E8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0136108" w14:textId="77777777" w:rsidR="00000000" w:rsidRDefault="007125B5">
            <w:pPr>
              <w:pStyle w:val="a3"/>
              <w:spacing w:before="0" w:beforeAutospacing="0" w:after="0" w:afterAutospacing="0"/>
              <w:jc w:val="right"/>
              <w:rPr>
                <w:color w:val="000000"/>
                <w:sz w:val="20"/>
                <w:szCs w:val="20"/>
              </w:rPr>
            </w:pPr>
            <w:r>
              <w:rPr>
                <w:color w:val="000000"/>
                <w:sz w:val="20"/>
                <w:szCs w:val="20"/>
              </w:rPr>
              <w:t>2,074,604</w:t>
            </w:r>
          </w:p>
        </w:tc>
        <w:tc>
          <w:tcPr>
            <w:tcW w:w="50" w:type="pct"/>
            <w:shd w:val="clear" w:color="auto" w:fill="CFF0FC"/>
            <w:noWrap/>
            <w:tcMar>
              <w:top w:w="15" w:type="dxa"/>
              <w:left w:w="0" w:type="dxa"/>
              <w:bottom w:w="0" w:type="dxa"/>
              <w:right w:w="15" w:type="dxa"/>
            </w:tcMar>
            <w:vAlign w:val="bottom"/>
            <w:hideMark/>
          </w:tcPr>
          <w:p w14:paraId="327E597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5B15D67" w14:textId="77777777">
        <w:trPr>
          <w:divId w:val="906378440"/>
          <w:jc w:val="center"/>
        </w:trPr>
        <w:tc>
          <w:tcPr>
            <w:tcW w:w="3349" w:type="pct"/>
            <w:shd w:val="clear" w:color="auto" w:fill="FFFFFF"/>
            <w:tcMar>
              <w:top w:w="15" w:type="dxa"/>
              <w:left w:w="0" w:type="dxa"/>
              <w:bottom w:w="0" w:type="dxa"/>
              <w:right w:w="15" w:type="dxa"/>
            </w:tcMar>
            <w:hideMark/>
          </w:tcPr>
          <w:p w14:paraId="6DB533BF" w14:textId="77777777" w:rsidR="00000000" w:rsidRDefault="007125B5">
            <w:pPr>
              <w:pStyle w:val="a3"/>
              <w:spacing w:before="0" w:beforeAutospacing="0" w:after="0" w:afterAutospacing="0"/>
              <w:rPr>
                <w:color w:val="000000"/>
                <w:sz w:val="20"/>
                <w:szCs w:val="20"/>
              </w:rPr>
            </w:pPr>
            <w:r>
              <w:rPr>
                <w:color w:val="000000"/>
                <w:sz w:val="20"/>
                <w:szCs w:val="20"/>
              </w:rPr>
              <w:t>Shares available for grant</w:t>
            </w:r>
          </w:p>
        </w:tc>
        <w:tc>
          <w:tcPr>
            <w:tcW w:w="81" w:type="pct"/>
            <w:shd w:val="clear" w:color="auto" w:fill="FFFFFF"/>
            <w:tcMar>
              <w:top w:w="15" w:type="dxa"/>
              <w:left w:w="0" w:type="dxa"/>
              <w:bottom w:w="0" w:type="dxa"/>
              <w:right w:w="15" w:type="dxa"/>
            </w:tcMar>
            <w:vAlign w:val="bottom"/>
            <w:hideMark/>
          </w:tcPr>
          <w:p w14:paraId="5B8F18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B758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3C7186B" w14:textId="77777777" w:rsidR="00000000" w:rsidRDefault="007125B5">
            <w:pPr>
              <w:pStyle w:val="a3"/>
              <w:spacing w:before="0" w:beforeAutospacing="0" w:after="0" w:afterAutospacing="0"/>
              <w:jc w:val="right"/>
              <w:rPr>
                <w:color w:val="000000"/>
                <w:sz w:val="20"/>
                <w:szCs w:val="20"/>
              </w:rPr>
            </w:pPr>
            <w:r>
              <w:rPr>
                <w:color w:val="000000"/>
                <w:sz w:val="20"/>
                <w:szCs w:val="20"/>
              </w:rPr>
              <w:t>201,183</w:t>
            </w:r>
          </w:p>
        </w:tc>
        <w:tc>
          <w:tcPr>
            <w:tcW w:w="50" w:type="pct"/>
            <w:shd w:val="clear" w:color="auto" w:fill="FFFFFF"/>
            <w:noWrap/>
            <w:tcMar>
              <w:top w:w="15" w:type="dxa"/>
              <w:left w:w="0" w:type="dxa"/>
              <w:bottom w:w="0" w:type="dxa"/>
              <w:right w:w="15" w:type="dxa"/>
            </w:tcMar>
            <w:vAlign w:val="bottom"/>
            <w:hideMark/>
          </w:tcPr>
          <w:p w14:paraId="6800B92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ECB15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FC53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E17A38E"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BEA46F8"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05912EE" w14:textId="77777777" w:rsidR="00000000" w:rsidRDefault="007125B5">
      <w:pPr>
        <w:pStyle w:val="a3"/>
        <w:shd w:val="clear" w:color="auto" w:fill="FFFFFF"/>
        <w:spacing w:before="0" w:beforeAutospacing="0" w:after="0" w:afterAutospacing="0"/>
        <w:rPr>
          <w:sz w:val="20"/>
          <w:szCs w:val="20"/>
        </w:rPr>
      </w:pPr>
      <w:r>
        <w:rPr>
          <w:sz w:val="20"/>
          <w:szCs w:val="20"/>
        </w:rPr>
        <w:t> </w:t>
      </w:r>
    </w:p>
    <w:p w14:paraId="24381E7D" w14:textId="77777777" w:rsidR="00000000" w:rsidRDefault="007125B5">
      <w:pPr>
        <w:pStyle w:val="a3"/>
        <w:shd w:val="clear" w:color="auto" w:fill="FFFFFF"/>
        <w:spacing w:before="40" w:beforeAutospacing="0" w:after="0" w:afterAutospacing="0"/>
        <w:ind w:firstLine="556"/>
        <w:rPr>
          <w:sz w:val="20"/>
          <w:szCs w:val="20"/>
        </w:rPr>
      </w:pPr>
      <w:r>
        <w:rPr>
          <w:sz w:val="20"/>
          <w:szCs w:val="20"/>
        </w:rPr>
        <w:t>Total stock compensation expense for the Plans was as follows:</w:t>
      </w:r>
    </w:p>
    <w:p w14:paraId="17F655CA"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274"/>
        <w:gridCol w:w="65"/>
        <w:gridCol w:w="116"/>
        <w:gridCol w:w="471"/>
        <w:gridCol w:w="65"/>
        <w:gridCol w:w="65"/>
        <w:gridCol w:w="177"/>
        <w:gridCol w:w="963"/>
        <w:gridCol w:w="65"/>
        <w:gridCol w:w="65"/>
        <w:gridCol w:w="116"/>
        <w:gridCol w:w="573"/>
        <w:gridCol w:w="65"/>
        <w:gridCol w:w="65"/>
        <w:gridCol w:w="115"/>
        <w:gridCol w:w="465"/>
        <w:gridCol w:w="65"/>
        <w:gridCol w:w="65"/>
        <w:gridCol w:w="116"/>
        <w:gridCol w:w="471"/>
        <w:gridCol w:w="65"/>
        <w:gridCol w:w="65"/>
        <w:gridCol w:w="177"/>
        <w:gridCol w:w="963"/>
        <w:gridCol w:w="65"/>
        <w:gridCol w:w="65"/>
        <w:gridCol w:w="116"/>
        <w:gridCol w:w="573"/>
        <w:gridCol w:w="65"/>
        <w:gridCol w:w="65"/>
        <w:gridCol w:w="115"/>
        <w:gridCol w:w="465"/>
        <w:gridCol w:w="65"/>
      </w:tblGrid>
      <w:tr w:rsidR="00000000" w14:paraId="2CD4620A" w14:textId="77777777">
        <w:trPr>
          <w:divId w:val="1720545016"/>
          <w:jc w:val="center"/>
        </w:trPr>
        <w:tc>
          <w:tcPr>
            <w:tcW w:w="1682" w:type="pct"/>
            <w:shd w:val="clear" w:color="auto" w:fill="FFFFFF"/>
            <w:tcMar>
              <w:top w:w="15" w:type="dxa"/>
              <w:left w:w="0" w:type="dxa"/>
              <w:bottom w:w="0" w:type="dxa"/>
              <w:right w:w="15" w:type="dxa"/>
            </w:tcMar>
            <w:hideMark/>
          </w:tcPr>
          <w:p w14:paraId="6045D895" w14:textId="77777777" w:rsidR="00000000" w:rsidRDefault="007125B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7292C0C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26" w:type="pct"/>
            <w:gridSpan w:val="30"/>
            <w:tcBorders>
              <w:bottom w:val="single" w:sz="6" w:space="0" w:color="000000"/>
            </w:tcBorders>
            <w:shd w:val="clear" w:color="auto" w:fill="FFFFFF"/>
            <w:tcMar>
              <w:top w:w="15" w:type="dxa"/>
              <w:left w:w="0" w:type="dxa"/>
              <w:bottom w:w="0" w:type="dxa"/>
              <w:right w:w="15" w:type="dxa"/>
            </w:tcMar>
            <w:vAlign w:val="bottom"/>
            <w:hideMark/>
          </w:tcPr>
          <w:p w14:paraId="02FAFE7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7201097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9C3FC18" w14:textId="77777777">
        <w:trPr>
          <w:divId w:val="1720545016"/>
          <w:jc w:val="center"/>
        </w:trPr>
        <w:tc>
          <w:tcPr>
            <w:tcW w:w="1682" w:type="pct"/>
            <w:shd w:val="clear" w:color="auto" w:fill="FFFFFF"/>
            <w:tcMar>
              <w:top w:w="15" w:type="dxa"/>
              <w:left w:w="0" w:type="dxa"/>
              <w:bottom w:w="0" w:type="dxa"/>
              <w:right w:w="15" w:type="dxa"/>
            </w:tcMar>
            <w:hideMark/>
          </w:tcPr>
          <w:p w14:paraId="6AC1DB5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2A08A44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67"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92DB1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4EBA3A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EF2DEA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67"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55102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8596D5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76C4BD7" w14:textId="77777777">
        <w:trPr>
          <w:divId w:val="1720545016"/>
          <w:jc w:val="center"/>
        </w:trPr>
        <w:tc>
          <w:tcPr>
            <w:tcW w:w="1682" w:type="pct"/>
            <w:shd w:val="clear" w:color="auto" w:fill="FFFFFF"/>
            <w:tcMar>
              <w:top w:w="15" w:type="dxa"/>
              <w:left w:w="0" w:type="dxa"/>
              <w:bottom w:w="0" w:type="dxa"/>
              <w:right w:w="15" w:type="dxa"/>
            </w:tcMar>
            <w:hideMark/>
          </w:tcPr>
          <w:p w14:paraId="5EAAF09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5EDDDDA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8E0E7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14:paraId="64CEA6A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6DD2FC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E80124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14:paraId="224943B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FB6D5B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317CF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0994AFA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82481C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1B93616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0D339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14:paraId="1580188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E396DC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361D8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14:paraId="33183DA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401250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AF73C3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79CDD14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E3C0E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2F87899" w14:textId="77777777">
        <w:trPr>
          <w:divId w:val="1720545016"/>
          <w:jc w:val="center"/>
        </w:trPr>
        <w:tc>
          <w:tcPr>
            <w:tcW w:w="1682" w:type="pct"/>
            <w:shd w:val="clear" w:color="auto" w:fill="FFFFFF"/>
            <w:tcMar>
              <w:top w:w="15" w:type="dxa"/>
              <w:left w:w="0" w:type="dxa"/>
              <w:bottom w:w="0" w:type="dxa"/>
              <w:right w:w="15" w:type="dxa"/>
            </w:tcMar>
            <w:hideMark/>
          </w:tcPr>
          <w:p w14:paraId="00A63C7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046B68E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A3D8B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53BE647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A2124A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88D12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14:paraId="3FCD540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431DA90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EA172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26873A6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2CD8C90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13A4E73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3845E78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6CCF8CF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5ED92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5EBDCB0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3223340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907C0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14:paraId="40F350A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5169889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A9904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7C10A69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25D3F4E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4F671A1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416175F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7125B5" w14:paraId="6577C3C5" w14:textId="77777777">
        <w:trPr>
          <w:divId w:val="1720545016"/>
          <w:jc w:val="center"/>
        </w:trPr>
        <w:tc>
          <w:tcPr>
            <w:tcW w:w="1682" w:type="pct"/>
            <w:shd w:val="clear" w:color="auto" w:fill="CFF0FC"/>
            <w:tcMar>
              <w:top w:w="15" w:type="dxa"/>
              <w:left w:w="0" w:type="dxa"/>
              <w:bottom w:w="0" w:type="dxa"/>
              <w:right w:w="15" w:type="dxa"/>
            </w:tcMar>
            <w:hideMark/>
          </w:tcPr>
          <w:p w14:paraId="213771EE" w14:textId="77777777" w:rsidR="00000000" w:rsidRDefault="007125B5">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tcMar>
              <w:top w:w="15" w:type="dxa"/>
              <w:left w:w="0" w:type="dxa"/>
              <w:bottom w:w="0" w:type="dxa"/>
              <w:right w:w="15" w:type="dxa"/>
            </w:tcMar>
            <w:vAlign w:val="bottom"/>
            <w:hideMark/>
          </w:tcPr>
          <w:p w14:paraId="671A83F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455FA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2373DACB" w14:textId="77777777" w:rsidR="00000000" w:rsidRDefault="007125B5">
            <w:pPr>
              <w:pStyle w:val="a3"/>
              <w:spacing w:before="0" w:beforeAutospacing="0" w:after="0" w:afterAutospacing="0"/>
              <w:jc w:val="right"/>
              <w:rPr>
                <w:color w:val="000000"/>
                <w:sz w:val="20"/>
                <w:szCs w:val="20"/>
              </w:rPr>
            </w:pPr>
            <w:r>
              <w:rPr>
                <w:color w:val="000000"/>
                <w:sz w:val="20"/>
                <w:szCs w:val="20"/>
              </w:rPr>
              <w:t>342</w:t>
            </w:r>
          </w:p>
        </w:tc>
        <w:tc>
          <w:tcPr>
            <w:tcW w:w="50" w:type="pct"/>
            <w:shd w:val="clear" w:color="auto" w:fill="CFF0FC"/>
            <w:noWrap/>
            <w:tcMar>
              <w:top w:w="15" w:type="dxa"/>
              <w:left w:w="0" w:type="dxa"/>
              <w:bottom w:w="0" w:type="dxa"/>
              <w:right w:w="15" w:type="dxa"/>
            </w:tcMar>
            <w:vAlign w:val="bottom"/>
            <w:hideMark/>
          </w:tcPr>
          <w:p w14:paraId="2E9D76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9C809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2AE9D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1B597D7A"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32F76C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EEC98B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AC92C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3888C440" w14:textId="77777777" w:rsidR="00000000" w:rsidRDefault="007125B5">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14:paraId="71DD95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CC8CF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C9C56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3DA6436D" w14:textId="77777777" w:rsidR="00000000" w:rsidRDefault="007125B5">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CFF0FC"/>
            <w:noWrap/>
            <w:tcMar>
              <w:top w:w="15" w:type="dxa"/>
              <w:left w:w="0" w:type="dxa"/>
              <w:bottom w:w="0" w:type="dxa"/>
              <w:right w:w="15" w:type="dxa"/>
            </w:tcMar>
            <w:vAlign w:val="bottom"/>
            <w:hideMark/>
          </w:tcPr>
          <w:p w14:paraId="2E758B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E87FE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4666B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11DF8ADF" w14:textId="77777777" w:rsidR="00000000" w:rsidRDefault="007125B5">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CFF0FC"/>
            <w:noWrap/>
            <w:tcMar>
              <w:top w:w="15" w:type="dxa"/>
              <w:left w:w="0" w:type="dxa"/>
              <w:bottom w:w="0" w:type="dxa"/>
              <w:right w:w="15" w:type="dxa"/>
            </w:tcMar>
            <w:vAlign w:val="bottom"/>
            <w:hideMark/>
          </w:tcPr>
          <w:p w14:paraId="47DF41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ADC4B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4A6EB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5285E879"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63458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12797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EFE67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6C68E57A" w14:textId="77777777" w:rsidR="00000000" w:rsidRDefault="007125B5">
            <w:pPr>
              <w:pStyle w:val="a3"/>
              <w:spacing w:before="0" w:beforeAutospacing="0" w:after="0" w:afterAutospacing="0"/>
              <w:jc w:val="right"/>
              <w:rPr>
                <w:color w:val="000000"/>
                <w:sz w:val="20"/>
                <w:szCs w:val="20"/>
              </w:rPr>
            </w:pPr>
            <w:r>
              <w:rPr>
                <w:color w:val="000000"/>
                <w:sz w:val="20"/>
                <w:szCs w:val="20"/>
              </w:rPr>
              <w:t>147</w:t>
            </w:r>
          </w:p>
        </w:tc>
        <w:tc>
          <w:tcPr>
            <w:tcW w:w="50" w:type="pct"/>
            <w:shd w:val="clear" w:color="auto" w:fill="CFF0FC"/>
            <w:noWrap/>
            <w:tcMar>
              <w:top w:w="15" w:type="dxa"/>
              <w:left w:w="0" w:type="dxa"/>
              <w:bottom w:w="0" w:type="dxa"/>
              <w:right w:w="15" w:type="dxa"/>
            </w:tcMar>
            <w:vAlign w:val="bottom"/>
            <w:hideMark/>
          </w:tcPr>
          <w:p w14:paraId="0F3864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175FFA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DCF39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0578FC57" w14:textId="77777777" w:rsidR="00000000" w:rsidRDefault="007125B5">
            <w:pPr>
              <w:pStyle w:val="a3"/>
              <w:spacing w:before="0" w:beforeAutospacing="0" w:after="0" w:afterAutospacing="0"/>
              <w:jc w:val="right"/>
              <w:rPr>
                <w:color w:val="000000"/>
                <w:sz w:val="20"/>
                <w:szCs w:val="20"/>
              </w:rPr>
            </w:pPr>
            <w:r>
              <w:rPr>
                <w:color w:val="000000"/>
                <w:sz w:val="20"/>
                <w:szCs w:val="20"/>
              </w:rPr>
              <w:t>352</w:t>
            </w:r>
          </w:p>
        </w:tc>
        <w:tc>
          <w:tcPr>
            <w:tcW w:w="50" w:type="pct"/>
            <w:shd w:val="clear" w:color="auto" w:fill="CFF0FC"/>
            <w:noWrap/>
            <w:tcMar>
              <w:top w:w="15" w:type="dxa"/>
              <w:left w:w="0" w:type="dxa"/>
              <w:bottom w:w="0" w:type="dxa"/>
              <w:right w:w="15" w:type="dxa"/>
            </w:tcMar>
            <w:vAlign w:val="bottom"/>
            <w:hideMark/>
          </w:tcPr>
          <w:p w14:paraId="0D753B7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4A90E31D" w14:textId="77777777">
        <w:trPr>
          <w:divId w:val="1720545016"/>
          <w:jc w:val="center"/>
        </w:trPr>
        <w:tc>
          <w:tcPr>
            <w:tcW w:w="1682" w:type="pct"/>
            <w:shd w:val="clear" w:color="auto" w:fill="FFFFFF"/>
            <w:tcMar>
              <w:top w:w="15" w:type="dxa"/>
              <w:left w:w="0" w:type="dxa"/>
              <w:bottom w:w="0" w:type="dxa"/>
              <w:right w:w="15" w:type="dxa"/>
            </w:tcMar>
            <w:hideMark/>
          </w:tcPr>
          <w:p w14:paraId="3E9E5C35" w14:textId="77777777" w:rsidR="00000000" w:rsidRDefault="007125B5">
            <w:pPr>
              <w:pStyle w:val="a3"/>
              <w:spacing w:before="0" w:beforeAutospacing="0" w:after="0" w:afterAutospacing="0"/>
              <w:rPr>
                <w:color w:val="000000"/>
                <w:sz w:val="20"/>
                <w:szCs w:val="20"/>
              </w:rPr>
            </w:pPr>
            <w:r>
              <w:rPr>
                <w:color w:val="000000"/>
                <w:sz w:val="20"/>
                <w:szCs w:val="20"/>
              </w:rPr>
              <w:t>Selling, general and administrative expense</w:t>
            </w:r>
          </w:p>
        </w:tc>
        <w:tc>
          <w:tcPr>
            <w:tcW w:w="50" w:type="pct"/>
            <w:shd w:val="clear" w:color="auto" w:fill="FFFFFF"/>
            <w:tcMar>
              <w:top w:w="15" w:type="dxa"/>
              <w:left w:w="0" w:type="dxa"/>
              <w:bottom w:w="0" w:type="dxa"/>
              <w:right w:w="15" w:type="dxa"/>
            </w:tcMar>
            <w:vAlign w:val="bottom"/>
            <w:hideMark/>
          </w:tcPr>
          <w:p w14:paraId="5C44342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924A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6A3E64FB" w14:textId="77777777" w:rsidR="00000000" w:rsidRDefault="007125B5">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FFFFFF"/>
            <w:noWrap/>
            <w:tcMar>
              <w:top w:w="15" w:type="dxa"/>
              <w:left w:w="0" w:type="dxa"/>
              <w:bottom w:w="0" w:type="dxa"/>
              <w:right w:w="15" w:type="dxa"/>
            </w:tcMar>
            <w:vAlign w:val="bottom"/>
            <w:hideMark/>
          </w:tcPr>
          <w:p w14:paraId="76B4D7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2AF21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B464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1A8EA391" w14:textId="77777777" w:rsidR="00000000" w:rsidRDefault="007125B5">
            <w:pPr>
              <w:pStyle w:val="a3"/>
              <w:spacing w:before="0" w:beforeAutospacing="0" w:after="0" w:afterAutospacing="0"/>
              <w:jc w:val="right"/>
              <w:rPr>
                <w:color w:val="000000"/>
                <w:sz w:val="20"/>
                <w:szCs w:val="20"/>
              </w:rPr>
            </w:pPr>
            <w:r>
              <w:rPr>
                <w:color w:val="000000"/>
                <w:sz w:val="20"/>
                <w:szCs w:val="20"/>
              </w:rPr>
              <w:t>370</w:t>
            </w:r>
          </w:p>
        </w:tc>
        <w:tc>
          <w:tcPr>
            <w:tcW w:w="50" w:type="pct"/>
            <w:shd w:val="clear" w:color="auto" w:fill="FFFFFF"/>
            <w:noWrap/>
            <w:tcMar>
              <w:top w:w="15" w:type="dxa"/>
              <w:left w:w="0" w:type="dxa"/>
              <w:bottom w:w="0" w:type="dxa"/>
              <w:right w:w="15" w:type="dxa"/>
            </w:tcMar>
            <w:vAlign w:val="bottom"/>
            <w:hideMark/>
          </w:tcPr>
          <w:p w14:paraId="6D25C25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C9EA8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AF54D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5A571C71" w14:textId="77777777" w:rsidR="00000000" w:rsidRDefault="007125B5">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FFFFFF"/>
            <w:noWrap/>
            <w:tcMar>
              <w:top w:w="15" w:type="dxa"/>
              <w:left w:w="0" w:type="dxa"/>
              <w:bottom w:w="0" w:type="dxa"/>
              <w:right w:w="15" w:type="dxa"/>
            </w:tcMar>
            <w:vAlign w:val="bottom"/>
            <w:hideMark/>
          </w:tcPr>
          <w:p w14:paraId="5AEAEE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01CA6B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8F95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185F329F" w14:textId="77777777" w:rsidR="00000000" w:rsidRDefault="007125B5">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FFFFFF"/>
            <w:noWrap/>
            <w:tcMar>
              <w:top w:w="15" w:type="dxa"/>
              <w:left w:w="0" w:type="dxa"/>
              <w:bottom w:w="0" w:type="dxa"/>
              <w:right w:w="15" w:type="dxa"/>
            </w:tcMar>
            <w:vAlign w:val="bottom"/>
            <w:hideMark/>
          </w:tcPr>
          <w:p w14:paraId="1725B6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CC81A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AAA1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0408B6FA" w14:textId="77777777" w:rsidR="00000000" w:rsidRDefault="007125B5">
            <w:pPr>
              <w:pStyle w:val="a3"/>
              <w:spacing w:before="0" w:beforeAutospacing="0" w:after="0" w:afterAutospacing="0"/>
              <w:jc w:val="right"/>
              <w:rPr>
                <w:color w:val="000000"/>
                <w:sz w:val="20"/>
                <w:szCs w:val="20"/>
              </w:rPr>
            </w:pPr>
            <w:r>
              <w:rPr>
                <w:color w:val="000000"/>
                <w:sz w:val="20"/>
                <w:szCs w:val="20"/>
              </w:rPr>
              <w:t>145</w:t>
            </w:r>
          </w:p>
        </w:tc>
        <w:tc>
          <w:tcPr>
            <w:tcW w:w="50" w:type="pct"/>
            <w:shd w:val="clear" w:color="auto" w:fill="FFFFFF"/>
            <w:noWrap/>
            <w:tcMar>
              <w:top w:w="15" w:type="dxa"/>
              <w:left w:w="0" w:type="dxa"/>
              <w:bottom w:w="0" w:type="dxa"/>
              <w:right w:w="15" w:type="dxa"/>
            </w:tcMar>
            <w:vAlign w:val="bottom"/>
            <w:hideMark/>
          </w:tcPr>
          <w:p w14:paraId="5D603B7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FD6D3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78B1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54347269" w14:textId="77777777" w:rsidR="00000000" w:rsidRDefault="007125B5">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FFFFFF"/>
            <w:noWrap/>
            <w:tcMar>
              <w:top w:w="15" w:type="dxa"/>
              <w:left w:w="0" w:type="dxa"/>
              <w:bottom w:w="0" w:type="dxa"/>
              <w:right w:w="15" w:type="dxa"/>
            </w:tcMar>
            <w:vAlign w:val="bottom"/>
            <w:hideMark/>
          </w:tcPr>
          <w:p w14:paraId="7B160C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7F2E23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BDDE7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6AF95DFD" w14:textId="77777777" w:rsidR="00000000" w:rsidRDefault="007125B5">
            <w:pPr>
              <w:pStyle w:val="a3"/>
              <w:spacing w:before="0" w:beforeAutospacing="0" w:after="0" w:afterAutospacing="0"/>
              <w:jc w:val="right"/>
              <w:rPr>
                <w:color w:val="000000"/>
                <w:sz w:val="20"/>
                <w:szCs w:val="20"/>
              </w:rPr>
            </w:pPr>
            <w:r>
              <w:rPr>
                <w:color w:val="000000"/>
                <w:sz w:val="20"/>
                <w:szCs w:val="20"/>
              </w:rPr>
              <w:t>687</w:t>
            </w:r>
          </w:p>
        </w:tc>
        <w:tc>
          <w:tcPr>
            <w:tcW w:w="50" w:type="pct"/>
            <w:shd w:val="clear" w:color="auto" w:fill="FFFFFF"/>
            <w:noWrap/>
            <w:tcMar>
              <w:top w:w="15" w:type="dxa"/>
              <w:left w:w="0" w:type="dxa"/>
              <w:bottom w:w="0" w:type="dxa"/>
              <w:right w:w="15" w:type="dxa"/>
            </w:tcMar>
            <w:vAlign w:val="bottom"/>
            <w:hideMark/>
          </w:tcPr>
          <w:p w14:paraId="7B97B4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05E76F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AC42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5D6F0FC4" w14:textId="77777777" w:rsidR="00000000" w:rsidRDefault="007125B5">
            <w:pPr>
              <w:pStyle w:val="a3"/>
              <w:spacing w:before="0" w:beforeAutospacing="0" w:after="0" w:afterAutospacing="0"/>
              <w:jc w:val="right"/>
              <w:rPr>
                <w:color w:val="000000"/>
                <w:sz w:val="20"/>
                <w:szCs w:val="20"/>
              </w:rPr>
            </w:pPr>
            <w:r>
              <w:rPr>
                <w:color w:val="000000"/>
                <w:sz w:val="20"/>
                <w:szCs w:val="20"/>
              </w:rPr>
              <w:t>942</w:t>
            </w:r>
          </w:p>
        </w:tc>
        <w:tc>
          <w:tcPr>
            <w:tcW w:w="50" w:type="pct"/>
            <w:shd w:val="clear" w:color="auto" w:fill="FFFFFF"/>
            <w:noWrap/>
            <w:tcMar>
              <w:top w:w="15" w:type="dxa"/>
              <w:left w:w="0" w:type="dxa"/>
              <w:bottom w:w="0" w:type="dxa"/>
              <w:right w:w="15" w:type="dxa"/>
            </w:tcMar>
            <w:vAlign w:val="bottom"/>
            <w:hideMark/>
          </w:tcPr>
          <w:p w14:paraId="08BCB5A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363E8DA0" w14:textId="77777777">
        <w:trPr>
          <w:divId w:val="1720545016"/>
          <w:jc w:val="center"/>
        </w:trPr>
        <w:tc>
          <w:tcPr>
            <w:tcW w:w="1682" w:type="pct"/>
            <w:shd w:val="clear" w:color="auto" w:fill="CFF0FC"/>
            <w:tcMar>
              <w:top w:w="15" w:type="dxa"/>
              <w:left w:w="0" w:type="dxa"/>
              <w:bottom w:w="0" w:type="dxa"/>
              <w:right w:w="15" w:type="dxa"/>
            </w:tcMar>
            <w:hideMark/>
          </w:tcPr>
          <w:p w14:paraId="3365B2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F7E49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E0DFE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FAC336" w14:textId="77777777" w:rsidR="00000000" w:rsidRDefault="007125B5">
            <w:pPr>
              <w:pStyle w:val="a3"/>
              <w:spacing w:before="0" w:beforeAutospacing="0" w:after="0" w:afterAutospacing="0"/>
              <w:jc w:val="right"/>
              <w:rPr>
                <w:color w:val="000000"/>
                <w:sz w:val="20"/>
                <w:szCs w:val="20"/>
              </w:rPr>
            </w:pPr>
            <w:r>
              <w:rPr>
                <w:color w:val="000000"/>
                <w:sz w:val="20"/>
                <w:szCs w:val="20"/>
              </w:rPr>
              <w:t>641</w:t>
            </w:r>
          </w:p>
        </w:tc>
        <w:tc>
          <w:tcPr>
            <w:tcW w:w="50" w:type="pct"/>
            <w:shd w:val="clear" w:color="auto" w:fill="CFF0FC"/>
            <w:noWrap/>
            <w:tcMar>
              <w:top w:w="15" w:type="dxa"/>
              <w:left w:w="0" w:type="dxa"/>
              <w:bottom w:w="0" w:type="dxa"/>
              <w:right w:w="15" w:type="dxa"/>
            </w:tcMar>
            <w:vAlign w:val="bottom"/>
            <w:hideMark/>
          </w:tcPr>
          <w:p w14:paraId="021FD9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1AD825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25055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4A9BCB" w14:textId="77777777" w:rsidR="00000000" w:rsidRDefault="007125B5">
            <w:pPr>
              <w:pStyle w:val="a3"/>
              <w:spacing w:before="0" w:beforeAutospacing="0" w:after="0" w:afterAutospacing="0"/>
              <w:jc w:val="right"/>
              <w:rPr>
                <w:color w:val="000000"/>
                <w:sz w:val="20"/>
                <w:szCs w:val="20"/>
              </w:rPr>
            </w:pPr>
            <w:r>
              <w:rPr>
                <w:color w:val="000000"/>
                <w:sz w:val="20"/>
                <w:szCs w:val="20"/>
              </w:rPr>
              <w:t>370</w:t>
            </w:r>
          </w:p>
        </w:tc>
        <w:tc>
          <w:tcPr>
            <w:tcW w:w="50" w:type="pct"/>
            <w:shd w:val="clear" w:color="auto" w:fill="CFF0FC"/>
            <w:noWrap/>
            <w:tcMar>
              <w:top w:w="15" w:type="dxa"/>
              <w:left w:w="0" w:type="dxa"/>
              <w:bottom w:w="0" w:type="dxa"/>
              <w:right w:w="15" w:type="dxa"/>
            </w:tcMar>
            <w:vAlign w:val="bottom"/>
            <w:hideMark/>
          </w:tcPr>
          <w:p w14:paraId="2D4795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2E4A0E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0B92E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0F55C6" w14:textId="77777777" w:rsidR="00000000" w:rsidRDefault="007125B5">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CFF0FC"/>
            <w:noWrap/>
            <w:tcMar>
              <w:top w:w="15" w:type="dxa"/>
              <w:left w:w="0" w:type="dxa"/>
              <w:bottom w:w="0" w:type="dxa"/>
              <w:right w:w="15" w:type="dxa"/>
            </w:tcMar>
            <w:vAlign w:val="bottom"/>
            <w:hideMark/>
          </w:tcPr>
          <w:p w14:paraId="3C5A6D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416DA5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C46D5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A4768F" w14:textId="77777777" w:rsidR="00000000" w:rsidRDefault="007125B5">
            <w:pPr>
              <w:pStyle w:val="a3"/>
              <w:spacing w:before="0" w:beforeAutospacing="0" w:after="0" w:afterAutospacing="0"/>
              <w:jc w:val="right"/>
              <w:rPr>
                <w:color w:val="000000"/>
                <w:sz w:val="20"/>
                <w:szCs w:val="20"/>
              </w:rPr>
            </w:pPr>
            <w:r>
              <w:rPr>
                <w:color w:val="000000"/>
                <w:sz w:val="20"/>
                <w:szCs w:val="20"/>
              </w:rPr>
              <w:t>1,140</w:t>
            </w:r>
          </w:p>
        </w:tc>
        <w:tc>
          <w:tcPr>
            <w:tcW w:w="50" w:type="pct"/>
            <w:shd w:val="clear" w:color="auto" w:fill="CFF0FC"/>
            <w:noWrap/>
            <w:tcMar>
              <w:top w:w="15" w:type="dxa"/>
              <w:left w:w="0" w:type="dxa"/>
              <w:bottom w:w="0" w:type="dxa"/>
              <w:right w:w="15" w:type="dxa"/>
            </w:tcMar>
            <w:vAlign w:val="bottom"/>
            <w:hideMark/>
          </w:tcPr>
          <w:p w14:paraId="256503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2F4023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9B7EA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56FB7A" w14:textId="77777777" w:rsidR="00000000" w:rsidRDefault="007125B5">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CFF0FC"/>
            <w:noWrap/>
            <w:tcMar>
              <w:top w:w="15" w:type="dxa"/>
              <w:left w:w="0" w:type="dxa"/>
              <w:bottom w:w="0" w:type="dxa"/>
              <w:right w:w="15" w:type="dxa"/>
            </w:tcMar>
            <w:vAlign w:val="bottom"/>
            <w:hideMark/>
          </w:tcPr>
          <w:p w14:paraId="05FA483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DB252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25521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BCA916C" w14:textId="77777777" w:rsidR="00000000" w:rsidRDefault="007125B5">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14:paraId="3539B3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197CD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BCFD2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4919DC" w14:textId="77777777" w:rsidR="00000000" w:rsidRDefault="007125B5">
            <w:pPr>
              <w:pStyle w:val="a3"/>
              <w:spacing w:before="0" w:beforeAutospacing="0" w:after="0" w:afterAutospacing="0"/>
              <w:jc w:val="right"/>
              <w:rPr>
                <w:color w:val="000000"/>
                <w:sz w:val="20"/>
                <w:szCs w:val="20"/>
              </w:rPr>
            </w:pPr>
            <w:r>
              <w:rPr>
                <w:color w:val="000000"/>
                <w:sz w:val="20"/>
                <w:szCs w:val="20"/>
              </w:rPr>
              <w:t>834</w:t>
            </w:r>
          </w:p>
        </w:tc>
        <w:tc>
          <w:tcPr>
            <w:tcW w:w="50" w:type="pct"/>
            <w:shd w:val="clear" w:color="auto" w:fill="CFF0FC"/>
            <w:noWrap/>
            <w:tcMar>
              <w:top w:w="15" w:type="dxa"/>
              <w:left w:w="0" w:type="dxa"/>
              <w:bottom w:w="0" w:type="dxa"/>
              <w:right w:w="15" w:type="dxa"/>
            </w:tcMar>
            <w:vAlign w:val="bottom"/>
            <w:hideMark/>
          </w:tcPr>
          <w:p w14:paraId="5771FDE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B26D0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1B833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84E410" w14:textId="77777777" w:rsidR="00000000" w:rsidRDefault="007125B5">
            <w:pPr>
              <w:pStyle w:val="a3"/>
              <w:spacing w:before="0" w:beforeAutospacing="0" w:after="0" w:afterAutospacing="0"/>
              <w:jc w:val="right"/>
              <w:rPr>
                <w:color w:val="000000"/>
                <w:sz w:val="20"/>
                <w:szCs w:val="20"/>
              </w:rPr>
            </w:pPr>
            <w:r>
              <w:rPr>
                <w:color w:val="000000"/>
                <w:sz w:val="20"/>
                <w:szCs w:val="20"/>
              </w:rPr>
              <w:t>1,294</w:t>
            </w:r>
          </w:p>
        </w:tc>
        <w:tc>
          <w:tcPr>
            <w:tcW w:w="50" w:type="pct"/>
            <w:shd w:val="clear" w:color="auto" w:fill="CFF0FC"/>
            <w:noWrap/>
            <w:tcMar>
              <w:top w:w="15" w:type="dxa"/>
              <w:left w:w="0" w:type="dxa"/>
              <w:bottom w:w="0" w:type="dxa"/>
              <w:right w:w="15" w:type="dxa"/>
            </w:tcMar>
            <w:vAlign w:val="bottom"/>
            <w:hideMark/>
          </w:tcPr>
          <w:p w14:paraId="5A2E1DEA"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18CBF105"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281"/>
        <w:gridCol w:w="65"/>
        <w:gridCol w:w="115"/>
        <w:gridCol w:w="465"/>
        <w:gridCol w:w="65"/>
        <w:gridCol w:w="65"/>
        <w:gridCol w:w="177"/>
        <w:gridCol w:w="963"/>
        <w:gridCol w:w="65"/>
        <w:gridCol w:w="65"/>
        <w:gridCol w:w="116"/>
        <w:gridCol w:w="573"/>
        <w:gridCol w:w="65"/>
        <w:gridCol w:w="65"/>
        <w:gridCol w:w="115"/>
        <w:gridCol w:w="465"/>
        <w:gridCol w:w="65"/>
        <w:gridCol w:w="65"/>
        <w:gridCol w:w="116"/>
        <w:gridCol w:w="471"/>
        <w:gridCol w:w="65"/>
        <w:gridCol w:w="65"/>
        <w:gridCol w:w="177"/>
        <w:gridCol w:w="963"/>
        <w:gridCol w:w="65"/>
        <w:gridCol w:w="65"/>
        <w:gridCol w:w="116"/>
        <w:gridCol w:w="573"/>
        <w:gridCol w:w="65"/>
        <w:gridCol w:w="65"/>
        <w:gridCol w:w="115"/>
        <w:gridCol w:w="465"/>
        <w:gridCol w:w="65"/>
      </w:tblGrid>
      <w:tr w:rsidR="00000000" w14:paraId="35ABDD92" w14:textId="77777777">
        <w:trPr>
          <w:divId w:val="91435834"/>
          <w:jc w:val="center"/>
        </w:trPr>
        <w:tc>
          <w:tcPr>
            <w:tcW w:w="1682" w:type="pct"/>
            <w:shd w:val="clear" w:color="auto" w:fill="FFFFFF"/>
            <w:tcMar>
              <w:top w:w="15" w:type="dxa"/>
              <w:left w:w="0" w:type="dxa"/>
              <w:bottom w:w="0" w:type="dxa"/>
              <w:right w:w="15" w:type="dxa"/>
            </w:tcMar>
            <w:hideMark/>
          </w:tcPr>
          <w:p w14:paraId="62EA01A4" w14:textId="77777777" w:rsidR="00000000" w:rsidRDefault="007125B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464DCC9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26" w:type="pct"/>
            <w:gridSpan w:val="30"/>
            <w:tcBorders>
              <w:bottom w:val="single" w:sz="6" w:space="0" w:color="000000"/>
            </w:tcBorders>
            <w:shd w:val="clear" w:color="auto" w:fill="FFFFFF"/>
            <w:tcMar>
              <w:top w:w="15" w:type="dxa"/>
              <w:left w:w="0" w:type="dxa"/>
              <w:bottom w:w="0" w:type="dxa"/>
              <w:right w:w="15" w:type="dxa"/>
            </w:tcMar>
            <w:vAlign w:val="bottom"/>
            <w:hideMark/>
          </w:tcPr>
          <w:p w14:paraId="31AE98C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122878B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7797CC03" w14:textId="77777777">
        <w:trPr>
          <w:divId w:val="91435834"/>
          <w:jc w:val="center"/>
        </w:trPr>
        <w:tc>
          <w:tcPr>
            <w:tcW w:w="1682" w:type="pct"/>
            <w:shd w:val="clear" w:color="auto" w:fill="FFFFFF"/>
            <w:tcMar>
              <w:top w:w="15" w:type="dxa"/>
              <w:left w:w="0" w:type="dxa"/>
              <w:bottom w:w="0" w:type="dxa"/>
              <w:right w:w="15" w:type="dxa"/>
            </w:tcMar>
            <w:hideMark/>
          </w:tcPr>
          <w:p w14:paraId="1D6002C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0756825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67"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D3812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90F63F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5E7A61D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67"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08DCB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707F6E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C79DB33" w14:textId="77777777">
        <w:trPr>
          <w:divId w:val="91435834"/>
          <w:jc w:val="center"/>
        </w:trPr>
        <w:tc>
          <w:tcPr>
            <w:tcW w:w="1682" w:type="pct"/>
            <w:shd w:val="clear" w:color="auto" w:fill="FFFFFF"/>
            <w:tcMar>
              <w:top w:w="15" w:type="dxa"/>
              <w:left w:w="0" w:type="dxa"/>
              <w:bottom w:w="0" w:type="dxa"/>
              <w:right w:w="15" w:type="dxa"/>
            </w:tcMar>
            <w:hideMark/>
          </w:tcPr>
          <w:p w14:paraId="157A95F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1AD7D66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493E0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14:paraId="45DD821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5DD557C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94F41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14:paraId="5965C45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302931B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7650E9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3AEDEA9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44E332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570CEF6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4A126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14:paraId="02B098D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BE3418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5582F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14:paraId="338EA4B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02529A1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5ED228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6551FF7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5C25D1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0D55405" w14:textId="77777777">
        <w:trPr>
          <w:divId w:val="91435834"/>
          <w:jc w:val="center"/>
        </w:trPr>
        <w:tc>
          <w:tcPr>
            <w:tcW w:w="1682" w:type="pct"/>
            <w:shd w:val="clear" w:color="auto" w:fill="FFFFFF"/>
            <w:tcMar>
              <w:top w:w="15" w:type="dxa"/>
              <w:left w:w="0" w:type="dxa"/>
              <w:bottom w:w="0" w:type="dxa"/>
              <w:right w:w="15" w:type="dxa"/>
            </w:tcMar>
            <w:hideMark/>
          </w:tcPr>
          <w:p w14:paraId="49DB14E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74BEF3C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9A38A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237B931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56C5C27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C1965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14:paraId="4CB2266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6979301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36ABE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716ED7E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445D77D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50CBFC9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3CA5827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348A309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77279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5A37773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1CE485B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EB95E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14:paraId="39E37F0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678C6EB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80D13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14:paraId="15E6867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47C2580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05B6FC1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57F22DD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7125B5" w14:paraId="2CF6BAAA" w14:textId="77777777">
        <w:trPr>
          <w:divId w:val="91435834"/>
          <w:jc w:val="center"/>
        </w:trPr>
        <w:tc>
          <w:tcPr>
            <w:tcW w:w="1682" w:type="pct"/>
            <w:shd w:val="clear" w:color="auto" w:fill="CFF0FC"/>
            <w:tcMar>
              <w:top w:w="15" w:type="dxa"/>
              <w:left w:w="0" w:type="dxa"/>
              <w:bottom w:w="0" w:type="dxa"/>
              <w:right w:w="15" w:type="dxa"/>
            </w:tcMar>
            <w:hideMark/>
          </w:tcPr>
          <w:p w14:paraId="1304FF2A" w14:textId="77777777" w:rsidR="00000000" w:rsidRDefault="007125B5">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tcMar>
              <w:top w:w="15" w:type="dxa"/>
              <w:left w:w="0" w:type="dxa"/>
              <w:bottom w:w="0" w:type="dxa"/>
              <w:right w:w="15" w:type="dxa"/>
            </w:tcMar>
            <w:vAlign w:val="bottom"/>
            <w:hideMark/>
          </w:tcPr>
          <w:p w14:paraId="41BD9C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238FC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494FC977" w14:textId="77777777" w:rsidR="00000000" w:rsidRDefault="007125B5">
            <w:pPr>
              <w:pStyle w:val="a3"/>
              <w:spacing w:before="0" w:beforeAutospacing="0" w:after="0" w:afterAutospacing="0"/>
              <w:jc w:val="right"/>
              <w:rPr>
                <w:color w:val="000000"/>
                <w:sz w:val="20"/>
                <w:szCs w:val="20"/>
              </w:rPr>
            </w:pPr>
            <w:r>
              <w:rPr>
                <w:color w:val="000000"/>
                <w:sz w:val="20"/>
                <w:szCs w:val="20"/>
              </w:rPr>
              <w:t>697</w:t>
            </w:r>
          </w:p>
        </w:tc>
        <w:tc>
          <w:tcPr>
            <w:tcW w:w="50" w:type="pct"/>
            <w:shd w:val="clear" w:color="auto" w:fill="CFF0FC"/>
            <w:noWrap/>
            <w:tcMar>
              <w:top w:w="15" w:type="dxa"/>
              <w:left w:w="0" w:type="dxa"/>
              <w:bottom w:w="0" w:type="dxa"/>
              <w:right w:w="15" w:type="dxa"/>
            </w:tcMar>
            <w:vAlign w:val="bottom"/>
            <w:hideMark/>
          </w:tcPr>
          <w:p w14:paraId="14F0C3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39A4C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80E9D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49973B03"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9BFC9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DA1BF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307B2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5BF1D538" w14:textId="77777777" w:rsidR="00000000" w:rsidRDefault="007125B5">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CFF0FC"/>
            <w:noWrap/>
            <w:tcMar>
              <w:top w:w="15" w:type="dxa"/>
              <w:left w:w="0" w:type="dxa"/>
              <w:bottom w:w="0" w:type="dxa"/>
              <w:right w:w="15" w:type="dxa"/>
            </w:tcMar>
            <w:vAlign w:val="bottom"/>
            <w:hideMark/>
          </w:tcPr>
          <w:p w14:paraId="678DB2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211BD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AD9B2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482524A5" w14:textId="77777777" w:rsidR="00000000" w:rsidRDefault="007125B5">
            <w:pPr>
              <w:pStyle w:val="a3"/>
              <w:spacing w:before="0" w:beforeAutospacing="0" w:after="0" w:afterAutospacing="0"/>
              <w:jc w:val="right"/>
              <w:rPr>
                <w:color w:val="000000"/>
                <w:sz w:val="20"/>
                <w:szCs w:val="20"/>
              </w:rPr>
            </w:pPr>
            <w:r>
              <w:rPr>
                <w:color w:val="000000"/>
                <w:sz w:val="20"/>
                <w:szCs w:val="20"/>
              </w:rPr>
              <w:t>828</w:t>
            </w:r>
          </w:p>
        </w:tc>
        <w:tc>
          <w:tcPr>
            <w:tcW w:w="50" w:type="pct"/>
            <w:shd w:val="clear" w:color="auto" w:fill="CFF0FC"/>
            <w:noWrap/>
            <w:tcMar>
              <w:top w:w="15" w:type="dxa"/>
              <w:left w:w="0" w:type="dxa"/>
              <w:bottom w:w="0" w:type="dxa"/>
              <w:right w:w="15" w:type="dxa"/>
            </w:tcMar>
            <w:vAlign w:val="bottom"/>
            <w:hideMark/>
          </w:tcPr>
          <w:p w14:paraId="53FB97B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5F9510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A56C4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7D38B730" w14:textId="77777777" w:rsidR="00000000" w:rsidRDefault="007125B5">
            <w:pPr>
              <w:pStyle w:val="a3"/>
              <w:spacing w:before="0" w:beforeAutospacing="0" w:after="0" w:afterAutospacing="0"/>
              <w:jc w:val="right"/>
              <w:rPr>
                <w:color w:val="000000"/>
                <w:sz w:val="20"/>
                <w:szCs w:val="20"/>
              </w:rPr>
            </w:pPr>
            <w:r>
              <w:rPr>
                <w:color w:val="000000"/>
                <w:sz w:val="20"/>
                <w:szCs w:val="20"/>
              </w:rPr>
              <w:t>345</w:t>
            </w:r>
          </w:p>
        </w:tc>
        <w:tc>
          <w:tcPr>
            <w:tcW w:w="50" w:type="pct"/>
            <w:shd w:val="clear" w:color="auto" w:fill="CFF0FC"/>
            <w:noWrap/>
            <w:tcMar>
              <w:top w:w="15" w:type="dxa"/>
              <w:left w:w="0" w:type="dxa"/>
              <w:bottom w:w="0" w:type="dxa"/>
              <w:right w:w="15" w:type="dxa"/>
            </w:tcMar>
            <w:vAlign w:val="bottom"/>
            <w:hideMark/>
          </w:tcPr>
          <w:p w14:paraId="03D897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274A85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DDE3A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0B74ACB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6135B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F97CD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C2A66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2F779484" w14:textId="77777777" w:rsidR="00000000" w:rsidRDefault="007125B5">
            <w:pPr>
              <w:pStyle w:val="a3"/>
              <w:spacing w:before="0" w:beforeAutospacing="0" w:after="0" w:afterAutospacing="0"/>
              <w:jc w:val="right"/>
              <w:rPr>
                <w:color w:val="000000"/>
                <w:sz w:val="20"/>
                <w:szCs w:val="20"/>
              </w:rPr>
            </w:pPr>
            <w:r>
              <w:rPr>
                <w:color w:val="000000"/>
                <w:sz w:val="20"/>
                <w:szCs w:val="20"/>
              </w:rPr>
              <w:t>293</w:t>
            </w:r>
          </w:p>
        </w:tc>
        <w:tc>
          <w:tcPr>
            <w:tcW w:w="50" w:type="pct"/>
            <w:shd w:val="clear" w:color="auto" w:fill="CFF0FC"/>
            <w:noWrap/>
            <w:tcMar>
              <w:top w:w="15" w:type="dxa"/>
              <w:left w:w="0" w:type="dxa"/>
              <w:bottom w:w="0" w:type="dxa"/>
              <w:right w:w="15" w:type="dxa"/>
            </w:tcMar>
            <w:vAlign w:val="bottom"/>
            <w:hideMark/>
          </w:tcPr>
          <w:p w14:paraId="19895B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58C000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E9172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572934FD" w14:textId="77777777" w:rsidR="00000000" w:rsidRDefault="007125B5">
            <w:pPr>
              <w:pStyle w:val="a3"/>
              <w:spacing w:before="0" w:beforeAutospacing="0" w:after="0" w:afterAutospacing="0"/>
              <w:jc w:val="right"/>
              <w:rPr>
                <w:color w:val="000000"/>
                <w:sz w:val="20"/>
                <w:szCs w:val="20"/>
              </w:rPr>
            </w:pPr>
            <w:r>
              <w:rPr>
                <w:color w:val="000000"/>
                <w:sz w:val="20"/>
                <w:szCs w:val="20"/>
              </w:rPr>
              <w:t>638</w:t>
            </w:r>
          </w:p>
        </w:tc>
        <w:tc>
          <w:tcPr>
            <w:tcW w:w="50" w:type="pct"/>
            <w:shd w:val="clear" w:color="auto" w:fill="CFF0FC"/>
            <w:noWrap/>
            <w:tcMar>
              <w:top w:w="15" w:type="dxa"/>
              <w:left w:w="0" w:type="dxa"/>
              <w:bottom w:w="0" w:type="dxa"/>
              <w:right w:w="15" w:type="dxa"/>
            </w:tcMar>
            <w:vAlign w:val="bottom"/>
            <w:hideMark/>
          </w:tcPr>
          <w:p w14:paraId="62E2AC3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1092FE04" w14:textId="77777777">
        <w:trPr>
          <w:divId w:val="91435834"/>
          <w:jc w:val="center"/>
        </w:trPr>
        <w:tc>
          <w:tcPr>
            <w:tcW w:w="1682" w:type="pct"/>
            <w:shd w:val="clear" w:color="auto" w:fill="FFFFFF"/>
            <w:tcMar>
              <w:top w:w="15" w:type="dxa"/>
              <w:left w:w="0" w:type="dxa"/>
              <w:bottom w:w="0" w:type="dxa"/>
              <w:right w:w="15" w:type="dxa"/>
            </w:tcMar>
            <w:hideMark/>
          </w:tcPr>
          <w:p w14:paraId="1063D411" w14:textId="77777777" w:rsidR="00000000" w:rsidRDefault="007125B5">
            <w:pPr>
              <w:pStyle w:val="a3"/>
              <w:spacing w:before="0" w:beforeAutospacing="0" w:after="0" w:afterAutospacing="0"/>
              <w:rPr>
                <w:color w:val="000000"/>
                <w:sz w:val="20"/>
                <w:szCs w:val="20"/>
              </w:rPr>
            </w:pPr>
            <w:r>
              <w:rPr>
                <w:color w:val="000000"/>
                <w:sz w:val="20"/>
                <w:szCs w:val="20"/>
              </w:rPr>
              <w:t>Selling, general and administrative expense</w:t>
            </w:r>
          </w:p>
        </w:tc>
        <w:tc>
          <w:tcPr>
            <w:tcW w:w="50" w:type="pct"/>
            <w:shd w:val="clear" w:color="auto" w:fill="FFFFFF"/>
            <w:tcMar>
              <w:top w:w="15" w:type="dxa"/>
              <w:left w:w="0" w:type="dxa"/>
              <w:bottom w:w="0" w:type="dxa"/>
              <w:right w:w="15" w:type="dxa"/>
            </w:tcMar>
            <w:vAlign w:val="bottom"/>
            <w:hideMark/>
          </w:tcPr>
          <w:p w14:paraId="60CB4E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28FFC9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18D9F025" w14:textId="77777777" w:rsidR="00000000" w:rsidRDefault="007125B5">
            <w:pPr>
              <w:pStyle w:val="a3"/>
              <w:spacing w:before="0" w:beforeAutospacing="0" w:after="0" w:afterAutospacing="0"/>
              <w:jc w:val="right"/>
              <w:rPr>
                <w:color w:val="000000"/>
                <w:sz w:val="20"/>
                <w:szCs w:val="20"/>
              </w:rPr>
            </w:pPr>
            <w:r>
              <w:rPr>
                <w:color w:val="000000"/>
                <w:sz w:val="20"/>
                <w:szCs w:val="20"/>
              </w:rPr>
              <w:t>586</w:t>
            </w:r>
          </w:p>
        </w:tc>
        <w:tc>
          <w:tcPr>
            <w:tcW w:w="50" w:type="pct"/>
            <w:shd w:val="clear" w:color="auto" w:fill="FFFFFF"/>
            <w:noWrap/>
            <w:tcMar>
              <w:top w:w="15" w:type="dxa"/>
              <w:left w:w="0" w:type="dxa"/>
              <w:bottom w:w="0" w:type="dxa"/>
              <w:right w:w="15" w:type="dxa"/>
            </w:tcMar>
            <w:vAlign w:val="bottom"/>
            <w:hideMark/>
          </w:tcPr>
          <w:p w14:paraId="7BDE73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FFE77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032F3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3DC68A19" w14:textId="77777777" w:rsidR="00000000" w:rsidRDefault="007125B5">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FFFFFF"/>
            <w:noWrap/>
            <w:tcMar>
              <w:top w:w="15" w:type="dxa"/>
              <w:left w:w="0" w:type="dxa"/>
              <w:bottom w:w="0" w:type="dxa"/>
              <w:right w:w="15" w:type="dxa"/>
            </w:tcMar>
            <w:vAlign w:val="bottom"/>
            <w:hideMark/>
          </w:tcPr>
          <w:p w14:paraId="04ACB77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10795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B086C5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1D3243F8" w14:textId="77777777" w:rsidR="00000000" w:rsidRDefault="007125B5">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14:paraId="2C6631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77A3C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77100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252A3954" w14:textId="77777777" w:rsidR="00000000" w:rsidRDefault="007125B5">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FFFFFF"/>
            <w:noWrap/>
            <w:tcMar>
              <w:top w:w="15" w:type="dxa"/>
              <w:left w:w="0" w:type="dxa"/>
              <w:bottom w:w="0" w:type="dxa"/>
              <w:right w:w="15" w:type="dxa"/>
            </w:tcMar>
            <w:vAlign w:val="bottom"/>
            <w:hideMark/>
          </w:tcPr>
          <w:p w14:paraId="5FE61C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9D815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1B903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01CA25D9" w14:textId="77777777" w:rsidR="00000000" w:rsidRDefault="007125B5">
            <w:pPr>
              <w:pStyle w:val="a3"/>
              <w:spacing w:before="0" w:beforeAutospacing="0" w:after="0" w:afterAutospacing="0"/>
              <w:jc w:val="right"/>
              <w:rPr>
                <w:color w:val="000000"/>
                <w:sz w:val="20"/>
                <w:szCs w:val="20"/>
              </w:rPr>
            </w:pPr>
            <w:r>
              <w:rPr>
                <w:color w:val="000000"/>
                <w:sz w:val="20"/>
                <w:szCs w:val="20"/>
              </w:rPr>
              <w:t>272</w:t>
            </w:r>
          </w:p>
        </w:tc>
        <w:tc>
          <w:tcPr>
            <w:tcW w:w="50" w:type="pct"/>
            <w:shd w:val="clear" w:color="auto" w:fill="FFFFFF"/>
            <w:noWrap/>
            <w:tcMar>
              <w:top w:w="15" w:type="dxa"/>
              <w:left w:w="0" w:type="dxa"/>
              <w:bottom w:w="0" w:type="dxa"/>
              <w:right w:w="15" w:type="dxa"/>
            </w:tcMar>
            <w:vAlign w:val="bottom"/>
            <w:hideMark/>
          </w:tcPr>
          <w:p w14:paraId="431A9F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F5FBE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1EE2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06E20F8D" w14:textId="77777777" w:rsidR="00000000" w:rsidRDefault="007125B5">
            <w:pPr>
              <w:pStyle w:val="a3"/>
              <w:spacing w:before="0" w:beforeAutospacing="0" w:after="0" w:afterAutospacing="0"/>
              <w:jc w:val="right"/>
              <w:rPr>
                <w:color w:val="000000"/>
                <w:sz w:val="20"/>
                <w:szCs w:val="20"/>
              </w:rPr>
            </w:pPr>
            <w:r>
              <w:rPr>
                <w:color w:val="000000"/>
                <w:sz w:val="20"/>
                <w:szCs w:val="20"/>
              </w:rPr>
              <w:t>212</w:t>
            </w:r>
          </w:p>
        </w:tc>
        <w:tc>
          <w:tcPr>
            <w:tcW w:w="50" w:type="pct"/>
            <w:shd w:val="clear" w:color="auto" w:fill="FFFFFF"/>
            <w:noWrap/>
            <w:tcMar>
              <w:top w:w="15" w:type="dxa"/>
              <w:left w:w="0" w:type="dxa"/>
              <w:bottom w:w="0" w:type="dxa"/>
              <w:right w:w="15" w:type="dxa"/>
            </w:tcMar>
            <w:vAlign w:val="bottom"/>
            <w:hideMark/>
          </w:tcPr>
          <w:p w14:paraId="297B496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9BC8C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16F82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3DFDAEC3" w14:textId="77777777" w:rsidR="00000000" w:rsidRDefault="007125B5">
            <w:pPr>
              <w:pStyle w:val="a3"/>
              <w:spacing w:before="0" w:beforeAutospacing="0" w:after="0" w:afterAutospacing="0"/>
              <w:jc w:val="right"/>
              <w:rPr>
                <w:color w:val="000000"/>
                <w:sz w:val="20"/>
                <w:szCs w:val="20"/>
              </w:rPr>
            </w:pPr>
            <w:r>
              <w:rPr>
                <w:color w:val="000000"/>
                <w:sz w:val="20"/>
                <w:szCs w:val="20"/>
              </w:rPr>
              <w:t>1,400</w:t>
            </w:r>
          </w:p>
        </w:tc>
        <w:tc>
          <w:tcPr>
            <w:tcW w:w="50" w:type="pct"/>
            <w:shd w:val="clear" w:color="auto" w:fill="FFFFFF"/>
            <w:noWrap/>
            <w:tcMar>
              <w:top w:w="15" w:type="dxa"/>
              <w:left w:w="0" w:type="dxa"/>
              <w:bottom w:w="0" w:type="dxa"/>
              <w:right w:w="15" w:type="dxa"/>
            </w:tcMar>
            <w:vAlign w:val="bottom"/>
            <w:hideMark/>
          </w:tcPr>
          <w:p w14:paraId="482636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CFECC9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FABC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FFFFFF"/>
            <w:noWrap/>
            <w:tcMar>
              <w:top w:w="15" w:type="dxa"/>
              <w:left w:w="0" w:type="dxa"/>
              <w:bottom w:w="0" w:type="dxa"/>
              <w:right w:w="15" w:type="dxa"/>
            </w:tcMar>
            <w:vAlign w:val="bottom"/>
            <w:hideMark/>
          </w:tcPr>
          <w:p w14:paraId="0F15D553" w14:textId="77777777" w:rsidR="00000000" w:rsidRDefault="007125B5">
            <w:pPr>
              <w:pStyle w:val="a3"/>
              <w:spacing w:before="0" w:beforeAutospacing="0" w:after="0" w:afterAutospacing="0"/>
              <w:jc w:val="right"/>
              <w:rPr>
                <w:color w:val="000000"/>
                <w:sz w:val="20"/>
                <w:szCs w:val="20"/>
              </w:rPr>
            </w:pPr>
            <w:r>
              <w:rPr>
                <w:color w:val="000000"/>
                <w:sz w:val="20"/>
                <w:szCs w:val="20"/>
              </w:rPr>
              <w:t>1,884</w:t>
            </w:r>
          </w:p>
        </w:tc>
        <w:tc>
          <w:tcPr>
            <w:tcW w:w="50" w:type="pct"/>
            <w:shd w:val="clear" w:color="auto" w:fill="FFFFFF"/>
            <w:noWrap/>
            <w:tcMar>
              <w:top w:w="15" w:type="dxa"/>
              <w:left w:w="0" w:type="dxa"/>
              <w:bottom w:w="0" w:type="dxa"/>
              <w:right w:w="15" w:type="dxa"/>
            </w:tcMar>
            <w:vAlign w:val="bottom"/>
            <w:hideMark/>
          </w:tcPr>
          <w:p w14:paraId="53A5895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7A887F24" w14:textId="77777777">
        <w:trPr>
          <w:divId w:val="91435834"/>
          <w:jc w:val="center"/>
        </w:trPr>
        <w:tc>
          <w:tcPr>
            <w:tcW w:w="1682" w:type="pct"/>
            <w:shd w:val="clear" w:color="auto" w:fill="CFF0FC"/>
            <w:tcMar>
              <w:top w:w="15" w:type="dxa"/>
              <w:left w:w="0" w:type="dxa"/>
              <w:bottom w:w="0" w:type="dxa"/>
              <w:right w:w="15" w:type="dxa"/>
            </w:tcMar>
            <w:hideMark/>
          </w:tcPr>
          <w:p w14:paraId="72279B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48157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075D7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99511C" w14:textId="77777777" w:rsidR="00000000" w:rsidRDefault="007125B5">
            <w:pPr>
              <w:pStyle w:val="a3"/>
              <w:spacing w:before="0" w:beforeAutospacing="0" w:after="0" w:afterAutospacing="0"/>
              <w:jc w:val="right"/>
              <w:rPr>
                <w:color w:val="000000"/>
                <w:sz w:val="20"/>
                <w:szCs w:val="20"/>
              </w:rPr>
            </w:pPr>
            <w:r>
              <w:rPr>
                <w:color w:val="000000"/>
                <w:sz w:val="20"/>
                <w:szCs w:val="20"/>
              </w:rPr>
              <w:t>1,283</w:t>
            </w:r>
          </w:p>
        </w:tc>
        <w:tc>
          <w:tcPr>
            <w:tcW w:w="50" w:type="pct"/>
            <w:shd w:val="clear" w:color="auto" w:fill="CFF0FC"/>
            <w:noWrap/>
            <w:tcMar>
              <w:top w:w="15" w:type="dxa"/>
              <w:left w:w="0" w:type="dxa"/>
              <w:bottom w:w="0" w:type="dxa"/>
              <w:right w:w="15" w:type="dxa"/>
            </w:tcMar>
            <w:vAlign w:val="bottom"/>
            <w:hideMark/>
          </w:tcPr>
          <w:p w14:paraId="3EC95F7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E6005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CDBA8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791B83" w14:textId="77777777" w:rsidR="00000000" w:rsidRDefault="007125B5">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CFF0FC"/>
            <w:noWrap/>
            <w:tcMar>
              <w:top w:w="15" w:type="dxa"/>
              <w:left w:w="0" w:type="dxa"/>
              <w:bottom w:w="0" w:type="dxa"/>
              <w:right w:w="15" w:type="dxa"/>
            </w:tcMar>
            <w:vAlign w:val="bottom"/>
            <w:hideMark/>
          </w:tcPr>
          <w:p w14:paraId="08216E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59211D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C3149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FA84A9" w14:textId="77777777" w:rsidR="00000000" w:rsidRDefault="007125B5">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CFF0FC"/>
            <w:noWrap/>
            <w:tcMar>
              <w:top w:w="15" w:type="dxa"/>
              <w:left w:w="0" w:type="dxa"/>
              <w:bottom w:w="0" w:type="dxa"/>
              <w:right w:w="15" w:type="dxa"/>
            </w:tcMar>
            <w:vAlign w:val="bottom"/>
            <w:hideMark/>
          </w:tcPr>
          <w:p w14:paraId="6ABFEE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03383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52BCC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2148E9" w14:textId="77777777" w:rsidR="00000000" w:rsidRDefault="007125B5">
            <w:pPr>
              <w:pStyle w:val="a3"/>
              <w:spacing w:before="0" w:beforeAutospacing="0" w:after="0" w:afterAutospacing="0"/>
              <w:jc w:val="right"/>
              <w:rPr>
                <w:color w:val="000000"/>
                <w:sz w:val="20"/>
                <w:szCs w:val="20"/>
              </w:rPr>
            </w:pPr>
            <w:r>
              <w:rPr>
                <w:color w:val="000000"/>
                <w:sz w:val="20"/>
                <w:szCs w:val="20"/>
              </w:rPr>
              <w:t>2,290</w:t>
            </w:r>
          </w:p>
        </w:tc>
        <w:tc>
          <w:tcPr>
            <w:tcW w:w="50" w:type="pct"/>
            <w:shd w:val="clear" w:color="auto" w:fill="CFF0FC"/>
            <w:noWrap/>
            <w:tcMar>
              <w:top w:w="15" w:type="dxa"/>
              <w:left w:w="0" w:type="dxa"/>
              <w:bottom w:w="0" w:type="dxa"/>
              <w:right w:w="15" w:type="dxa"/>
            </w:tcMar>
            <w:vAlign w:val="bottom"/>
            <w:hideMark/>
          </w:tcPr>
          <w:p w14:paraId="7FF6B6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6C85F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0C5EE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A2581B" w14:textId="77777777" w:rsidR="00000000" w:rsidRDefault="007125B5">
            <w:pPr>
              <w:pStyle w:val="a3"/>
              <w:spacing w:before="0" w:beforeAutospacing="0" w:after="0" w:afterAutospacing="0"/>
              <w:jc w:val="right"/>
              <w:rPr>
                <w:color w:val="000000"/>
                <w:sz w:val="20"/>
                <w:szCs w:val="20"/>
              </w:rPr>
            </w:pPr>
            <w:r>
              <w:rPr>
                <w:color w:val="000000"/>
                <w:sz w:val="20"/>
                <w:szCs w:val="20"/>
              </w:rPr>
              <w:t>617</w:t>
            </w:r>
          </w:p>
        </w:tc>
        <w:tc>
          <w:tcPr>
            <w:tcW w:w="50" w:type="pct"/>
            <w:shd w:val="clear" w:color="auto" w:fill="CFF0FC"/>
            <w:noWrap/>
            <w:tcMar>
              <w:top w:w="15" w:type="dxa"/>
              <w:left w:w="0" w:type="dxa"/>
              <w:bottom w:w="0" w:type="dxa"/>
              <w:right w:w="15" w:type="dxa"/>
            </w:tcMar>
            <w:vAlign w:val="bottom"/>
            <w:hideMark/>
          </w:tcPr>
          <w:p w14:paraId="301ACB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EFE5A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DA08A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8B6EC6" w14:textId="77777777" w:rsidR="00000000" w:rsidRDefault="007125B5">
            <w:pPr>
              <w:pStyle w:val="a3"/>
              <w:spacing w:before="0" w:beforeAutospacing="0" w:after="0" w:afterAutospacing="0"/>
              <w:jc w:val="right"/>
              <w:rPr>
                <w:color w:val="000000"/>
                <w:sz w:val="20"/>
                <w:szCs w:val="20"/>
              </w:rPr>
            </w:pPr>
            <w:r>
              <w:rPr>
                <w:color w:val="000000"/>
                <w:sz w:val="20"/>
                <w:szCs w:val="20"/>
              </w:rPr>
              <w:t>212</w:t>
            </w:r>
          </w:p>
        </w:tc>
        <w:tc>
          <w:tcPr>
            <w:tcW w:w="50" w:type="pct"/>
            <w:shd w:val="clear" w:color="auto" w:fill="CFF0FC"/>
            <w:noWrap/>
            <w:tcMar>
              <w:top w:w="15" w:type="dxa"/>
              <w:left w:w="0" w:type="dxa"/>
              <w:bottom w:w="0" w:type="dxa"/>
              <w:right w:w="15" w:type="dxa"/>
            </w:tcMar>
            <w:vAlign w:val="bottom"/>
            <w:hideMark/>
          </w:tcPr>
          <w:p w14:paraId="092575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D29D0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29E81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B91EB6" w14:textId="77777777" w:rsidR="00000000" w:rsidRDefault="007125B5">
            <w:pPr>
              <w:pStyle w:val="a3"/>
              <w:spacing w:before="0" w:beforeAutospacing="0" w:after="0" w:afterAutospacing="0"/>
              <w:jc w:val="right"/>
              <w:rPr>
                <w:color w:val="000000"/>
                <w:sz w:val="20"/>
                <w:szCs w:val="20"/>
              </w:rPr>
            </w:pPr>
            <w:r>
              <w:rPr>
                <w:color w:val="000000"/>
                <w:sz w:val="20"/>
                <w:szCs w:val="20"/>
              </w:rPr>
              <w:t>1,693</w:t>
            </w:r>
          </w:p>
        </w:tc>
        <w:tc>
          <w:tcPr>
            <w:tcW w:w="50" w:type="pct"/>
            <w:shd w:val="clear" w:color="auto" w:fill="CFF0FC"/>
            <w:noWrap/>
            <w:tcMar>
              <w:top w:w="15" w:type="dxa"/>
              <w:left w:w="0" w:type="dxa"/>
              <w:bottom w:w="0" w:type="dxa"/>
              <w:right w:w="15" w:type="dxa"/>
            </w:tcMar>
            <w:vAlign w:val="bottom"/>
            <w:hideMark/>
          </w:tcPr>
          <w:p w14:paraId="7ADBDE9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FF83D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5EF2B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9226CE" w14:textId="77777777" w:rsidR="00000000" w:rsidRDefault="007125B5">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CFF0FC"/>
            <w:noWrap/>
            <w:tcMar>
              <w:top w:w="15" w:type="dxa"/>
              <w:left w:w="0" w:type="dxa"/>
              <w:bottom w:w="0" w:type="dxa"/>
              <w:right w:w="15" w:type="dxa"/>
            </w:tcMar>
            <w:vAlign w:val="bottom"/>
            <w:hideMark/>
          </w:tcPr>
          <w:p w14:paraId="7BE77BE2"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61827399"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499A798" w14:textId="77777777" w:rsidR="00000000" w:rsidRDefault="007125B5">
      <w:pPr>
        <w:pStyle w:val="a3"/>
        <w:spacing w:before="240" w:beforeAutospacing="0" w:after="0" w:afterAutospacing="0"/>
        <w:jc w:val="center"/>
        <w:rPr>
          <w:sz w:val="20"/>
          <w:szCs w:val="20"/>
        </w:rPr>
      </w:pPr>
      <w:r>
        <w:rPr>
          <w:sz w:val="20"/>
          <w:szCs w:val="20"/>
        </w:rPr>
        <w:t>21</w:t>
      </w:r>
    </w:p>
    <w:p w14:paraId="75BF6B73" w14:textId="77777777" w:rsidR="00000000" w:rsidRDefault="007125B5">
      <w:pPr>
        <w:rPr>
          <w:rFonts w:eastAsia="Times New Roman"/>
        </w:rPr>
      </w:pPr>
      <w:r>
        <w:rPr>
          <w:rFonts w:eastAsia="Times New Roman"/>
        </w:rPr>
        <w:pict w14:anchorId="744113DD">
          <v:rect id="_x0000_i1047" style="width:415.3pt;height:1.5pt" o:hralign="center" o:hrstd="t" o:hr="t" fillcolor="#a0a0a0" stroked="f"/>
        </w:pict>
      </w:r>
    </w:p>
    <w:p w14:paraId="4B8A16EF" w14:textId="77777777" w:rsidR="00000000" w:rsidRDefault="007125B5">
      <w:pPr>
        <w:pStyle w:val="a3"/>
        <w:spacing w:before="0" w:beforeAutospacing="0" w:after="0" w:afterAutospacing="0"/>
        <w:rPr>
          <w:sz w:val="20"/>
          <w:szCs w:val="20"/>
        </w:rPr>
      </w:pPr>
      <w:r>
        <w:rPr>
          <w:sz w:val="20"/>
          <w:szCs w:val="20"/>
        </w:rPr>
        <w:t> </w:t>
      </w:r>
    </w:p>
    <w:p w14:paraId="0B9EA7EB" w14:textId="77777777" w:rsidR="00000000" w:rsidRDefault="007125B5">
      <w:pPr>
        <w:pStyle w:val="a3"/>
        <w:shd w:val="clear" w:color="auto" w:fill="FFFFFF"/>
        <w:spacing w:before="160" w:beforeAutospacing="0" w:after="0" w:afterAutospacing="0"/>
        <w:rPr>
          <w:b/>
          <w:bCs/>
          <w:i/>
          <w:iCs/>
          <w:sz w:val="20"/>
          <w:szCs w:val="20"/>
        </w:rPr>
      </w:pPr>
      <w:bookmarkStart w:id="39" w:name="_AEIOULastRenderedPageBreakAEIOU24"/>
      <w:bookmarkEnd w:id="39"/>
      <w:r>
        <w:rPr>
          <w:b/>
          <w:bCs/>
          <w:i/>
          <w:iCs/>
          <w:sz w:val="20"/>
          <w:szCs w:val="20"/>
        </w:rPr>
        <w:t>Montrose Amended &amp; Restated 2017 Stock Incentive Plan</w:t>
      </w:r>
    </w:p>
    <w:p w14:paraId="609C94B9" w14:textId="77777777" w:rsidR="00000000" w:rsidRDefault="007125B5">
      <w:pPr>
        <w:pStyle w:val="a3"/>
        <w:shd w:val="clear" w:color="auto" w:fill="FFFFFF"/>
        <w:spacing w:before="120" w:beforeAutospacing="0" w:after="0" w:afterAutospacing="0"/>
        <w:ind w:firstLine="556"/>
        <w:rPr>
          <w:b/>
          <w:bCs/>
          <w:i/>
          <w:iCs/>
          <w:sz w:val="20"/>
          <w:szCs w:val="20"/>
        </w:rPr>
      </w:pPr>
      <w:r>
        <w:rPr>
          <w:b/>
          <w:bCs/>
          <w:i/>
          <w:iCs/>
          <w:sz w:val="20"/>
          <w:szCs w:val="20"/>
        </w:rPr>
        <w:t>Restricted Stock</w:t>
      </w:r>
      <w:r>
        <w:rPr>
          <w:sz w:val="20"/>
          <w:szCs w:val="20"/>
        </w:rPr>
        <w:t>—</w:t>
      </w:r>
      <w:r>
        <w:rPr>
          <w:sz w:val="20"/>
          <w:szCs w:val="20"/>
        </w:rPr>
        <w:t>During the six months ended June 30, 2020 and June 30, 2019, the Company issued 33,229 and 30,000 shares of restricted stock with a fair market value of $31.60 and $24.00 per share, respectively, to certain 2017 Plan participants as Director’s compensation</w:t>
      </w:r>
      <w:r>
        <w:rPr>
          <w:sz w:val="20"/>
          <w:szCs w:val="20"/>
        </w:rPr>
        <w:t>. These shares of restricted stock granted in the six months ended June 30, 2020 vest one year from the date of grant and the shares of restricted stock granted during the six months ended June 30, 2019 vest over three years, or, in each case, in full upon</w:t>
      </w:r>
      <w:r>
        <w:rPr>
          <w:sz w:val="20"/>
          <w:szCs w:val="20"/>
        </w:rPr>
        <w:t xml:space="preserve"> a change in control, subject to the participant’s continued service as a Director throughout such date, or upon retirement. Members of the Board of Directors that receive stock-based compensation are </w:t>
      </w:r>
      <w:r>
        <w:rPr>
          <w:color w:val="000000"/>
          <w:sz w:val="20"/>
          <w:szCs w:val="20"/>
        </w:rPr>
        <w:t>treated as employees for accounting purposes. No restri</w:t>
      </w:r>
      <w:r>
        <w:rPr>
          <w:color w:val="000000"/>
          <w:sz w:val="20"/>
          <w:szCs w:val="20"/>
        </w:rPr>
        <w:t>cted shares vested and were released as unrestricted shares of common stock during the six months ended June 30, 2020 and June 30, 2019. There were an aggregate of 273,122 and 242,025 restricted shares outstanding as of June 30, 2020 and June 30, 2019, res</w:t>
      </w:r>
      <w:r>
        <w:rPr>
          <w:color w:val="000000"/>
          <w:sz w:val="20"/>
          <w:szCs w:val="20"/>
        </w:rPr>
        <w:t>pectively. There were no forfeitures, cancellations or expirations of restricted shares during the six and three months ended June 30, 2020 and June 30, 2019.</w:t>
      </w:r>
    </w:p>
    <w:p w14:paraId="72025971" w14:textId="77777777" w:rsidR="00000000" w:rsidRDefault="007125B5">
      <w:pPr>
        <w:pStyle w:val="a3"/>
        <w:shd w:val="clear" w:color="auto" w:fill="FFFFFF"/>
        <w:spacing w:before="240" w:beforeAutospacing="0" w:after="0" w:afterAutospacing="0"/>
        <w:ind w:firstLine="556"/>
        <w:rPr>
          <w:b/>
          <w:bCs/>
          <w:i/>
          <w:iCs/>
          <w:sz w:val="20"/>
          <w:szCs w:val="20"/>
        </w:rPr>
      </w:pPr>
      <w:r>
        <w:rPr>
          <w:b/>
          <w:bCs/>
          <w:i/>
          <w:iCs/>
          <w:sz w:val="20"/>
          <w:szCs w:val="20"/>
        </w:rPr>
        <w:t>Options</w:t>
      </w:r>
      <w:r>
        <w:rPr>
          <w:sz w:val="20"/>
          <w:szCs w:val="20"/>
        </w:rPr>
        <w:t>—Options issued to all optionees under the 2017 Plan vest over four years from the date of</w:t>
      </w:r>
      <w:r>
        <w:rPr>
          <w:sz w:val="20"/>
          <w:szCs w:val="20"/>
        </w:rPr>
        <w:t xml:space="preserve"> issuance (or earlier vesting start date, as determined by the Board of Directors) as follows: one half on the second anniversary of date of grant and the remaining half on the fourth anniversary of the date of grant, with the exception of certain annual g</w:t>
      </w:r>
      <w:r>
        <w:rPr>
          <w:sz w:val="20"/>
          <w:szCs w:val="20"/>
        </w:rPr>
        <w:t>rants to certain executive officers, which vest annually over a 3-year period. The following summarizes the options activity of the 2017 Plan for the six months ended June 30, 2020 and June 30, 2019:</w:t>
      </w:r>
    </w:p>
    <w:p w14:paraId="5F2E34E4"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710"/>
        <w:gridCol w:w="77"/>
        <w:gridCol w:w="70"/>
        <w:gridCol w:w="665"/>
        <w:gridCol w:w="82"/>
        <w:gridCol w:w="65"/>
        <w:gridCol w:w="116"/>
        <w:gridCol w:w="646"/>
        <w:gridCol w:w="70"/>
        <w:gridCol w:w="77"/>
        <w:gridCol w:w="116"/>
        <w:gridCol w:w="646"/>
        <w:gridCol w:w="70"/>
        <w:gridCol w:w="77"/>
        <w:gridCol w:w="86"/>
        <w:gridCol w:w="676"/>
        <w:gridCol w:w="70"/>
        <w:gridCol w:w="77"/>
        <w:gridCol w:w="116"/>
        <w:gridCol w:w="724"/>
        <w:gridCol w:w="70"/>
      </w:tblGrid>
      <w:tr w:rsidR="00000000" w14:paraId="71CDFF57" w14:textId="77777777">
        <w:trPr>
          <w:divId w:val="2024087727"/>
          <w:jc w:val="center"/>
        </w:trPr>
        <w:tc>
          <w:tcPr>
            <w:tcW w:w="2239" w:type="pct"/>
            <w:shd w:val="clear" w:color="auto" w:fill="FFFFFF"/>
            <w:tcMar>
              <w:top w:w="15" w:type="dxa"/>
              <w:left w:w="0" w:type="dxa"/>
              <w:bottom w:w="0" w:type="dxa"/>
              <w:right w:w="15" w:type="dxa"/>
            </w:tcMar>
            <w:vAlign w:val="bottom"/>
            <w:hideMark/>
          </w:tcPr>
          <w:p w14:paraId="0AAFFDF3" w14:textId="77777777" w:rsidR="00000000" w:rsidRDefault="007125B5">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14:paraId="1CAE151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5D6AF31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 to</w:t>
            </w:r>
          </w:p>
          <w:p w14:paraId="6AFC588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Purchase</w:t>
            </w:r>
          </w:p>
          <w:p w14:paraId="6DDCFC1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Common</w:t>
            </w:r>
          </w:p>
          <w:p w14:paraId="51C028D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14:paraId="53EABCC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6F58285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241108A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Weighted-</w:t>
            </w:r>
          </w:p>
          <w:p w14:paraId="3C8576D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Av</w:t>
            </w:r>
            <w:r>
              <w:rPr>
                <w:b/>
                <w:bCs/>
                <w:color w:val="000000"/>
                <w:sz w:val="16"/>
                <w:szCs w:val="16"/>
              </w:rPr>
              <w:t>erage</w:t>
            </w:r>
          </w:p>
          <w:p w14:paraId="672CC1D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Exercise</w:t>
            </w:r>
          </w:p>
          <w:p w14:paraId="3B16181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Price per</w:t>
            </w:r>
          </w:p>
          <w:p w14:paraId="59A8391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Share</w:t>
            </w:r>
          </w:p>
        </w:tc>
        <w:tc>
          <w:tcPr>
            <w:tcW w:w="50" w:type="pct"/>
            <w:shd w:val="clear" w:color="auto" w:fill="FFFFFF"/>
            <w:noWrap/>
            <w:tcMar>
              <w:top w:w="15" w:type="dxa"/>
              <w:left w:w="0" w:type="dxa"/>
              <w:bottom w:w="0" w:type="dxa"/>
              <w:right w:w="15" w:type="dxa"/>
            </w:tcMar>
            <w:vAlign w:val="bottom"/>
            <w:hideMark/>
          </w:tcPr>
          <w:p w14:paraId="25A44EA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2B692D5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CFD149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Weighted</w:t>
            </w:r>
          </w:p>
          <w:p w14:paraId="140B77E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Average</w:t>
            </w:r>
          </w:p>
          <w:p w14:paraId="17031EB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Grant Date</w:t>
            </w:r>
          </w:p>
          <w:p w14:paraId="6DBD8DB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Fair Value</w:t>
            </w:r>
          </w:p>
          <w:p w14:paraId="1BF1C93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14:paraId="25C238C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2709CBD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3DDCE55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Weighted</w:t>
            </w:r>
          </w:p>
          <w:p w14:paraId="5E583C2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Average</w:t>
            </w:r>
          </w:p>
          <w:p w14:paraId="7A09CCA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Remaining</w:t>
            </w:r>
          </w:p>
          <w:p w14:paraId="64FC62D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Contract Life</w:t>
            </w:r>
          </w:p>
          <w:p w14:paraId="4168422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(in Years)</w:t>
            </w:r>
          </w:p>
        </w:tc>
        <w:tc>
          <w:tcPr>
            <w:tcW w:w="50" w:type="pct"/>
            <w:shd w:val="clear" w:color="auto" w:fill="FFFFFF"/>
            <w:noWrap/>
            <w:tcMar>
              <w:top w:w="15" w:type="dxa"/>
              <w:left w:w="0" w:type="dxa"/>
              <w:bottom w:w="0" w:type="dxa"/>
              <w:right w:w="15" w:type="dxa"/>
            </w:tcMar>
            <w:vAlign w:val="bottom"/>
            <w:hideMark/>
          </w:tcPr>
          <w:p w14:paraId="57BE6B3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3F232A4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319490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Aggregate</w:t>
            </w:r>
          </w:p>
          <w:p w14:paraId="3C13283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Intrinsic</w:t>
            </w:r>
          </w:p>
          <w:p w14:paraId="45FBD42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Value</w:t>
            </w:r>
          </w:p>
          <w:p w14:paraId="690698C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of In-The-</w:t>
            </w:r>
          </w:p>
          <w:p w14:paraId="3D202ED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Money</w:t>
            </w:r>
          </w:p>
          <w:p w14:paraId="16B19D1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 (in</w:t>
            </w:r>
          </w:p>
          <w:p w14:paraId="36E42A9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Thousands)</w:t>
            </w:r>
          </w:p>
        </w:tc>
        <w:tc>
          <w:tcPr>
            <w:tcW w:w="50" w:type="pct"/>
            <w:shd w:val="clear" w:color="auto" w:fill="FFFFFF"/>
            <w:noWrap/>
            <w:tcMar>
              <w:top w:w="15" w:type="dxa"/>
              <w:left w:w="0" w:type="dxa"/>
              <w:bottom w:w="0" w:type="dxa"/>
              <w:right w:w="15" w:type="dxa"/>
            </w:tcMar>
            <w:vAlign w:val="bottom"/>
            <w:hideMark/>
          </w:tcPr>
          <w:p w14:paraId="6A419A6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1B91F87" w14:textId="77777777">
        <w:trPr>
          <w:divId w:val="2024087727"/>
          <w:jc w:val="center"/>
        </w:trPr>
        <w:tc>
          <w:tcPr>
            <w:tcW w:w="2239" w:type="pct"/>
            <w:shd w:val="clear" w:color="auto" w:fill="CFF0FC"/>
            <w:tcMar>
              <w:top w:w="15" w:type="dxa"/>
              <w:left w:w="0" w:type="dxa"/>
              <w:bottom w:w="0" w:type="dxa"/>
              <w:right w:w="15" w:type="dxa"/>
            </w:tcMar>
            <w:hideMark/>
          </w:tcPr>
          <w:p w14:paraId="06C9B235" w14:textId="77777777" w:rsidR="00000000" w:rsidRDefault="007125B5">
            <w:pPr>
              <w:pStyle w:val="a3"/>
              <w:spacing w:before="0" w:beforeAutospacing="0" w:after="0" w:afterAutospacing="0"/>
              <w:rPr>
                <w:color w:val="000000"/>
                <w:sz w:val="20"/>
                <w:szCs w:val="20"/>
              </w:rPr>
            </w:pPr>
            <w:r>
              <w:rPr>
                <w:color w:val="000000"/>
                <w:sz w:val="20"/>
                <w:szCs w:val="20"/>
              </w:rPr>
              <w:t>Outstanding at December 31, 2018</w:t>
            </w:r>
          </w:p>
        </w:tc>
        <w:tc>
          <w:tcPr>
            <w:tcW w:w="54" w:type="pct"/>
            <w:shd w:val="clear" w:color="auto" w:fill="CFF0FC"/>
            <w:tcMar>
              <w:top w:w="15" w:type="dxa"/>
              <w:left w:w="0" w:type="dxa"/>
              <w:bottom w:w="0" w:type="dxa"/>
              <w:right w:w="15" w:type="dxa"/>
            </w:tcMar>
            <w:vAlign w:val="bottom"/>
            <w:hideMark/>
          </w:tcPr>
          <w:p w14:paraId="02C649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03B6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5794C24" w14:textId="77777777" w:rsidR="00000000" w:rsidRDefault="007125B5">
            <w:pPr>
              <w:pStyle w:val="a3"/>
              <w:spacing w:before="0" w:beforeAutospacing="0" w:after="0" w:afterAutospacing="0"/>
              <w:jc w:val="right"/>
              <w:rPr>
                <w:color w:val="000000"/>
                <w:sz w:val="20"/>
                <w:szCs w:val="20"/>
              </w:rPr>
            </w:pPr>
            <w:r>
              <w:rPr>
                <w:color w:val="000000"/>
                <w:sz w:val="20"/>
                <w:szCs w:val="20"/>
              </w:rPr>
              <w:t>257,762</w:t>
            </w:r>
          </w:p>
        </w:tc>
        <w:tc>
          <w:tcPr>
            <w:tcW w:w="50" w:type="pct"/>
            <w:shd w:val="clear" w:color="auto" w:fill="CFF0FC"/>
            <w:noWrap/>
            <w:tcMar>
              <w:top w:w="15" w:type="dxa"/>
              <w:left w:w="0" w:type="dxa"/>
              <w:bottom w:w="0" w:type="dxa"/>
              <w:right w:w="15" w:type="dxa"/>
            </w:tcMar>
            <w:vAlign w:val="bottom"/>
            <w:hideMark/>
          </w:tcPr>
          <w:p w14:paraId="196AA67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B80B9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5C95B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EE79E36" w14:textId="77777777" w:rsidR="00000000" w:rsidRDefault="007125B5">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46AD61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48503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F22FB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F1D780A" w14:textId="77777777" w:rsidR="00000000" w:rsidRDefault="007125B5">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3892FB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9C7AF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9CE7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A5F763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B46BC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3C8AD3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AB3BD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823FE99" w14:textId="77777777" w:rsidR="00000000" w:rsidRDefault="007125B5">
            <w:pPr>
              <w:pStyle w:val="a3"/>
              <w:spacing w:before="0" w:beforeAutospacing="0" w:after="0" w:afterAutospacing="0"/>
              <w:jc w:val="right"/>
              <w:rPr>
                <w:color w:val="000000"/>
                <w:sz w:val="20"/>
                <w:szCs w:val="20"/>
              </w:rPr>
            </w:pPr>
            <w:r>
              <w:rPr>
                <w:color w:val="000000"/>
                <w:sz w:val="20"/>
                <w:szCs w:val="20"/>
              </w:rPr>
              <w:t>1,151</w:t>
            </w:r>
          </w:p>
        </w:tc>
        <w:tc>
          <w:tcPr>
            <w:tcW w:w="50" w:type="pct"/>
            <w:shd w:val="clear" w:color="auto" w:fill="CFF0FC"/>
            <w:noWrap/>
            <w:tcMar>
              <w:top w:w="15" w:type="dxa"/>
              <w:left w:w="0" w:type="dxa"/>
              <w:bottom w:w="0" w:type="dxa"/>
              <w:right w:w="15" w:type="dxa"/>
            </w:tcMar>
            <w:vAlign w:val="bottom"/>
            <w:hideMark/>
          </w:tcPr>
          <w:p w14:paraId="27EB1CB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6C611F7" w14:textId="77777777">
        <w:trPr>
          <w:divId w:val="2024087727"/>
          <w:jc w:val="center"/>
        </w:trPr>
        <w:tc>
          <w:tcPr>
            <w:tcW w:w="2239" w:type="pct"/>
            <w:shd w:val="clear" w:color="auto" w:fill="FFFFFF"/>
            <w:tcMar>
              <w:top w:w="15" w:type="dxa"/>
              <w:left w:w="0" w:type="dxa"/>
              <w:bottom w:w="0" w:type="dxa"/>
              <w:right w:w="15" w:type="dxa"/>
            </w:tcMar>
            <w:hideMark/>
          </w:tcPr>
          <w:p w14:paraId="35FB345E" w14:textId="77777777" w:rsidR="00000000" w:rsidRDefault="007125B5">
            <w:pPr>
              <w:pStyle w:val="a3"/>
              <w:spacing w:before="0" w:beforeAutospacing="0" w:after="0" w:afterAutospacing="0"/>
              <w:ind w:left="274"/>
              <w:rPr>
                <w:color w:val="000000"/>
                <w:sz w:val="20"/>
                <w:szCs w:val="20"/>
              </w:rPr>
            </w:pPr>
            <w:r>
              <w:rPr>
                <w:color w:val="000000"/>
                <w:sz w:val="20"/>
                <w:szCs w:val="20"/>
              </w:rPr>
              <w:t>Granted</w:t>
            </w:r>
          </w:p>
        </w:tc>
        <w:tc>
          <w:tcPr>
            <w:tcW w:w="54" w:type="pct"/>
            <w:shd w:val="clear" w:color="auto" w:fill="FFFFFF"/>
            <w:tcMar>
              <w:top w:w="15" w:type="dxa"/>
              <w:left w:w="0" w:type="dxa"/>
              <w:bottom w:w="0" w:type="dxa"/>
              <w:right w:w="15" w:type="dxa"/>
            </w:tcMar>
            <w:vAlign w:val="bottom"/>
            <w:hideMark/>
          </w:tcPr>
          <w:p w14:paraId="0114C8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4C6E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302A7B34" w14:textId="77777777" w:rsidR="00000000" w:rsidRDefault="007125B5">
            <w:pPr>
              <w:pStyle w:val="a3"/>
              <w:spacing w:before="0" w:beforeAutospacing="0" w:after="0" w:afterAutospacing="0"/>
              <w:jc w:val="right"/>
              <w:rPr>
                <w:color w:val="000000"/>
                <w:sz w:val="20"/>
                <w:szCs w:val="20"/>
              </w:rPr>
            </w:pPr>
            <w:r>
              <w:rPr>
                <w:color w:val="000000"/>
                <w:sz w:val="20"/>
                <w:szCs w:val="20"/>
              </w:rPr>
              <w:t>308,990</w:t>
            </w:r>
          </w:p>
        </w:tc>
        <w:tc>
          <w:tcPr>
            <w:tcW w:w="50" w:type="pct"/>
            <w:shd w:val="clear" w:color="auto" w:fill="FFFFFF"/>
            <w:noWrap/>
            <w:tcMar>
              <w:top w:w="15" w:type="dxa"/>
              <w:left w:w="0" w:type="dxa"/>
              <w:bottom w:w="0" w:type="dxa"/>
              <w:right w:w="15" w:type="dxa"/>
            </w:tcMar>
            <w:vAlign w:val="bottom"/>
            <w:hideMark/>
          </w:tcPr>
          <w:p w14:paraId="68C53F3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217D1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DF38A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C8CB6BC" w14:textId="77777777" w:rsidR="00000000" w:rsidRDefault="007125B5">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14:paraId="0D4B04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2077A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EC46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A6AA3BB" w14:textId="77777777" w:rsidR="00000000" w:rsidRDefault="007125B5">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481813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EAD21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E7FF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938445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A2B4B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2FCAF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E65A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A2FC01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E9C20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B119FDE" w14:textId="77777777">
        <w:trPr>
          <w:divId w:val="2024087727"/>
          <w:jc w:val="center"/>
        </w:trPr>
        <w:tc>
          <w:tcPr>
            <w:tcW w:w="2239" w:type="pct"/>
            <w:shd w:val="clear" w:color="auto" w:fill="CFF0FC"/>
            <w:tcMar>
              <w:top w:w="15" w:type="dxa"/>
              <w:left w:w="0" w:type="dxa"/>
              <w:bottom w:w="0" w:type="dxa"/>
              <w:right w:w="15" w:type="dxa"/>
            </w:tcMar>
            <w:hideMark/>
          </w:tcPr>
          <w:p w14:paraId="77ABEEC5" w14:textId="77777777" w:rsidR="00000000" w:rsidRDefault="007125B5">
            <w:pPr>
              <w:pStyle w:val="a3"/>
              <w:spacing w:before="0" w:beforeAutospacing="0" w:after="0" w:afterAutospacing="0"/>
              <w:ind w:left="274"/>
              <w:rPr>
                <w:color w:val="000000"/>
                <w:sz w:val="20"/>
                <w:szCs w:val="20"/>
              </w:rPr>
            </w:pPr>
            <w:r>
              <w:rPr>
                <w:color w:val="000000"/>
                <w:sz w:val="20"/>
                <w:szCs w:val="20"/>
              </w:rPr>
              <w:t>Forfeitured/cancelled</w:t>
            </w:r>
          </w:p>
        </w:tc>
        <w:tc>
          <w:tcPr>
            <w:tcW w:w="54" w:type="pct"/>
            <w:shd w:val="clear" w:color="auto" w:fill="CFF0FC"/>
            <w:tcMar>
              <w:top w:w="15" w:type="dxa"/>
              <w:left w:w="0" w:type="dxa"/>
              <w:bottom w:w="0" w:type="dxa"/>
              <w:right w:w="15" w:type="dxa"/>
            </w:tcMar>
            <w:vAlign w:val="bottom"/>
            <w:hideMark/>
          </w:tcPr>
          <w:p w14:paraId="19F3E4B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992E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5B8C2518" w14:textId="77777777" w:rsidR="00000000" w:rsidRDefault="007125B5">
            <w:pPr>
              <w:pStyle w:val="a3"/>
              <w:spacing w:before="0" w:beforeAutospacing="0" w:after="0" w:afterAutospacing="0"/>
              <w:jc w:val="right"/>
              <w:rPr>
                <w:color w:val="000000"/>
                <w:sz w:val="20"/>
                <w:szCs w:val="20"/>
              </w:rPr>
            </w:pPr>
            <w:r>
              <w:rPr>
                <w:color w:val="000000"/>
                <w:sz w:val="20"/>
                <w:szCs w:val="20"/>
              </w:rPr>
              <w:t>(14,800</w:t>
            </w:r>
          </w:p>
        </w:tc>
        <w:tc>
          <w:tcPr>
            <w:tcW w:w="50" w:type="pct"/>
            <w:shd w:val="clear" w:color="auto" w:fill="CFF0FC"/>
            <w:noWrap/>
            <w:tcMar>
              <w:top w:w="15" w:type="dxa"/>
              <w:left w:w="0" w:type="dxa"/>
              <w:bottom w:w="0" w:type="dxa"/>
              <w:right w:w="15" w:type="dxa"/>
            </w:tcMar>
            <w:vAlign w:val="bottom"/>
            <w:hideMark/>
          </w:tcPr>
          <w:p w14:paraId="2A77F9E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57BA50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9F0E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6DFEC1D1" w14:textId="77777777" w:rsidR="00000000" w:rsidRDefault="007125B5">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14:paraId="615E53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AB286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DE1FF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5204AE1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9859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7A736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4E43C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52E74CB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770B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8108D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E185A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075797B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64FB8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81CCE61" w14:textId="77777777">
        <w:trPr>
          <w:divId w:val="2024087727"/>
          <w:jc w:val="center"/>
        </w:trPr>
        <w:tc>
          <w:tcPr>
            <w:tcW w:w="2239" w:type="pct"/>
            <w:shd w:val="clear" w:color="auto" w:fill="FFFFFF"/>
            <w:tcMar>
              <w:top w:w="15" w:type="dxa"/>
              <w:left w:w="0" w:type="dxa"/>
              <w:bottom w:w="0" w:type="dxa"/>
              <w:right w:w="15" w:type="dxa"/>
            </w:tcMar>
            <w:hideMark/>
          </w:tcPr>
          <w:p w14:paraId="5E2EC1DE" w14:textId="77777777" w:rsidR="00000000" w:rsidRDefault="007125B5">
            <w:pPr>
              <w:pStyle w:val="a3"/>
              <w:spacing w:before="0" w:beforeAutospacing="0" w:after="0" w:afterAutospacing="0"/>
              <w:rPr>
                <w:color w:val="000000"/>
                <w:sz w:val="20"/>
                <w:szCs w:val="20"/>
              </w:rPr>
            </w:pPr>
            <w:r>
              <w:rPr>
                <w:color w:val="000000"/>
                <w:sz w:val="20"/>
                <w:szCs w:val="20"/>
              </w:rPr>
              <w:t>Outstanding at June 30, 2019</w:t>
            </w:r>
          </w:p>
        </w:tc>
        <w:tc>
          <w:tcPr>
            <w:tcW w:w="54" w:type="pct"/>
            <w:shd w:val="clear" w:color="auto" w:fill="FFFFFF"/>
            <w:tcMar>
              <w:top w:w="15" w:type="dxa"/>
              <w:left w:w="0" w:type="dxa"/>
              <w:bottom w:w="0" w:type="dxa"/>
              <w:right w:w="15" w:type="dxa"/>
            </w:tcMar>
            <w:vAlign w:val="bottom"/>
            <w:hideMark/>
          </w:tcPr>
          <w:p w14:paraId="42D040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4D53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137C157A" w14:textId="77777777" w:rsidR="00000000" w:rsidRDefault="007125B5">
            <w:pPr>
              <w:pStyle w:val="a3"/>
              <w:spacing w:before="0" w:beforeAutospacing="0" w:after="0" w:afterAutospacing="0"/>
              <w:jc w:val="right"/>
              <w:rPr>
                <w:color w:val="000000"/>
                <w:sz w:val="20"/>
                <w:szCs w:val="20"/>
              </w:rPr>
            </w:pPr>
            <w:r>
              <w:rPr>
                <w:color w:val="000000"/>
                <w:sz w:val="20"/>
                <w:szCs w:val="20"/>
              </w:rPr>
              <w:t>551,952</w:t>
            </w:r>
          </w:p>
        </w:tc>
        <w:tc>
          <w:tcPr>
            <w:tcW w:w="50" w:type="pct"/>
            <w:shd w:val="clear" w:color="auto" w:fill="FFFFFF"/>
            <w:noWrap/>
            <w:tcMar>
              <w:top w:w="15" w:type="dxa"/>
              <w:left w:w="0" w:type="dxa"/>
              <w:bottom w:w="0" w:type="dxa"/>
              <w:right w:w="15" w:type="dxa"/>
            </w:tcMar>
            <w:vAlign w:val="bottom"/>
            <w:hideMark/>
          </w:tcPr>
          <w:p w14:paraId="1A50AB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3BE37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358DC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1307321D" w14:textId="77777777" w:rsidR="00000000" w:rsidRDefault="007125B5">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161A3D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7B096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C7AB5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2A925588" w14:textId="77777777" w:rsidR="00000000" w:rsidRDefault="007125B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14:paraId="4AE80E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379C6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C54D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941BB1D"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9B43C7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281C2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71B3D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B14B5C5" w14:textId="77777777" w:rsidR="00000000" w:rsidRDefault="007125B5">
            <w:pPr>
              <w:pStyle w:val="a3"/>
              <w:spacing w:before="0" w:beforeAutospacing="0" w:after="0" w:afterAutospacing="0"/>
              <w:jc w:val="right"/>
              <w:rPr>
                <w:color w:val="000000"/>
                <w:sz w:val="20"/>
                <w:szCs w:val="20"/>
              </w:rPr>
            </w:pPr>
            <w:r>
              <w:rPr>
                <w:color w:val="000000"/>
                <w:sz w:val="20"/>
                <w:szCs w:val="20"/>
              </w:rPr>
              <w:t>2,136</w:t>
            </w:r>
          </w:p>
        </w:tc>
        <w:tc>
          <w:tcPr>
            <w:tcW w:w="50" w:type="pct"/>
            <w:shd w:val="clear" w:color="auto" w:fill="FFFFFF"/>
            <w:noWrap/>
            <w:tcMar>
              <w:top w:w="15" w:type="dxa"/>
              <w:left w:w="0" w:type="dxa"/>
              <w:bottom w:w="0" w:type="dxa"/>
              <w:right w:w="15" w:type="dxa"/>
            </w:tcMar>
            <w:vAlign w:val="bottom"/>
            <w:hideMark/>
          </w:tcPr>
          <w:p w14:paraId="248E09D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2CE68FB" w14:textId="77777777">
        <w:trPr>
          <w:divId w:val="2024087727"/>
          <w:jc w:val="center"/>
        </w:trPr>
        <w:tc>
          <w:tcPr>
            <w:tcW w:w="2239" w:type="pct"/>
            <w:shd w:val="clear" w:color="auto" w:fill="CFF0FC"/>
            <w:tcMar>
              <w:top w:w="15" w:type="dxa"/>
              <w:left w:w="0" w:type="dxa"/>
              <w:bottom w:w="0" w:type="dxa"/>
              <w:right w:w="15" w:type="dxa"/>
            </w:tcMar>
            <w:hideMark/>
          </w:tcPr>
          <w:p w14:paraId="042645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B42D0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4961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32FAA7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AAC3E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02A9C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B2B4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BCA7C5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11A6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A32DD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770E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E62F89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E799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10A5B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7044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EEE8CB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9A4AD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A34D5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F7CA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824B50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4114F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BBDE391" w14:textId="77777777">
        <w:trPr>
          <w:divId w:val="2024087727"/>
          <w:jc w:val="center"/>
        </w:trPr>
        <w:tc>
          <w:tcPr>
            <w:tcW w:w="2239" w:type="pct"/>
            <w:shd w:val="clear" w:color="auto" w:fill="FFFFFF"/>
            <w:tcMar>
              <w:top w:w="15" w:type="dxa"/>
              <w:left w:w="0" w:type="dxa"/>
              <w:bottom w:w="0" w:type="dxa"/>
              <w:right w:w="15" w:type="dxa"/>
            </w:tcMar>
            <w:hideMark/>
          </w:tcPr>
          <w:p w14:paraId="439E1477" w14:textId="77777777" w:rsidR="00000000" w:rsidRDefault="007125B5">
            <w:pPr>
              <w:pStyle w:val="a3"/>
              <w:spacing w:before="0" w:beforeAutospacing="0" w:after="0" w:afterAutospacing="0"/>
              <w:rPr>
                <w:color w:val="000000"/>
                <w:sz w:val="20"/>
                <w:szCs w:val="20"/>
              </w:rPr>
            </w:pPr>
            <w:r>
              <w:rPr>
                <w:color w:val="000000"/>
                <w:sz w:val="20"/>
                <w:szCs w:val="20"/>
              </w:rPr>
              <w:t>Outstanding at December 31, 2019</w:t>
            </w:r>
          </w:p>
        </w:tc>
        <w:tc>
          <w:tcPr>
            <w:tcW w:w="54" w:type="pct"/>
            <w:shd w:val="clear" w:color="auto" w:fill="FFFFFF"/>
            <w:tcMar>
              <w:top w:w="15" w:type="dxa"/>
              <w:left w:w="0" w:type="dxa"/>
              <w:bottom w:w="0" w:type="dxa"/>
              <w:right w:w="15" w:type="dxa"/>
            </w:tcMar>
            <w:vAlign w:val="bottom"/>
            <w:hideMark/>
          </w:tcPr>
          <w:p w14:paraId="2283E4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DA9B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3593ABD8" w14:textId="77777777" w:rsidR="00000000" w:rsidRDefault="007125B5">
            <w:pPr>
              <w:pStyle w:val="a3"/>
              <w:spacing w:before="0" w:beforeAutospacing="0" w:after="0" w:afterAutospacing="0"/>
              <w:jc w:val="right"/>
              <w:rPr>
                <w:color w:val="000000"/>
                <w:sz w:val="20"/>
                <w:szCs w:val="20"/>
              </w:rPr>
            </w:pPr>
            <w:r>
              <w:rPr>
                <w:color w:val="000000"/>
                <w:sz w:val="20"/>
                <w:szCs w:val="20"/>
              </w:rPr>
              <w:t>617,852</w:t>
            </w:r>
          </w:p>
        </w:tc>
        <w:tc>
          <w:tcPr>
            <w:tcW w:w="50" w:type="pct"/>
            <w:shd w:val="clear" w:color="auto" w:fill="FFFFFF"/>
            <w:noWrap/>
            <w:tcMar>
              <w:top w:w="15" w:type="dxa"/>
              <w:left w:w="0" w:type="dxa"/>
              <w:bottom w:w="0" w:type="dxa"/>
              <w:right w:w="15" w:type="dxa"/>
            </w:tcMar>
            <w:vAlign w:val="bottom"/>
            <w:hideMark/>
          </w:tcPr>
          <w:p w14:paraId="7D344F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AD870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71FE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C3BA2B8" w14:textId="77777777" w:rsidR="00000000" w:rsidRDefault="007125B5">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14:paraId="16DE73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EFBAC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0BA5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1EB77E9" w14:textId="77777777" w:rsidR="00000000" w:rsidRDefault="007125B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14:paraId="4163E4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03F58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2F75B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CC3781E" w14:textId="77777777" w:rsidR="00000000" w:rsidRDefault="007125B5">
            <w:pPr>
              <w:pStyle w:val="a3"/>
              <w:spacing w:before="0" w:beforeAutospacing="0" w:after="0" w:afterAutospacing="0"/>
              <w:jc w:val="right"/>
              <w:rPr>
                <w:color w:val="000000"/>
                <w:sz w:val="20"/>
                <w:szCs w:val="20"/>
              </w:rPr>
            </w:pPr>
            <w:r>
              <w:rPr>
                <w:color w:val="000000"/>
                <w:sz w:val="20"/>
                <w:szCs w:val="20"/>
              </w:rPr>
              <w:t>7.82</w:t>
            </w:r>
          </w:p>
        </w:tc>
        <w:tc>
          <w:tcPr>
            <w:tcW w:w="50" w:type="pct"/>
            <w:shd w:val="clear" w:color="auto" w:fill="FFFFFF"/>
            <w:noWrap/>
            <w:tcMar>
              <w:top w:w="15" w:type="dxa"/>
              <w:left w:w="0" w:type="dxa"/>
              <w:bottom w:w="0" w:type="dxa"/>
              <w:right w:w="15" w:type="dxa"/>
            </w:tcMar>
            <w:vAlign w:val="bottom"/>
            <w:hideMark/>
          </w:tcPr>
          <w:p w14:paraId="71E40F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5265F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39E9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4CC1361" w14:textId="77777777" w:rsidR="00000000" w:rsidRDefault="007125B5">
            <w:pPr>
              <w:pStyle w:val="a3"/>
              <w:spacing w:before="0" w:beforeAutospacing="0" w:after="0" w:afterAutospacing="0"/>
              <w:jc w:val="right"/>
              <w:rPr>
                <w:color w:val="000000"/>
                <w:sz w:val="20"/>
                <w:szCs w:val="20"/>
              </w:rPr>
            </w:pPr>
            <w:r>
              <w:rPr>
                <w:color w:val="000000"/>
                <w:sz w:val="20"/>
                <w:szCs w:val="20"/>
              </w:rPr>
              <w:t>4,696</w:t>
            </w:r>
          </w:p>
        </w:tc>
        <w:tc>
          <w:tcPr>
            <w:tcW w:w="50" w:type="pct"/>
            <w:shd w:val="clear" w:color="auto" w:fill="FFFFFF"/>
            <w:noWrap/>
            <w:tcMar>
              <w:top w:w="15" w:type="dxa"/>
              <w:left w:w="0" w:type="dxa"/>
              <w:bottom w:w="0" w:type="dxa"/>
              <w:right w:w="15" w:type="dxa"/>
            </w:tcMar>
            <w:vAlign w:val="bottom"/>
            <w:hideMark/>
          </w:tcPr>
          <w:p w14:paraId="74102DE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4028C69" w14:textId="77777777">
        <w:trPr>
          <w:divId w:val="2024087727"/>
          <w:jc w:val="center"/>
        </w:trPr>
        <w:tc>
          <w:tcPr>
            <w:tcW w:w="2239" w:type="pct"/>
            <w:shd w:val="clear" w:color="auto" w:fill="CFF0FC"/>
            <w:tcMar>
              <w:top w:w="15" w:type="dxa"/>
              <w:left w:w="0" w:type="dxa"/>
              <w:bottom w:w="0" w:type="dxa"/>
              <w:right w:w="15" w:type="dxa"/>
            </w:tcMar>
            <w:hideMark/>
          </w:tcPr>
          <w:p w14:paraId="2ECFF3D7" w14:textId="77777777" w:rsidR="00000000" w:rsidRDefault="007125B5">
            <w:pPr>
              <w:pStyle w:val="a3"/>
              <w:spacing w:before="0" w:beforeAutospacing="0" w:after="0" w:afterAutospacing="0"/>
              <w:ind w:left="274"/>
              <w:rPr>
                <w:color w:val="000000"/>
                <w:sz w:val="20"/>
                <w:szCs w:val="20"/>
              </w:rPr>
            </w:pPr>
            <w:r>
              <w:rPr>
                <w:color w:val="000000"/>
                <w:sz w:val="20"/>
                <w:szCs w:val="20"/>
              </w:rPr>
              <w:t>Granted</w:t>
            </w:r>
          </w:p>
        </w:tc>
        <w:tc>
          <w:tcPr>
            <w:tcW w:w="54" w:type="pct"/>
            <w:shd w:val="clear" w:color="auto" w:fill="CFF0FC"/>
            <w:tcMar>
              <w:top w:w="15" w:type="dxa"/>
              <w:left w:w="0" w:type="dxa"/>
              <w:bottom w:w="0" w:type="dxa"/>
              <w:right w:w="15" w:type="dxa"/>
            </w:tcMar>
            <w:vAlign w:val="bottom"/>
            <w:hideMark/>
          </w:tcPr>
          <w:p w14:paraId="7ACA41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3F56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4D5952D" w14:textId="77777777" w:rsidR="00000000" w:rsidRDefault="007125B5">
            <w:pPr>
              <w:pStyle w:val="a3"/>
              <w:spacing w:before="0" w:beforeAutospacing="0" w:after="0" w:afterAutospacing="0"/>
              <w:jc w:val="right"/>
              <w:rPr>
                <w:color w:val="000000"/>
                <w:sz w:val="20"/>
                <w:szCs w:val="20"/>
              </w:rPr>
            </w:pPr>
            <w:r>
              <w:rPr>
                <w:color w:val="000000"/>
                <w:sz w:val="20"/>
                <w:szCs w:val="20"/>
              </w:rPr>
              <w:t>160,712</w:t>
            </w:r>
          </w:p>
        </w:tc>
        <w:tc>
          <w:tcPr>
            <w:tcW w:w="50" w:type="pct"/>
            <w:shd w:val="clear" w:color="auto" w:fill="CFF0FC"/>
            <w:noWrap/>
            <w:tcMar>
              <w:top w:w="15" w:type="dxa"/>
              <w:left w:w="0" w:type="dxa"/>
              <w:bottom w:w="0" w:type="dxa"/>
              <w:right w:w="15" w:type="dxa"/>
            </w:tcMar>
            <w:vAlign w:val="bottom"/>
            <w:hideMark/>
          </w:tcPr>
          <w:p w14:paraId="70C8D8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42F61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C2879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29D91EC6" w14:textId="77777777" w:rsidR="00000000" w:rsidRDefault="007125B5">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097E67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146FE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94F6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CBAD1E1" w14:textId="77777777" w:rsidR="00000000" w:rsidRDefault="007125B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14:paraId="761264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AAC32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0E14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644EE5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781C0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3D726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DEC3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FF2E44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2D2C2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E6517AB" w14:textId="77777777">
        <w:trPr>
          <w:divId w:val="2024087727"/>
          <w:jc w:val="center"/>
        </w:trPr>
        <w:tc>
          <w:tcPr>
            <w:tcW w:w="2239" w:type="pct"/>
            <w:shd w:val="clear" w:color="auto" w:fill="FFFFFF"/>
            <w:tcMar>
              <w:top w:w="15" w:type="dxa"/>
              <w:left w:w="0" w:type="dxa"/>
              <w:bottom w:w="0" w:type="dxa"/>
              <w:right w:w="15" w:type="dxa"/>
            </w:tcMar>
            <w:hideMark/>
          </w:tcPr>
          <w:p w14:paraId="30D1683E" w14:textId="77777777" w:rsidR="00000000" w:rsidRDefault="007125B5">
            <w:pPr>
              <w:pStyle w:val="a3"/>
              <w:spacing w:before="0" w:beforeAutospacing="0" w:after="0" w:afterAutospacing="0"/>
              <w:ind w:left="274"/>
              <w:rPr>
                <w:color w:val="000000"/>
                <w:sz w:val="20"/>
                <w:szCs w:val="20"/>
              </w:rPr>
            </w:pPr>
            <w:r>
              <w:rPr>
                <w:color w:val="000000"/>
                <w:sz w:val="20"/>
                <w:szCs w:val="20"/>
              </w:rPr>
              <w:t>Forfeitured/cancelled</w:t>
            </w:r>
          </w:p>
        </w:tc>
        <w:tc>
          <w:tcPr>
            <w:tcW w:w="54" w:type="pct"/>
            <w:shd w:val="clear" w:color="auto" w:fill="FFFFFF"/>
            <w:tcMar>
              <w:top w:w="15" w:type="dxa"/>
              <w:left w:w="0" w:type="dxa"/>
              <w:bottom w:w="0" w:type="dxa"/>
              <w:right w:w="15" w:type="dxa"/>
            </w:tcMar>
            <w:vAlign w:val="bottom"/>
            <w:hideMark/>
          </w:tcPr>
          <w:p w14:paraId="6C98F3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B051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1449B3E" w14:textId="77777777" w:rsidR="00000000" w:rsidRDefault="007125B5">
            <w:pPr>
              <w:pStyle w:val="a3"/>
              <w:spacing w:before="0" w:beforeAutospacing="0" w:after="0" w:afterAutospacing="0"/>
              <w:jc w:val="right"/>
              <w:rPr>
                <w:color w:val="000000"/>
                <w:sz w:val="20"/>
                <w:szCs w:val="20"/>
              </w:rPr>
            </w:pPr>
            <w:r>
              <w:rPr>
                <w:color w:val="000000"/>
                <w:sz w:val="20"/>
                <w:szCs w:val="20"/>
              </w:rPr>
              <w:t>(5,500</w:t>
            </w:r>
          </w:p>
        </w:tc>
        <w:tc>
          <w:tcPr>
            <w:tcW w:w="50" w:type="pct"/>
            <w:shd w:val="clear" w:color="auto" w:fill="FFFFFF"/>
            <w:noWrap/>
            <w:tcMar>
              <w:top w:w="15" w:type="dxa"/>
              <w:left w:w="0" w:type="dxa"/>
              <w:bottom w:w="0" w:type="dxa"/>
              <w:right w:w="15" w:type="dxa"/>
            </w:tcMar>
            <w:vAlign w:val="bottom"/>
            <w:hideMark/>
          </w:tcPr>
          <w:p w14:paraId="4004435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7E97FB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792B1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41AE1EBB" w14:textId="77777777" w:rsidR="00000000" w:rsidRDefault="007125B5">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4FDDCE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B3DDF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FC6C0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66E62F6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B480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2A0FD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330A0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1214D4F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3AA5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8DCB8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68EA4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952DFD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614A1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A8A56B3" w14:textId="77777777">
        <w:trPr>
          <w:divId w:val="2024087727"/>
          <w:jc w:val="center"/>
        </w:trPr>
        <w:tc>
          <w:tcPr>
            <w:tcW w:w="2239" w:type="pct"/>
            <w:shd w:val="clear" w:color="auto" w:fill="CFF0FC"/>
            <w:tcMar>
              <w:top w:w="15" w:type="dxa"/>
              <w:left w:w="0" w:type="dxa"/>
              <w:bottom w:w="0" w:type="dxa"/>
              <w:right w:w="15" w:type="dxa"/>
            </w:tcMar>
            <w:hideMark/>
          </w:tcPr>
          <w:p w14:paraId="3749F2DB" w14:textId="77777777" w:rsidR="00000000" w:rsidRDefault="007125B5">
            <w:pPr>
              <w:pStyle w:val="a3"/>
              <w:spacing w:before="0" w:beforeAutospacing="0" w:after="0" w:afterAutospacing="0"/>
              <w:rPr>
                <w:color w:val="000000"/>
                <w:sz w:val="20"/>
                <w:szCs w:val="20"/>
              </w:rPr>
            </w:pPr>
            <w:r>
              <w:rPr>
                <w:color w:val="000000"/>
                <w:sz w:val="20"/>
                <w:szCs w:val="20"/>
              </w:rPr>
              <w:t>Outstanding at June 30, 2020</w:t>
            </w:r>
          </w:p>
        </w:tc>
        <w:tc>
          <w:tcPr>
            <w:tcW w:w="54" w:type="pct"/>
            <w:shd w:val="clear" w:color="auto" w:fill="CFF0FC"/>
            <w:tcMar>
              <w:top w:w="15" w:type="dxa"/>
              <w:left w:w="0" w:type="dxa"/>
              <w:bottom w:w="0" w:type="dxa"/>
              <w:right w:w="15" w:type="dxa"/>
            </w:tcMar>
            <w:vAlign w:val="bottom"/>
            <w:hideMark/>
          </w:tcPr>
          <w:p w14:paraId="2AF69F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552A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3E6917" w14:textId="77777777" w:rsidR="00000000" w:rsidRDefault="007125B5">
            <w:pPr>
              <w:pStyle w:val="a3"/>
              <w:spacing w:before="0" w:beforeAutospacing="0" w:after="0" w:afterAutospacing="0"/>
              <w:jc w:val="right"/>
              <w:rPr>
                <w:color w:val="000000"/>
                <w:sz w:val="20"/>
                <w:szCs w:val="20"/>
              </w:rPr>
            </w:pPr>
            <w:r>
              <w:rPr>
                <w:color w:val="000000"/>
                <w:sz w:val="20"/>
                <w:szCs w:val="20"/>
              </w:rPr>
              <w:t>773,064</w:t>
            </w:r>
          </w:p>
        </w:tc>
        <w:tc>
          <w:tcPr>
            <w:tcW w:w="50" w:type="pct"/>
            <w:shd w:val="clear" w:color="auto" w:fill="CFF0FC"/>
            <w:noWrap/>
            <w:tcMar>
              <w:top w:w="15" w:type="dxa"/>
              <w:left w:w="0" w:type="dxa"/>
              <w:bottom w:w="0" w:type="dxa"/>
              <w:right w:w="15" w:type="dxa"/>
            </w:tcMar>
            <w:vAlign w:val="bottom"/>
            <w:hideMark/>
          </w:tcPr>
          <w:p w14:paraId="7D52722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EF2BB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102B7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517416" w14:textId="77777777" w:rsidR="00000000" w:rsidRDefault="007125B5">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14:paraId="4FDF30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0492E4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815D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7FBD695" w14:textId="77777777" w:rsidR="00000000" w:rsidRDefault="007125B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14:paraId="2363FB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DB080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3020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4B2136" w14:textId="77777777" w:rsidR="00000000" w:rsidRDefault="007125B5">
            <w:pPr>
              <w:pStyle w:val="a3"/>
              <w:spacing w:before="0" w:beforeAutospacing="0" w:after="0" w:afterAutospacing="0"/>
              <w:jc w:val="right"/>
              <w:rPr>
                <w:color w:val="000000"/>
                <w:sz w:val="20"/>
                <w:szCs w:val="20"/>
              </w:rPr>
            </w:pPr>
            <w:r>
              <w:rPr>
                <w:color w:val="000000"/>
                <w:sz w:val="20"/>
                <w:szCs w:val="20"/>
              </w:rPr>
              <w:t>8.03</w:t>
            </w:r>
          </w:p>
        </w:tc>
        <w:tc>
          <w:tcPr>
            <w:tcW w:w="50" w:type="pct"/>
            <w:shd w:val="clear" w:color="auto" w:fill="CFF0FC"/>
            <w:noWrap/>
            <w:tcMar>
              <w:top w:w="15" w:type="dxa"/>
              <w:left w:w="0" w:type="dxa"/>
              <w:bottom w:w="0" w:type="dxa"/>
              <w:right w:w="15" w:type="dxa"/>
            </w:tcMar>
            <w:vAlign w:val="bottom"/>
            <w:hideMark/>
          </w:tcPr>
          <w:p w14:paraId="49460A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F0160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2D933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9136E9" w14:textId="77777777" w:rsidR="00000000" w:rsidRDefault="007125B5">
            <w:pPr>
              <w:pStyle w:val="a3"/>
              <w:spacing w:before="0" w:beforeAutospacing="0" w:after="0" w:afterAutospacing="0"/>
              <w:jc w:val="right"/>
              <w:rPr>
                <w:color w:val="000000"/>
                <w:sz w:val="20"/>
                <w:szCs w:val="20"/>
              </w:rPr>
            </w:pPr>
            <w:r>
              <w:rPr>
                <w:color w:val="000000"/>
                <w:sz w:val="20"/>
                <w:szCs w:val="20"/>
              </w:rPr>
              <w:t>4,651</w:t>
            </w:r>
          </w:p>
        </w:tc>
        <w:tc>
          <w:tcPr>
            <w:tcW w:w="50" w:type="pct"/>
            <w:shd w:val="clear" w:color="auto" w:fill="CFF0FC"/>
            <w:noWrap/>
            <w:tcMar>
              <w:top w:w="15" w:type="dxa"/>
              <w:left w:w="0" w:type="dxa"/>
              <w:bottom w:w="0" w:type="dxa"/>
              <w:right w:w="15" w:type="dxa"/>
            </w:tcMar>
            <w:vAlign w:val="bottom"/>
            <w:hideMark/>
          </w:tcPr>
          <w:p w14:paraId="2AF455B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00A29CE" w14:textId="77777777">
        <w:trPr>
          <w:divId w:val="2024087727"/>
          <w:jc w:val="center"/>
        </w:trPr>
        <w:tc>
          <w:tcPr>
            <w:tcW w:w="2239" w:type="pct"/>
            <w:shd w:val="clear" w:color="auto" w:fill="FFFFFF"/>
            <w:tcMar>
              <w:top w:w="15" w:type="dxa"/>
              <w:left w:w="0" w:type="dxa"/>
              <w:bottom w:w="0" w:type="dxa"/>
              <w:right w:w="15" w:type="dxa"/>
            </w:tcMar>
            <w:hideMark/>
          </w:tcPr>
          <w:p w14:paraId="282D1AD2" w14:textId="77777777" w:rsidR="00000000" w:rsidRDefault="007125B5">
            <w:pPr>
              <w:pStyle w:val="a3"/>
              <w:spacing w:before="0" w:beforeAutospacing="0" w:after="0" w:afterAutospacing="0"/>
              <w:rPr>
                <w:color w:val="000000"/>
                <w:sz w:val="20"/>
                <w:szCs w:val="20"/>
              </w:rPr>
            </w:pPr>
            <w:r>
              <w:rPr>
                <w:color w:val="000000"/>
                <w:sz w:val="20"/>
                <w:szCs w:val="20"/>
              </w:rPr>
              <w:t>Options vested and expected to vest</w:t>
            </w:r>
          </w:p>
        </w:tc>
        <w:tc>
          <w:tcPr>
            <w:tcW w:w="54" w:type="pct"/>
            <w:shd w:val="clear" w:color="auto" w:fill="FFFFFF"/>
            <w:tcMar>
              <w:top w:w="15" w:type="dxa"/>
              <w:left w:w="0" w:type="dxa"/>
              <w:bottom w:w="0" w:type="dxa"/>
              <w:right w:w="15" w:type="dxa"/>
            </w:tcMar>
            <w:vAlign w:val="bottom"/>
            <w:hideMark/>
          </w:tcPr>
          <w:p w14:paraId="656AC5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2C75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942D98" w14:textId="77777777" w:rsidR="00000000" w:rsidRDefault="007125B5">
            <w:pPr>
              <w:pStyle w:val="a3"/>
              <w:spacing w:before="0" w:beforeAutospacing="0" w:after="0" w:afterAutospacing="0"/>
              <w:jc w:val="right"/>
              <w:rPr>
                <w:color w:val="000000"/>
                <w:sz w:val="20"/>
                <w:szCs w:val="20"/>
              </w:rPr>
            </w:pPr>
            <w:r>
              <w:rPr>
                <w:color w:val="000000"/>
                <w:sz w:val="20"/>
                <w:szCs w:val="20"/>
              </w:rPr>
              <w:t>773,064</w:t>
            </w:r>
          </w:p>
        </w:tc>
        <w:tc>
          <w:tcPr>
            <w:tcW w:w="50" w:type="pct"/>
            <w:shd w:val="clear" w:color="auto" w:fill="FFFFFF"/>
            <w:noWrap/>
            <w:tcMar>
              <w:top w:w="15" w:type="dxa"/>
              <w:left w:w="0" w:type="dxa"/>
              <w:bottom w:w="0" w:type="dxa"/>
              <w:right w:w="15" w:type="dxa"/>
            </w:tcMar>
            <w:vAlign w:val="bottom"/>
            <w:hideMark/>
          </w:tcPr>
          <w:p w14:paraId="2FA61C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298880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0A6FDB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215F028F" w14:textId="77777777" w:rsidR="00000000" w:rsidRDefault="007125B5">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FFFFFF"/>
            <w:noWrap/>
            <w:tcMar>
              <w:top w:w="15" w:type="dxa"/>
              <w:left w:w="0" w:type="dxa"/>
              <w:bottom w:w="0" w:type="dxa"/>
              <w:right w:w="15" w:type="dxa"/>
            </w:tcMar>
            <w:vAlign w:val="bottom"/>
            <w:hideMark/>
          </w:tcPr>
          <w:p w14:paraId="54F1F59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166F4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C3E6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76DF1A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DC35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DFEA6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D46859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6580E7AC" w14:textId="77777777" w:rsidR="00000000" w:rsidRDefault="007125B5">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14:paraId="1D4493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ACF93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850A69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0912B1AA" w14:textId="77777777" w:rsidR="00000000" w:rsidRDefault="007125B5">
            <w:pPr>
              <w:pStyle w:val="a3"/>
              <w:spacing w:before="0" w:beforeAutospacing="0" w:after="0" w:afterAutospacing="0"/>
              <w:jc w:val="right"/>
              <w:rPr>
                <w:color w:val="000000"/>
                <w:sz w:val="20"/>
                <w:szCs w:val="20"/>
              </w:rPr>
            </w:pPr>
            <w:r>
              <w:rPr>
                <w:color w:val="000000"/>
                <w:sz w:val="20"/>
                <w:szCs w:val="20"/>
              </w:rPr>
              <w:t>4,651</w:t>
            </w:r>
          </w:p>
        </w:tc>
        <w:tc>
          <w:tcPr>
            <w:tcW w:w="50" w:type="pct"/>
            <w:shd w:val="clear" w:color="auto" w:fill="FFFFFF"/>
            <w:noWrap/>
            <w:tcMar>
              <w:top w:w="15" w:type="dxa"/>
              <w:left w:w="0" w:type="dxa"/>
              <w:bottom w:w="0" w:type="dxa"/>
              <w:right w:w="15" w:type="dxa"/>
            </w:tcMar>
            <w:vAlign w:val="bottom"/>
            <w:hideMark/>
          </w:tcPr>
          <w:p w14:paraId="2D3687F2"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40F283FA" w14:textId="77777777" w:rsidR="00000000" w:rsidRDefault="007125B5">
      <w:pPr>
        <w:pStyle w:val="a3"/>
        <w:shd w:val="clear" w:color="auto" w:fill="FFFFFF"/>
        <w:spacing w:before="0" w:beforeAutospacing="0" w:after="0" w:afterAutospacing="0"/>
        <w:rPr>
          <w:sz w:val="20"/>
          <w:szCs w:val="20"/>
        </w:rPr>
      </w:pPr>
      <w:r>
        <w:rPr>
          <w:sz w:val="20"/>
          <w:szCs w:val="20"/>
        </w:rPr>
        <w:t> </w:t>
      </w:r>
    </w:p>
    <w:p w14:paraId="32BDD3E1" w14:textId="77777777" w:rsidR="00000000" w:rsidRDefault="007125B5">
      <w:pPr>
        <w:pStyle w:val="a3"/>
        <w:shd w:val="clear" w:color="auto" w:fill="FFFFFF"/>
        <w:spacing w:before="40" w:beforeAutospacing="0" w:after="0" w:afterAutospacing="0"/>
        <w:ind w:firstLine="556"/>
        <w:rPr>
          <w:sz w:val="20"/>
          <w:szCs w:val="20"/>
        </w:rPr>
      </w:pPr>
      <w:r>
        <w:rPr>
          <w:sz w:val="20"/>
          <w:szCs w:val="20"/>
        </w:rPr>
        <w:t>The following weighted-average assumptions were used in the Black-Sholes option-pricing model calculation for the six months ended June 30, 2020 and June 30, 2019:</w:t>
      </w:r>
    </w:p>
    <w:p w14:paraId="37763236"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22"/>
        <w:gridCol w:w="65"/>
        <w:gridCol w:w="115"/>
        <w:gridCol w:w="634"/>
        <w:gridCol w:w="182"/>
        <w:gridCol w:w="65"/>
        <w:gridCol w:w="115"/>
        <w:gridCol w:w="634"/>
        <w:gridCol w:w="182"/>
      </w:tblGrid>
      <w:tr w:rsidR="00000000" w14:paraId="658D4F69" w14:textId="77777777">
        <w:trPr>
          <w:divId w:val="1974092763"/>
          <w:jc w:val="center"/>
        </w:trPr>
        <w:tc>
          <w:tcPr>
            <w:tcW w:w="3349" w:type="pct"/>
            <w:shd w:val="clear" w:color="auto" w:fill="FFFFFF"/>
            <w:tcMar>
              <w:top w:w="15" w:type="dxa"/>
              <w:left w:w="0" w:type="dxa"/>
              <w:bottom w:w="0" w:type="dxa"/>
              <w:right w:w="15" w:type="dxa"/>
            </w:tcMar>
            <w:vAlign w:val="bottom"/>
            <w:hideMark/>
          </w:tcPr>
          <w:p w14:paraId="4C71026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2677145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155554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p w14:paraId="01B4892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5FECEF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1B57019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3E42A1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p w14:paraId="132F090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E797BC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75B26613" w14:textId="77777777">
        <w:trPr>
          <w:divId w:val="1974092763"/>
          <w:jc w:val="center"/>
        </w:trPr>
        <w:tc>
          <w:tcPr>
            <w:tcW w:w="3349" w:type="pct"/>
            <w:shd w:val="clear" w:color="auto" w:fill="CFF0FC"/>
            <w:tcMar>
              <w:top w:w="15" w:type="dxa"/>
              <w:left w:w="0" w:type="dxa"/>
              <w:bottom w:w="0" w:type="dxa"/>
              <w:right w:w="15" w:type="dxa"/>
            </w:tcMar>
            <w:hideMark/>
          </w:tcPr>
          <w:p w14:paraId="792C671A" w14:textId="77777777" w:rsidR="00000000" w:rsidRDefault="007125B5">
            <w:pPr>
              <w:pStyle w:val="a3"/>
              <w:spacing w:before="0" w:beforeAutospacing="0" w:after="0" w:afterAutospacing="0"/>
              <w:rPr>
                <w:color w:val="000000"/>
                <w:sz w:val="20"/>
                <w:szCs w:val="20"/>
              </w:rPr>
            </w:pPr>
            <w:r>
              <w:rPr>
                <w:color w:val="000000"/>
                <w:sz w:val="20"/>
                <w:szCs w:val="20"/>
              </w:rPr>
              <w:t>Common stock value (per share)</w:t>
            </w:r>
          </w:p>
        </w:tc>
        <w:tc>
          <w:tcPr>
            <w:tcW w:w="81" w:type="pct"/>
            <w:shd w:val="clear" w:color="auto" w:fill="CFF0FC"/>
            <w:tcMar>
              <w:top w:w="15" w:type="dxa"/>
              <w:left w:w="0" w:type="dxa"/>
              <w:bottom w:w="0" w:type="dxa"/>
              <w:right w:w="15" w:type="dxa"/>
            </w:tcMar>
            <w:vAlign w:val="bottom"/>
            <w:hideMark/>
          </w:tcPr>
          <w:p w14:paraId="377C49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122EC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2997A08" w14:textId="77777777" w:rsidR="00000000" w:rsidRDefault="007125B5">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CFF0FC"/>
            <w:noWrap/>
            <w:tcMar>
              <w:top w:w="15" w:type="dxa"/>
              <w:left w:w="0" w:type="dxa"/>
              <w:bottom w:w="0" w:type="dxa"/>
              <w:right w:w="15" w:type="dxa"/>
            </w:tcMar>
            <w:vAlign w:val="bottom"/>
            <w:hideMark/>
          </w:tcPr>
          <w:p w14:paraId="04EB7AC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8D1A6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F786D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BFBE30F" w14:textId="77777777" w:rsidR="00000000" w:rsidRDefault="007125B5">
            <w:pPr>
              <w:pStyle w:val="a3"/>
              <w:spacing w:before="0" w:beforeAutospacing="0" w:after="0" w:afterAutospacing="0"/>
              <w:jc w:val="right"/>
              <w:rPr>
                <w:color w:val="000000"/>
                <w:sz w:val="20"/>
                <w:szCs w:val="20"/>
              </w:rPr>
            </w:pPr>
            <w:r>
              <w:rPr>
                <w:color w:val="000000"/>
                <w:sz w:val="20"/>
                <w:szCs w:val="20"/>
              </w:rPr>
              <w:t>26.90</w:t>
            </w:r>
          </w:p>
        </w:tc>
        <w:tc>
          <w:tcPr>
            <w:tcW w:w="50" w:type="pct"/>
            <w:shd w:val="clear" w:color="auto" w:fill="CFF0FC"/>
            <w:noWrap/>
            <w:tcMar>
              <w:top w:w="15" w:type="dxa"/>
              <w:left w:w="0" w:type="dxa"/>
              <w:bottom w:w="0" w:type="dxa"/>
              <w:right w:w="15" w:type="dxa"/>
            </w:tcMar>
            <w:vAlign w:val="bottom"/>
            <w:hideMark/>
          </w:tcPr>
          <w:p w14:paraId="294275E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337389C" w14:textId="77777777">
        <w:trPr>
          <w:divId w:val="1974092763"/>
          <w:jc w:val="center"/>
        </w:trPr>
        <w:tc>
          <w:tcPr>
            <w:tcW w:w="3349" w:type="pct"/>
            <w:shd w:val="clear" w:color="auto" w:fill="FFFFFF"/>
            <w:tcMar>
              <w:top w:w="15" w:type="dxa"/>
              <w:left w:w="0" w:type="dxa"/>
              <w:bottom w:w="0" w:type="dxa"/>
              <w:right w:w="15" w:type="dxa"/>
            </w:tcMar>
            <w:hideMark/>
          </w:tcPr>
          <w:p w14:paraId="5802DF76" w14:textId="77777777" w:rsidR="00000000" w:rsidRDefault="007125B5">
            <w:pPr>
              <w:pStyle w:val="a3"/>
              <w:spacing w:before="0" w:beforeAutospacing="0" w:after="0" w:afterAutospacing="0"/>
              <w:rPr>
                <w:color w:val="000000"/>
                <w:sz w:val="20"/>
                <w:szCs w:val="20"/>
              </w:rPr>
            </w:pPr>
            <w:r>
              <w:rPr>
                <w:color w:val="000000"/>
                <w:sz w:val="20"/>
                <w:szCs w:val="20"/>
              </w:rPr>
              <w:t>Expected volatility</w:t>
            </w:r>
          </w:p>
        </w:tc>
        <w:tc>
          <w:tcPr>
            <w:tcW w:w="81" w:type="pct"/>
            <w:shd w:val="clear" w:color="auto" w:fill="FFFFFF"/>
            <w:tcMar>
              <w:top w:w="15" w:type="dxa"/>
              <w:left w:w="0" w:type="dxa"/>
              <w:bottom w:w="0" w:type="dxa"/>
              <w:right w:w="15" w:type="dxa"/>
            </w:tcMar>
            <w:vAlign w:val="bottom"/>
            <w:hideMark/>
          </w:tcPr>
          <w:p w14:paraId="014395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D49F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FE84C57" w14:textId="77777777" w:rsidR="00000000" w:rsidRDefault="007125B5">
            <w:pPr>
              <w:pStyle w:val="a3"/>
              <w:spacing w:before="0" w:beforeAutospacing="0" w:after="0" w:afterAutospacing="0"/>
              <w:jc w:val="right"/>
              <w:rPr>
                <w:color w:val="000000"/>
                <w:sz w:val="20"/>
                <w:szCs w:val="20"/>
              </w:rPr>
            </w:pPr>
            <w:r>
              <w:rPr>
                <w:color w:val="000000"/>
                <w:sz w:val="20"/>
                <w:szCs w:val="20"/>
              </w:rPr>
              <w:t>45.26</w:t>
            </w:r>
          </w:p>
        </w:tc>
        <w:tc>
          <w:tcPr>
            <w:tcW w:w="50" w:type="pct"/>
            <w:shd w:val="clear" w:color="auto" w:fill="FFFFFF"/>
            <w:noWrap/>
            <w:tcMar>
              <w:top w:w="15" w:type="dxa"/>
              <w:left w:w="0" w:type="dxa"/>
              <w:bottom w:w="0" w:type="dxa"/>
              <w:right w:w="15" w:type="dxa"/>
            </w:tcMar>
            <w:vAlign w:val="bottom"/>
            <w:hideMark/>
          </w:tcPr>
          <w:p w14:paraId="7DC564C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18B928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42BB5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51AB88D" w14:textId="77777777" w:rsidR="00000000" w:rsidRDefault="007125B5">
            <w:pPr>
              <w:pStyle w:val="a3"/>
              <w:spacing w:before="0" w:beforeAutospacing="0" w:after="0" w:afterAutospacing="0"/>
              <w:jc w:val="right"/>
              <w:rPr>
                <w:color w:val="000000"/>
                <w:sz w:val="20"/>
                <w:szCs w:val="20"/>
              </w:rPr>
            </w:pPr>
            <w:r>
              <w:rPr>
                <w:color w:val="000000"/>
                <w:sz w:val="20"/>
                <w:szCs w:val="20"/>
              </w:rPr>
              <w:t>48.42</w:t>
            </w:r>
          </w:p>
        </w:tc>
        <w:tc>
          <w:tcPr>
            <w:tcW w:w="50" w:type="pct"/>
            <w:shd w:val="clear" w:color="auto" w:fill="FFFFFF"/>
            <w:noWrap/>
            <w:tcMar>
              <w:top w:w="15" w:type="dxa"/>
              <w:left w:w="0" w:type="dxa"/>
              <w:bottom w:w="0" w:type="dxa"/>
              <w:right w:w="15" w:type="dxa"/>
            </w:tcMar>
            <w:vAlign w:val="bottom"/>
            <w:hideMark/>
          </w:tcPr>
          <w:p w14:paraId="0D26C3EE"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B7CB1F2" w14:textId="77777777">
        <w:trPr>
          <w:divId w:val="1974092763"/>
          <w:jc w:val="center"/>
        </w:trPr>
        <w:tc>
          <w:tcPr>
            <w:tcW w:w="3349" w:type="pct"/>
            <w:shd w:val="clear" w:color="auto" w:fill="CFF0FC"/>
            <w:tcMar>
              <w:top w:w="15" w:type="dxa"/>
              <w:left w:w="0" w:type="dxa"/>
              <w:bottom w:w="0" w:type="dxa"/>
              <w:right w:w="15" w:type="dxa"/>
            </w:tcMar>
            <w:hideMark/>
          </w:tcPr>
          <w:p w14:paraId="18838686" w14:textId="77777777" w:rsidR="00000000" w:rsidRDefault="007125B5">
            <w:pPr>
              <w:pStyle w:val="a3"/>
              <w:spacing w:before="0" w:beforeAutospacing="0" w:after="0" w:afterAutospacing="0"/>
              <w:rPr>
                <w:color w:val="000000"/>
                <w:sz w:val="20"/>
                <w:szCs w:val="20"/>
              </w:rPr>
            </w:pPr>
            <w:r>
              <w:rPr>
                <w:color w:val="000000"/>
                <w:sz w:val="20"/>
                <w:szCs w:val="20"/>
              </w:rPr>
              <w:t>Risk-free interest rate</w:t>
            </w:r>
          </w:p>
        </w:tc>
        <w:tc>
          <w:tcPr>
            <w:tcW w:w="81" w:type="pct"/>
            <w:shd w:val="clear" w:color="auto" w:fill="CFF0FC"/>
            <w:tcMar>
              <w:top w:w="15" w:type="dxa"/>
              <w:left w:w="0" w:type="dxa"/>
              <w:bottom w:w="0" w:type="dxa"/>
              <w:right w:w="15" w:type="dxa"/>
            </w:tcMar>
            <w:vAlign w:val="bottom"/>
            <w:hideMark/>
          </w:tcPr>
          <w:p w14:paraId="08CC91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081E3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17C4FB7" w14:textId="77777777" w:rsidR="00000000" w:rsidRDefault="007125B5">
            <w:pPr>
              <w:pStyle w:val="a3"/>
              <w:spacing w:before="0" w:beforeAutospacing="0" w:after="0" w:afterAutospacing="0"/>
              <w:jc w:val="right"/>
              <w:rPr>
                <w:color w:val="000000"/>
                <w:sz w:val="20"/>
                <w:szCs w:val="20"/>
              </w:rPr>
            </w:pPr>
            <w:r>
              <w:rPr>
                <w:color w:val="000000"/>
                <w:sz w:val="20"/>
                <w:szCs w:val="20"/>
              </w:rPr>
              <w:t>0.49</w:t>
            </w:r>
          </w:p>
        </w:tc>
        <w:tc>
          <w:tcPr>
            <w:tcW w:w="50" w:type="pct"/>
            <w:shd w:val="clear" w:color="auto" w:fill="CFF0FC"/>
            <w:noWrap/>
            <w:tcMar>
              <w:top w:w="15" w:type="dxa"/>
              <w:left w:w="0" w:type="dxa"/>
              <w:bottom w:w="0" w:type="dxa"/>
              <w:right w:w="15" w:type="dxa"/>
            </w:tcMar>
            <w:vAlign w:val="bottom"/>
            <w:hideMark/>
          </w:tcPr>
          <w:p w14:paraId="490B059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46E2FB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D08E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7EBF559" w14:textId="77777777" w:rsidR="00000000" w:rsidRDefault="007125B5">
            <w:pPr>
              <w:pStyle w:val="a3"/>
              <w:spacing w:before="0" w:beforeAutospacing="0" w:after="0" w:afterAutospacing="0"/>
              <w:jc w:val="right"/>
              <w:rPr>
                <w:color w:val="000000"/>
                <w:sz w:val="20"/>
                <w:szCs w:val="20"/>
              </w:rPr>
            </w:pPr>
            <w:r>
              <w:rPr>
                <w:color w:val="000000"/>
                <w:sz w:val="20"/>
                <w:szCs w:val="20"/>
              </w:rPr>
              <w:t>2.19</w:t>
            </w:r>
          </w:p>
        </w:tc>
        <w:tc>
          <w:tcPr>
            <w:tcW w:w="50" w:type="pct"/>
            <w:shd w:val="clear" w:color="auto" w:fill="CFF0FC"/>
            <w:noWrap/>
            <w:tcMar>
              <w:top w:w="15" w:type="dxa"/>
              <w:left w:w="0" w:type="dxa"/>
              <w:bottom w:w="0" w:type="dxa"/>
              <w:right w:w="15" w:type="dxa"/>
            </w:tcMar>
            <w:vAlign w:val="bottom"/>
            <w:hideMark/>
          </w:tcPr>
          <w:p w14:paraId="7230215C"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2DA793D" w14:textId="77777777">
        <w:trPr>
          <w:divId w:val="1974092763"/>
          <w:jc w:val="center"/>
        </w:trPr>
        <w:tc>
          <w:tcPr>
            <w:tcW w:w="3349" w:type="pct"/>
            <w:shd w:val="clear" w:color="auto" w:fill="FFFFFF"/>
            <w:tcMar>
              <w:top w:w="15" w:type="dxa"/>
              <w:left w:w="0" w:type="dxa"/>
              <w:bottom w:w="0" w:type="dxa"/>
              <w:right w:w="15" w:type="dxa"/>
            </w:tcMar>
            <w:hideMark/>
          </w:tcPr>
          <w:p w14:paraId="39C35D91" w14:textId="77777777" w:rsidR="00000000" w:rsidRDefault="007125B5">
            <w:pPr>
              <w:pStyle w:val="a3"/>
              <w:spacing w:before="0" w:beforeAutospacing="0" w:after="0" w:afterAutospacing="0"/>
              <w:rPr>
                <w:color w:val="000000"/>
                <w:sz w:val="20"/>
                <w:szCs w:val="20"/>
              </w:rPr>
            </w:pPr>
            <w:r>
              <w:rPr>
                <w:color w:val="000000"/>
                <w:sz w:val="20"/>
                <w:szCs w:val="20"/>
              </w:rPr>
              <w:t>Expected life (years)</w:t>
            </w:r>
          </w:p>
        </w:tc>
        <w:tc>
          <w:tcPr>
            <w:tcW w:w="81" w:type="pct"/>
            <w:shd w:val="clear" w:color="auto" w:fill="FFFFFF"/>
            <w:tcMar>
              <w:top w:w="15" w:type="dxa"/>
              <w:left w:w="0" w:type="dxa"/>
              <w:bottom w:w="0" w:type="dxa"/>
              <w:right w:w="15" w:type="dxa"/>
            </w:tcMar>
            <w:vAlign w:val="bottom"/>
            <w:hideMark/>
          </w:tcPr>
          <w:p w14:paraId="16E956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AA0E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700F5AE" w14:textId="77777777" w:rsidR="00000000" w:rsidRDefault="007125B5">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2ADE0C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38B862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A629E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3A29BC6" w14:textId="77777777" w:rsidR="00000000" w:rsidRDefault="007125B5">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603EC36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B140A39" w14:textId="77777777">
        <w:trPr>
          <w:divId w:val="1974092763"/>
          <w:jc w:val="center"/>
        </w:trPr>
        <w:tc>
          <w:tcPr>
            <w:tcW w:w="3349" w:type="pct"/>
            <w:shd w:val="clear" w:color="auto" w:fill="CFF0FC"/>
            <w:tcMar>
              <w:top w:w="15" w:type="dxa"/>
              <w:left w:w="0" w:type="dxa"/>
              <w:bottom w:w="0" w:type="dxa"/>
              <w:right w:w="15" w:type="dxa"/>
            </w:tcMar>
            <w:hideMark/>
          </w:tcPr>
          <w:p w14:paraId="726A15EA" w14:textId="77777777" w:rsidR="00000000" w:rsidRDefault="007125B5">
            <w:pPr>
              <w:pStyle w:val="a3"/>
              <w:spacing w:before="0" w:beforeAutospacing="0" w:after="0" w:afterAutospacing="0"/>
              <w:rPr>
                <w:color w:val="000000"/>
                <w:sz w:val="20"/>
                <w:szCs w:val="20"/>
              </w:rPr>
            </w:pPr>
            <w:r>
              <w:rPr>
                <w:color w:val="000000"/>
                <w:sz w:val="20"/>
                <w:szCs w:val="20"/>
              </w:rPr>
              <w:t>Forfeiture rate</w:t>
            </w:r>
          </w:p>
        </w:tc>
        <w:tc>
          <w:tcPr>
            <w:tcW w:w="81" w:type="pct"/>
            <w:shd w:val="clear" w:color="auto" w:fill="CFF0FC"/>
            <w:tcMar>
              <w:top w:w="15" w:type="dxa"/>
              <w:left w:w="0" w:type="dxa"/>
              <w:bottom w:w="0" w:type="dxa"/>
              <w:right w:w="15" w:type="dxa"/>
            </w:tcMar>
            <w:vAlign w:val="bottom"/>
            <w:hideMark/>
          </w:tcPr>
          <w:p w14:paraId="6AD79C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CFF0FC"/>
            <w:tcMar>
              <w:top w:w="15" w:type="dxa"/>
              <w:left w:w="0" w:type="dxa"/>
              <w:bottom w:w="0" w:type="dxa"/>
              <w:right w:w="15" w:type="dxa"/>
            </w:tcMar>
            <w:vAlign w:val="bottom"/>
            <w:hideMark/>
          </w:tcPr>
          <w:p w14:paraId="6C9818EC" w14:textId="77777777" w:rsidR="00000000" w:rsidRDefault="007125B5">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CFF0FC"/>
            <w:noWrap/>
            <w:tcMar>
              <w:top w:w="15" w:type="dxa"/>
              <w:left w:w="0" w:type="dxa"/>
              <w:bottom w:w="0" w:type="dxa"/>
              <w:right w:w="15" w:type="dxa"/>
            </w:tcMar>
            <w:vAlign w:val="bottom"/>
            <w:hideMark/>
          </w:tcPr>
          <w:p w14:paraId="2200F92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A639B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CFF0FC"/>
            <w:tcMar>
              <w:top w:w="15" w:type="dxa"/>
              <w:left w:w="0" w:type="dxa"/>
              <w:bottom w:w="0" w:type="dxa"/>
              <w:right w:w="15" w:type="dxa"/>
            </w:tcMar>
            <w:vAlign w:val="bottom"/>
            <w:hideMark/>
          </w:tcPr>
          <w:p w14:paraId="7A55002A" w14:textId="77777777" w:rsidR="00000000" w:rsidRDefault="007125B5">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CFF0FC"/>
            <w:noWrap/>
            <w:tcMar>
              <w:top w:w="15" w:type="dxa"/>
              <w:left w:w="0" w:type="dxa"/>
              <w:bottom w:w="0" w:type="dxa"/>
              <w:right w:w="15" w:type="dxa"/>
            </w:tcMar>
            <w:vAlign w:val="bottom"/>
            <w:hideMark/>
          </w:tcPr>
          <w:p w14:paraId="29F4455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822E704" w14:textId="77777777">
        <w:trPr>
          <w:divId w:val="1974092763"/>
          <w:jc w:val="center"/>
        </w:trPr>
        <w:tc>
          <w:tcPr>
            <w:tcW w:w="3349" w:type="pct"/>
            <w:shd w:val="clear" w:color="auto" w:fill="FFFFFF"/>
            <w:tcMar>
              <w:top w:w="15" w:type="dxa"/>
              <w:left w:w="0" w:type="dxa"/>
              <w:bottom w:w="0" w:type="dxa"/>
              <w:right w:w="15" w:type="dxa"/>
            </w:tcMar>
            <w:hideMark/>
          </w:tcPr>
          <w:p w14:paraId="6AD8DF5B" w14:textId="77777777" w:rsidR="00000000" w:rsidRDefault="007125B5">
            <w:pPr>
              <w:pStyle w:val="a3"/>
              <w:spacing w:before="0" w:beforeAutospacing="0" w:after="0" w:afterAutospacing="0"/>
              <w:rPr>
                <w:color w:val="000000"/>
                <w:sz w:val="20"/>
                <w:szCs w:val="20"/>
              </w:rPr>
            </w:pPr>
            <w:r>
              <w:rPr>
                <w:color w:val="000000"/>
                <w:sz w:val="20"/>
                <w:szCs w:val="20"/>
              </w:rPr>
              <w:t>Dividend rate</w:t>
            </w:r>
          </w:p>
        </w:tc>
        <w:tc>
          <w:tcPr>
            <w:tcW w:w="81" w:type="pct"/>
            <w:shd w:val="clear" w:color="auto" w:fill="FFFFFF"/>
            <w:tcMar>
              <w:top w:w="15" w:type="dxa"/>
              <w:left w:w="0" w:type="dxa"/>
              <w:bottom w:w="0" w:type="dxa"/>
              <w:right w:w="15" w:type="dxa"/>
            </w:tcMar>
            <w:vAlign w:val="bottom"/>
            <w:hideMark/>
          </w:tcPr>
          <w:p w14:paraId="1CFD9E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bottom"/>
            <w:hideMark/>
          </w:tcPr>
          <w:p w14:paraId="48A9B80E" w14:textId="77777777" w:rsidR="00000000" w:rsidRDefault="007125B5">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FFFFFF"/>
            <w:noWrap/>
            <w:tcMar>
              <w:top w:w="15" w:type="dxa"/>
              <w:left w:w="0" w:type="dxa"/>
              <w:bottom w:w="0" w:type="dxa"/>
              <w:right w:w="15" w:type="dxa"/>
            </w:tcMar>
            <w:vAlign w:val="bottom"/>
            <w:hideMark/>
          </w:tcPr>
          <w:p w14:paraId="3206C2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85366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bottom"/>
            <w:hideMark/>
          </w:tcPr>
          <w:p w14:paraId="429F74C0" w14:textId="77777777" w:rsidR="00000000" w:rsidRDefault="007125B5">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FFFFFF"/>
            <w:noWrap/>
            <w:tcMar>
              <w:top w:w="15" w:type="dxa"/>
              <w:left w:w="0" w:type="dxa"/>
              <w:bottom w:w="0" w:type="dxa"/>
              <w:right w:w="15" w:type="dxa"/>
            </w:tcMar>
            <w:vAlign w:val="bottom"/>
            <w:hideMark/>
          </w:tcPr>
          <w:p w14:paraId="7A4EB281"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2E054A83" w14:textId="77777777" w:rsidR="00000000" w:rsidRDefault="007125B5">
      <w:pPr>
        <w:pStyle w:val="a3"/>
        <w:shd w:val="clear" w:color="auto" w:fill="FFFFFF"/>
        <w:spacing w:before="0" w:beforeAutospacing="0" w:after="0" w:afterAutospacing="0"/>
        <w:rPr>
          <w:sz w:val="20"/>
          <w:szCs w:val="20"/>
        </w:rPr>
      </w:pPr>
      <w:r>
        <w:rPr>
          <w:sz w:val="20"/>
          <w:szCs w:val="20"/>
        </w:rPr>
        <w:t> </w:t>
      </w:r>
    </w:p>
    <w:p w14:paraId="1C085710" w14:textId="77777777" w:rsidR="00000000" w:rsidRDefault="007125B5">
      <w:pPr>
        <w:pStyle w:val="a3"/>
        <w:spacing w:before="240" w:beforeAutospacing="0" w:after="0" w:afterAutospacing="0"/>
        <w:jc w:val="center"/>
        <w:rPr>
          <w:sz w:val="20"/>
          <w:szCs w:val="20"/>
        </w:rPr>
      </w:pPr>
      <w:r>
        <w:rPr>
          <w:sz w:val="20"/>
          <w:szCs w:val="20"/>
        </w:rPr>
        <w:t>22</w:t>
      </w:r>
    </w:p>
    <w:p w14:paraId="0700C1A1" w14:textId="77777777" w:rsidR="00000000" w:rsidRDefault="007125B5">
      <w:pPr>
        <w:rPr>
          <w:rFonts w:eastAsia="Times New Roman"/>
        </w:rPr>
      </w:pPr>
      <w:r>
        <w:rPr>
          <w:rFonts w:eastAsia="Times New Roman"/>
        </w:rPr>
        <w:pict w14:anchorId="7FA40483">
          <v:rect id="_x0000_i1048" style="width:415.3pt;height:1.5pt" o:hralign="center" o:hrstd="t" o:hr="t" fillcolor="#a0a0a0" stroked="f"/>
        </w:pict>
      </w:r>
    </w:p>
    <w:p w14:paraId="4310F589" w14:textId="77777777" w:rsidR="00000000" w:rsidRDefault="007125B5">
      <w:pPr>
        <w:pStyle w:val="a3"/>
        <w:spacing w:before="0" w:beforeAutospacing="0" w:after="0" w:afterAutospacing="0"/>
        <w:rPr>
          <w:sz w:val="20"/>
          <w:szCs w:val="20"/>
        </w:rPr>
      </w:pPr>
      <w:r>
        <w:rPr>
          <w:sz w:val="20"/>
          <w:szCs w:val="20"/>
        </w:rPr>
        <w:t> </w:t>
      </w:r>
    </w:p>
    <w:p w14:paraId="7CA85D83" w14:textId="77777777" w:rsidR="00000000" w:rsidRDefault="007125B5">
      <w:pPr>
        <w:pStyle w:val="a3"/>
        <w:shd w:val="clear" w:color="auto" w:fill="FFFFFF"/>
        <w:spacing w:before="40" w:beforeAutospacing="0" w:after="0" w:afterAutospacing="0"/>
        <w:ind w:firstLine="556"/>
        <w:rPr>
          <w:b/>
          <w:bCs/>
          <w:i/>
          <w:iCs/>
          <w:sz w:val="20"/>
          <w:szCs w:val="20"/>
        </w:rPr>
      </w:pPr>
      <w:bookmarkStart w:id="40" w:name="_AEIOULastRenderedPageBreakAEIOU25"/>
      <w:bookmarkEnd w:id="40"/>
      <w:r>
        <w:rPr>
          <w:b/>
          <w:bCs/>
          <w:i/>
          <w:iCs/>
          <w:sz w:val="20"/>
          <w:szCs w:val="20"/>
        </w:rPr>
        <w:t>Montrose Amended &amp; Restated 2013 Stock Option Plan</w:t>
      </w:r>
      <w:r>
        <w:rPr>
          <w:sz w:val="20"/>
          <w:szCs w:val="20"/>
        </w:rPr>
        <w:t>—The following summarize</w:t>
      </w:r>
      <w:r>
        <w:rPr>
          <w:sz w:val="20"/>
          <w:szCs w:val="20"/>
        </w:rPr>
        <w:t>s the activity of the 2013 Plan for the six months ended June 30, 2020 and June 30, 2019:</w:t>
      </w:r>
    </w:p>
    <w:p w14:paraId="62185523"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699"/>
        <w:gridCol w:w="66"/>
        <w:gridCol w:w="65"/>
        <w:gridCol w:w="815"/>
        <w:gridCol w:w="82"/>
        <w:gridCol w:w="65"/>
        <w:gridCol w:w="116"/>
        <w:gridCol w:w="645"/>
        <w:gridCol w:w="65"/>
        <w:gridCol w:w="65"/>
        <w:gridCol w:w="116"/>
        <w:gridCol w:w="604"/>
        <w:gridCol w:w="65"/>
        <w:gridCol w:w="65"/>
        <w:gridCol w:w="86"/>
        <w:gridCol w:w="676"/>
        <w:gridCol w:w="65"/>
        <w:gridCol w:w="65"/>
        <w:gridCol w:w="92"/>
        <w:gridCol w:w="724"/>
        <w:gridCol w:w="65"/>
      </w:tblGrid>
      <w:tr w:rsidR="00000000" w14:paraId="03F7CDDD" w14:textId="77777777">
        <w:trPr>
          <w:divId w:val="1410733971"/>
          <w:jc w:val="center"/>
        </w:trPr>
        <w:tc>
          <w:tcPr>
            <w:tcW w:w="2239" w:type="pct"/>
            <w:shd w:val="clear" w:color="auto" w:fill="FFFFFF"/>
            <w:tcMar>
              <w:top w:w="15" w:type="dxa"/>
              <w:left w:w="0" w:type="dxa"/>
              <w:bottom w:w="0" w:type="dxa"/>
              <w:right w:w="15" w:type="dxa"/>
            </w:tcMar>
            <w:vAlign w:val="bottom"/>
            <w:hideMark/>
          </w:tcPr>
          <w:p w14:paraId="5A8704F1" w14:textId="77777777" w:rsidR="00000000" w:rsidRDefault="007125B5">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14:paraId="08D57A9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0CD32C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 to</w:t>
            </w:r>
          </w:p>
          <w:p w14:paraId="5B20AA3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Purchase</w:t>
            </w:r>
          </w:p>
          <w:p w14:paraId="0F2E0DB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Common</w:t>
            </w:r>
          </w:p>
          <w:p w14:paraId="74D10AB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14:paraId="1294AAC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6C696DC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23A5A6C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Weighted-</w:t>
            </w:r>
          </w:p>
          <w:p w14:paraId="24FB72A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Average</w:t>
            </w:r>
          </w:p>
          <w:p w14:paraId="5D6AA5D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Exercise</w:t>
            </w:r>
          </w:p>
          <w:p w14:paraId="5F69314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Price per</w:t>
            </w:r>
          </w:p>
          <w:p w14:paraId="61933FA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Share</w:t>
            </w:r>
          </w:p>
        </w:tc>
        <w:tc>
          <w:tcPr>
            <w:tcW w:w="50" w:type="pct"/>
            <w:shd w:val="clear" w:color="auto" w:fill="FFFFFF"/>
            <w:noWrap/>
            <w:tcMar>
              <w:top w:w="15" w:type="dxa"/>
              <w:left w:w="0" w:type="dxa"/>
              <w:bottom w:w="0" w:type="dxa"/>
              <w:right w:w="15" w:type="dxa"/>
            </w:tcMar>
            <w:vAlign w:val="bottom"/>
            <w:hideMark/>
          </w:tcPr>
          <w:p w14:paraId="68FE274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7936F7A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CC6FE4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Weighted</w:t>
            </w:r>
          </w:p>
          <w:p w14:paraId="0916EB4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Average</w:t>
            </w:r>
          </w:p>
          <w:p w14:paraId="4F4DB13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Grant Date</w:t>
            </w:r>
          </w:p>
          <w:p w14:paraId="7293F5A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Fair Value</w:t>
            </w:r>
          </w:p>
          <w:p w14:paraId="3142DDE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14:paraId="6D46EA2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5492168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377787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Weighted</w:t>
            </w:r>
          </w:p>
          <w:p w14:paraId="19560A6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Average</w:t>
            </w:r>
          </w:p>
          <w:p w14:paraId="14DA1E1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Remaining</w:t>
            </w:r>
          </w:p>
          <w:p w14:paraId="0EBFFCF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Contract Life</w:t>
            </w:r>
          </w:p>
          <w:p w14:paraId="76586F9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(in Years)</w:t>
            </w:r>
          </w:p>
        </w:tc>
        <w:tc>
          <w:tcPr>
            <w:tcW w:w="50" w:type="pct"/>
            <w:shd w:val="clear" w:color="auto" w:fill="FFFFFF"/>
            <w:noWrap/>
            <w:tcMar>
              <w:top w:w="15" w:type="dxa"/>
              <w:left w:w="0" w:type="dxa"/>
              <w:bottom w:w="0" w:type="dxa"/>
              <w:right w:w="15" w:type="dxa"/>
            </w:tcMar>
            <w:vAlign w:val="bottom"/>
            <w:hideMark/>
          </w:tcPr>
          <w:p w14:paraId="39BCCD5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1B1F51E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1B962B6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Aggregate</w:t>
            </w:r>
          </w:p>
          <w:p w14:paraId="6B0C5E3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Intrinsic</w:t>
            </w:r>
          </w:p>
          <w:p w14:paraId="5486721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Value</w:t>
            </w:r>
          </w:p>
          <w:p w14:paraId="44D3B29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of In-The-</w:t>
            </w:r>
          </w:p>
          <w:p w14:paraId="0877740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Money</w:t>
            </w:r>
          </w:p>
          <w:p w14:paraId="69ABA96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Options (in</w:t>
            </w:r>
          </w:p>
          <w:p w14:paraId="798DD0D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Thousands)</w:t>
            </w:r>
          </w:p>
        </w:tc>
        <w:tc>
          <w:tcPr>
            <w:tcW w:w="50" w:type="pct"/>
            <w:shd w:val="clear" w:color="auto" w:fill="FFFFFF"/>
            <w:noWrap/>
            <w:tcMar>
              <w:top w:w="15" w:type="dxa"/>
              <w:left w:w="0" w:type="dxa"/>
              <w:bottom w:w="0" w:type="dxa"/>
              <w:right w:w="15" w:type="dxa"/>
            </w:tcMar>
            <w:vAlign w:val="bottom"/>
            <w:hideMark/>
          </w:tcPr>
          <w:p w14:paraId="5091C9C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DC7CFF6" w14:textId="77777777">
        <w:trPr>
          <w:divId w:val="1410733971"/>
          <w:jc w:val="center"/>
        </w:trPr>
        <w:tc>
          <w:tcPr>
            <w:tcW w:w="2239" w:type="pct"/>
            <w:shd w:val="clear" w:color="auto" w:fill="CFF0FC"/>
            <w:tcMar>
              <w:top w:w="15" w:type="dxa"/>
              <w:left w:w="0" w:type="dxa"/>
              <w:bottom w:w="0" w:type="dxa"/>
              <w:right w:w="15" w:type="dxa"/>
            </w:tcMar>
            <w:hideMark/>
          </w:tcPr>
          <w:p w14:paraId="54A14B96" w14:textId="77777777" w:rsidR="00000000" w:rsidRDefault="007125B5">
            <w:pPr>
              <w:pStyle w:val="a3"/>
              <w:spacing w:before="0" w:beforeAutospacing="0" w:after="0" w:afterAutospacing="0"/>
              <w:rPr>
                <w:color w:val="000000"/>
                <w:sz w:val="20"/>
                <w:szCs w:val="20"/>
              </w:rPr>
            </w:pPr>
            <w:r>
              <w:rPr>
                <w:color w:val="000000"/>
                <w:sz w:val="20"/>
                <w:szCs w:val="20"/>
              </w:rPr>
              <w:t>Outstanding at December 31, 2018</w:t>
            </w:r>
          </w:p>
        </w:tc>
        <w:tc>
          <w:tcPr>
            <w:tcW w:w="54" w:type="pct"/>
            <w:shd w:val="clear" w:color="auto" w:fill="CFF0FC"/>
            <w:tcMar>
              <w:top w:w="15" w:type="dxa"/>
              <w:left w:w="0" w:type="dxa"/>
              <w:bottom w:w="0" w:type="dxa"/>
              <w:right w:w="15" w:type="dxa"/>
            </w:tcMar>
            <w:vAlign w:val="bottom"/>
            <w:hideMark/>
          </w:tcPr>
          <w:p w14:paraId="4ADD8B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2DC3C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6BC7BA3" w14:textId="77777777" w:rsidR="00000000" w:rsidRDefault="007125B5">
            <w:pPr>
              <w:pStyle w:val="a3"/>
              <w:spacing w:before="0" w:beforeAutospacing="0" w:after="0" w:afterAutospacing="0"/>
              <w:jc w:val="right"/>
              <w:rPr>
                <w:color w:val="000000"/>
                <w:sz w:val="20"/>
                <w:szCs w:val="20"/>
              </w:rPr>
            </w:pPr>
            <w:r>
              <w:rPr>
                <w:color w:val="000000"/>
                <w:sz w:val="20"/>
                <w:szCs w:val="20"/>
              </w:rPr>
              <w:t>1,900,404</w:t>
            </w:r>
          </w:p>
        </w:tc>
        <w:tc>
          <w:tcPr>
            <w:tcW w:w="50" w:type="pct"/>
            <w:shd w:val="clear" w:color="auto" w:fill="CFF0FC"/>
            <w:noWrap/>
            <w:tcMar>
              <w:top w:w="15" w:type="dxa"/>
              <w:left w:w="0" w:type="dxa"/>
              <w:bottom w:w="0" w:type="dxa"/>
              <w:right w:w="15" w:type="dxa"/>
            </w:tcMar>
            <w:vAlign w:val="bottom"/>
            <w:hideMark/>
          </w:tcPr>
          <w:p w14:paraId="67E00D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9843F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8506F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769EA8E"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655830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35672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76AD1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1DB724C" w14:textId="77777777" w:rsidR="00000000" w:rsidRDefault="007125B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4ABC9BC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0B04C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7866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3F67938" w14:textId="77777777" w:rsidR="00000000" w:rsidRDefault="007125B5">
            <w:pPr>
              <w:pStyle w:val="a3"/>
              <w:spacing w:before="0" w:beforeAutospacing="0" w:after="0" w:afterAutospacing="0"/>
              <w:jc w:val="right"/>
              <w:rPr>
                <w:color w:val="000000"/>
                <w:sz w:val="20"/>
                <w:szCs w:val="20"/>
              </w:rPr>
            </w:pPr>
            <w:r>
              <w:rPr>
                <w:color w:val="000000"/>
                <w:sz w:val="20"/>
                <w:szCs w:val="20"/>
              </w:rPr>
              <w:t>7.30</w:t>
            </w:r>
          </w:p>
        </w:tc>
        <w:tc>
          <w:tcPr>
            <w:tcW w:w="50" w:type="pct"/>
            <w:shd w:val="clear" w:color="auto" w:fill="CFF0FC"/>
            <w:noWrap/>
            <w:tcMar>
              <w:top w:w="15" w:type="dxa"/>
              <w:left w:w="0" w:type="dxa"/>
              <w:bottom w:w="0" w:type="dxa"/>
              <w:right w:w="15" w:type="dxa"/>
            </w:tcMar>
            <w:vAlign w:val="bottom"/>
            <w:hideMark/>
          </w:tcPr>
          <w:p w14:paraId="71950B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DD4A9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66BA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A0EC6A7" w14:textId="77777777" w:rsidR="00000000" w:rsidRDefault="007125B5">
            <w:pPr>
              <w:pStyle w:val="a3"/>
              <w:spacing w:before="0" w:beforeAutospacing="0" w:after="0" w:afterAutospacing="0"/>
              <w:jc w:val="right"/>
              <w:rPr>
                <w:color w:val="000000"/>
                <w:sz w:val="20"/>
                <w:szCs w:val="20"/>
              </w:rPr>
            </w:pPr>
            <w:r>
              <w:rPr>
                <w:color w:val="000000"/>
                <w:sz w:val="20"/>
                <w:szCs w:val="20"/>
              </w:rPr>
              <w:t>33,290</w:t>
            </w:r>
          </w:p>
        </w:tc>
        <w:tc>
          <w:tcPr>
            <w:tcW w:w="50" w:type="pct"/>
            <w:shd w:val="clear" w:color="auto" w:fill="CFF0FC"/>
            <w:noWrap/>
            <w:tcMar>
              <w:top w:w="15" w:type="dxa"/>
              <w:left w:w="0" w:type="dxa"/>
              <w:bottom w:w="0" w:type="dxa"/>
              <w:right w:w="15" w:type="dxa"/>
            </w:tcMar>
            <w:vAlign w:val="bottom"/>
            <w:hideMark/>
          </w:tcPr>
          <w:p w14:paraId="43E7C6F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3F15AB9" w14:textId="77777777">
        <w:trPr>
          <w:divId w:val="1410733971"/>
          <w:jc w:val="center"/>
        </w:trPr>
        <w:tc>
          <w:tcPr>
            <w:tcW w:w="2239" w:type="pct"/>
            <w:shd w:val="clear" w:color="auto" w:fill="FFFFFF"/>
            <w:tcMar>
              <w:top w:w="15" w:type="dxa"/>
              <w:left w:w="0" w:type="dxa"/>
              <w:bottom w:w="0" w:type="dxa"/>
              <w:right w:w="15" w:type="dxa"/>
            </w:tcMar>
            <w:hideMark/>
          </w:tcPr>
          <w:p w14:paraId="6581E3FC" w14:textId="77777777" w:rsidR="00000000" w:rsidRDefault="007125B5">
            <w:pPr>
              <w:pStyle w:val="a3"/>
              <w:spacing w:before="0" w:beforeAutospacing="0" w:after="0" w:afterAutospacing="0"/>
              <w:ind w:left="274"/>
              <w:rPr>
                <w:color w:val="000000"/>
                <w:sz w:val="20"/>
                <w:szCs w:val="20"/>
              </w:rPr>
            </w:pPr>
            <w:r>
              <w:rPr>
                <w:color w:val="000000"/>
                <w:sz w:val="20"/>
                <w:szCs w:val="20"/>
              </w:rPr>
              <w:t>Forfeitured/ cancelled</w:t>
            </w:r>
          </w:p>
        </w:tc>
        <w:tc>
          <w:tcPr>
            <w:tcW w:w="54" w:type="pct"/>
            <w:shd w:val="clear" w:color="auto" w:fill="FFFFFF"/>
            <w:tcMar>
              <w:top w:w="15" w:type="dxa"/>
              <w:left w:w="0" w:type="dxa"/>
              <w:bottom w:w="0" w:type="dxa"/>
              <w:right w:w="15" w:type="dxa"/>
            </w:tcMar>
            <w:vAlign w:val="bottom"/>
            <w:hideMark/>
          </w:tcPr>
          <w:p w14:paraId="43142F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753C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4A135CE" w14:textId="77777777" w:rsidR="00000000" w:rsidRDefault="007125B5">
            <w:pPr>
              <w:pStyle w:val="a3"/>
              <w:spacing w:before="0" w:beforeAutospacing="0" w:after="0" w:afterAutospacing="0"/>
              <w:jc w:val="right"/>
              <w:rPr>
                <w:color w:val="000000"/>
                <w:sz w:val="20"/>
                <w:szCs w:val="20"/>
              </w:rPr>
            </w:pPr>
            <w:r>
              <w:rPr>
                <w:color w:val="000000"/>
                <w:sz w:val="20"/>
                <w:szCs w:val="20"/>
              </w:rPr>
              <w:t>(12,600</w:t>
            </w:r>
          </w:p>
        </w:tc>
        <w:tc>
          <w:tcPr>
            <w:tcW w:w="50" w:type="pct"/>
            <w:shd w:val="clear" w:color="auto" w:fill="FFFFFF"/>
            <w:noWrap/>
            <w:tcMar>
              <w:top w:w="15" w:type="dxa"/>
              <w:left w:w="0" w:type="dxa"/>
              <w:bottom w:w="0" w:type="dxa"/>
              <w:right w:w="15" w:type="dxa"/>
            </w:tcMar>
            <w:vAlign w:val="bottom"/>
            <w:hideMark/>
          </w:tcPr>
          <w:p w14:paraId="779A036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6A81E2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E3147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995FE58" w14:textId="77777777" w:rsidR="00000000" w:rsidRDefault="007125B5">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5A4B1D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EC720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238E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713DB9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DC73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758CB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951C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776BB9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07C8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29A402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9AF5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DCEBB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0DEAB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F2025F8" w14:textId="77777777">
        <w:trPr>
          <w:divId w:val="1410733971"/>
          <w:jc w:val="center"/>
        </w:trPr>
        <w:tc>
          <w:tcPr>
            <w:tcW w:w="2239" w:type="pct"/>
            <w:shd w:val="clear" w:color="auto" w:fill="CFF0FC"/>
            <w:tcMar>
              <w:top w:w="15" w:type="dxa"/>
              <w:left w:w="0" w:type="dxa"/>
              <w:bottom w:w="0" w:type="dxa"/>
              <w:right w:w="15" w:type="dxa"/>
            </w:tcMar>
            <w:hideMark/>
          </w:tcPr>
          <w:p w14:paraId="7D323D8D" w14:textId="77777777" w:rsidR="00000000" w:rsidRDefault="007125B5">
            <w:pPr>
              <w:pStyle w:val="a3"/>
              <w:spacing w:before="0" w:beforeAutospacing="0" w:after="0" w:afterAutospacing="0"/>
              <w:ind w:left="274"/>
              <w:rPr>
                <w:color w:val="000000"/>
                <w:sz w:val="20"/>
                <w:szCs w:val="20"/>
              </w:rPr>
            </w:pPr>
            <w:r>
              <w:rPr>
                <w:color w:val="000000"/>
                <w:sz w:val="20"/>
                <w:szCs w:val="20"/>
              </w:rPr>
              <w:t>Expired</w:t>
            </w:r>
          </w:p>
        </w:tc>
        <w:tc>
          <w:tcPr>
            <w:tcW w:w="54" w:type="pct"/>
            <w:shd w:val="clear" w:color="auto" w:fill="CFF0FC"/>
            <w:tcMar>
              <w:top w:w="15" w:type="dxa"/>
              <w:left w:w="0" w:type="dxa"/>
              <w:bottom w:w="0" w:type="dxa"/>
              <w:right w:w="15" w:type="dxa"/>
            </w:tcMar>
            <w:vAlign w:val="bottom"/>
            <w:hideMark/>
          </w:tcPr>
          <w:p w14:paraId="0B703B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B942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D34604D" w14:textId="77777777" w:rsidR="00000000" w:rsidRDefault="007125B5">
            <w:pPr>
              <w:pStyle w:val="a3"/>
              <w:spacing w:before="0" w:beforeAutospacing="0" w:after="0" w:afterAutospacing="0"/>
              <w:jc w:val="right"/>
              <w:rPr>
                <w:color w:val="000000"/>
                <w:sz w:val="20"/>
                <w:szCs w:val="20"/>
              </w:rPr>
            </w:pPr>
            <w:r>
              <w:rPr>
                <w:color w:val="000000"/>
                <w:sz w:val="20"/>
                <w:szCs w:val="20"/>
              </w:rPr>
              <w:t>(4,475</w:t>
            </w:r>
          </w:p>
        </w:tc>
        <w:tc>
          <w:tcPr>
            <w:tcW w:w="50" w:type="pct"/>
            <w:shd w:val="clear" w:color="auto" w:fill="CFF0FC"/>
            <w:noWrap/>
            <w:tcMar>
              <w:top w:w="15" w:type="dxa"/>
              <w:left w:w="0" w:type="dxa"/>
              <w:bottom w:w="0" w:type="dxa"/>
              <w:right w:w="15" w:type="dxa"/>
            </w:tcMar>
            <w:vAlign w:val="bottom"/>
            <w:hideMark/>
          </w:tcPr>
          <w:p w14:paraId="1D5F348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686EEE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C4F97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9A4254C" w14:textId="77777777" w:rsidR="00000000" w:rsidRDefault="007125B5">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0937BC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A3D42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3300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EA11D9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F8F9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B9146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4BDA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7BFDB31B"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CD0CF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B7656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DCEF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7E966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FB84B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7092951" w14:textId="77777777">
        <w:trPr>
          <w:divId w:val="1410733971"/>
          <w:jc w:val="center"/>
        </w:trPr>
        <w:tc>
          <w:tcPr>
            <w:tcW w:w="2239" w:type="pct"/>
            <w:shd w:val="clear" w:color="auto" w:fill="FFFFFF"/>
            <w:tcMar>
              <w:top w:w="15" w:type="dxa"/>
              <w:left w:w="0" w:type="dxa"/>
              <w:bottom w:w="0" w:type="dxa"/>
              <w:right w:w="15" w:type="dxa"/>
            </w:tcMar>
            <w:hideMark/>
          </w:tcPr>
          <w:p w14:paraId="4F5D76BB" w14:textId="77777777" w:rsidR="00000000" w:rsidRDefault="007125B5">
            <w:pPr>
              <w:pStyle w:val="a3"/>
              <w:spacing w:before="0" w:beforeAutospacing="0" w:after="0" w:afterAutospacing="0"/>
              <w:ind w:left="274"/>
              <w:rPr>
                <w:color w:val="000000"/>
                <w:sz w:val="20"/>
                <w:szCs w:val="20"/>
              </w:rPr>
            </w:pPr>
            <w:r>
              <w:rPr>
                <w:color w:val="000000"/>
                <w:sz w:val="20"/>
                <w:szCs w:val="20"/>
              </w:rPr>
              <w:t>Exercised</w:t>
            </w:r>
          </w:p>
        </w:tc>
        <w:tc>
          <w:tcPr>
            <w:tcW w:w="54" w:type="pct"/>
            <w:shd w:val="clear" w:color="auto" w:fill="FFFFFF"/>
            <w:tcMar>
              <w:top w:w="15" w:type="dxa"/>
              <w:left w:w="0" w:type="dxa"/>
              <w:bottom w:w="0" w:type="dxa"/>
              <w:right w:w="15" w:type="dxa"/>
            </w:tcMar>
            <w:vAlign w:val="bottom"/>
            <w:hideMark/>
          </w:tcPr>
          <w:p w14:paraId="4FA0C3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574BC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4A7FC122" w14:textId="77777777" w:rsidR="00000000" w:rsidRDefault="007125B5">
            <w:pPr>
              <w:pStyle w:val="a3"/>
              <w:spacing w:before="0" w:beforeAutospacing="0" w:after="0" w:afterAutospacing="0"/>
              <w:jc w:val="right"/>
              <w:rPr>
                <w:color w:val="000000"/>
                <w:sz w:val="20"/>
                <w:szCs w:val="20"/>
              </w:rPr>
            </w:pPr>
            <w:r>
              <w:rPr>
                <w:color w:val="000000"/>
                <w:sz w:val="20"/>
                <w:szCs w:val="20"/>
              </w:rPr>
              <w:t>(11,385</w:t>
            </w:r>
          </w:p>
        </w:tc>
        <w:tc>
          <w:tcPr>
            <w:tcW w:w="50" w:type="pct"/>
            <w:shd w:val="clear" w:color="auto" w:fill="FFFFFF"/>
            <w:noWrap/>
            <w:tcMar>
              <w:top w:w="15" w:type="dxa"/>
              <w:left w:w="0" w:type="dxa"/>
              <w:bottom w:w="0" w:type="dxa"/>
              <w:right w:w="15" w:type="dxa"/>
            </w:tcMar>
            <w:vAlign w:val="bottom"/>
            <w:hideMark/>
          </w:tcPr>
          <w:p w14:paraId="22211FA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6BC900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12A7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7BA8BC3D" w14:textId="77777777" w:rsidR="00000000" w:rsidRDefault="007125B5">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14:paraId="134A61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794EA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FBC6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3EFFDE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EB68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A1B50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E633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4E47600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3BDC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A80A9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EEDB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1A7276ED" w14:textId="77777777" w:rsidR="00000000" w:rsidRDefault="007125B5">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FFFFFF"/>
            <w:noWrap/>
            <w:tcMar>
              <w:top w:w="15" w:type="dxa"/>
              <w:left w:w="0" w:type="dxa"/>
              <w:bottom w:w="0" w:type="dxa"/>
              <w:right w:w="15" w:type="dxa"/>
            </w:tcMar>
            <w:vAlign w:val="bottom"/>
            <w:hideMark/>
          </w:tcPr>
          <w:p w14:paraId="344931D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4D053AA" w14:textId="77777777">
        <w:trPr>
          <w:divId w:val="1410733971"/>
          <w:jc w:val="center"/>
        </w:trPr>
        <w:tc>
          <w:tcPr>
            <w:tcW w:w="2239" w:type="pct"/>
            <w:shd w:val="clear" w:color="auto" w:fill="CFF0FC"/>
            <w:tcMar>
              <w:top w:w="15" w:type="dxa"/>
              <w:left w:w="0" w:type="dxa"/>
              <w:bottom w:w="0" w:type="dxa"/>
              <w:right w:w="15" w:type="dxa"/>
            </w:tcMar>
            <w:hideMark/>
          </w:tcPr>
          <w:p w14:paraId="3582F513" w14:textId="77777777" w:rsidR="00000000" w:rsidRDefault="007125B5">
            <w:pPr>
              <w:pStyle w:val="a3"/>
              <w:spacing w:before="0" w:beforeAutospacing="0" w:after="0" w:afterAutospacing="0"/>
              <w:rPr>
                <w:color w:val="000000"/>
                <w:sz w:val="20"/>
                <w:szCs w:val="20"/>
              </w:rPr>
            </w:pPr>
            <w:r>
              <w:rPr>
                <w:color w:val="000000"/>
                <w:sz w:val="20"/>
                <w:szCs w:val="20"/>
              </w:rPr>
              <w:t>Outstanding at June 30, 2019</w:t>
            </w:r>
          </w:p>
        </w:tc>
        <w:tc>
          <w:tcPr>
            <w:tcW w:w="54" w:type="pct"/>
            <w:shd w:val="clear" w:color="auto" w:fill="CFF0FC"/>
            <w:tcMar>
              <w:top w:w="15" w:type="dxa"/>
              <w:left w:w="0" w:type="dxa"/>
              <w:bottom w:w="0" w:type="dxa"/>
              <w:right w:w="15" w:type="dxa"/>
            </w:tcMar>
            <w:vAlign w:val="bottom"/>
            <w:hideMark/>
          </w:tcPr>
          <w:p w14:paraId="7C009C1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6FFA9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8EC3DC0" w14:textId="77777777" w:rsidR="00000000" w:rsidRDefault="007125B5">
            <w:pPr>
              <w:pStyle w:val="a3"/>
              <w:spacing w:before="0" w:beforeAutospacing="0" w:after="0" w:afterAutospacing="0"/>
              <w:jc w:val="right"/>
              <w:rPr>
                <w:color w:val="000000"/>
                <w:sz w:val="20"/>
                <w:szCs w:val="20"/>
              </w:rPr>
            </w:pPr>
            <w:r>
              <w:rPr>
                <w:color w:val="000000"/>
                <w:sz w:val="20"/>
                <w:szCs w:val="20"/>
              </w:rPr>
              <w:t>1,871,944</w:t>
            </w:r>
          </w:p>
        </w:tc>
        <w:tc>
          <w:tcPr>
            <w:tcW w:w="50" w:type="pct"/>
            <w:shd w:val="clear" w:color="auto" w:fill="CFF0FC"/>
            <w:noWrap/>
            <w:tcMar>
              <w:top w:w="15" w:type="dxa"/>
              <w:left w:w="0" w:type="dxa"/>
              <w:bottom w:w="0" w:type="dxa"/>
              <w:right w:w="15" w:type="dxa"/>
            </w:tcMar>
            <w:vAlign w:val="bottom"/>
            <w:hideMark/>
          </w:tcPr>
          <w:p w14:paraId="4A09ED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9FB79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83ED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34973BB"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73E9A0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4AFF7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A7DC2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BB52B4B" w14:textId="77777777" w:rsidR="00000000" w:rsidRDefault="007125B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304AAA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B77CFD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6D3B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F851A66" w14:textId="77777777" w:rsidR="00000000" w:rsidRDefault="007125B5">
            <w:pPr>
              <w:pStyle w:val="a3"/>
              <w:spacing w:before="0" w:beforeAutospacing="0" w:after="0" w:afterAutospacing="0"/>
              <w:jc w:val="right"/>
              <w:rPr>
                <w:color w:val="000000"/>
                <w:sz w:val="20"/>
                <w:szCs w:val="20"/>
              </w:rPr>
            </w:pPr>
            <w:r>
              <w:rPr>
                <w:color w:val="000000"/>
                <w:sz w:val="20"/>
                <w:szCs w:val="20"/>
              </w:rPr>
              <w:t>6.87</w:t>
            </w:r>
          </w:p>
        </w:tc>
        <w:tc>
          <w:tcPr>
            <w:tcW w:w="50" w:type="pct"/>
            <w:shd w:val="clear" w:color="auto" w:fill="CFF0FC"/>
            <w:noWrap/>
            <w:tcMar>
              <w:top w:w="15" w:type="dxa"/>
              <w:left w:w="0" w:type="dxa"/>
              <w:bottom w:w="0" w:type="dxa"/>
              <w:right w:w="15" w:type="dxa"/>
            </w:tcMar>
            <w:vAlign w:val="bottom"/>
            <w:hideMark/>
          </w:tcPr>
          <w:p w14:paraId="705293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AE1E9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D998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1BA46F3" w14:textId="77777777" w:rsidR="00000000" w:rsidRDefault="007125B5">
            <w:pPr>
              <w:pStyle w:val="a3"/>
              <w:spacing w:before="0" w:beforeAutospacing="0" w:after="0" w:afterAutospacing="0"/>
              <w:jc w:val="right"/>
              <w:rPr>
                <w:color w:val="000000"/>
                <w:sz w:val="20"/>
                <w:szCs w:val="20"/>
              </w:rPr>
            </w:pPr>
            <w:r>
              <w:rPr>
                <w:color w:val="000000"/>
                <w:sz w:val="20"/>
                <w:szCs w:val="20"/>
              </w:rPr>
              <w:t>38,235</w:t>
            </w:r>
          </w:p>
        </w:tc>
        <w:tc>
          <w:tcPr>
            <w:tcW w:w="50" w:type="pct"/>
            <w:shd w:val="clear" w:color="auto" w:fill="CFF0FC"/>
            <w:noWrap/>
            <w:tcMar>
              <w:top w:w="15" w:type="dxa"/>
              <w:left w:w="0" w:type="dxa"/>
              <w:bottom w:w="0" w:type="dxa"/>
              <w:right w:w="15" w:type="dxa"/>
            </w:tcMar>
            <w:vAlign w:val="bottom"/>
            <w:hideMark/>
          </w:tcPr>
          <w:p w14:paraId="5240A39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B0E2D09" w14:textId="77777777">
        <w:trPr>
          <w:divId w:val="1410733971"/>
          <w:jc w:val="center"/>
        </w:trPr>
        <w:tc>
          <w:tcPr>
            <w:tcW w:w="2239" w:type="pct"/>
            <w:shd w:val="clear" w:color="auto" w:fill="FFFFFF"/>
            <w:tcMar>
              <w:top w:w="15" w:type="dxa"/>
              <w:left w:w="0" w:type="dxa"/>
              <w:bottom w:w="0" w:type="dxa"/>
              <w:right w:w="15" w:type="dxa"/>
            </w:tcMar>
            <w:hideMark/>
          </w:tcPr>
          <w:p w14:paraId="17264D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37D5ED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AC95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6F42EE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B92F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B5500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0BF4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0B5E8D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B233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8776C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8BED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B14122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0856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6E596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DC19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6C66DC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6F9A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58CED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82483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31921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26015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31E07B3" w14:textId="77777777">
        <w:trPr>
          <w:divId w:val="1410733971"/>
          <w:jc w:val="center"/>
        </w:trPr>
        <w:tc>
          <w:tcPr>
            <w:tcW w:w="2239" w:type="pct"/>
            <w:shd w:val="clear" w:color="auto" w:fill="CFF0FC"/>
            <w:tcMar>
              <w:top w:w="15" w:type="dxa"/>
              <w:left w:w="0" w:type="dxa"/>
              <w:bottom w:w="0" w:type="dxa"/>
              <w:right w:w="15" w:type="dxa"/>
            </w:tcMar>
            <w:hideMark/>
          </w:tcPr>
          <w:p w14:paraId="19E2A895" w14:textId="77777777" w:rsidR="00000000" w:rsidRDefault="007125B5">
            <w:pPr>
              <w:pStyle w:val="a3"/>
              <w:spacing w:before="0" w:beforeAutospacing="0" w:after="0" w:afterAutospacing="0"/>
              <w:rPr>
                <w:color w:val="000000"/>
                <w:sz w:val="20"/>
                <w:szCs w:val="20"/>
              </w:rPr>
            </w:pPr>
            <w:r>
              <w:rPr>
                <w:color w:val="000000"/>
                <w:sz w:val="20"/>
                <w:szCs w:val="20"/>
              </w:rPr>
              <w:t>Outstanding at December 31, 2019</w:t>
            </w:r>
          </w:p>
        </w:tc>
        <w:tc>
          <w:tcPr>
            <w:tcW w:w="54" w:type="pct"/>
            <w:shd w:val="clear" w:color="auto" w:fill="CFF0FC"/>
            <w:tcMar>
              <w:top w:w="15" w:type="dxa"/>
              <w:left w:w="0" w:type="dxa"/>
              <w:bottom w:w="0" w:type="dxa"/>
              <w:right w:w="15" w:type="dxa"/>
            </w:tcMar>
            <w:vAlign w:val="bottom"/>
            <w:hideMark/>
          </w:tcPr>
          <w:p w14:paraId="276A2EC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9149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73B14F16" w14:textId="77777777" w:rsidR="00000000" w:rsidRDefault="007125B5">
            <w:pPr>
              <w:pStyle w:val="a3"/>
              <w:spacing w:before="0" w:beforeAutospacing="0" w:after="0" w:afterAutospacing="0"/>
              <w:jc w:val="right"/>
              <w:rPr>
                <w:color w:val="000000"/>
                <w:sz w:val="20"/>
                <w:szCs w:val="20"/>
              </w:rPr>
            </w:pPr>
            <w:r>
              <w:rPr>
                <w:color w:val="000000"/>
                <w:sz w:val="20"/>
                <w:szCs w:val="20"/>
              </w:rPr>
              <w:t>1,855,469</w:t>
            </w:r>
          </w:p>
        </w:tc>
        <w:tc>
          <w:tcPr>
            <w:tcW w:w="50" w:type="pct"/>
            <w:shd w:val="clear" w:color="auto" w:fill="CFF0FC"/>
            <w:noWrap/>
            <w:tcMar>
              <w:top w:w="15" w:type="dxa"/>
              <w:left w:w="0" w:type="dxa"/>
              <w:bottom w:w="0" w:type="dxa"/>
              <w:right w:w="15" w:type="dxa"/>
            </w:tcMar>
            <w:vAlign w:val="bottom"/>
            <w:hideMark/>
          </w:tcPr>
          <w:p w14:paraId="7433F5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87062B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88F4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31E9E82"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58B3B4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10E190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E218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0D2B7E0" w14:textId="77777777" w:rsidR="00000000" w:rsidRDefault="007125B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6EE4D5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BDB4A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CE7C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A8C9219" w14:textId="77777777" w:rsidR="00000000" w:rsidRDefault="007125B5">
            <w:pPr>
              <w:pStyle w:val="a3"/>
              <w:spacing w:before="0" w:beforeAutospacing="0" w:after="0" w:afterAutospacing="0"/>
              <w:jc w:val="right"/>
              <w:rPr>
                <w:color w:val="000000"/>
                <w:sz w:val="20"/>
                <w:szCs w:val="20"/>
              </w:rPr>
            </w:pPr>
            <w:r>
              <w:rPr>
                <w:color w:val="000000"/>
                <w:sz w:val="20"/>
                <w:szCs w:val="20"/>
              </w:rPr>
              <w:t>6.40</w:t>
            </w:r>
          </w:p>
        </w:tc>
        <w:tc>
          <w:tcPr>
            <w:tcW w:w="50" w:type="pct"/>
            <w:shd w:val="clear" w:color="auto" w:fill="CFF0FC"/>
            <w:noWrap/>
            <w:tcMar>
              <w:top w:w="15" w:type="dxa"/>
              <w:left w:w="0" w:type="dxa"/>
              <w:bottom w:w="0" w:type="dxa"/>
              <w:right w:w="15" w:type="dxa"/>
            </w:tcMar>
            <w:vAlign w:val="bottom"/>
            <w:hideMark/>
          </w:tcPr>
          <w:p w14:paraId="3DCDAC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65A39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4DD2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2A8D43C2" w14:textId="77777777" w:rsidR="00000000" w:rsidRDefault="007125B5">
            <w:pPr>
              <w:pStyle w:val="a3"/>
              <w:spacing w:before="0" w:beforeAutospacing="0" w:after="0" w:afterAutospacing="0"/>
              <w:jc w:val="right"/>
              <w:rPr>
                <w:color w:val="000000"/>
                <w:sz w:val="20"/>
                <w:szCs w:val="20"/>
              </w:rPr>
            </w:pPr>
            <w:r>
              <w:rPr>
                <w:color w:val="000000"/>
                <w:sz w:val="20"/>
                <w:szCs w:val="20"/>
              </w:rPr>
              <w:t>46,617</w:t>
            </w:r>
          </w:p>
        </w:tc>
        <w:tc>
          <w:tcPr>
            <w:tcW w:w="50" w:type="pct"/>
            <w:shd w:val="clear" w:color="auto" w:fill="CFF0FC"/>
            <w:noWrap/>
            <w:tcMar>
              <w:top w:w="15" w:type="dxa"/>
              <w:left w:w="0" w:type="dxa"/>
              <w:bottom w:w="0" w:type="dxa"/>
              <w:right w:w="15" w:type="dxa"/>
            </w:tcMar>
            <w:vAlign w:val="bottom"/>
            <w:hideMark/>
          </w:tcPr>
          <w:p w14:paraId="086D45D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D712364" w14:textId="77777777">
        <w:trPr>
          <w:divId w:val="1410733971"/>
          <w:jc w:val="center"/>
        </w:trPr>
        <w:tc>
          <w:tcPr>
            <w:tcW w:w="2239" w:type="pct"/>
            <w:shd w:val="clear" w:color="auto" w:fill="FFFFFF"/>
            <w:tcMar>
              <w:top w:w="15" w:type="dxa"/>
              <w:left w:w="0" w:type="dxa"/>
              <w:bottom w:w="0" w:type="dxa"/>
              <w:right w:w="15" w:type="dxa"/>
            </w:tcMar>
            <w:hideMark/>
          </w:tcPr>
          <w:p w14:paraId="121A44C2" w14:textId="77777777" w:rsidR="00000000" w:rsidRDefault="007125B5">
            <w:pPr>
              <w:pStyle w:val="a3"/>
              <w:spacing w:before="0" w:beforeAutospacing="0" w:after="0" w:afterAutospacing="0"/>
              <w:ind w:left="274"/>
              <w:rPr>
                <w:color w:val="000000"/>
                <w:sz w:val="20"/>
                <w:szCs w:val="20"/>
              </w:rPr>
            </w:pPr>
            <w:r>
              <w:rPr>
                <w:color w:val="000000"/>
                <w:sz w:val="20"/>
                <w:szCs w:val="20"/>
              </w:rPr>
              <w:t>Forfeitured/ cancelled</w:t>
            </w:r>
          </w:p>
        </w:tc>
        <w:tc>
          <w:tcPr>
            <w:tcW w:w="54" w:type="pct"/>
            <w:shd w:val="clear" w:color="auto" w:fill="FFFFFF"/>
            <w:tcMar>
              <w:top w:w="15" w:type="dxa"/>
              <w:left w:w="0" w:type="dxa"/>
              <w:bottom w:w="0" w:type="dxa"/>
              <w:right w:w="15" w:type="dxa"/>
            </w:tcMar>
            <w:vAlign w:val="bottom"/>
            <w:hideMark/>
          </w:tcPr>
          <w:p w14:paraId="14CC7B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9A75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795A5D0" w14:textId="77777777" w:rsidR="00000000" w:rsidRDefault="007125B5">
            <w:pPr>
              <w:pStyle w:val="a3"/>
              <w:spacing w:before="0" w:beforeAutospacing="0" w:after="0" w:afterAutospacing="0"/>
              <w:jc w:val="right"/>
              <w:rPr>
                <w:color w:val="000000"/>
                <w:sz w:val="20"/>
                <w:szCs w:val="20"/>
              </w:rPr>
            </w:pPr>
            <w:r>
              <w:rPr>
                <w:color w:val="000000"/>
                <w:sz w:val="20"/>
                <w:szCs w:val="20"/>
              </w:rPr>
              <w:t>(1,250</w:t>
            </w:r>
          </w:p>
        </w:tc>
        <w:tc>
          <w:tcPr>
            <w:tcW w:w="50" w:type="pct"/>
            <w:shd w:val="clear" w:color="auto" w:fill="FFFFFF"/>
            <w:noWrap/>
            <w:tcMar>
              <w:top w:w="15" w:type="dxa"/>
              <w:left w:w="0" w:type="dxa"/>
              <w:bottom w:w="0" w:type="dxa"/>
              <w:right w:w="15" w:type="dxa"/>
            </w:tcMar>
            <w:vAlign w:val="bottom"/>
            <w:hideMark/>
          </w:tcPr>
          <w:p w14:paraId="2306F06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5C41A9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0DF7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8DC7364"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1C439C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8CECDD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BBBB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D26230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19D3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8CEE6F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7E4F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CC03BD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C51E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63F05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B146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DE485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E31A3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F68A749" w14:textId="77777777">
        <w:trPr>
          <w:divId w:val="1410733971"/>
          <w:jc w:val="center"/>
        </w:trPr>
        <w:tc>
          <w:tcPr>
            <w:tcW w:w="2239" w:type="pct"/>
            <w:shd w:val="clear" w:color="auto" w:fill="CFF0FC"/>
            <w:tcMar>
              <w:top w:w="15" w:type="dxa"/>
              <w:left w:w="0" w:type="dxa"/>
              <w:bottom w:w="0" w:type="dxa"/>
              <w:right w:w="15" w:type="dxa"/>
            </w:tcMar>
            <w:hideMark/>
          </w:tcPr>
          <w:p w14:paraId="78679FBF" w14:textId="77777777" w:rsidR="00000000" w:rsidRDefault="007125B5">
            <w:pPr>
              <w:pStyle w:val="a3"/>
              <w:spacing w:before="0" w:beforeAutospacing="0" w:after="0" w:afterAutospacing="0"/>
              <w:ind w:left="274"/>
              <w:rPr>
                <w:color w:val="000000"/>
                <w:sz w:val="20"/>
                <w:szCs w:val="20"/>
              </w:rPr>
            </w:pPr>
            <w:r>
              <w:rPr>
                <w:color w:val="000000"/>
                <w:sz w:val="20"/>
                <w:szCs w:val="20"/>
              </w:rPr>
              <w:t>Expired</w:t>
            </w:r>
          </w:p>
        </w:tc>
        <w:tc>
          <w:tcPr>
            <w:tcW w:w="54" w:type="pct"/>
            <w:shd w:val="clear" w:color="auto" w:fill="CFF0FC"/>
            <w:tcMar>
              <w:top w:w="15" w:type="dxa"/>
              <w:left w:w="0" w:type="dxa"/>
              <w:bottom w:w="0" w:type="dxa"/>
              <w:right w:w="15" w:type="dxa"/>
            </w:tcMar>
            <w:vAlign w:val="bottom"/>
            <w:hideMark/>
          </w:tcPr>
          <w:p w14:paraId="3A685C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A997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524917E" w14:textId="77777777" w:rsidR="00000000" w:rsidRDefault="007125B5">
            <w:pPr>
              <w:pStyle w:val="a3"/>
              <w:spacing w:before="0" w:beforeAutospacing="0" w:after="0" w:afterAutospacing="0"/>
              <w:jc w:val="right"/>
              <w:rPr>
                <w:color w:val="000000"/>
                <w:sz w:val="20"/>
                <w:szCs w:val="20"/>
              </w:rPr>
            </w:pPr>
            <w:r>
              <w:rPr>
                <w:color w:val="000000"/>
                <w:sz w:val="20"/>
                <w:szCs w:val="20"/>
              </w:rPr>
              <w:t>(8,550</w:t>
            </w:r>
          </w:p>
        </w:tc>
        <w:tc>
          <w:tcPr>
            <w:tcW w:w="50" w:type="pct"/>
            <w:shd w:val="clear" w:color="auto" w:fill="CFF0FC"/>
            <w:noWrap/>
            <w:tcMar>
              <w:top w:w="15" w:type="dxa"/>
              <w:left w:w="0" w:type="dxa"/>
              <w:bottom w:w="0" w:type="dxa"/>
              <w:right w:w="15" w:type="dxa"/>
            </w:tcMar>
            <w:vAlign w:val="bottom"/>
            <w:hideMark/>
          </w:tcPr>
          <w:p w14:paraId="36EE396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6C1D32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1B02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22298F00"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2F5FBF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739DD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E73E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2F547F1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9CC5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44F2D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A3DD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56D10F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30863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49A6F9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B875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69034F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4E142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FBE13B9" w14:textId="77777777">
        <w:trPr>
          <w:divId w:val="1410733971"/>
          <w:jc w:val="center"/>
        </w:trPr>
        <w:tc>
          <w:tcPr>
            <w:tcW w:w="2239" w:type="pct"/>
            <w:shd w:val="clear" w:color="auto" w:fill="FFFFFF"/>
            <w:tcMar>
              <w:top w:w="15" w:type="dxa"/>
              <w:left w:w="0" w:type="dxa"/>
              <w:bottom w:w="0" w:type="dxa"/>
              <w:right w:w="15" w:type="dxa"/>
            </w:tcMar>
            <w:hideMark/>
          </w:tcPr>
          <w:p w14:paraId="4CE68A6A" w14:textId="77777777" w:rsidR="00000000" w:rsidRDefault="007125B5">
            <w:pPr>
              <w:pStyle w:val="a3"/>
              <w:spacing w:before="0" w:beforeAutospacing="0" w:after="0" w:afterAutospacing="0"/>
              <w:ind w:left="274"/>
              <w:rPr>
                <w:color w:val="000000"/>
                <w:sz w:val="20"/>
                <w:szCs w:val="20"/>
              </w:rPr>
            </w:pPr>
            <w:r>
              <w:rPr>
                <w:color w:val="000000"/>
                <w:sz w:val="20"/>
                <w:szCs w:val="20"/>
              </w:rPr>
              <w:t>Exercised</w:t>
            </w:r>
          </w:p>
        </w:tc>
        <w:tc>
          <w:tcPr>
            <w:tcW w:w="54" w:type="pct"/>
            <w:shd w:val="clear" w:color="auto" w:fill="FFFFFF"/>
            <w:tcMar>
              <w:top w:w="15" w:type="dxa"/>
              <w:left w:w="0" w:type="dxa"/>
              <w:bottom w:w="0" w:type="dxa"/>
              <w:right w:w="15" w:type="dxa"/>
            </w:tcMar>
            <w:vAlign w:val="bottom"/>
            <w:hideMark/>
          </w:tcPr>
          <w:p w14:paraId="4358D7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59D9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BF56F61" w14:textId="77777777" w:rsidR="00000000" w:rsidRDefault="007125B5">
            <w:pPr>
              <w:pStyle w:val="a3"/>
              <w:spacing w:before="0" w:beforeAutospacing="0" w:after="0" w:afterAutospacing="0"/>
              <w:jc w:val="right"/>
              <w:rPr>
                <w:color w:val="000000"/>
                <w:sz w:val="20"/>
                <w:szCs w:val="20"/>
              </w:rPr>
            </w:pPr>
            <w:r>
              <w:rPr>
                <w:color w:val="000000"/>
                <w:sz w:val="20"/>
                <w:szCs w:val="20"/>
              </w:rPr>
              <w:t>(3,500</w:t>
            </w:r>
          </w:p>
        </w:tc>
        <w:tc>
          <w:tcPr>
            <w:tcW w:w="50" w:type="pct"/>
            <w:shd w:val="clear" w:color="auto" w:fill="FFFFFF"/>
            <w:noWrap/>
            <w:tcMar>
              <w:top w:w="15" w:type="dxa"/>
              <w:left w:w="0" w:type="dxa"/>
              <w:bottom w:w="0" w:type="dxa"/>
              <w:right w:w="15" w:type="dxa"/>
            </w:tcMar>
            <w:vAlign w:val="bottom"/>
            <w:hideMark/>
          </w:tcPr>
          <w:p w14:paraId="61BE897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65AD9BE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4229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15440159"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6CF470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88BB4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28C74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1593FC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EF570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3EB97A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26496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67DB86F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D52C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C26D52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CD16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EF2C4F8" w14:textId="77777777" w:rsidR="00000000" w:rsidRDefault="007125B5">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FFFFFF"/>
            <w:noWrap/>
            <w:tcMar>
              <w:top w:w="15" w:type="dxa"/>
              <w:left w:w="0" w:type="dxa"/>
              <w:bottom w:w="0" w:type="dxa"/>
              <w:right w:w="15" w:type="dxa"/>
            </w:tcMar>
            <w:vAlign w:val="bottom"/>
            <w:hideMark/>
          </w:tcPr>
          <w:p w14:paraId="227B502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D1DCE21" w14:textId="77777777">
        <w:trPr>
          <w:divId w:val="1410733971"/>
          <w:jc w:val="center"/>
        </w:trPr>
        <w:tc>
          <w:tcPr>
            <w:tcW w:w="2239" w:type="pct"/>
            <w:shd w:val="clear" w:color="auto" w:fill="CFF0FC"/>
            <w:tcMar>
              <w:top w:w="15" w:type="dxa"/>
              <w:left w:w="0" w:type="dxa"/>
              <w:bottom w:w="0" w:type="dxa"/>
              <w:right w:w="15" w:type="dxa"/>
            </w:tcMar>
            <w:hideMark/>
          </w:tcPr>
          <w:p w14:paraId="6A078535" w14:textId="77777777" w:rsidR="00000000" w:rsidRDefault="007125B5">
            <w:pPr>
              <w:pStyle w:val="a3"/>
              <w:spacing w:before="0" w:beforeAutospacing="0" w:after="0" w:afterAutospacing="0"/>
              <w:rPr>
                <w:color w:val="000000"/>
                <w:sz w:val="20"/>
                <w:szCs w:val="20"/>
              </w:rPr>
            </w:pPr>
            <w:r>
              <w:rPr>
                <w:color w:val="000000"/>
                <w:sz w:val="20"/>
                <w:szCs w:val="20"/>
              </w:rPr>
              <w:t>Outstanding at June 30, 2020</w:t>
            </w:r>
          </w:p>
        </w:tc>
        <w:tc>
          <w:tcPr>
            <w:tcW w:w="54" w:type="pct"/>
            <w:shd w:val="clear" w:color="auto" w:fill="CFF0FC"/>
            <w:tcMar>
              <w:top w:w="15" w:type="dxa"/>
              <w:left w:w="0" w:type="dxa"/>
              <w:bottom w:w="0" w:type="dxa"/>
              <w:right w:w="15" w:type="dxa"/>
            </w:tcMar>
            <w:vAlign w:val="bottom"/>
            <w:hideMark/>
          </w:tcPr>
          <w:p w14:paraId="3D8E3C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4BDDE0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FAAC0C" w14:textId="77777777" w:rsidR="00000000" w:rsidRDefault="007125B5">
            <w:pPr>
              <w:pStyle w:val="a3"/>
              <w:spacing w:before="0" w:beforeAutospacing="0" w:after="0" w:afterAutospacing="0"/>
              <w:jc w:val="right"/>
              <w:rPr>
                <w:color w:val="000000"/>
                <w:sz w:val="20"/>
                <w:szCs w:val="20"/>
              </w:rPr>
            </w:pPr>
            <w:r>
              <w:rPr>
                <w:color w:val="000000"/>
                <w:sz w:val="20"/>
                <w:szCs w:val="20"/>
              </w:rPr>
              <w:t>1,842,169</w:t>
            </w:r>
          </w:p>
        </w:tc>
        <w:tc>
          <w:tcPr>
            <w:tcW w:w="50" w:type="pct"/>
            <w:shd w:val="clear" w:color="auto" w:fill="CFF0FC"/>
            <w:noWrap/>
            <w:tcMar>
              <w:top w:w="15" w:type="dxa"/>
              <w:left w:w="0" w:type="dxa"/>
              <w:bottom w:w="0" w:type="dxa"/>
              <w:right w:w="15" w:type="dxa"/>
            </w:tcMar>
            <w:vAlign w:val="bottom"/>
            <w:hideMark/>
          </w:tcPr>
          <w:p w14:paraId="75A720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795B32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078A8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5969CD"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6A3CCF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9FA5F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3442E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50F7DC28" w14:textId="77777777" w:rsidR="00000000" w:rsidRDefault="007125B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4FC5B9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F6A74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214E4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687DC0E" w14:textId="77777777" w:rsidR="00000000" w:rsidRDefault="007125B5">
            <w:pPr>
              <w:pStyle w:val="a3"/>
              <w:spacing w:before="0" w:beforeAutospacing="0" w:after="0" w:afterAutospacing="0"/>
              <w:jc w:val="right"/>
              <w:rPr>
                <w:color w:val="000000"/>
                <w:sz w:val="20"/>
                <w:szCs w:val="20"/>
              </w:rPr>
            </w:pPr>
            <w:r>
              <w:rPr>
                <w:color w:val="000000"/>
                <w:sz w:val="20"/>
                <w:szCs w:val="20"/>
              </w:rPr>
              <w:t>5.91</w:t>
            </w:r>
          </w:p>
        </w:tc>
        <w:tc>
          <w:tcPr>
            <w:tcW w:w="50" w:type="pct"/>
            <w:shd w:val="clear" w:color="auto" w:fill="CFF0FC"/>
            <w:noWrap/>
            <w:tcMar>
              <w:top w:w="15" w:type="dxa"/>
              <w:left w:w="0" w:type="dxa"/>
              <w:bottom w:w="0" w:type="dxa"/>
              <w:right w:w="15" w:type="dxa"/>
            </w:tcMar>
            <w:vAlign w:val="bottom"/>
            <w:hideMark/>
          </w:tcPr>
          <w:p w14:paraId="3511DC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94E9F8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4A8F2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61A859" w14:textId="77777777" w:rsidR="00000000" w:rsidRDefault="007125B5">
            <w:pPr>
              <w:pStyle w:val="a3"/>
              <w:spacing w:before="0" w:beforeAutospacing="0" w:after="0" w:afterAutospacing="0"/>
              <w:jc w:val="right"/>
              <w:rPr>
                <w:color w:val="000000"/>
                <w:sz w:val="20"/>
                <w:szCs w:val="20"/>
              </w:rPr>
            </w:pPr>
            <w:r>
              <w:rPr>
                <w:color w:val="000000"/>
                <w:sz w:val="20"/>
                <w:szCs w:val="20"/>
              </w:rPr>
              <w:t>46,276</w:t>
            </w:r>
          </w:p>
        </w:tc>
        <w:tc>
          <w:tcPr>
            <w:tcW w:w="50" w:type="pct"/>
            <w:shd w:val="clear" w:color="auto" w:fill="CFF0FC"/>
            <w:noWrap/>
            <w:tcMar>
              <w:top w:w="15" w:type="dxa"/>
              <w:left w:w="0" w:type="dxa"/>
              <w:bottom w:w="0" w:type="dxa"/>
              <w:right w:w="15" w:type="dxa"/>
            </w:tcMar>
            <w:vAlign w:val="bottom"/>
            <w:hideMark/>
          </w:tcPr>
          <w:p w14:paraId="7084437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E163630" w14:textId="77777777">
        <w:trPr>
          <w:divId w:val="1410733971"/>
          <w:jc w:val="center"/>
        </w:trPr>
        <w:tc>
          <w:tcPr>
            <w:tcW w:w="2239" w:type="pct"/>
            <w:shd w:val="clear" w:color="auto" w:fill="FFFFFF"/>
            <w:tcMar>
              <w:top w:w="15" w:type="dxa"/>
              <w:left w:w="0" w:type="dxa"/>
              <w:bottom w:w="0" w:type="dxa"/>
              <w:right w:w="15" w:type="dxa"/>
            </w:tcMar>
            <w:hideMark/>
          </w:tcPr>
          <w:p w14:paraId="1B7998FD" w14:textId="77777777" w:rsidR="00000000" w:rsidRDefault="007125B5">
            <w:pPr>
              <w:pStyle w:val="a3"/>
              <w:spacing w:before="0" w:beforeAutospacing="0" w:after="0" w:afterAutospacing="0"/>
              <w:rPr>
                <w:color w:val="000000"/>
                <w:sz w:val="20"/>
                <w:szCs w:val="20"/>
              </w:rPr>
            </w:pPr>
            <w:r>
              <w:rPr>
                <w:color w:val="000000"/>
                <w:sz w:val="20"/>
                <w:szCs w:val="20"/>
              </w:rPr>
              <w:t>Options vested and expected to vest</w:t>
            </w:r>
          </w:p>
        </w:tc>
        <w:tc>
          <w:tcPr>
            <w:tcW w:w="54" w:type="pct"/>
            <w:shd w:val="clear" w:color="auto" w:fill="FFFFFF"/>
            <w:tcMar>
              <w:top w:w="15" w:type="dxa"/>
              <w:left w:w="0" w:type="dxa"/>
              <w:bottom w:w="0" w:type="dxa"/>
              <w:right w:w="15" w:type="dxa"/>
            </w:tcMar>
            <w:vAlign w:val="bottom"/>
            <w:hideMark/>
          </w:tcPr>
          <w:p w14:paraId="22EEE2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8551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8A0CD1" w14:textId="77777777" w:rsidR="00000000" w:rsidRDefault="007125B5">
            <w:pPr>
              <w:pStyle w:val="a3"/>
              <w:spacing w:before="0" w:beforeAutospacing="0" w:after="0" w:afterAutospacing="0"/>
              <w:jc w:val="right"/>
              <w:rPr>
                <w:color w:val="000000"/>
                <w:sz w:val="20"/>
                <w:szCs w:val="20"/>
              </w:rPr>
            </w:pPr>
            <w:r>
              <w:rPr>
                <w:color w:val="000000"/>
                <w:sz w:val="20"/>
                <w:szCs w:val="20"/>
              </w:rPr>
              <w:t>1,842,169</w:t>
            </w:r>
          </w:p>
        </w:tc>
        <w:tc>
          <w:tcPr>
            <w:tcW w:w="50" w:type="pct"/>
            <w:shd w:val="clear" w:color="auto" w:fill="FFFFFF"/>
            <w:noWrap/>
            <w:tcMar>
              <w:top w:w="15" w:type="dxa"/>
              <w:left w:w="0" w:type="dxa"/>
              <w:bottom w:w="0" w:type="dxa"/>
              <w:right w:w="15" w:type="dxa"/>
            </w:tcMar>
            <w:vAlign w:val="bottom"/>
            <w:hideMark/>
          </w:tcPr>
          <w:p w14:paraId="751A73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2C39F5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5C383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68A12ADE" w14:textId="77777777" w:rsidR="00000000" w:rsidRDefault="007125B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09F67E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069B8D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E4B3D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AD457F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3F40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8A6C1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06ABB2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299A8C07" w14:textId="77777777" w:rsidR="00000000" w:rsidRDefault="007125B5">
            <w:pPr>
              <w:pStyle w:val="a3"/>
              <w:spacing w:before="0" w:beforeAutospacing="0" w:after="0" w:afterAutospacing="0"/>
              <w:jc w:val="right"/>
              <w:rPr>
                <w:color w:val="000000"/>
                <w:sz w:val="20"/>
                <w:szCs w:val="20"/>
              </w:rPr>
            </w:pPr>
            <w:r>
              <w:rPr>
                <w:color w:val="000000"/>
                <w:sz w:val="20"/>
                <w:szCs w:val="20"/>
              </w:rPr>
              <w:t>5.43</w:t>
            </w:r>
          </w:p>
        </w:tc>
        <w:tc>
          <w:tcPr>
            <w:tcW w:w="50" w:type="pct"/>
            <w:shd w:val="clear" w:color="auto" w:fill="FFFFFF"/>
            <w:noWrap/>
            <w:tcMar>
              <w:top w:w="15" w:type="dxa"/>
              <w:left w:w="0" w:type="dxa"/>
              <w:bottom w:w="0" w:type="dxa"/>
              <w:right w:w="15" w:type="dxa"/>
            </w:tcMar>
            <w:vAlign w:val="bottom"/>
            <w:hideMark/>
          </w:tcPr>
          <w:p w14:paraId="28FABF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695A0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52A37D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5FAE0003" w14:textId="77777777" w:rsidR="00000000" w:rsidRDefault="007125B5">
            <w:pPr>
              <w:pStyle w:val="a3"/>
              <w:spacing w:before="0" w:beforeAutospacing="0" w:after="0" w:afterAutospacing="0"/>
              <w:jc w:val="right"/>
              <w:rPr>
                <w:color w:val="000000"/>
                <w:sz w:val="20"/>
                <w:szCs w:val="20"/>
              </w:rPr>
            </w:pPr>
            <w:r>
              <w:rPr>
                <w:color w:val="000000"/>
                <w:sz w:val="20"/>
                <w:szCs w:val="20"/>
              </w:rPr>
              <w:t>46,276</w:t>
            </w:r>
          </w:p>
        </w:tc>
        <w:tc>
          <w:tcPr>
            <w:tcW w:w="50" w:type="pct"/>
            <w:shd w:val="clear" w:color="auto" w:fill="FFFFFF"/>
            <w:noWrap/>
            <w:tcMar>
              <w:top w:w="15" w:type="dxa"/>
              <w:left w:w="0" w:type="dxa"/>
              <w:bottom w:w="0" w:type="dxa"/>
              <w:right w:w="15" w:type="dxa"/>
            </w:tcMar>
            <w:vAlign w:val="bottom"/>
            <w:hideMark/>
          </w:tcPr>
          <w:p w14:paraId="31434E0E"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3529DE1A" w14:textId="77777777" w:rsidR="00000000" w:rsidRDefault="007125B5">
      <w:pPr>
        <w:pStyle w:val="a3"/>
        <w:shd w:val="clear" w:color="auto" w:fill="FFFFFF"/>
        <w:spacing w:before="0" w:beforeAutospacing="0" w:after="0" w:afterAutospacing="0"/>
        <w:rPr>
          <w:sz w:val="20"/>
          <w:szCs w:val="20"/>
        </w:rPr>
      </w:pPr>
      <w:r>
        <w:rPr>
          <w:sz w:val="20"/>
          <w:szCs w:val="20"/>
        </w:rPr>
        <w:t> </w:t>
      </w:r>
    </w:p>
    <w:p w14:paraId="223A5F4B" w14:textId="77777777" w:rsidR="00000000" w:rsidRDefault="007125B5">
      <w:pPr>
        <w:pStyle w:val="a3"/>
        <w:shd w:val="clear" w:color="auto" w:fill="FFFFFF"/>
        <w:spacing w:before="0" w:beforeAutospacing="0" w:after="0" w:afterAutospacing="0"/>
        <w:ind w:firstLine="556"/>
        <w:rPr>
          <w:color w:val="000000"/>
          <w:sz w:val="20"/>
          <w:szCs w:val="20"/>
        </w:rPr>
      </w:pPr>
      <w:r>
        <w:rPr>
          <w:color w:val="000000"/>
          <w:sz w:val="20"/>
          <w:szCs w:val="20"/>
        </w:rPr>
        <w:t>Total shares outstanding from exercised options were 205,100 shares and 201,600 shares as of June 30, 2020 and December 31, 2019.</w:t>
      </w:r>
    </w:p>
    <w:p w14:paraId="34667D8A" w14:textId="77777777" w:rsidR="00000000" w:rsidRDefault="007125B5">
      <w:pPr>
        <w:pStyle w:val="a3"/>
        <w:shd w:val="clear" w:color="auto" w:fill="FFFFFF"/>
        <w:spacing w:before="0" w:beforeAutospacing="0" w:after="0" w:afterAutospacing="0"/>
        <w:rPr>
          <w:sz w:val="20"/>
          <w:szCs w:val="20"/>
        </w:rPr>
      </w:pPr>
      <w:r>
        <w:rPr>
          <w:sz w:val="20"/>
          <w:szCs w:val="20"/>
        </w:rPr>
        <w:t> </w:t>
      </w:r>
    </w:p>
    <w:p w14:paraId="5AEAE0F0" w14:textId="77777777" w:rsidR="00000000" w:rsidRDefault="007125B5">
      <w:pPr>
        <w:pStyle w:val="a3"/>
        <w:shd w:val="clear" w:color="auto" w:fill="FFFFFF"/>
        <w:spacing w:before="40" w:beforeAutospacing="0" w:after="0" w:afterAutospacing="0"/>
        <w:ind w:firstLine="556"/>
        <w:rPr>
          <w:b/>
          <w:bCs/>
          <w:sz w:val="20"/>
          <w:szCs w:val="20"/>
        </w:rPr>
      </w:pPr>
      <w:r>
        <w:rPr>
          <w:b/>
          <w:bCs/>
          <w:sz w:val="20"/>
          <w:szCs w:val="20"/>
        </w:rPr>
        <w:t>Common Stock Reserved for Future Issuances</w:t>
      </w:r>
      <w:r>
        <w:rPr>
          <w:sz w:val="20"/>
          <w:szCs w:val="20"/>
        </w:rPr>
        <w:t>—At June 30, 2020 and June 30, 2019, the Company has reserved</w:t>
      </w:r>
      <w:r>
        <w:rPr>
          <w:sz w:val="20"/>
          <w:szCs w:val="20"/>
        </w:rPr>
        <w:t xml:space="preserve"> certain stock of its authorized but unissued common stock for possible future issuance in connection with the following:</w:t>
      </w:r>
    </w:p>
    <w:p w14:paraId="7FC42DCD"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94"/>
        <w:gridCol w:w="65"/>
        <w:gridCol w:w="65"/>
        <w:gridCol w:w="815"/>
        <w:gridCol w:w="65"/>
        <w:gridCol w:w="65"/>
        <w:gridCol w:w="65"/>
        <w:gridCol w:w="815"/>
        <w:gridCol w:w="65"/>
      </w:tblGrid>
      <w:tr w:rsidR="00000000" w14:paraId="7B16D205" w14:textId="77777777">
        <w:trPr>
          <w:divId w:val="1937789167"/>
          <w:jc w:val="center"/>
        </w:trPr>
        <w:tc>
          <w:tcPr>
            <w:tcW w:w="3349" w:type="pct"/>
            <w:shd w:val="clear" w:color="auto" w:fill="FFFFFF"/>
            <w:tcMar>
              <w:top w:w="15" w:type="dxa"/>
              <w:left w:w="0" w:type="dxa"/>
              <w:bottom w:w="0" w:type="dxa"/>
              <w:right w:w="15" w:type="dxa"/>
            </w:tcMar>
            <w:vAlign w:val="bottom"/>
            <w:hideMark/>
          </w:tcPr>
          <w:p w14:paraId="241E10C7"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30766D2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A460FE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p w14:paraId="7CDC636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DDF8FB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749912A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2F6D933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December 31,</w:t>
            </w:r>
          </w:p>
          <w:p w14:paraId="19B4A8D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2BD815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30DF1D5" w14:textId="77777777">
        <w:trPr>
          <w:divId w:val="1937789167"/>
          <w:jc w:val="center"/>
        </w:trPr>
        <w:tc>
          <w:tcPr>
            <w:tcW w:w="3349" w:type="pct"/>
            <w:shd w:val="clear" w:color="auto" w:fill="CFF0FC"/>
            <w:tcMar>
              <w:top w:w="15" w:type="dxa"/>
              <w:left w:w="0" w:type="dxa"/>
              <w:bottom w:w="0" w:type="dxa"/>
              <w:right w:w="15" w:type="dxa"/>
            </w:tcMar>
            <w:hideMark/>
          </w:tcPr>
          <w:p w14:paraId="3584029A" w14:textId="77777777" w:rsidR="00000000" w:rsidRDefault="007125B5">
            <w:pPr>
              <w:pStyle w:val="a3"/>
              <w:spacing w:before="0" w:beforeAutospacing="0" w:after="0" w:afterAutospacing="0"/>
              <w:rPr>
                <w:color w:val="000000"/>
                <w:sz w:val="20"/>
                <w:szCs w:val="20"/>
              </w:rPr>
            </w:pPr>
            <w:r>
              <w:rPr>
                <w:color w:val="000000"/>
                <w:sz w:val="20"/>
                <w:szCs w:val="20"/>
              </w:rPr>
              <w:t>Warrants</w:t>
            </w:r>
          </w:p>
        </w:tc>
        <w:tc>
          <w:tcPr>
            <w:tcW w:w="81" w:type="pct"/>
            <w:shd w:val="clear" w:color="auto" w:fill="CFF0FC"/>
            <w:tcMar>
              <w:top w:w="15" w:type="dxa"/>
              <w:left w:w="0" w:type="dxa"/>
              <w:bottom w:w="0" w:type="dxa"/>
              <w:right w:w="15" w:type="dxa"/>
            </w:tcMar>
            <w:vAlign w:val="bottom"/>
            <w:hideMark/>
          </w:tcPr>
          <w:p w14:paraId="2464A0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6628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13151A0" w14:textId="77777777" w:rsidR="00000000" w:rsidRDefault="007125B5">
            <w:pPr>
              <w:pStyle w:val="a3"/>
              <w:spacing w:before="0" w:beforeAutospacing="0" w:after="0" w:afterAutospacing="0"/>
              <w:jc w:val="right"/>
              <w:rPr>
                <w:color w:val="000000"/>
                <w:sz w:val="20"/>
                <w:szCs w:val="20"/>
              </w:rPr>
            </w:pPr>
            <w:r>
              <w:rPr>
                <w:color w:val="000000"/>
                <w:sz w:val="20"/>
                <w:szCs w:val="20"/>
              </w:rPr>
              <w:t>2,002,550</w:t>
            </w:r>
          </w:p>
        </w:tc>
        <w:tc>
          <w:tcPr>
            <w:tcW w:w="50" w:type="pct"/>
            <w:shd w:val="clear" w:color="auto" w:fill="CFF0FC"/>
            <w:noWrap/>
            <w:tcMar>
              <w:top w:w="15" w:type="dxa"/>
              <w:left w:w="0" w:type="dxa"/>
              <w:bottom w:w="0" w:type="dxa"/>
              <w:right w:w="15" w:type="dxa"/>
            </w:tcMar>
            <w:vAlign w:val="bottom"/>
            <w:hideMark/>
          </w:tcPr>
          <w:p w14:paraId="1C15364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4CF07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6EC37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54CAB94" w14:textId="77777777" w:rsidR="00000000" w:rsidRDefault="007125B5">
            <w:pPr>
              <w:pStyle w:val="a3"/>
              <w:spacing w:before="0" w:beforeAutospacing="0" w:after="0" w:afterAutospacing="0"/>
              <w:jc w:val="right"/>
              <w:rPr>
                <w:color w:val="000000"/>
                <w:sz w:val="20"/>
                <w:szCs w:val="20"/>
              </w:rPr>
            </w:pPr>
            <w:r>
              <w:rPr>
                <w:color w:val="000000"/>
                <w:sz w:val="20"/>
                <w:szCs w:val="20"/>
              </w:rPr>
              <w:t>650,590</w:t>
            </w:r>
          </w:p>
        </w:tc>
        <w:tc>
          <w:tcPr>
            <w:tcW w:w="50" w:type="pct"/>
            <w:shd w:val="clear" w:color="auto" w:fill="CFF0FC"/>
            <w:noWrap/>
            <w:tcMar>
              <w:top w:w="15" w:type="dxa"/>
              <w:left w:w="0" w:type="dxa"/>
              <w:bottom w:w="0" w:type="dxa"/>
              <w:right w:w="15" w:type="dxa"/>
            </w:tcMar>
            <w:vAlign w:val="bottom"/>
            <w:hideMark/>
          </w:tcPr>
          <w:p w14:paraId="295F2B5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B031604" w14:textId="77777777">
        <w:trPr>
          <w:divId w:val="1937789167"/>
          <w:jc w:val="center"/>
        </w:trPr>
        <w:tc>
          <w:tcPr>
            <w:tcW w:w="3349" w:type="pct"/>
            <w:shd w:val="clear" w:color="auto" w:fill="FFFFFF"/>
            <w:tcMar>
              <w:top w:w="15" w:type="dxa"/>
              <w:left w:w="0" w:type="dxa"/>
              <w:bottom w:w="0" w:type="dxa"/>
              <w:right w:w="15" w:type="dxa"/>
            </w:tcMar>
            <w:hideMark/>
          </w:tcPr>
          <w:p w14:paraId="09035AB0" w14:textId="77777777" w:rsidR="00000000" w:rsidRDefault="007125B5">
            <w:pPr>
              <w:pStyle w:val="a3"/>
              <w:spacing w:before="0" w:beforeAutospacing="0" w:after="0" w:afterAutospacing="0"/>
              <w:rPr>
                <w:color w:val="000000"/>
                <w:sz w:val="20"/>
                <w:szCs w:val="20"/>
              </w:rPr>
            </w:pPr>
            <w:r>
              <w:rPr>
                <w:color w:val="000000"/>
                <w:sz w:val="20"/>
                <w:szCs w:val="20"/>
              </w:rPr>
              <w:t>Montrose 2013 Stock Incentive Plan</w:t>
            </w:r>
          </w:p>
        </w:tc>
        <w:tc>
          <w:tcPr>
            <w:tcW w:w="81" w:type="pct"/>
            <w:shd w:val="clear" w:color="auto" w:fill="FFFFFF"/>
            <w:tcMar>
              <w:top w:w="15" w:type="dxa"/>
              <w:left w:w="0" w:type="dxa"/>
              <w:bottom w:w="0" w:type="dxa"/>
              <w:right w:w="15" w:type="dxa"/>
            </w:tcMar>
            <w:vAlign w:val="bottom"/>
            <w:hideMark/>
          </w:tcPr>
          <w:p w14:paraId="60BAD1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0030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450FD9B" w14:textId="77777777" w:rsidR="00000000" w:rsidRDefault="007125B5">
            <w:pPr>
              <w:pStyle w:val="a3"/>
              <w:spacing w:before="0" w:beforeAutospacing="0" w:after="0" w:afterAutospacing="0"/>
              <w:jc w:val="right"/>
              <w:rPr>
                <w:color w:val="000000"/>
                <w:sz w:val="20"/>
                <w:szCs w:val="20"/>
              </w:rPr>
            </w:pPr>
            <w:r>
              <w:rPr>
                <w:color w:val="000000"/>
                <w:sz w:val="20"/>
                <w:szCs w:val="20"/>
              </w:rPr>
              <w:t>2,050,244</w:t>
            </w:r>
          </w:p>
        </w:tc>
        <w:tc>
          <w:tcPr>
            <w:tcW w:w="50" w:type="pct"/>
            <w:shd w:val="clear" w:color="auto" w:fill="FFFFFF"/>
            <w:noWrap/>
            <w:tcMar>
              <w:top w:w="15" w:type="dxa"/>
              <w:left w:w="0" w:type="dxa"/>
              <w:bottom w:w="0" w:type="dxa"/>
              <w:right w:w="15" w:type="dxa"/>
            </w:tcMar>
            <w:vAlign w:val="bottom"/>
            <w:hideMark/>
          </w:tcPr>
          <w:p w14:paraId="621E07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5069B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7DAA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5134267" w14:textId="77777777" w:rsidR="00000000" w:rsidRDefault="007125B5">
            <w:pPr>
              <w:pStyle w:val="a3"/>
              <w:spacing w:before="0" w:beforeAutospacing="0" w:after="0" w:afterAutospacing="0"/>
              <w:jc w:val="right"/>
              <w:rPr>
                <w:color w:val="000000"/>
                <w:sz w:val="20"/>
                <w:szCs w:val="20"/>
              </w:rPr>
            </w:pPr>
            <w:r>
              <w:rPr>
                <w:color w:val="000000"/>
                <w:sz w:val="20"/>
                <w:szCs w:val="20"/>
              </w:rPr>
              <w:t>2,058,619</w:t>
            </w:r>
          </w:p>
        </w:tc>
        <w:tc>
          <w:tcPr>
            <w:tcW w:w="50" w:type="pct"/>
            <w:shd w:val="clear" w:color="auto" w:fill="FFFFFF"/>
            <w:noWrap/>
            <w:tcMar>
              <w:top w:w="15" w:type="dxa"/>
              <w:left w:w="0" w:type="dxa"/>
              <w:bottom w:w="0" w:type="dxa"/>
              <w:right w:w="15" w:type="dxa"/>
            </w:tcMar>
            <w:vAlign w:val="bottom"/>
            <w:hideMark/>
          </w:tcPr>
          <w:p w14:paraId="0EE7505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49B5C10" w14:textId="77777777">
        <w:trPr>
          <w:divId w:val="1937789167"/>
          <w:jc w:val="center"/>
        </w:trPr>
        <w:tc>
          <w:tcPr>
            <w:tcW w:w="3349" w:type="pct"/>
            <w:shd w:val="clear" w:color="auto" w:fill="CFF0FC"/>
            <w:tcMar>
              <w:top w:w="15" w:type="dxa"/>
              <w:left w:w="0" w:type="dxa"/>
              <w:bottom w:w="0" w:type="dxa"/>
              <w:right w:w="15" w:type="dxa"/>
            </w:tcMar>
            <w:hideMark/>
          </w:tcPr>
          <w:p w14:paraId="20707890" w14:textId="77777777" w:rsidR="00000000" w:rsidRDefault="007125B5">
            <w:pPr>
              <w:pStyle w:val="a3"/>
              <w:spacing w:before="0" w:beforeAutospacing="0" w:after="0" w:afterAutospacing="0"/>
              <w:rPr>
                <w:color w:val="000000"/>
                <w:sz w:val="20"/>
                <w:szCs w:val="20"/>
              </w:rPr>
            </w:pPr>
            <w:r>
              <w:rPr>
                <w:color w:val="000000"/>
                <w:sz w:val="20"/>
                <w:szCs w:val="20"/>
              </w:rPr>
              <w:t>Montrose 2017 Stock Incentive Plan</w:t>
            </w:r>
          </w:p>
        </w:tc>
        <w:tc>
          <w:tcPr>
            <w:tcW w:w="81" w:type="pct"/>
            <w:shd w:val="clear" w:color="auto" w:fill="CFF0FC"/>
            <w:tcMar>
              <w:top w:w="15" w:type="dxa"/>
              <w:left w:w="0" w:type="dxa"/>
              <w:bottom w:w="0" w:type="dxa"/>
              <w:right w:w="15" w:type="dxa"/>
            </w:tcMar>
            <w:vAlign w:val="bottom"/>
            <w:hideMark/>
          </w:tcPr>
          <w:p w14:paraId="15CDEF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64FF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59D6DBB" w14:textId="77777777" w:rsidR="00000000" w:rsidRDefault="007125B5">
            <w:pPr>
              <w:pStyle w:val="a3"/>
              <w:spacing w:before="0" w:beforeAutospacing="0" w:after="0" w:afterAutospacing="0"/>
              <w:jc w:val="right"/>
              <w:rPr>
                <w:color w:val="000000"/>
                <w:sz w:val="20"/>
                <w:szCs w:val="20"/>
              </w:rPr>
            </w:pPr>
            <w:r>
              <w:rPr>
                <w:color w:val="000000"/>
                <w:sz w:val="20"/>
                <w:szCs w:val="20"/>
              </w:rPr>
              <w:t>1,066,160</w:t>
            </w:r>
          </w:p>
        </w:tc>
        <w:tc>
          <w:tcPr>
            <w:tcW w:w="50" w:type="pct"/>
            <w:shd w:val="clear" w:color="auto" w:fill="CFF0FC"/>
            <w:noWrap/>
            <w:tcMar>
              <w:top w:w="15" w:type="dxa"/>
              <w:left w:w="0" w:type="dxa"/>
              <w:bottom w:w="0" w:type="dxa"/>
              <w:right w:w="15" w:type="dxa"/>
            </w:tcMar>
            <w:vAlign w:val="bottom"/>
            <w:hideMark/>
          </w:tcPr>
          <w:p w14:paraId="338794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361455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AED7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F902340" w14:textId="77777777" w:rsidR="00000000" w:rsidRDefault="007125B5">
            <w:pPr>
              <w:pStyle w:val="a3"/>
              <w:spacing w:before="0" w:beforeAutospacing="0" w:after="0" w:afterAutospacing="0"/>
              <w:jc w:val="right"/>
              <w:rPr>
                <w:color w:val="000000"/>
                <w:sz w:val="20"/>
                <w:szCs w:val="20"/>
              </w:rPr>
            </w:pPr>
            <w:r>
              <w:rPr>
                <w:color w:val="000000"/>
                <w:sz w:val="20"/>
                <w:szCs w:val="20"/>
              </w:rPr>
              <w:t>997,785</w:t>
            </w:r>
          </w:p>
        </w:tc>
        <w:tc>
          <w:tcPr>
            <w:tcW w:w="50" w:type="pct"/>
            <w:shd w:val="clear" w:color="auto" w:fill="CFF0FC"/>
            <w:noWrap/>
            <w:tcMar>
              <w:top w:w="15" w:type="dxa"/>
              <w:left w:w="0" w:type="dxa"/>
              <w:bottom w:w="0" w:type="dxa"/>
              <w:right w:w="15" w:type="dxa"/>
            </w:tcMar>
            <w:vAlign w:val="bottom"/>
            <w:hideMark/>
          </w:tcPr>
          <w:p w14:paraId="67A51ECC"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87D8055" w14:textId="77777777">
        <w:trPr>
          <w:divId w:val="1937789167"/>
          <w:jc w:val="center"/>
        </w:trPr>
        <w:tc>
          <w:tcPr>
            <w:tcW w:w="3349" w:type="pct"/>
            <w:shd w:val="clear" w:color="auto" w:fill="FFFFFF"/>
            <w:tcMar>
              <w:top w:w="15" w:type="dxa"/>
              <w:left w:w="0" w:type="dxa"/>
              <w:bottom w:w="0" w:type="dxa"/>
              <w:right w:w="15" w:type="dxa"/>
            </w:tcMar>
            <w:hideMark/>
          </w:tcPr>
          <w:p w14:paraId="1727B77E" w14:textId="77777777" w:rsidR="00000000" w:rsidRDefault="007125B5">
            <w:pPr>
              <w:pStyle w:val="a3"/>
              <w:spacing w:before="0" w:beforeAutospacing="0" w:after="0" w:afterAutospacing="0"/>
              <w:rPr>
                <w:color w:val="000000"/>
                <w:sz w:val="20"/>
                <w:szCs w:val="20"/>
              </w:rPr>
            </w:pPr>
            <w:r>
              <w:rPr>
                <w:color w:val="000000"/>
                <w:sz w:val="20"/>
                <w:szCs w:val="20"/>
              </w:rPr>
              <w:t>Common stock reserved for future issuance</w:t>
            </w:r>
          </w:p>
        </w:tc>
        <w:tc>
          <w:tcPr>
            <w:tcW w:w="81" w:type="pct"/>
            <w:shd w:val="clear" w:color="auto" w:fill="FFFFFF"/>
            <w:tcMar>
              <w:top w:w="15" w:type="dxa"/>
              <w:left w:w="0" w:type="dxa"/>
              <w:bottom w:w="0" w:type="dxa"/>
              <w:right w:w="15" w:type="dxa"/>
            </w:tcMar>
            <w:vAlign w:val="bottom"/>
            <w:hideMark/>
          </w:tcPr>
          <w:p w14:paraId="69B722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C2F8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CC8DE7" w14:textId="77777777" w:rsidR="00000000" w:rsidRDefault="007125B5">
            <w:pPr>
              <w:pStyle w:val="a3"/>
              <w:spacing w:before="0" w:beforeAutospacing="0" w:after="0" w:afterAutospacing="0"/>
              <w:jc w:val="right"/>
              <w:rPr>
                <w:color w:val="000000"/>
                <w:sz w:val="20"/>
                <w:szCs w:val="20"/>
              </w:rPr>
            </w:pPr>
            <w:r>
              <w:rPr>
                <w:color w:val="000000"/>
                <w:sz w:val="20"/>
                <w:szCs w:val="20"/>
              </w:rPr>
              <w:t>5,118,954</w:t>
            </w:r>
          </w:p>
        </w:tc>
        <w:tc>
          <w:tcPr>
            <w:tcW w:w="50" w:type="pct"/>
            <w:shd w:val="clear" w:color="auto" w:fill="FFFFFF"/>
            <w:noWrap/>
            <w:tcMar>
              <w:top w:w="15" w:type="dxa"/>
              <w:left w:w="0" w:type="dxa"/>
              <w:bottom w:w="0" w:type="dxa"/>
              <w:right w:w="15" w:type="dxa"/>
            </w:tcMar>
            <w:vAlign w:val="bottom"/>
            <w:hideMark/>
          </w:tcPr>
          <w:p w14:paraId="056C8F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0C3CD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BC13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5684F4" w14:textId="77777777" w:rsidR="00000000" w:rsidRDefault="007125B5">
            <w:pPr>
              <w:pStyle w:val="a3"/>
              <w:spacing w:before="0" w:beforeAutospacing="0" w:after="0" w:afterAutospacing="0"/>
              <w:jc w:val="right"/>
              <w:rPr>
                <w:color w:val="000000"/>
                <w:sz w:val="20"/>
                <w:szCs w:val="20"/>
              </w:rPr>
            </w:pPr>
            <w:r>
              <w:rPr>
                <w:color w:val="000000"/>
                <w:sz w:val="20"/>
                <w:szCs w:val="20"/>
              </w:rPr>
              <w:t>3,706,994</w:t>
            </w:r>
          </w:p>
        </w:tc>
        <w:tc>
          <w:tcPr>
            <w:tcW w:w="50" w:type="pct"/>
            <w:shd w:val="clear" w:color="auto" w:fill="FFFFFF"/>
            <w:noWrap/>
            <w:tcMar>
              <w:top w:w="15" w:type="dxa"/>
              <w:left w:w="0" w:type="dxa"/>
              <w:bottom w:w="0" w:type="dxa"/>
              <w:right w:w="15" w:type="dxa"/>
            </w:tcMar>
            <w:vAlign w:val="bottom"/>
            <w:hideMark/>
          </w:tcPr>
          <w:p w14:paraId="66377482"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01B1264F" w14:textId="77777777" w:rsidR="00000000" w:rsidRDefault="007125B5">
      <w:pPr>
        <w:pStyle w:val="a3"/>
        <w:spacing w:before="0" w:beforeAutospacing="0" w:after="0" w:afterAutospacing="0"/>
        <w:rPr>
          <w:sz w:val="20"/>
          <w:szCs w:val="20"/>
        </w:rPr>
      </w:pPr>
      <w:r>
        <w:rPr>
          <w:sz w:val="20"/>
          <w:szCs w:val="20"/>
        </w:rPr>
        <w:t> </w:t>
      </w:r>
    </w:p>
    <w:p w14:paraId="041747B2" w14:textId="77777777" w:rsidR="00000000" w:rsidRDefault="007125B5">
      <w:pPr>
        <w:pStyle w:val="a3"/>
        <w:shd w:val="clear" w:color="auto" w:fill="FFFFFF"/>
        <w:spacing w:before="160" w:beforeAutospacing="0" w:after="0" w:afterAutospacing="0"/>
        <w:rPr>
          <w:b/>
          <w:bCs/>
          <w:color w:val="000000"/>
          <w:sz w:val="20"/>
          <w:szCs w:val="20"/>
        </w:rPr>
      </w:pPr>
      <w:r>
        <w:rPr>
          <w:b/>
          <w:bCs/>
          <w:color w:val="000000"/>
          <w:sz w:val="20"/>
          <w:szCs w:val="20"/>
        </w:rPr>
        <w:t>19. NET INCOME (LOSS) PER SHARE</w:t>
      </w:r>
    </w:p>
    <w:p w14:paraId="0C26247A"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Basic net income (loss) per share is computed by dividing net income (loss) attributable to common stockholders by the weighted average number of common shares outstanding during each period.</w:t>
      </w:r>
    </w:p>
    <w:p w14:paraId="2E521841"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Diluted net income (loss) per sh</w:t>
      </w:r>
      <w:r>
        <w:rPr>
          <w:color w:val="000000"/>
          <w:sz w:val="20"/>
          <w:szCs w:val="20"/>
        </w:rPr>
        <w:t>are is computed by dividing net income (loss) attributable to common stockholders by the weighted average number of common and dilutive common equivalent shares outstanding for the period using the treasury-stock method or the as-converted method. Shares i</w:t>
      </w:r>
      <w:r>
        <w:rPr>
          <w:color w:val="000000"/>
          <w:sz w:val="20"/>
          <w:szCs w:val="20"/>
        </w:rPr>
        <w:t>ssuable in connection with the warrant options (Note 11) are considered outstanding common shares for purposes of calculating net income (loss) per share since they do not contain any conditions that must be satisfied for the holder to exercise the warrant</w:t>
      </w:r>
      <w:r>
        <w:rPr>
          <w:color w:val="000000"/>
          <w:sz w:val="20"/>
          <w:szCs w:val="20"/>
        </w:rPr>
        <w:t xml:space="preserve">. Potentially dilutive shares are comprised of restricted stock and shares of common stock underlying stock options outstanding under the Plans and warrants (other than warrant options) to purchase common stock. </w:t>
      </w:r>
    </w:p>
    <w:p w14:paraId="1E794C30" w14:textId="77777777" w:rsidR="00000000" w:rsidRDefault="007125B5">
      <w:pPr>
        <w:pStyle w:val="a3"/>
        <w:spacing w:before="240" w:beforeAutospacing="0" w:after="0" w:afterAutospacing="0"/>
        <w:jc w:val="center"/>
        <w:rPr>
          <w:sz w:val="20"/>
          <w:szCs w:val="20"/>
        </w:rPr>
      </w:pPr>
      <w:r>
        <w:rPr>
          <w:sz w:val="20"/>
          <w:szCs w:val="20"/>
        </w:rPr>
        <w:t>23</w:t>
      </w:r>
    </w:p>
    <w:p w14:paraId="2E6C8077" w14:textId="77777777" w:rsidR="00000000" w:rsidRDefault="007125B5">
      <w:pPr>
        <w:rPr>
          <w:rFonts w:eastAsia="Times New Roman"/>
        </w:rPr>
      </w:pPr>
      <w:r>
        <w:rPr>
          <w:rFonts w:eastAsia="Times New Roman"/>
        </w:rPr>
        <w:pict w14:anchorId="524DFFEA">
          <v:rect id="_x0000_i1049" style="width:415.3pt;height:1.5pt" o:hralign="center" o:hrstd="t" o:hr="t" fillcolor="#a0a0a0" stroked="f"/>
        </w:pict>
      </w:r>
    </w:p>
    <w:p w14:paraId="13892375" w14:textId="77777777" w:rsidR="00000000" w:rsidRDefault="007125B5">
      <w:pPr>
        <w:pStyle w:val="a3"/>
        <w:spacing w:before="0" w:beforeAutospacing="0" w:after="0" w:afterAutospacing="0"/>
        <w:rPr>
          <w:sz w:val="20"/>
          <w:szCs w:val="20"/>
        </w:rPr>
      </w:pPr>
      <w:r>
        <w:rPr>
          <w:sz w:val="20"/>
          <w:szCs w:val="20"/>
        </w:rPr>
        <w:t> </w:t>
      </w:r>
    </w:p>
    <w:p w14:paraId="0F220B42" w14:textId="77777777" w:rsidR="00000000" w:rsidRDefault="007125B5">
      <w:pPr>
        <w:pStyle w:val="a3"/>
        <w:shd w:val="clear" w:color="auto" w:fill="FFFFFF"/>
        <w:spacing w:before="240" w:beforeAutospacing="0" w:after="0" w:afterAutospacing="0"/>
        <w:ind w:firstLine="556"/>
        <w:rPr>
          <w:color w:val="000000"/>
          <w:sz w:val="20"/>
          <w:szCs w:val="20"/>
        </w:rPr>
      </w:pPr>
      <w:bookmarkStart w:id="41" w:name="_AEIOULastRenderedPageBreakAEIOU26"/>
      <w:bookmarkEnd w:id="41"/>
      <w:r>
        <w:rPr>
          <w:color w:val="000000"/>
          <w:sz w:val="20"/>
          <w:szCs w:val="20"/>
        </w:rPr>
        <w:t>The following table summarizes the computation of basic and diluted net in</w:t>
      </w:r>
      <w:r>
        <w:rPr>
          <w:color w:val="000000"/>
          <w:sz w:val="20"/>
          <w:szCs w:val="20"/>
        </w:rPr>
        <w:t>come (loss) per share attributable to common stockholders of the Company for the three and six months ended June 30, 2020 and 2019:</w:t>
      </w:r>
    </w:p>
    <w:p w14:paraId="2816AEF5"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14:paraId="32C76BAD" w14:textId="77777777">
        <w:trPr>
          <w:divId w:val="545067492"/>
          <w:jc w:val="center"/>
        </w:trPr>
        <w:tc>
          <w:tcPr>
            <w:tcW w:w="2517" w:type="pct"/>
            <w:shd w:val="clear" w:color="auto" w:fill="FFFFFF"/>
            <w:tcMar>
              <w:top w:w="15" w:type="dxa"/>
              <w:left w:w="0" w:type="dxa"/>
              <w:bottom w:w="0" w:type="dxa"/>
              <w:right w:w="15" w:type="dxa"/>
            </w:tcMar>
            <w:vAlign w:val="bottom"/>
            <w:hideMark/>
          </w:tcPr>
          <w:p w14:paraId="0942A787" w14:textId="77777777" w:rsidR="00000000" w:rsidRDefault="007125B5">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5D21943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6C3F3E2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5140E91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239E4F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42112BD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27CB068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681699D" w14:textId="77777777">
        <w:trPr>
          <w:divId w:val="545067492"/>
          <w:jc w:val="center"/>
        </w:trPr>
        <w:tc>
          <w:tcPr>
            <w:tcW w:w="2517" w:type="pct"/>
            <w:shd w:val="clear" w:color="auto" w:fill="FFFFFF"/>
            <w:tcMar>
              <w:top w:w="15" w:type="dxa"/>
              <w:left w:w="0" w:type="dxa"/>
              <w:bottom w:w="0" w:type="dxa"/>
              <w:right w:w="15" w:type="dxa"/>
            </w:tcMar>
            <w:vAlign w:val="bottom"/>
            <w:hideMark/>
          </w:tcPr>
          <w:p w14:paraId="277A8984" w14:textId="77777777" w:rsidR="00000000" w:rsidRDefault="007125B5">
            <w:pPr>
              <w:pStyle w:val="a3"/>
              <w:spacing w:before="0" w:beforeAutospacing="0" w:after="0" w:afterAutospacing="0"/>
              <w:rPr>
                <w:b/>
                <w:bCs/>
                <w:color w:val="000000"/>
                <w:sz w:val="16"/>
                <w:szCs w:val="16"/>
              </w:rPr>
            </w:pPr>
            <w:r>
              <w:rPr>
                <w:b/>
                <w:bCs/>
                <w:color w:val="000000"/>
                <w:sz w:val="16"/>
                <w:szCs w:val="16"/>
              </w:rPr>
              <w:t>In thousands, except for net loss per share</w:t>
            </w:r>
          </w:p>
        </w:tc>
        <w:tc>
          <w:tcPr>
            <w:tcW w:w="61" w:type="pct"/>
            <w:shd w:val="clear" w:color="auto" w:fill="FFFFFF"/>
            <w:tcMar>
              <w:top w:w="15" w:type="dxa"/>
              <w:left w:w="0" w:type="dxa"/>
              <w:bottom w:w="0" w:type="dxa"/>
              <w:right w:w="15" w:type="dxa"/>
            </w:tcMar>
            <w:vAlign w:val="bottom"/>
            <w:hideMark/>
          </w:tcPr>
          <w:p w14:paraId="22FA533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580D2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4FE2BC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5E310A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02541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B61FC5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91B19D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BAD3F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D63D2C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998E5E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B93DD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2872AC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A869EDA" w14:textId="77777777">
        <w:trPr>
          <w:divId w:val="545067492"/>
          <w:jc w:val="center"/>
        </w:trPr>
        <w:tc>
          <w:tcPr>
            <w:tcW w:w="2517" w:type="pct"/>
            <w:shd w:val="clear" w:color="auto" w:fill="CFF0FC"/>
            <w:tcMar>
              <w:top w:w="15" w:type="dxa"/>
              <w:left w:w="0" w:type="dxa"/>
              <w:bottom w:w="0" w:type="dxa"/>
              <w:right w:w="15" w:type="dxa"/>
            </w:tcMar>
            <w:hideMark/>
          </w:tcPr>
          <w:p w14:paraId="6DBD8AF8" w14:textId="77777777" w:rsidR="00000000" w:rsidRDefault="007125B5">
            <w:pPr>
              <w:pStyle w:val="a3"/>
              <w:spacing w:before="0" w:beforeAutospacing="0" w:after="0" w:afterAutospacing="0"/>
              <w:rPr>
                <w:color w:val="000000"/>
                <w:sz w:val="20"/>
                <w:szCs w:val="20"/>
              </w:rPr>
            </w:pPr>
            <w:r>
              <w:rPr>
                <w:color w:val="000000"/>
                <w:sz w:val="20"/>
                <w:szCs w:val="20"/>
              </w:rPr>
              <w:t>Net income (loss)</w:t>
            </w:r>
          </w:p>
        </w:tc>
        <w:tc>
          <w:tcPr>
            <w:tcW w:w="61" w:type="pct"/>
            <w:shd w:val="clear" w:color="auto" w:fill="CFF0FC"/>
            <w:tcMar>
              <w:top w:w="15" w:type="dxa"/>
              <w:left w:w="0" w:type="dxa"/>
              <w:bottom w:w="0" w:type="dxa"/>
              <w:right w:w="15" w:type="dxa"/>
            </w:tcMar>
            <w:vAlign w:val="bottom"/>
            <w:hideMark/>
          </w:tcPr>
          <w:p w14:paraId="1B892B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4D2A7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362E681" w14:textId="77777777" w:rsidR="00000000" w:rsidRDefault="007125B5">
            <w:pPr>
              <w:pStyle w:val="a3"/>
              <w:spacing w:before="0" w:beforeAutospacing="0" w:after="0" w:afterAutospacing="0"/>
              <w:jc w:val="right"/>
              <w:rPr>
                <w:color w:val="000000"/>
                <w:sz w:val="20"/>
                <w:szCs w:val="20"/>
              </w:rPr>
            </w:pPr>
            <w:r>
              <w:rPr>
                <w:color w:val="000000"/>
                <w:sz w:val="20"/>
                <w:szCs w:val="20"/>
              </w:rPr>
              <w:t>13,224</w:t>
            </w:r>
          </w:p>
        </w:tc>
        <w:tc>
          <w:tcPr>
            <w:tcW w:w="50" w:type="pct"/>
            <w:shd w:val="clear" w:color="auto" w:fill="CFF0FC"/>
            <w:noWrap/>
            <w:tcMar>
              <w:top w:w="15" w:type="dxa"/>
              <w:left w:w="0" w:type="dxa"/>
              <w:bottom w:w="0" w:type="dxa"/>
              <w:right w:w="15" w:type="dxa"/>
            </w:tcMar>
            <w:vAlign w:val="bottom"/>
            <w:hideMark/>
          </w:tcPr>
          <w:p w14:paraId="4431C3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4298B2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8CCA82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E5B5DC6" w14:textId="77777777" w:rsidR="00000000" w:rsidRDefault="007125B5">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14:paraId="02292F9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113E3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F9C40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2E27017" w14:textId="77777777" w:rsidR="00000000" w:rsidRDefault="007125B5">
            <w:pPr>
              <w:pStyle w:val="a3"/>
              <w:spacing w:before="0" w:beforeAutospacing="0" w:after="0" w:afterAutospacing="0"/>
              <w:jc w:val="right"/>
              <w:rPr>
                <w:color w:val="000000"/>
                <w:sz w:val="20"/>
                <w:szCs w:val="20"/>
              </w:rPr>
            </w:pPr>
            <w:r>
              <w:rPr>
                <w:color w:val="000000"/>
                <w:sz w:val="20"/>
                <w:szCs w:val="20"/>
              </w:rPr>
              <w:t>(28,024</w:t>
            </w:r>
          </w:p>
        </w:tc>
        <w:tc>
          <w:tcPr>
            <w:tcW w:w="50" w:type="pct"/>
            <w:shd w:val="clear" w:color="auto" w:fill="CFF0FC"/>
            <w:noWrap/>
            <w:tcMar>
              <w:top w:w="15" w:type="dxa"/>
              <w:left w:w="0" w:type="dxa"/>
              <w:bottom w:w="0" w:type="dxa"/>
              <w:right w:w="15" w:type="dxa"/>
            </w:tcMar>
            <w:vAlign w:val="bottom"/>
            <w:hideMark/>
          </w:tcPr>
          <w:p w14:paraId="73F325D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20014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0C554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C30B314" w14:textId="77777777" w:rsidR="00000000" w:rsidRDefault="007125B5">
            <w:pPr>
              <w:pStyle w:val="a3"/>
              <w:spacing w:before="0" w:beforeAutospacing="0" w:after="0" w:afterAutospacing="0"/>
              <w:jc w:val="right"/>
              <w:rPr>
                <w:color w:val="000000"/>
                <w:sz w:val="20"/>
                <w:szCs w:val="20"/>
              </w:rPr>
            </w:pPr>
            <w:r>
              <w:rPr>
                <w:color w:val="000000"/>
                <w:sz w:val="20"/>
                <w:szCs w:val="20"/>
              </w:rPr>
              <w:t>(5,564</w:t>
            </w:r>
          </w:p>
        </w:tc>
        <w:tc>
          <w:tcPr>
            <w:tcW w:w="50" w:type="pct"/>
            <w:shd w:val="clear" w:color="auto" w:fill="CFF0FC"/>
            <w:noWrap/>
            <w:tcMar>
              <w:top w:w="15" w:type="dxa"/>
              <w:left w:w="0" w:type="dxa"/>
              <w:bottom w:w="0" w:type="dxa"/>
              <w:right w:w="15" w:type="dxa"/>
            </w:tcMar>
            <w:vAlign w:val="bottom"/>
            <w:hideMark/>
          </w:tcPr>
          <w:p w14:paraId="3352CCC6"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66581D1" w14:textId="77777777">
        <w:trPr>
          <w:divId w:val="545067492"/>
          <w:jc w:val="center"/>
        </w:trPr>
        <w:tc>
          <w:tcPr>
            <w:tcW w:w="2517" w:type="pct"/>
            <w:shd w:val="clear" w:color="auto" w:fill="FFFFFF"/>
            <w:tcMar>
              <w:top w:w="15" w:type="dxa"/>
              <w:left w:w="0" w:type="dxa"/>
              <w:bottom w:w="0" w:type="dxa"/>
              <w:right w:w="15" w:type="dxa"/>
            </w:tcMar>
            <w:hideMark/>
          </w:tcPr>
          <w:p w14:paraId="6988B948" w14:textId="77777777" w:rsidR="00000000" w:rsidRDefault="007125B5">
            <w:pPr>
              <w:pStyle w:val="a3"/>
              <w:spacing w:before="0" w:beforeAutospacing="0" w:after="0" w:afterAutospacing="0"/>
              <w:rPr>
                <w:color w:val="000000"/>
                <w:sz w:val="20"/>
                <w:szCs w:val="20"/>
              </w:rPr>
            </w:pPr>
            <w:r>
              <w:rPr>
                <w:color w:val="000000"/>
                <w:sz w:val="20"/>
                <w:szCs w:val="20"/>
              </w:rPr>
              <w:t>Accretion of redeemable preferred stock</w:t>
            </w:r>
          </w:p>
        </w:tc>
        <w:tc>
          <w:tcPr>
            <w:tcW w:w="61" w:type="pct"/>
            <w:shd w:val="clear" w:color="auto" w:fill="FFFFFF"/>
            <w:tcMar>
              <w:top w:w="15" w:type="dxa"/>
              <w:left w:w="0" w:type="dxa"/>
              <w:bottom w:w="0" w:type="dxa"/>
              <w:right w:w="15" w:type="dxa"/>
            </w:tcMar>
            <w:vAlign w:val="bottom"/>
            <w:hideMark/>
          </w:tcPr>
          <w:p w14:paraId="3D38DF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EF14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3F3D423" w14:textId="77777777" w:rsidR="00000000" w:rsidRDefault="007125B5">
            <w:pPr>
              <w:pStyle w:val="a3"/>
              <w:spacing w:before="0" w:beforeAutospacing="0" w:after="0" w:afterAutospacing="0"/>
              <w:jc w:val="right"/>
              <w:rPr>
                <w:color w:val="000000"/>
                <w:sz w:val="20"/>
                <w:szCs w:val="20"/>
              </w:rPr>
            </w:pPr>
            <w:r>
              <w:rPr>
                <w:color w:val="000000"/>
                <w:sz w:val="20"/>
                <w:szCs w:val="20"/>
              </w:rPr>
              <w:t>(5,644</w:t>
            </w:r>
          </w:p>
        </w:tc>
        <w:tc>
          <w:tcPr>
            <w:tcW w:w="50" w:type="pct"/>
            <w:shd w:val="clear" w:color="auto" w:fill="FFFFFF"/>
            <w:noWrap/>
            <w:tcMar>
              <w:top w:w="15" w:type="dxa"/>
              <w:left w:w="0" w:type="dxa"/>
              <w:bottom w:w="0" w:type="dxa"/>
              <w:right w:w="15" w:type="dxa"/>
            </w:tcMar>
            <w:vAlign w:val="bottom"/>
            <w:hideMark/>
          </w:tcPr>
          <w:p w14:paraId="6C1E330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D989E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06C5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5D400F6" w14:textId="77777777" w:rsidR="00000000" w:rsidRDefault="007125B5">
            <w:pPr>
              <w:pStyle w:val="a3"/>
              <w:spacing w:before="0" w:beforeAutospacing="0" w:after="0" w:afterAutospacing="0"/>
              <w:jc w:val="right"/>
              <w:rPr>
                <w:color w:val="000000"/>
                <w:sz w:val="20"/>
                <w:szCs w:val="20"/>
              </w:rPr>
            </w:pPr>
            <w:r>
              <w:rPr>
                <w:color w:val="000000"/>
                <w:sz w:val="20"/>
                <w:szCs w:val="20"/>
              </w:rPr>
              <w:t>(4,777</w:t>
            </w:r>
          </w:p>
        </w:tc>
        <w:tc>
          <w:tcPr>
            <w:tcW w:w="50" w:type="pct"/>
            <w:shd w:val="clear" w:color="auto" w:fill="FFFFFF"/>
            <w:noWrap/>
            <w:tcMar>
              <w:top w:w="15" w:type="dxa"/>
              <w:left w:w="0" w:type="dxa"/>
              <w:bottom w:w="0" w:type="dxa"/>
              <w:right w:w="15" w:type="dxa"/>
            </w:tcMar>
            <w:vAlign w:val="bottom"/>
            <w:hideMark/>
          </w:tcPr>
          <w:p w14:paraId="6135DD6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A7C3C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B185A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05868F0" w14:textId="77777777" w:rsidR="00000000" w:rsidRDefault="007125B5">
            <w:pPr>
              <w:pStyle w:val="a3"/>
              <w:spacing w:before="0" w:beforeAutospacing="0" w:after="0" w:afterAutospacing="0"/>
              <w:jc w:val="right"/>
              <w:rPr>
                <w:color w:val="000000"/>
                <w:sz w:val="20"/>
                <w:szCs w:val="20"/>
              </w:rPr>
            </w:pPr>
            <w:r>
              <w:rPr>
                <w:color w:val="000000"/>
                <w:sz w:val="20"/>
                <w:szCs w:val="20"/>
              </w:rPr>
              <w:t>(11,059</w:t>
            </w:r>
          </w:p>
        </w:tc>
        <w:tc>
          <w:tcPr>
            <w:tcW w:w="50" w:type="pct"/>
            <w:shd w:val="clear" w:color="auto" w:fill="FFFFFF"/>
            <w:noWrap/>
            <w:tcMar>
              <w:top w:w="15" w:type="dxa"/>
              <w:left w:w="0" w:type="dxa"/>
              <w:bottom w:w="0" w:type="dxa"/>
              <w:right w:w="15" w:type="dxa"/>
            </w:tcMar>
            <w:vAlign w:val="bottom"/>
            <w:hideMark/>
          </w:tcPr>
          <w:p w14:paraId="4ABE925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C019EB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330E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2B0CEB2" w14:textId="77777777" w:rsidR="00000000" w:rsidRDefault="007125B5">
            <w:pPr>
              <w:pStyle w:val="a3"/>
              <w:spacing w:before="0" w:beforeAutospacing="0" w:after="0" w:afterAutospacing="0"/>
              <w:jc w:val="right"/>
              <w:rPr>
                <w:color w:val="000000"/>
                <w:sz w:val="20"/>
                <w:szCs w:val="20"/>
              </w:rPr>
            </w:pPr>
            <w:r>
              <w:rPr>
                <w:color w:val="000000"/>
                <w:sz w:val="20"/>
                <w:szCs w:val="20"/>
              </w:rPr>
              <w:t>(9,311</w:t>
            </w:r>
          </w:p>
        </w:tc>
        <w:tc>
          <w:tcPr>
            <w:tcW w:w="50" w:type="pct"/>
            <w:shd w:val="clear" w:color="auto" w:fill="FFFFFF"/>
            <w:noWrap/>
            <w:tcMar>
              <w:top w:w="15" w:type="dxa"/>
              <w:left w:w="0" w:type="dxa"/>
              <w:bottom w:w="0" w:type="dxa"/>
              <w:right w:w="15" w:type="dxa"/>
            </w:tcMar>
            <w:vAlign w:val="bottom"/>
            <w:hideMark/>
          </w:tcPr>
          <w:p w14:paraId="53F62E92"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7EB10F30" w14:textId="77777777">
        <w:trPr>
          <w:divId w:val="545067492"/>
          <w:jc w:val="center"/>
        </w:trPr>
        <w:tc>
          <w:tcPr>
            <w:tcW w:w="2517" w:type="pct"/>
            <w:shd w:val="clear" w:color="auto" w:fill="CFF0FC"/>
            <w:tcMar>
              <w:top w:w="15" w:type="dxa"/>
              <w:left w:w="0" w:type="dxa"/>
              <w:bottom w:w="0" w:type="dxa"/>
              <w:right w:w="15" w:type="dxa"/>
            </w:tcMar>
            <w:hideMark/>
          </w:tcPr>
          <w:p w14:paraId="1F31F330" w14:textId="77777777" w:rsidR="00000000" w:rsidRDefault="007125B5">
            <w:pPr>
              <w:pStyle w:val="a3"/>
              <w:spacing w:before="0" w:beforeAutospacing="0" w:after="0" w:afterAutospacing="0"/>
              <w:rPr>
                <w:color w:val="000000"/>
                <w:sz w:val="20"/>
                <w:szCs w:val="20"/>
              </w:rPr>
            </w:pPr>
            <w:r>
              <w:rPr>
                <w:color w:val="000000"/>
                <w:sz w:val="20"/>
                <w:szCs w:val="20"/>
              </w:rPr>
              <w:t>Net income (loss) attributable to common stockholders - basic</w:t>
            </w:r>
          </w:p>
          <w:p w14:paraId="5A4B3E1F" w14:textId="77777777" w:rsidR="00000000" w:rsidRDefault="007125B5">
            <w:pPr>
              <w:pStyle w:val="a3"/>
              <w:spacing w:before="0" w:beforeAutospacing="0" w:after="0" w:afterAutospacing="0"/>
              <w:rPr>
                <w:color w:val="000000"/>
                <w:sz w:val="20"/>
                <w:szCs w:val="20"/>
              </w:rPr>
            </w:pPr>
            <w:r>
              <w:rPr>
                <w:color w:val="000000"/>
                <w:sz w:val="20"/>
                <w:szCs w:val="20"/>
              </w:rPr>
              <w:t>   and diluted</w:t>
            </w:r>
          </w:p>
        </w:tc>
        <w:tc>
          <w:tcPr>
            <w:tcW w:w="61" w:type="pct"/>
            <w:shd w:val="clear" w:color="auto" w:fill="CFF0FC"/>
            <w:tcMar>
              <w:top w:w="15" w:type="dxa"/>
              <w:left w:w="0" w:type="dxa"/>
              <w:bottom w:w="0" w:type="dxa"/>
              <w:right w:w="15" w:type="dxa"/>
            </w:tcMar>
            <w:vAlign w:val="bottom"/>
            <w:hideMark/>
          </w:tcPr>
          <w:p w14:paraId="139B02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B24D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F420872" w14:textId="77777777" w:rsidR="00000000" w:rsidRDefault="007125B5">
            <w:pPr>
              <w:pStyle w:val="a3"/>
              <w:spacing w:before="0" w:beforeAutospacing="0" w:after="0" w:afterAutospacing="0"/>
              <w:jc w:val="right"/>
              <w:rPr>
                <w:color w:val="000000"/>
                <w:sz w:val="20"/>
                <w:szCs w:val="20"/>
              </w:rPr>
            </w:pPr>
            <w:r>
              <w:rPr>
                <w:color w:val="000000"/>
                <w:sz w:val="20"/>
                <w:szCs w:val="20"/>
              </w:rPr>
              <w:t>7,580</w:t>
            </w:r>
          </w:p>
        </w:tc>
        <w:tc>
          <w:tcPr>
            <w:tcW w:w="50" w:type="pct"/>
            <w:shd w:val="clear" w:color="auto" w:fill="CFF0FC"/>
            <w:noWrap/>
            <w:tcMar>
              <w:top w:w="15" w:type="dxa"/>
              <w:left w:w="0" w:type="dxa"/>
              <w:bottom w:w="0" w:type="dxa"/>
              <w:right w:w="15" w:type="dxa"/>
            </w:tcMar>
            <w:vAlign w:val="bottom"/>
            <w:hideMark/>
          </w:tcPr>
          <w:p w14:paraId="434ABD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550F6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1CD7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38921EB" w14:textId="77777777" w:rsidR="00000000" w:rsidRDefault="007125B5">
            <w:pPr>
              <w:pStyle w:val="a3"/>
              <w:spacing w:before="0" w:beforeAutospacing="0" w:after="0" w:afterAutospacing="0"/>
              <w:jc w:val="right"/>
              <w:rPr>
                <w:color w:val="000000"/>
                <w:sz w:val="20"/>
                <w:szCs w:val="20"/>
              </w:rPr>
            </w:pPr>
            <w:r>
              <w:rPr>
                <w:color w:val="000000"/>
                <w:sz w:val="20"/>
                <w:szCs w:val="20"/>
              </w:rPr>
              <w:t>(5,099</w:t>
            </w:r>
          </w:p>
        </w:tc>
        <w:tc>
          <w:tcPr>
            <w:tcW w:w="50" w:type="pct"/>
            <w:shd w:val="clear" w:color="auto" w:fill="CFF0FC"/>
            <w:noWrap/>
            <w:tcMar>
              <w:top w:w="15" w:type="dxa"/>
              <w:left w:w="0" w:type="dxa"/>
              <w:bottom w:w="0" w:type="dxa"/>
              <w:right w:w="15" w:type="dxa"/>
            </w:tcMar>
            <w:vAlign w:val="bottom"/>
            <w:hideMark/>
          </w:tcPr>
          <w:p w14:paraId="5EE6F37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D16CD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D4E84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8E0DA44" w14:textId="77777777" w:rsidR="00000000" w:rsidRDefault="007125B5">
            <w:pPr>
              <w:pStyle w:val="a3"/>
              <w:spacing w:before="0" w:beforeAutospacing="0" w:after="0" w:afterAutospacing="0"/>
              <w:jc w:val="right"/>
              <w:rPr>
                <w:color w:val="000000"/>
                <w:sz w:val="20"/>
                <w:szCs w:val="20"/>
              </w:rPr>
            </w:pPr>
            <w:r>
              <w:rPr>
                <w:color w:val="000000"/>
                <w:sz w:val="20"/>
                <w:szCs w:val="20"/>
              </w:rPr>
              <w:t>(39,083</w:t>
            </w:r>
          </w:p>
        </w:tc>
        <w:tc>
          <w:tcPr>
            <w:tcW w:w="50" w:type="pct"/>
            <w:shd w:val="clear" w:color="auto" w:fill="CFF0FC"/>
            <w:noWrap/>
            <w:tcMar>
              <w:top w:w="15" w:type="dxa"/>
              <w:left w:w="0" w:type="dxa"/>
              <w:bottom w:w="0" w:type="dxa"/>
              <w:right w:w="15" w:type="dxa"/>
            </w:tcMar>
            <w:vAlign w:val="bottom"/>
            <w:hideMark/>
          </w:tcPr>
          <w:p w14:paraId="45224C0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FCC77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0D54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46ADC4B" w14:textId="77777777" w:rsidR="00000000" w:rsidRDefault="007125B5">
            <w:pPr>
              <w:pStyle w:val="a3"/>
              <w:spacing w:before="0" w:beforeAutospacing="0" w:after="0" w:afterAutospacing="0"/>
              <w:jc w:val="right"/>
              <w:rPr>
                <w:color w:val="000000"/>
                <w:sz w:val="20"/>
                <w:szCs w:val="20"/>
              </w:rPr>
            </w:pPr>
            <w:r>
              <w:rPr>
                <w:color w:val="000000"/>
                <w:sz w:val="20"/>
                <w:szCs w:val="20"/>
              </w:rPr>
              <w:t>(14,875</w:t>
            </w:r>
          </w:p>
        </w:tc>
        <w:tc>
          <w:tcPr>
            <w:tcW w:w="50" w:type="pct"/>
            <w:shd w:val="clear" w:color="auto" w:fill="CFF0FC"/>
            <w:noWrap/>
            <w:tcMar>
              <w:top w:w="15" w:type="dxa"/>
              <w:left w:w="0" w:type="dxa"/>
              <w:bottom w:w="0" w:type="dxa"/>
              <w:right w:w="15" w:type="dxa"/>
            </w:tcMar>
            <w:vAlign w:val="bottom"/>
            <w:hideMark/>
          </w:tcPr>
          <w:p w14:paraId="1291CEA3"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6BBAF02" w14:textId="77777777">
        <w:trPr>
          <w:divId w:val="545067492"/>
          <w:jc w:val="center"/>
        </w:trPr>
        <w:tc>
          <w:tcPr>
            <w:tcW w:w="2517" w:type="pct"/>
            <w:shd w:val="clear" w:color="auto" w:fill="FFFFFF"/>
            <w:tcMar>
              <w:top w:w="15" w:type="dxa"/>
              <w:left w:w="0" w:type="dxa"/>
              <w:bottom w:w="0" w:type="dxa"/>
              <w:right w:w="15" w:type="dxa"/>
            </w:tcMar>
            <w:hideMark/>
          </w:tcPr>
          <w:p w14:paraId="69A0ABAE" w14:textId="77777777" w:rsidR="00000000" w:rsidRDefault="007125B5">
            <w:pPr>
              <w:pStyle w:val="a3"/>
              <w:spacing w:before="0" w:beforeAutospacing="0" w:after="0" w:afterAutospacing="0"/>
              <w:rPr>
                <w:color w:val="000000"/>
                <w:sz w:val="20"/>
                <w:szCs w:val="20"/>
              </w:rPr>
            </w:pPr>
            <w:r>
              <w:rPr>
                <w:color w:val="000000"/>
                <w:sz w:val="20"/>
                <w:szCs w:val="20"/>
              </w:rPr>
              <w:t>Weighted-average common shares outstanding -</w:t>
            </w:r>
          </w:p>
          <w:p w14:paraId="53E72D2B" w14:textId="77777777" w:rsidR="00000000" w:rsidRDefault="007125B5">
            <w:pPr>
              <w:pStyle w:val="a3"/>
              <w:spacing w:before="0" w:beforeAutospacing="0" w:after="0" w:afterAutospacing="0"/>
              <w:rPr>
                <w:color w:val="000000"/>
                <w:sz w:val="20"/>
                <w:szCs w:val="20"/>
              </w:rPr>
            </w:pPr>
            <w:r>
              <w:rPr>
                <w:color w:val="000000"/>
                <w:sz w:val="20"/>
                <w:szCs w:val="20"/>
              </w:rPr>
              <w:t>   basic</w:t>
            </w:r>
          </w:p>
        </w:tc>
        <w:tc>
          <w:tcPr>
            <w:tcW w:w="61" w:type="pct"/>
            <w:shd w:val="clear" w:color="auto" w:fill="FFFFFF"/>
            <w:tcMar>
              <w:top w:w="15" w:type="dxa"/>
              <w:left w:w="0" w:type="dxa"/>
              <w:bottom w:w="0" w:type="dxa"/>
              <w:right w:w="15" w:type="dxa"/>
            </w:tcMar>
            <w:vAlign w:val="bottom"/>
            <w:hideMark/>
          </w:tcPr>
          <w:p w14:paraId="66BCA7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E686F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794197A" w14:textId="77777777" w:rsidR="00000000" w:rsidRDefault="007125B5">
            <w:pPr>
              <w:pStyle w:val="a3"/>
              <w:spacing w:before="0" w:beforeAutospacing="0" w:after="0" w:afterAutospacing="0"/>
              <w:jc w:val="right"/>
              <w:rPr>
                <w:color w:val="000000"/>
                <w:sz w:val="20"/>
                <w:szCs w:val="20"/>
              </w:rPr>
            </w:pPr>
            <w:r>
              <w:rPr>
                <w:color w:val="000000"/>
                <w:sz w:val="20"/>
                <w:szCs w:val="20"/>
              </w:rPr>
              <w:t>10,649</w:t>
            </w:r>
          </w:p>
        </w:tc>
        <w:tc>
          <w:tcPr>
            <w:tcW w:w="50" w:type="pct"/>
            <w:shd w:val="clear" w:color="auto" w:fill="FFFFFF"/>
            <w:noWrap/>
            <w:tcMar>
              <w:top w:w="15" w:type="dxa"/>
              <w:left w:w="0" w:type="dxa"/>
              <w:bottom w:w="0" w:type="dxa"/>
              <w:right w:w="15" w:type="dxa"/>
            </w:tcMar>
            <w:vAlign w:val="bottom"/>
            <w:hideMark/>
          </w:tcPr>
          <w:p w14:paraId="47A239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586ED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4F5D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3C55DE4" w14:textId="77777777" w:rsidR="00000000" w:rsidRDefault="007125B5">
            <w:pPr>
              <w:pStyle w:val="a3"/>
              <w:spacing w:before="0" w:beforeAutospacing="0" w:after="0" w:afterAutospacing="0"/>
              <w:jc w:val="right"/>
              <w:rPr>
                <w:color w:val="000000"/>
                <w:sz w:val="20"/>
                <w:szCs w:val="20"/>
              </w:rPr>
            </w:pPr>
            <w:r>
              <w:rPr>
                <w:color w:val="000000"/>
                <w:sz w:val="20"/>
                <w:szCs w:val="20"/>
              </w:rPr>
              <w:t>8,647</w:t>
            </w:r>
          </w:p>
        </w:tc>
        <w:tc>
          <w:tcPr>
            <w:tcW w:w="50" w:type="pct"/>
            <w:shd w:val="clear" w:color="auto" w:fill="FFFFFF"/>
            <w:noWrap/>
            <w:tcMar>
              <w:top w:w="15" w:type="dxa"/>
              <w:left w:w="0" w:type="dxa"/>
              <w:bottom w:w="0" w:type="dxa"/>
              <w:right w:w="15" w:type="dxa"/>
            </w:tcMar>
            <w:vAlign w:val="bottom"/>
            <w:hideMark/>
          </w:tcPr>
          <w:p w14:paraId="05AFC1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2B17E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60C0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0B9F84F" w14:textId="77777777" w:rsidR="00000000" w:rsidRDefault="007125B5">
            <w:pPr>
              <w:pStyle w:val="a3"/>
              <w:spacing w:before="0" w:beforeAutospacing="0" w:after="0" w:afterAutospacing="0"/>
              <w:jc w:val="right"/>
              <w:rPr>
                <w:color w:val="000000"/>
                <w:sz w:val="20"/>
                <w:szCs w:val="20"/>
              </w:rPr>
            </w:pPr>
            <w:r>
              <w:rPr>
                <w:color w:val="000000"/>
                <w:sz w:val="20"/>
                <w:szCs w:val="20"/>
              </w:rPr>
              <w:t>9,718</w:t>
            </w:r>
          </w:p>
        </w:tc>
        <w:tc>
          <w:tcPr>
            <w:tcW w:w="50" w:type="pct"/>
            <w:shd w:val="clear" w:color="auto" w:fill="FFFFFF"/>
            <w:noWrap/>
            <w:tcMar>
              <w:top w:w="15" w:type="dxa"/>
              <w:left w:w="0" w:type="dxa"/>
              <w:bottom w:w="0" w:type="dxa"/>
              <w:right w:w="15" w:type="dxa"/>
            </w:tcMar>
            <w:vAlign w:val="bottom"/>
            <w:hideMark/>
          </w:tcPr>
          <w:p w14:paraId="0977C6B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3102A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4AF5D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CC6716F" w14:textId="77777777" w:rsidR="00000000" w:rsidRDefault="007125B5">
            <w:pPr>
              <w:pStyle w:val="a3"/>
              <w:spacing w:before="0" w:beforeAutospacing="0" w:after="0" w:afterAutospacing="0"/>
              <w:jc w:val="right"/>
              <w:rPr>
                <w:color w:val="000000"/>
                <w:sz w:val="20"/>
                <w:szCs w:val="20"/>
              </w:rPr>
            </w:pPr>
            <w:r>
              <w:rPr>
                <w:color w:val="000000"/>
                <w:sz w:val="20"/>
                <w:szCs w:val="20"/>
              </w:rPr>
              <w:t>8,602</w:t>
            </w:r>
          </w:p>
        </w:tc>
        <w:tc>
          <w:tcPr>
            <w:tcW w:w="50" w:type="pct"/>
            <w:shd w:val="clear" w:color="auto" w:fill="FFFFFF"/>
            <w:noWrap/>
            <w:tcMar>
              <w:top w:w="15" w:type="dxa"/>
              <w:left w:w="0" w:type="dxa"/>
              <w:bottom w:w="0" w:type="dxa"/>
              <w:right w:w="15" w:type="dxa"/>
            </w:tcMar>
            <w:vAlign w:val="bottom"/>
            <w:hideMark/>
          </w:tcPr>
          <w:p w14:paraId="33FA5C8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7D03ACD" w14:textId="77777777">
        <w:trPr>
          <w:divId w:val="545067492"/>
          <w:jc w:val="center"/>
        </w:trPr>
        <w:tc>
          <w:tcPr>
            <w:tcW w:w="2517" w:type="pct"/>
            <w:shd w:val="clear" w:color="auto" w:fill="CFF0FC"/>
            <w:tcMar>
              <w:top w:w="15" w:type="dxa"/>
              <w:left w:w="0" w:type="dxa"/>
              <w:bottom w:w="0" w:type="dxa"/>
              <w:right w:w="15" w:type="dxa"/>
            </w:tcMar>
            <w:hideMark/>
          </w:tcPr>
          <w:p w14:paraId="0935BA05" w14:textId="77777777" w:rsidR="00000000" w:rsidRDefault="007125B5">
            <w:pPr>
              <w:pStyle w:val="a3"/>
              <w:spacing w:before="0" w:beforeAutospacing="0" w:after="0" w:afterAutospacing="0"/>
              <w:rPr>
                <w:color w:val="000000"/>
                <w:sz w:val="20"/>
                <w:szCs w:val="20"/>
              </w:rPr>
            </w:pPr>
            <w:r>
              <w:rPr>
                <w:color w:val="000000"/>
                <w:sz w:val="20"/>
                <w:szCs w:val="20"/>
              </w:rPr>
              <w:t>Net income (loss) per share attributable to common stockholders -</w:t>
            </w:r>
          </w:p>
          <w:p w14:paraId="6D2E0092" w14:textId="77777777" w:rsidR="00000000" w:rsidRDefault="007125B5">
            <w:pPr>
              <w:pStyle w:val="a3"/>
              <w:spacing w:before="0" w:beforeAutospacing="0" w:after="0" w:afterAutospacing="0"/>
              <w:rPr>
                <w:color w:val="000000"/>
                <w:sz w:val="20"/>
                <w:szCs w:val="20"/>
              </w:rPr>
            </w:pPr>
            <w:r>
              <w:rPr>
                <w:color w:val="000000"/>
                <w:sz w:val="20"/>
                <w:szCs w:val="20"/>
              </w:rPr>
              <w:t>   basic</w:t>
            </w:r>
          </w:p>
        </w:tc>
        <w:tc>
          <w:tcPr>
            <w:tcW w:w="61" w:type="pct"/>
            <w:shd w:val="clear" w:color="auto" w:fill="CFF0FC"/>
            <w:tcMar>
              <w:top w:w="15" w:type="dxa"/>
              <w:left w:w="0" w:type="dxa"/>
              <w:bottom w:w="0" w:type="dxa"/>
              <w:right w:w="15" w:type="dxa"/>
            </w:tcMar>
            <w:vAlign w:val="bottom"/>
            <w:hideMark/>
          </w:tcPr>
          <w:p w14:paraId="18D8C8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8004B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421128" w14:textId="77777777" w:rsidR="00000000" w:rsidRDefault="007125B5">
            <w:pPr>
              <w:pStyle w:val="a3"/>
              <w:spacing w:before="0" w:beforeAutospacing="0" w:after="0" w:afterAutospacing="0"/>
              <w:jc w:val="right"/>
              <w:rPr>
                <w:color w:val="000000"/>
                <w:sz w:val="20"/>
                <w:szCs w:val="20"/>
              </w:rPr>
            </w:pPr>
            <w:r>
              <w:rPr>
                <w:color w:val="000000"/>
                <w:sz w:val="20"/>
                <w:szCs w:val="20"/>
              </w:rPr>
              <w:t>0.71</w:t>
            </w:r>
          </w:p>
        </w:tc>
        <w:tc>
          <w:tcPr>
            <w:tcW w:w="50" w:type="pct"/>
            <w:shd w:val="clear" w:color="auto" w:fill="CFF0FC"/>
            <w:noWrap/>
            <w:tcMar>
              <w:top w:w="15" w:type="dxa"/>
              <w:left w:w="0" w:type="dxa"/>
              <w:bottom w:w="0" w:type="dxa"/>
              <w:right w:w="15" w:type="dxa"/>
            </w:tcMar>
            <w:vAlign w:val="bottom"/>
            <w:hideMark/>
          </w:tcPr>
          <w:p w14:paraId="6A9937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2F5C8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1DEA1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A9E033" w14:textId="77777777" w:rsidR="00000000" w:rsidRDefault="007125B5">
            <w:pPr>
              <w:pStyle w:val="a3"/>
              <w:spacing w:before="0" w:beforeAutospacing="0" w:after="0" w:afterAutospacing="0"/>
              <w:jc w:val="right"/>
              <w:rPr>
                <w:color w:val="000000"/>
                <w:sz w:val="20"/>
                <w:szCs w:val="20"/>
              </w:rPr>
            </w:pPr>
            <w:r>
              <w:rPr>
                <w:color w:val="000000"/>
                <w:sz w:val="20"/>
                <w:szCs w:val="20"/>
              </w:rPr>
              <w:t>(0.59</w:t>
            </w:r>
          </w:p>
        </w:tc>
        <w:tc>
          <w:tcPr>
            <w:tcW w:w="50" w:type="pct"/>
            <w:shd w:val="clear" w:color="auto" w:fill="CFF0FC"/>
            <w:noWrap/>
            <w:tcMar>
              <w:top w:w="15" w:type="dxa"/>
              <w:left w:w="0" w:type="dxa"/>
              <w:bottom w:w="0" w:type="dxa"/>
              <w:right w:w="15" w:type="dxa"/>
            </w:tcMar>
            <w:vAlign w:val="bottom"/>
            <w:hideMark/>
          </w:tcPr>
          <w:p w14:paraId="580AE3C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4D084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7852C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0D9209" w14:textId="77777777" w:rsidR="00000000" w:rsidRDefault="007125B5">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CFF0FC"/>
            <w:noWrap/>
            <w:tcMar>
              <w:top w:w="15" w:type="dxa"/>
              <w:left w:w="0" w:type="dxa"/>
              <w:bottom w:w="0" w:type="dxa"/>
              <w:right w:w="15" w:type="dxa"/>
            </w:tcMar>
            <w:vAlign w:val="bottom"/>
            <w:hideMark/>
          </w:tcPr>
          <w:p w14:paraId="08A83E0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95FAB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3B2A8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DC0F95" w14:textId="77777777" w:rsidR="00000000" w:rsidRDefault="007125B5">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CFF0FC"/>
            <w:noWrap/>
            <w:tcMar>
              <w:top w:w="15" w:type="dxa"/>
              <w:left w:w="0" w:type="dxa"/>
              <w:bottom w:w="0" w:type="dxa"/>
              <w:right w:w="15" w:type="dxa"/>
            </w:tcMar>
            <w:vAlign w:val="bottom"/>
            <w:hideMark/>
          </w:tcPr>
          <w:p w14:paraId="034E8EFD"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9C2F6C2" w14:textId="77777777">
        <w:trPr>
          <w:divId w:val="545067492"/>
          <w:jc w:val="center"/>
        </w:trPr>
        <w:tc>
          <w:tcPr>
            <w:tcW w:w="2517" w:type="pct"/>
            <w:shd w:val="clear" w:color="auto" w:fill="FFFFFF"/>
            <w:tcMar>
              <w:top w:w="15" w:type="dxa"/>
              <w:left w:w="0" w:type="dxa"/>
              <w:bottom w:w="0" w:type="dxa"/>
              <w:right w:w="15" w:type="dxa"/>
            </w:tcMar>
            <w:hideMark/>
          </w:tcPr>
          <w:p w14:paraId="0A6CC1D7" w14:textId="77777777" w:rsidR="00000000" w:rsidRDefault="007125B5">
            <w:pPr>
              <w:pStyle w:val="a3"/>
              <w:spacing w:before="0" w:beforeAutospacing="0" w:after="0" w:afterAutospacing="0"/>
              <w:rPr>
                <w:color w:val="000000"/>
                <w:sz w:val="20"/>
                <w:szCs w:val="20"/>
              </w:rPr>
            </w:pPr>
            <w:r>
              <w:rPr>
                <w:color w:val="000000"/>
                <w:sz w:val="20"/>
                <w:szCs w:val="20"/>
              </w:rPr>
              <w:t>Weighted-average common shares outstanding -</w:t>
            </w:r>
          </w:p>
          <w:p w14:paraId="095506C9" w14:textId="77777777" w:rsidR="00000000" w:rsidRDefault="007125B5">
            <w:pPr>
              <w:pStyle w:val="a3"/>
              <w:spacing w:before="0" w:beforeAutospacing="0" w:after="0" w:afterAutospacing="0"/>
              <w:rPr>
                <w:color w:val="000000"/>
                <w:sz w:val="20"/>
                <w:szCs w:val="20"/>
              </w:rPr>
            </w:pPr>
            <w:r>
              <w:rPr>
                <w:color w:val="000000"/>
                <w:sz w:val="20"/>
                <w:szCs w:val="20"/>
              </w:rPr>
              <w:t>   diluted</w:t>
            </w:r>
          </w:p>
        </w:tc>
        <w:tc>
          <w:tcPr>
            <w:tcW w:w="61" w:type="pct"/>
            <w:shd w:val="clear" w:color="auto" w:fill="FFFFFF"/>
            <w:tcMar>
              <w:top w:w="15" w:type="dxa"/>
              <w:left w:w="0" w:type="dxa"/>
              <w:bottom w:w="0" w:type="dxa"/>
              <w:right w:w="15" w:type="dxa"/>
            </w:tcMar>
            <w:vAlign w:val="bottom"/>
            <w:hideMark/>
          </w:tcPr>
          <w:p w14:paraId="1DF210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6A7F5D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333249A5" w14:textId="77777777" w:rsidR="00000000" w:rsidRDefault="007125B5">
            <w:pPr>
              <w:pStyle w:val="a3"/>
              <w:spacing w:before="0" w:beforeAutospacing="0" w:after="0" w:afterAutospacing="0"/>
              <w:jc w:val="right"/>
              <w:rPr>
                <w:color w:val="000000"/>
                <w:sz w:val="20"/>
                <w:szCs w:val="20"/>
              </w:rPr>
            </w:pPr>
            <w:r>
              <w:rPr>
                <w:color w:val="000000"/>
                <w:sz w:val="20"/>
                <w:szCs w:val="20"/>
              </w:rPr>
              <w:t>19,139</w:t>
            </w:r>
          </w:p>
        </w:tc>
        <w:tc>
          <w:tcPr>
            <w:tcW w:w="50" w:type="pct"/>
            <w:shd w:val="clear" w:color="auto" w:fill="FFFFFF"/>
            <w:noWrap/>
            <w:tcMar>
              <w:top w:w="15" w:type="dxa"/>
              <w:left w:w="0" w:type="dxa"/>
              <w:bottom w:w="0" w:type="dxa"/>
              <w:right w:w="15" w:type="dxa"/>
            </w:tcMar>
            <w:vAlign w:val="bottom"/>
            <w:hideMark/>
          </w:tcPr>
          <w:p w14:paraId="2B4012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4120D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5390EB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7997A679" w14:textId="77777777" w:rsidR="00000000" w:rsidRDefault="007125B5">
            <w:pPr>
              <w:pStyle w:val="a3"/>
              <w:spacing w:before="0" w:beforeAutospacing="0" w:after="0" w:afterAutospacing="0"/>
              <w:jc w:val="right"/>
              <w:rPr>
                <w:color w:val="000000"/>
                <w:sz w:val="20"/>
                <w:szCs w:val="20"/>
              </w:rPr>
            </w:pPr>
            <w:r>
              <w:rPr>
                <w:color w:val="000000"/>
                <w:sz w:val="20"/>
                <w:szCs w:val="20"/>
              </w:rPr>
              <w:t>8,647</w:t>
            </w:r>
          </w:p>
        </w:tc>
        <w:tc>
          <w:tcPr>
            <w:tcW w:w="50" w:type="pct"/>
            <w:shd w:val="clear" w:color="auto" w:fill="FFFFFF"/>
            <w:noWrap/>
            <w:tcMar>
              <w:top w:w="15" w:type="dxa"/>
              <w:left w:w="0" w:type="dxa"/>
              <w:bottom w:w="0" w:type="dxa"/>
              <w:right w:w="15" w:type="dxa"/>
            </w:tcMar>
            <w:vAlign w:val="bottom"/>
            <w:hideMark/>
          </w:tcPr>
          <w:p w14:paraId="49DA56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847D2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5653C6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66F99A29" w14:textId="77777777" w:rsidR="00000000" w:rsidRDefault="007125B5">
            <w:pPr>
              <w:pStyle w:val="a3"/>
              <w:spacing w:before="0" w:beforeAutospacing="0" w:after="0" w:afterAutospacing="0"/>
              <w:jc w:val="right"/>
              <w:rPr>
                <w:color w:val="000000"/>
                <w:sz w:val="20"/>
                <w:szCs w:val="20"/>
              </w:rPr>
            </w:pPr>
            <w:r>
              <w:rPr>
                <w:color w:val="000000"/>
                <w:sz w:val="20"/>
                <w:szCs w:val="20"/>
              </w:rPr>
              <w:t>9,718</w:t>
            </w:r>
          </w:p>
        </w:tc>
        <w:tc>
          <w:tcPr>
            <w:tcW w:w="50" w:type="pct"/>
            <w:shd w:val="clear" w:color="auto" w:fill="FFFFFF"/>
            <w:noWrap/>
            <w:tcMar>
              <w:top w:w="15" w:type="dxa"/>
              <w:left w:w="0" w:type="dxa"/>
              <w:bottom w:w="0" w:type="dxa"/>
              <w:right w:w="15" w:type="dxa"/>
            </w:tcMar>
            <w:vAlign w:val="bottom"/>
            <w:hideMark/>
          </w:tcPr>
          <w:p w14:paraId="109C03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3AED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0BC05B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14:paraId="6D79D1C2" w14:textId="77777777" w:rsidR="00000000" w:rsidRDefault="007125B5">
            <w:pPr>
              <w:pStyle w:val="a3"/>
              <w:spacing w:before="0" w:beforeAutospacing="0" w:after="0" w:afterAutospacing="0"/>
              <w:jc w:val="right"/>
              <w:rPr>
                <w:color w:val="000000"/>
                <w:sz w:val="20"/>
                <w:szCs w:val="20"/>
              </w:rPr>
            </w:pPr>
            <w:r>
              <w:rPr>
                <w:color w:val="000000"/>
                <w:sz w:val="20"/>
                <w:szCs w:val="20"/>
              </w:rPr>
              <w:t>8,602</w:t>
            </w:r>
          </w:p>
        </w:tc>
        <w:tc>
          <w:tcPr>
            <w:tcW w:w="50" w:type="pct"/>
            <w:shd w:val="clear" w:color="auto" w:fill="FFFFFF"/>
            <w:noWrap/>
            <w:tcMar>
              <w:top w:w="15" w:type="dxa"/>
              <w:left w:w="0" w:type="dxa"/>
              <w:bottom w:w="0" w:type="dxa"/>
              <w:right w:w="15" w:type="dxa"/>
            </w:tcMar>
            <w:vAlign w:val="bottom"/>
            <w:hideMark/>
          </w:tcPr>
          <w:p w14:paraId="7570F70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C404FCF" w14:textId="77777777">
        <w:trPr>
          <w:divId w:val="545067492"/>
          <w:jc w:val="center"/>
        </w:trPr>
        <w:tc>
          <w:tcPr>
            <w:tcW w:w="2517" w:type="pct"/>
            <w:shd w:val="clear" w:color="auto" w:fill="CFF0FC"/>
            <w:tcMar>
              <w:top w:w="15" w:type="dxa"/>
              <w:left w:w="0" w:type="dxa"/>
              <w:bottom w:w="0" w:type="dxa"/>
              <w:right w:w="15" w:type="dxa"/>
            </w:tcMar>
            <w:hideMark/>
          </w:tcPr>
          <w:p w14:paraId="17813124" w14:textId="77777777" w:rsidR="00000000" w:rsidRDefault="007125B5">
            <w:pPr>
              <w:pStyle w:val="a3"/>
              <w:spacing w:before="0" w:beforeAutospacing="0" w:after="0" w:afterAutospacing="0"/>
              <w:rPr>
                <w:color w:val="000000"/>
                <w:sz w:val="20"/>
                <w:szCs w:val="20"/>
              </w:rPr>
            </w:pPr>
            <w:r>
              <w:rPr>
                <w:color w:val="000000"/>
                <w:sz w:val="20"/>
                <w:szCs w:val="20"/>
              </w:rPr>
              <w:t>Net income (loss) per share attributable to common stockholders -</w:t>
            </w:r>
          </w:p>
          <w:p w14:paraId="5247028D" w14:textId="77777777" w:rsidR="00000000" w:rsidRDefault="007125B5">
            <w:pPr>
              <w:pStyle w:val="a3"/>
              <w:spacing w:before="0" w:beforeAutospacing="0" w:after="0" w:afterAutospacing="0"/>
              <w:rPr>
                <w:color w:val="000000"/>
                <w:sz w:val="20"/>
                <w:szCs w:val="20"/>
              </w:rPr>
            </w:pPr>
            <w:r>
              <w:rPr>
                <w:color w:val="000000"/>
                <w:sz w:val="20"/>
                <w:szCs w:val="20"/>
              </w:rPr>
              <w:t>   diluted</w:t>
            </w:r>
          </w:p>
        </w:tc>
        <w:tc>
          <w:tcPr>
            <w:tcW w:w="61" w:type="pct"/>
            <w:shd w:val="clear" w:color="auto" w:fill="CFF0FC"/>
            <w:tcMar>
              <w:top w:w="15" w:type="dxa"/>
              <w:left w:w="0" w:type="dxa"/>
              <w:bottom w:w="0" w:type="dxa"/>
              <w:right w:w="15" w:type="dxa"/>
            </w:tcMar>
            <w:vAlign w:val="bottom"/>
            <w:hideMark/>
          </w:tcPr>
          <w:p w14:paraId="0939B8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5CB30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4DE5D8" w14:textId="77777777" w:rsidR="00000000" w:rsidRDefault="007125B5">
            <w:pPr>
              <w:pStyle w:val="a3"/>
              <w:spacing w:before="0" w:beforeAutospacing="0" w:after="0" w:afterAutospacing="0"/>
              <w:jc w:val="right"/>
              <w:rPr>
                <w:color w:val="000000"/>
                <w:sz w:val="20"/>
                <w:szCs w:val="20"/>
              </w:rPr>
            </w:pPr>
            <w:r>
              <w:rPr>
                <w:color w:val="000000"/>
                <w:sz w:val="20"/>
                <w:szCs w:val="20"/>
              </w:rPr>
              <w:t>0.40</w:t>
            </w:r>
          </w:p>
        </w:tc>
        <w:tc>
          <w:tcPr>
            <w:tcW w:w="50" w:type="pct"/>
            <w:shd w:val="clear" w:color="auto" w:fill="CFF0FC"/>
            <w:noWrap/>
            <w:tcMar>
              <w:top w:w="15" w:type="dxa"/>
              <w:left w:w="0" w:type="dxa"/>
              <w:bottom w:w="0" w:type="dxa"/>
              <w:right w:w="15" w:type="dxa"/>
            </w:tcMar>
            <w:vAlign w:val="bottom"/>
            <w:hideMark/>
          </w:tcPr>
          <w:p w14:paraId="20776D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0ADE6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674EE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4A3D4B" w14:textId="77777777" w:rsidR="00000000" w:rsidRDefault="007125B5">
            <w:pPr>
              <w:pStyle w:val="a3"/>
              <w:spacing w:before="0" w:beforeAutospacing="0" w:after="0" w:afterAutospacing="0"/>
              <w:jc w:val="right"/>
              <w:rPr>
                <w:color w:val="000000"/>
                <w:sz w:val="20"/>
                <w:szCs w:val="20"/>
              </w:rPr>
            </w:pPr>
            <w:r>
              <w:rPr>
                <w:color w:val="000000"/>
                <w:sz w:val="20"/>
                <w:szCs w:val="20"/>
              </w:rPr>
              <w:t>(0.59</w:t>
            </w:r>
          </w:p>
        </w:tc>
        <w:tc>
          <w:tcPr>
            <w:tcW w:w="50" w:type="pct"/>
            <w:shd w:val="clear" w:color="auto" w:fill="CFF0FC"/>
            <w:noWrap/>
            <w:tcMar>
              <w:top w:w="15" w:type="dxa"/>
              <w:left w:w="0" w:type="dxa"/>
              <w:bottom w:w="0" w:type="dxa"/>
              <w:right w:w="15" w:type="dxa"/>
            </w:tcMar>
            <w:vAlign w:val="bottom"/>
            <w:hideMark/>
          </w:tcPr>
          <w:p w14:paraId="531E567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DE8D7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92893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A62C71" w14:textId="77777777" w:rsidR="00000000" w:rsidRDefault="007125B5">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CFF0FC"/>
            <w:noWrap/>
            <w:tcMar>
              <w:top w:w="15" w:type="dxa"/>
              <w:left w:w="0" w:type="dxa"/>
              <w:bottom w:w="0" w:type="dxa"/>
              <w:right w:w="15" w:type="dxa"/>
            </w:tcMar>
            <w:vAlign w:val="bottom"/>
            <w:hideMark/>
          </w:tcPr>
          <w:p w14:paraId="0A03A67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916250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96884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F701BB" w14:textId="77777777" w:rsidR="00000000" w:rsidRDefault="007125B5">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CFF0FC"/>
            <w:noWrap/>
            <w:tcMar>
              <w:top w:w="15" w:type="dxa"/>
              <w:left w:w="0" w:type="dxa"/>
              <w:bottom w:w="0" w:type="dxa"/>
              <w:right w:w="15" w:type="dxa"/>
            </w:tcMar>
            <w:vAlign w:val="bottom"/>
            <w:hideMark/>
          </w:tcPr>
          <w:p w14:paraId="3D0A392D" w14:textId="77777777" w:rsidR="00000000" w:rsidRDefault="007125B5">
            <w:pPr>
              <w:pStyle w:val="a3"/>
              <w:spacing w:before="0" w:beforeAutospacing="0" w:after="0" w:afterAutospacing="0"/>
              <w:rPr>
                <w:color w:val="000000"/>
                <w:sz w:val="20"/>
                <w:szCs w:val="20"/>
              </w:rPr>
            </w:pPr>
            <w:r>
              <w:rPr>
                <w:color w:val="000000"/>
                <w:sz w:val="20"/>
                <w:szCs w:val="20"/>
              </w:rPr>
              <w:t>)</w:t>
            </w:r>
          </w:p>
        </w:tc>
      </w:tr>
    </w:tbl>
    <w:p w14:paraId="5A429795" w14:textId="77777777" w:rsidR="00000000" w:rsidRDefault="007125B5">
      <w:pPr>
        <w:pStyle w:val="a3"/>
        <w:shd w:val="clear" w:color="auto" w:fill="FFFFFF"/>
        <w:spacing w:before="0" w:beforeAutospacing="0" w:after="0" w:afterAutospacing="0"/>
        <w:rPr>
          <w:sz w:val="20"/>
          <w:szCs w:val="20"/>
        </w:rPr>
      </w:pPr>
      <w:r>
        <w:rPr>
          <w:sz w:val="20"/>
          <w:szCs w:val="20"/>
        </w:rPr>
        <w:t> </w:t>
      </w:r>
    </w:p>
    <w:p w14:paraId="47BE11BC"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The foll</w:t>
      </w:r>
      <w:r>
        <w:rPr>
          <w:color w:val="000000"/>
          <w:sz w:val="20"/>
          <w:szCs w:val="20"/>
        </w:rPr>
        <w:t>owing equity shares were excluded from the calculation of diluted net loss per share attributable to common stockholders because their effect would have been anti-dilutive for the periods where a net loss was recorded:</w:t>
      </w:r>
    </w:p>
    <w:p w14:paraId="61BB34A2"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94"/>
        <w:gridCol w:w="65"/>
        <w:gridCol w:w="65"/>
        <w:gridCol w:w="815"/>
        <w:gridCol w:w="65"/>
        <w:gridCol w:w="65"/>
        <w:gridCol w:w="65"/>
        <w:gridCol w:w="815"/>
        <w:gridCol w:w="65"/>
      </w:tblGrid>
      <w:tr w:rsidR="00000000" w14:paraId="1DFF3A8A" w14:textId="77777777">
        <w:trPr>
          <w:divId w:val="1102606784"/>
          <w:jc w:val="center"/>
        </w:trPr>
        <w:tc>
          <w:tcPr>
            <w:tcW w:w="3349" w:type="pct"/>
            <w:shd w:val="clear" w:color="auto" w:fill="FFFFFF"/>
            <w:tcMar>
              <w:top w:w="15" w:type="dxa"/>
              <w:left w:w="0" w:type="dxa"/>
              <w:bottom w:w="0" w:type="dxa"/>
              <w:right w:w="15" w:type="dxa"/>
            </w:tcMar>
            <w:vAlign w:val="bottom"/>
            <w:hideMark/>
          </w:tcPr>
          <w:p w14:paraId="65DF14CC"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3A2DD02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0A97D75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7E2CF6A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C648ABF" w14:textId="77777777">
        <w:trPr>
          <w:divId w:val="1102606784"/>
          <w:jc w:val="center"/>
        </w:trPr>
        <w:tc>
          <w:tcPr>
            <w:tcW w:w="3349" w:type="pct"/>
            <w:shd w:val="clear" w:color="auto" w:fill="FFFFFF"/>
            <w:tcMar>
              <w:top w:w="15" w:type="dxa"/>
              <w:left w:w="0" w:type="dxa"/>
              <w:bottom w:w="0" w:type="dxa"/>
              <w:right w:w="15" w:type="dxa"/>
            </w:tcMar>
            <w:vAlign w:val="bottom"/>
            <w:hideMark/>
          </w:tcPr>
          <w:p w14:paraId="637579E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2CD26E7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E53D2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3868AEA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2302200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394809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3151F7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2E936C0" w14:textId="77777777">
        <w:trPr>
          <w:divId w:val="1102606784"/>
          <w:jc w:val="center"/>
        </w:trPr>
        <w:tc>
          <w:tcPr>
            <w:tcW w:w="3349" w:type="pct"/>
            <w:shd w:val="clear" w:color="auto" w:fill="CFF0FC"/>
            <w:tcMar>
              <w:top w:w="15" w:type="dxa"/>
              <w:left w:w="0" w:type="dxa"/>
              <w:bottom w:w="0" w:type="dxa"/>
              <w:right w:w="15" w:type="dxa"/>
            </w:tcMar>
            <w:hideMark/>
          </w:tcPr>
          <w:p w14:paraId="282B808E" w14:textId="77777777" w:rsidR="00000000" w:rsidRDefault="007125B5">
            <w:pPr>
              <w:pStyle w:val="a3"/>
              <w:spacing w:before="0" w:beforeAutospacing="0" w:after="0" w:afterAutospacing="0"/>
              <w:rPr>
                <w:color w:val="000000"/>
                <w:sz w:val="20"/>
                <w:szCs w:val="20"/>
              </w:rPr>
            </w:pPr>
            <w:r>
              <w:rPr>
                <w:color w:val="000000"/>
                <w:sz w:val="20"/>
                <w:szCs w:val="20"/>
              </w:rPr>
              <w:t>Stock options</w:t>
            </w:r>
          </w:p>
        </w:tc>
        <w:tc>
          <w:tcPr>
            <w:tcW w:w="81" w:type="pct"/>
            <w:shd w:val="clear" w:color="auto" w:fill="CFF0FC"/>
            <w:tcMar>
              <w:top w:w="15" w:type="dxa"/>
              <w:left w:w="0" w:type="dxa"/>
              <w:bottom w:w="0" w:type="dxa"/>
              <w:right w:w="15" w:type="dxa"/>
            </w:tcMar>
            <w:vAlign w:val="bottom"/>
            <w:hideMark/>
          </w:tcPr>
          <w:p w14:paraId="27EF7F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05FE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2FB0B8C" w14:textId="77777777" w:rsidR="00000000" w:rsidRDefault="007125B5">
            <w:pPr>
              <w:pStyle w:val="a3"/>
              <w:spacing w:before="0" w:beforeAutospacing="0" w:after="0" w:afterAutospacing="0"/>
              <w:jc w:val="right"/>
              <w:rPr>
                <w:color w:val="000000"/>
                <w:sz w:val="20"/>
                <w:szCs w:val="20"/>
              </w:rPr>
            </w:pPr>
            <w:r>
              <w:rPr>
                <w:color w:val="000000"/>
                <w:sz w:val="20"/>
                <w:szCs w:val="20"/>
              </w:rPr>
              <w:t>2,685,439</w:t>
            </w:r>
          </w:p>
        </w:tc>
        <w:tc>
          <w:tcPr>
            <w:tcW w:w="50" w:type="pct"/>
            <w:shd w:val="clear" w:color="auto" w:fill="CFF0FC"/>
            <w:noWrap/>
            <w:tcMar>
              <w:top w:w="15" w:type="dxa"/>
              <w:left w:w="0" w:type="dxa"/>
              <w:bottom w:w="0" w:type="dxa"/>
              <w:right w:w="15" w:type="dxa"/>
            </w:tcMar>
            <w:vAlign w:val="bottom"/>
            <w:hideMark/>
          </w:tcPr>
          <w:p w14:paraId="33F6DF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0F0370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7B19E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F9E568B" w14:textId="77777777" w:rsidR="00000000" w:rsidRDefault="007125B5">
            <w:pPr>
              <w:pStyle w:val="a3"/>
              <w:spacing w:before="0" w:beforeAutospacing="0" w:after="0" w:afterAutospacing="0"/>
              <w:jc w:val="right"/>
              <w:rPr>
                <w:color w:val="000000"/>
                <w:sz w:val="20"/>
                <w:szCs w:val="20"/>
              </w:rPr>
            </w:pPr>
            <w:r>
              <w:rPr>
                <w:color w:val="000000"/>
                <w:sz w:val="20"/>
                <w:szCs w:val="20"/>
              </w:rPr>
              <w:t>1,960,887</w:t>
            </w:r>
          </w:p>
        </w:tc>
        <w:tc>
          <w:tcPr>
            <w:tcW w:w="50" w:type="pct"/>
            <w:shd w:val="clear" w:color="auto" w:fill="CFF0FC"/>
            <w:noWrap/>
            <w:tcMar>
              <w:top w:w="15" w:type="dxa"/>
              <w:left w:w="0" w:type="dxa"/>
              <w:bottom w:w="0" w:type="dxa"/>
              <w:right w:w="15" w:type="dxa"/>
            </w:tcMar>
            <w:vAlign w:val="bottom"/>
            <w:hideMark/>
          </w:tcPr>
          <w:p w14:paraId="186AC3E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A67E058" w14:textId="77777777">
        <w:trPr>
          <w:divId w:val="1102606784"/>
          <w:jc w:val="center"/>
        </w:trPr>
        <w:tc>
          <w:tcPr>
            <w:tcW w:w="3349" w:type="pct"/>
            <w:shd w:val="clear" w:color="auto" w:fill="FFFFFF"/>
            <w:tcMar>
              <w:top w:w="15" w:type="dxa"/>
              <w:left w:w="0" w:type="dxa"/>
              <w:bottom w:w="0" w:type="dxa"/>
              <w:right w:w="15" w:type="dxa"/>
            </w:tcMar>
            <w:hideMark/>
          </w:tcPr>
          <w:p w14:paraId="57E63D70" w14:textId="77777777" w:rsidR="00000000" w:rsidRDefault="007125B5">
            <w:pPr>
              <w:pStyle w:val="a3"/>
              <w:spacing w:before="0" w:beforeAutospacing="0" w:after="0" w:afterAutospacing="0"/>
              <w:rPr>
                <w:color w:val="000000"/>
                <w:sz w:val="20"/>
                <w:szCs w:val="20"/>
              </w:rPr>
            </w:pPr>
            <w:r>
              <w:rPr>
                <w:color w:val="000000"/>
                <w:sz w:val="20"/>
                <w:szCs w:val="20"/>
              </w:rPr>
              <w:t>Restricted stock</w:t>
            </w:r>
          </w:p>
        </w:tc>
        <w:tc>
          <w:tcPr>
            <w:tcW w:w="81" w:type="pct"/>
            <w:shd w:val="clear" w:color="auto" w:fill="FFFFFF"/>
            <w:tcMar>
              <w:top w:w="15" w:type="dxa"/>
              <w:left w:w="0" w:type="dxa"/>
              <w:bottom w:w="0" w:type="dxa"/>
              <w:right w:w="15" w:type="dxa"/>
            </w:tcMar>
            <w:vAlign w:val="bottom"/>
            <w:hideMark/>
          </w:tcPr>
          <w:p w14:paraId="36CFDB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2F8F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EA6C725" w14:textId="77777777" w:rsidR="00000000" w:rsidRDefault="007125B5">
            <w:pPr>
              <w:pStyle w:val="a3"/>
              <w:spacing w:before="0" w:beforeAutospacing="0" w:after="0" w:afterAutospacing="0"/>
              <w:jc w:val="right"/>
              <w:rPr>
                <w:color w:val="000000"/>
                <w:sz w:val="20"/>
                <w:szCs w:val="20"/>
              </w:rPr>
            </w:pPr>
            <w:r>
              <w:rPr>
                <w:color w:val="000000"/>
                <w:sz w:val="20"/>
                <w:szCs w:val="20"/>
              </w:rPr>
              <w:t>24,362</w:t>
            </w:r>
          </w:p>
        </w:tc>
        <w:tc>
          <w:tcPr>
            <w:tcW w:w="50" w:type="pct"/>
            <w:shd w:val="clear" w:color="auto" w:fill="FFFFFF"/>
            <w:noWrap/>
            <w:tcMar>
              <w:top w:w="15" w:type="dxa"/>
              <w:left w:w="0" w:type="dxa"/>
              <w:bottom w:w="0" w:type="dxa"/>
              <w:right w:w="15" w:type="dxa"/>
            </w:tcMar>
            <w:vAlign w:val="bottom"/>
            <w:hideMark/>
          </w:tcPr>
          <w:p w14:paraId="1F32A9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59357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A33B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1357A07" w14:textId="77777777" w:rsidR="00000000" w:rsidRDefault="007125B5">
            <w:pPr>
              <w:pStyle w:val="a3"/>
              <w:spacing w:before="0" w:beforeAutospacing="0" w:after="0" w:afterAutospacing="0"/>
              <w:jc w:val="right"/>
              <w:rPr>
                <w:color w:val="000000"/>
                <w:sz w:val="20"/>
                <w:szCs w:val="20"/>
              </w:rPr>
            </w:pPr>
            <w:r>
              <w:rPr>
                <w:color w:val="000000"/>
                <w:sz w:val="20"/>
                <w:szCs w:val="20"/>
              </w:rPr>
              <w:t>168,001</w:t>
            </w:r>
          </w:p>
        </w:tc>
        <w:tc>
          <w:tcPr>
            <w:tcW w:w="50" w:type="pct"/>
            <w:shd w:val="clear" w:color="auto" w:fill="FFFFFF"/>
            <w:noWrap/>
            <w:tcMar>
              <w:top w:w="15" w:type="dxa"/>
              <w:left w:w="0" w:type="dxa"/>
              <w:bottom w:w="0" w:type="dxa"/>
              <w:right w:w="15" w:type="dxa"/>
            </w:tcMar>
            <w:vAlign w:val="bottom"/>
            <w:hideMark/>
          </w:tcPr>
          <w:p w14:paraId="7B96FCA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A6A8356" w14:textId="77777777">
        <w:trPr>
          <w:divId w:val="1102606784"/>
          <w:jc w:val="center"/>
        </w:trPr>
        <w:tc>
          <w:tcPr>
            <w:tcW w:w="3349" w:type="pct"/>
            <w:shd w:val="clear" w:color="auto" w:fill="CFF0FC"/>
            <w:tcMar>
              <w:top w:w="15" w:type="dxa"/>
              <w:left w:w="0" w:type="dxa"/>
              <w:bottom w:w="0" w:type="dxa"/>
              <w:right w:w="15" w:type="dxa"/>
            </w:tcMar>
            <w:hideMark/>
          </w:tcPr>
          <w:p w14:paraId="2E168C93" w14:textId="77777777" w:rsidR="00000000" w:rsidRDefault="007125B5">
            <w:pPr>
              <w:pStyle w:val="a3"/>
              <w:spacing w:before="0" w:beforeAutospacing="0" w:after="0" w:afterAutospacing="0"/>
              <w:rPr>
                <w:color w:val="000000"/>
                <w:sz w:val="20"/>
                <w:szCs w:val="20"/>
              </w:rPr>
            </w:pPr>
            <w:r>
              <w:rPr>
                <w:color w:val="000000"/>
                <w:sz w:val="20"/>
                <w:szCs w:val="20"/>
              </w:rPr>
              <w:t>Warrants</w:t>
            </w:r>
          </w:p>
        </w:tc>
        <w:tc>
          <w:tcPr>
            <w:tcW w:w="81" w:type="pct"/>
            <w:shd w:val="clear" w:color="auto" w:fill="CFF0FC"/>
            <w:tcMar>
              <w:top w:w="15" w:type="dxa"/>
              <w:left w:w="0" w:type="dxa"/>
              <w:bottom w:w="0" w:type="dxa"/>
              <w:right w:w="15" w:type="dxa"/>
            </w:tcMar>
            <w:vAlign w:val="bottom"/>
            <w:hideMark/>
          </w:tcPr>
          <w:p w14:paraId="321BBF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9C60A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33562BB" w14:textId="77777777" w:rsidR="00000000" w:rsidRDefault="007125B5">
            <w:pPr>
              <w:pStyle w:val="a3"/>
              <w:spacing w:before="0" w:beforeAutospacing="0" w:after="0" w:afterAutospacing="0"/>
              <w:jc w:val="right"/>
              <w:rPr>
                <w:color w:val="000000"/>
                <w:sz w:val="20"/>
                <w:szCs w:val="20"/>
              </w:rPr>
            </w:pPr>
            <w:r>
              <w:rPr>
                <w:color w:val="000000"/>
                <w:sz w:val="20"/>
                <w:szCs w:val="20"/>
              </w:rPr>
              <w:t>116,350</w:t>
            </w:r>
          </w:p>
        </w:tc>
        <w:tc>
          <w:tcPr>
            <w:tcW w:w="50" w:type="pct"/>
            <w:shd w:val="clear" w:color="auto" w:fill="CFF0FC"/>
            <w:noWrap/>
            <w:tcMar>
              <w:top w:w="15" w:type="dxa"/>
              <w:left w:w="0" w:type="dxa"/>
              <w:bottom w:w="0" w:type="dxa"/>
              <w:right w:w="15" w:type="dxa"/>
            </w:tcMar>
            <w:vAlign w:val="bottom"/>
            <w:hideMark/>
          </w:tcPr>
          <w:p w14:paraId="521954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0DB32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22D5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75728B5" w14:textId="77777777" w:rsidR="00000000" w:rsidRDefault="007125B5">
            <w:pPr>
              <w:pStyle w:val="a3"/>
              <w:spacing w:before="0" w:beforeAutospacing="0" w:after="0" w:afterAutospacing="0"/>
              <w:jc w:val="right"/>
              <w:rPr>
                <w:color w:val="000000"/>
                <w:sz w:val="20"/>
                <w:szCs w:val="20"/>
              </w:rPr>
            </w:pPr>
            <w:r>
              <w:rPr>
                <w:color w:val="000000"/>
                <w:sz w:val="20"/>
                <w:szCs w:val="20"/>
              </w:rPr>
              <w:t>116,350</w:t>
            </w:r>
          </w:p>
        </w:tc>
        <w:tc>
          <w:tcPr>
            <w:tcW w:w="50" w:type="pct"/>
            <w:shd w:val="clear" w:color="auto" w:fill="CFF0FC"/>
            <w:noWrap/>
            <w:tcMar>
              <w:top w:w="15" w:type="dxa"/>
              <w:left w:w="0" w:type="dxa"/>
              <w:bottom w:w="0" w:type="dxa"/>
              <w:right w:w="15" w:type="dxa"/>
            </w:tcMar>
            <w:vAlign w:val="bottom"/>
            <w:hideMark/>
          </w:tcPr>
          <w:p w14:paraId="55C179CD"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633D8096" w14:textId="77777777" w:rsidR="00000000" w:rsidRDefault="007125B5">
      <w:pPr>
        <w:pStyle w:val="a3"/>
        <w:spacing w:before="0" w:beforeAutospacing="0" w:after="0" w:afterAutospacing="0"/>
        <w:rPr>
          <w:sz w:val="20"/>
          <w:szCs w:val="20"/>
        </w:rPr>
      </w:pPr>
      <w:r>
        <w:rPr>
          <w:sz w:val="20"/>
          <w:szCs w:val="20"/>
        </w:rPr>
        <w:t> </w:t>
      </w:r>
    </w:p>
    <w:p w14:paraId="497AEE8E" w14:textId="77777777" w:rsidR="00000000" w:rsidRDefault="007125B5">
      <w:pPr>
        <w:pStyle w:val="a3"/>
        <w:shd w:val="clear" w:color="auto" w:fill="FFFFFF"/>
        <w:spacing w:before="160" w:beforeAutospacing="0" w:after="0" w:afterAutospacing="0"/>
        <w:rPr>
          <w:b/>
          <w:bCs/>
          <w:color w:val="000000"/>
          <w:sz w:val="20"/>
          <w:szCs w:val="20"/>
        </w:rPr>
      </w:pPr>
      <w:r>
        <w:rPr>
          <w:b/>
          <w:bCs/>
          <w:color w:val="000000"/>
          <w:sz w:val="20"/>
          <w:szCs w:val="20"/>
        </w:rPr>
        <w:t>20. SEGMENT INFORMATION</w:t>
      </w:r>
    </w:p>
    <w:p w14:paraId="0C1EA54A"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The Company has three operating and reportable segments: Assessment, Permitting and Response, Measurement and Analysis and Remediation and Reuse. These segments are monitored separately by management for performance against budget and prior year and are co</w:t>
      </w:r>
      <w:r>
        <w:rPr>
          <w:color w:val="000000"/>
          <w:sz w:val="20"/>
          <w:szCs w:val="20"/>
        </w:rPr>
        <w:t>nsistent with internal financial reporting. The Company’s operating segments are organized based upon primary services provided, the nature of the production process, their type of customers, methods used to distribute the products and the nature of the re</w:t>
      </w:r>
      <w:r>
        <w:rPr>
          <w:color w:val="000000"/>
          <w:sz w:val="20"/>
          <w:szCs w:val="20"/>
        </w:rPr>
        <w:t>gulatory environment.</w:t>
      </w:r>
    </w:p>
    <w:p w14:paraId="0EB7CA59"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Segment Adjusted EBITDA is the primary measure of operating performance for all three operating segments. Segment Adjusted EBITDA is the calculated Company’s Earnings before Interest, Tax, Depreciation and Amortization (“EBITDA”), adj</w:t>
      </w:r>
      <w:r>
        <w:rPr>
          <w:color w:val="000000"/>
          <w:sz w:val="20"/>
          <w:szCs w:val="20"/>
        </w:rPr>
        <w:t>usted to exclude certain transactions such as stock-based compensation, acquisition costs and fair value changes in financial instruments, amongst others. The Chief Operating Decision Maker (“CODM”) does not review segment assets as a measure of segment pe</w:t>
      </w:r>
      <w:r>
        <w:rPr>
          <w:color w:val="000000"/>
          <w:sz w:val="20"/>
          <w:szCs w:val="20"/>
        </w:rPr>
        <w:t>rformance.</w:t>
      </w:r>
    </w:p>
    <w:p w14:paraId="3BDA703B"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Corporate and Other includes costs associated with general corporate overhead (including executive, legal, finance, safety, human resources, marketing and IT related costs) that are not directly related to supporting operations. Overhead costs that are dir</w:t>
      </w:r>
      <w:r>
        <w:rPr>
          <w:color w:val="000000"/>
          <w:sz w:val="20"/>
          <w:szCs w:val="20"/>
        </w:rPr>
        <w:t>ectly related to supporting operations (such as insurance, software, licenses, shared services and payroll processing costs) are allocated to the operating segments on a basis that reasonably approximates an estimate of the use of these services.</w:t>
      </w:r>
    </w:p>
    <w:p w14:paraId="46104E3E" w14:textId="77777777" w:rsidR="00000000" w:rsidRDefault="007125B5">
      <w:pPr>
        <w:pStyle w:val="a3"/>
        <w:spacing w:before="240" w:beforeAutospacing="0" w:after="0" w:afterAutospacing="0"/>
        <w:jc w:val="center"/>
        <w:rPr>
          <w:sz w:val="20"/>
          <w:szCs w:val="20"/>
        </w:rPr>
      </w:pPr>
      <w:r>
        <w:rPr>
          <w:sz w:val="20"/>
          <w:szCs w:val="20"/>
        </w:rPr>
        <w:t>24</w:t>
      </w:r>
    </w:p>
    <w:p w14:paraId="7A966CF2" w14:textId="77777777" w:rsidR="00000000" w:rsidRDefault="007125B5">
      <w:pPr>
        <w:rPr>
          <w:rFonts w:eastAsia="Times New Roman"/>
        </w:rPr>
      </w:pPr>
      <w:r>
        <w:rPr>
          <w:rFonts w:eastAsia="Times New Roman"/>
        </w:rPr>
        <w:pict w14:anchorId="155F8442">
          <v:rect id="_x0000_i1050" style="width:415.3pt;height:1.5pt" o:hralign="center" o:hrstd="t" o:hr="t" fillcolor="#a0a0a0" stroked="f"/>
        </w:pict>
      </w:r>
    </w:p>
    <w:p w14:paraId="77DE8A9A" w14:textId="77777777" w:rsidR="00000000" w:rsidRDefault="007125B5">
      <w:pPr>
        <w:pStyle w:val="a3"/>
        <w:spacing w:before="0" w:beforeAutospacing="0" w:after="0" w:afterAutospacing="0"/>
        <w:rPr>
          <w:sz w:val="20"/>
          <w:szCs w:val="20"/>
        </w:rPr>
      </w:pPr>
      <w:r>
        <w:rPr>
          <w:sz w:val="20"/>
          <w:szCs w:val="20"/>
        </w:rPr>
        <w:t> </w:t>
      </w:r>
    </w:p>
    <w:p w14:paraId="2F783E8A" w14:textId="77777777" w:rsidR="00000000" w:rsidRDefault="007125B5">
      <w:pPr>
        <w:pStyle w:val="a3"/>
        <w:shd w:val="clear" w:color="auto" w:fill="FFFFFF"/>
        <w:spacing w:before="240" w:beforeAutospacing="0" w:after="0" w:afterAutospacing="0"/>
        <w:ind w:firstLine="556"/>
        <w:rPr>
          <w:color w:val="000000"/>
          <w:sz w:val="20"/>
          <w:szCs w:val="20"/>
        </w:rPr>
      </w:pPr>
      <w:bookmarkStart w:id="42" w:name="_AEIOULastRenderedPageBreakAEIOU27"/>
      <w:bookmarkEnd w:id="42"/>
      <w:r>
        <w:rPr>
          <w:color w:val="000000"/>
          <w:sz w:val="20"/>
          <w:szCs w:val="20"/>
        </w:rPr>
        <w:t>Segment revenues and Adjusted EBITDA for the three and six months ended June 30,</w:t>
      </w:r>
      <w:r>
        <w:rPr>
          <w:color w:val="000000"/>
          <w:sz w:val="20"/>
          <w:szCs w:val="20"/>
        </w:rPr>
        <w:t xml:space="preserve"> 2020 and June 30, 2019 were as follows:</w:t>
      </w:r>
    </w:p>
    <w:p w14:paraId="33041311"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491"/>
        <w:gridCol w:w="65"/>
        <w:gridCol w:w="115"/>
        <w:gridCol w:w="565"/>
        <w:gridCol w:w="65"/>
        <w:gridCol w:w="65"/>
        <w:gridCol w:w="115"/>
        <w:gridCol w:w="565"/>
        <w:gridCol w:w="82"/>
        <w:gridCol w:w="65"/>
        <w:gridCol w:w="115"/>
        <w:gridCol w:w="565"/>
        <w:gridCol w:w="65"/>
        <w:gridCol w:w="65"/>
        <w:gridCol w:w="115"/>
        <w:gridCol w:w="565"/>
        <w:gridCol w:w="82"/>
        <w:gridCol w:w="65"/>
        <w:gridCol w:w="115"/>
        <w:gridCol w:w="665"/>
        <w:gridCol w:w="65"/>
        <w:gridCol w:w="65"/>
        <w:gridCol w:w="115"/>
        <w:gridCol w:w="632"/>
        <w:gridCol w:w="82"/>
        <w:gridCol w:w="65"/>
        <w:gridCol w:w="115"/>
        <w:gridCol w:w="665"/>
        <w:gridCol w:w="65"/>
        <w:gridCol w:w="65"/>
        <w:gridCol w:w="115"/>
        <w:gridCol w:w="565"/>
        <w:gridCol w:w="82"/>
      </w:tblGrid>
      <w:tr w:rsidR="00000000" w14:paraId="6A9FB046" w14:textId="77777777">
        <w:trPr>
          <w:divId w:val="851144631"/>
          <w:jc w:val="center"/>
        </w:trPr>
        <w:tc>
          <w:tcPr>
            <w:tcW w:w="1682" w:type="pct"/>
            <w:shd w:val="clear" w:color="auto" w:fill="FFFFFF"/>
            <w:tcMar>
              <w:top w:w="15" w:type="dxa"/>
              <w:left w:w="0" w:type="dxa"/>
              <w:bottom w:w="0" w:type="dxa"/>
              <w:right w:w="15" w:type="dxa"/>
            </w:tcMar>
            <w:vAlign w:val="bottom"/>
            <w:hideMark/>
          </w:tcPr>
          <w:p w14:paraId="3E5C5256" w14:textId="77777777" w:rsidR="00000000" w:rsidRDefault="007125B5">
            <w:pPr>
              <w:pStyle w:val="a3"/>
              <w:spacing w:before="0" w:beforeAutospacing="0" w:after="0" w:afterAutospacing="0"/>
              <w:jc w:val="center"/>
              <w:rPr>
                <w:sz w:val="20"/>
                <w:szCs w:val="20"/>
              </w:rPr>
            </w:pPr>
            <w:r>
              <w:rPr>
                <w:sz w:val="20"/>
                <w:szCs w:val="20"/>
              </w:rPr>
              <w:t> </w:t>
            </w:r>
          </w:p>
        </w:tc>
        <w:tc>
          <w:tcPr>
            <w:tcW w:w="40" w:type="pct"/>
            <w:shd w:val="clear" w:color="auto" w:fill="FFFFFF"/>
            <w:tcMar>
              <w:top w:w="15" w:type="dxa"/>
              <w:left w:w="0" w:type="dxa"/>
              <w:bottom w:w="0" w:type="dxa"/>
              <w:right w:w="15" w:type="dxa"/>
            </w:tcMar>
            <w:vAlign w:val="bottom"/>
            <w:hideMark/>
          </w:tcPr>
          <w:p w14:paraId="76CF7AF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67" w:type="pct"/>
            <w:gridSpan w:val="14"/>
            <w:tcBorders>
              <w:bottom w:val="single" w:sz="6" w:space="0" w:color="000000"/>
            </w:tcBorders>
            <w:shd w:val="clear" w:color="auto" w:fill="FFFFFF"/>
            <w:tcMar>
              <w:top w:w="15" w:type="dxa"/>
              <w:left w:w="0" w:type="dxa"/>
              <w:bottom w:w="0" w:type="dxa"/>
              <w:right w:w="15" w:type="dxa"/>
            </w:tcMar>
            <w:vAlign w:val="bottom"/>
            <w:hideMark/>
          </w:tcPr>
          <w:p w14:paraId="10AC574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3E9C1B1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05C7862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67" w:type="pct"/>
            <w:gridSpan w:val="14"/>
            <w:tcBorders>
              <w:bottom w:val="single" w:sz="6" w:space="0" w:color="000000"/>
            </w:tcBorders>
            <w:shd w:val="clear" w:color="auto" w:fill="FFFFFF"/>
            <w:tcMar>
              <w:top w:w="15" w:type="dxa"/>
              <w:left w:w="0" w:type="dxa"/>
              <w:bottom w:w="0" w:type="dxa"/>
              <w:right w:w="15" w:type="dxa"/>
            </w:tcMar>
            <w:vAlign w:val="bottom"/>
            <w:hideMark/>
          </w:tcPr>
          <w:p w14:paraId="5272C01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173F189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052B43E" w14:textId="77777777">
        <w:trPr>
          <w:divId w:val="851144631"/>
          <w:jc w:val="center"/>
        </w:trPr>
        <w:tc>
          <w:tcPr>
            <w:tcW w:w="1682" w:type="pct"/>
            <w:shd w:val="clear" w:color="auto" w:fill="FFFFFF"/>
            <w:tcMar>
              <w:top w:w="15" w:type="dxa"/>
              <w:left w:w="0" w:type="dxa"/>
              <w:bottom w:w="0" w:type="dxa"/>
              <w:right w:w="15" w:type="dxa"/>
            </w:tcMar>
            <w:vAlign w:val="bottom"/>
            <w:hideMark/>
          </w:tcPr>
          <w:p w14:paraId="0B3A4F9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570C056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375CE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DF44E7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14:paraId="2072A2F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E3B59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2B9B74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29B9B1D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E8F0D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A6BF6C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14:paraId="0AE7944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73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311D8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44759F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7125B5" w14:paraId="77EFAD43" w14:textId="77777777">
        <w:trPr>
          <w:divId w:val="851144631"/>
          <w:jc w:val="center"/>
        </w:trPr>
        <w:tc>
          <w:tcPr>
            <w:tcW w:w="1682" w:type="pct"/>
            <w:shd w:val="clear" w:color="auto" w:fill="FFFFFF"/>
            <w:tcMar>
              <w:top w:w="15" w:type="dxa"/>
              <w:left w:w="0" w:type="dxa"/>
              <w:bottom w:w="0" w:type="dxa"/>
              <w:right w:w="15" w:type="dxa"/>
            </w:tcMar>
            <w:vAlign w:val="bottom"/>
            <w:hideMark/>
          </w:tcPr>
          <w:p w14:paraId="3FD976C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14ADA7D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50D1296"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418EEDC4"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34459E9"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14:paraId="103A141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tcBorders>
            <w:shd w:val="clear" w:color="auto" w:fill="FFFFFF"/>
            <w:tcMar>
              <w:top w:w="15" w:type="dxa"/>
              <w:left w:w="0" w:type="dxa"/>
              <w:bottom w:w="0" w:type="dxa"/>
              <w:right w:w="15" w:type="dxa"/>
            </w:tcMar>
            <w:vAlign w:val="bottom"/>
            <w:hideMark/>
          </w:tcPr>
          <w:p w14:paraId="1F21850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63F9531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6EF60C6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0476E5D"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7F61CB9C"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CD1A2D"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14:paraId="08722FF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tcBorders>
            <w:shd w:val="clear" w:color="auto" w:fill="FFFFFF"/>
            <w:tcMar>
              <w:top w:w="15" w:type="dxa"/>
              <w:left w:w="0" w:type="dxa"/>
              <w:bottom w:w="0" w:type="dxa"/>
              <w:right w:w="15" w:type="dxa"/>
            </w:tcMar>
            <w:vAlign w:val="bottom"/>
            <w:hideMark/>
          </w:tcPr>
          <w:p w14:paraId="1FA663E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4D54757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3C2AD4B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22FF1DC"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145E5C4B"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0754C9"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14:paraId="4B4C449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tcBorders>
            <w:shd w:val="clear" w:color="auto" w:fill="FFFFFF"/>
            <w:tcMar>
              <w:top w:w="15" w:type="dxa"/>
              <w:left w:w="0" w:type="dxa"/>
              <w:bottom w:w="0" w:type="dxa"/>
              <w:right w:w="15" w:type="dxa"/>
            </w:tcMar>
            <w:vAlign w:val="bottom"/>
            <w:hideMark/>
          </w:tcPr>
          <w:p w14:paraId="47F016B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60A474B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201EBBE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61BF0A0"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08EB0431" w14:textId="77777777" w:rsidR="00000000" w:rsidRDefault="007125B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0C8C04" w14:textId="77777777" w:rsidR="00000000" w:rsidRDefault="007125B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14:paraId="6B64427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top w:val="single" w:sz="6" w:space="0" w:color="000000"/>
            </w:tcBorders>
            <w:shd w:val="clear" w:color="auto" w:fill="FFFFFF"/>
            <w:tcMar>
              <w:top w:w="15" w:type="dxa"/>
              <w:left w:w="0" w:type="dxa"/>
              <w:bottom w:w="0" w:type="dxa"/>
              <w:right w:w="15" w:type="dxa"/>
            </w:tcMar>
            <w:vAlign w:val="bottom"/>
            <w:hideMark/>
          </w:tcPr>
          <w:p w14:paraId="0057380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2D0D728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69E700D" w14:textId="77777777">
        <w:trPr>
          <w:divId w:val="851144631"/>
          <w:jc w:val="center"/>
        </w:trPr>
        <w:tc>
          <w:tcPr>
            <w:tcW w:w="1682" w:type="pct"/>
            <w:shd w:val="clear" w:color="auto" w:fill="FFFFFF"/>
            <w:tcMar>
              <w:top w:w="15" w:type="dxa"/>
              <w:left w:w="0" w:type="dxa"/>
              <w:bottom w:w="0" w:type="dxa"/>
              <w:right w:w="15" w:type="dxa"/>
            </w:tcMar>
            <w:vAlign w:val="bottom"/>
            <w:hideMark/>
          </w:tcPr>
          <w:p w14:paraId="40D6D41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0C93F7E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23997E6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5293256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7210025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6B37B15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14:paraId="529AD3F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18C336C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1418332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7F700D8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08C2E4A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37C9DB8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14:paraId="55F7276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05B05D9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5A0306E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412D9E3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0E1BA84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561489A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14:paraId="6CF0E8C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711E63A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35E2877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14:paraId="4E72B85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2215D31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shd w:val="clear" w:color="auto" w:fill="FFFFFF"/>
            <w:tcMar>
              <w:top w:w="15" w:type="dxa"/>
              <w:left w:w="0" w:type="dxa"/>
              <w:bottom w:w="0" w:type="dxa"/>
              <w:right w:w="15" w:type="dxa"/>
            </w:tcMar>
            <w:vAlign w:val="bottom"/>
            <w:hideMark/>
          </w:tcPr>
          <w:p w14:paraId="3A50072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14:paraId="2B2E347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D8D4CAE" w14:textId="77777777">
        <w:trPr>
          <w:divId w:val="851144631"/>
          <w:jc w:val="center"/>
        </w:trPr>
        <w:tc>
          <w:tcPr>
            <w:tcW w:w="1682" w:type="pct"/>
            <w:shd w:val="clear" w:color="auto" w:fill="FFFFFF"/>
            <w:tcMar>
              <w:top w:w="15" w:type="dxa"/>
              <w:left w:w="0" w:type="dxa"/>
              <w:bottom w:w="0" w:type="dxa"/>
              <w:right w:w="15" w:type="dxa"/>
            </w:tcMar>
            <w:vAlign w:val="bottom"/>
            <w:hideMark/>
          </w:tcPr>
          <w:p w14:paraId="273D618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78D2C0A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4836576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67C4113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67D53C0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7A6DAD1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14:paraId="5C963A8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0A50FBF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5FDF8DF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1E564F5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702F8EA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6B8198A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14:paraId="65C9363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73320B8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61F1770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076F8BD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5D54006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7AA07F0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14:paraId="7A371DC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2F7EC93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2DF92B8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4B08966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237E4FD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23" w:type="pct"/>
            <w:gridSpan w:val="2"/>
            <w:tcBorders>
              <w:bottom w:val="single" w:sz="6" w:space="0" w:color="000000"/>
            </w:tcBorders>
            <w:shd w:val="clear" w:color="auto" w:fill="FFFFFF"/>
            <w:tcMar>
              <w:top w:w="15" w:type="dxa"/>
              <w:left w:w="0" w:type="dxa"/>
              <w:bottom w:w="0" w:type="dxa"/>
              <w:right w:w="15" w:type="dxa"/>
            </w:tcMar>
            <w:vAlign w:val="bottom"/>
            <w:hideMark/>
          </w:tcPr>
          <w:p w14:paraId="3FC90EC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14:paraId="1F4963F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7125B5" w14:paraId="760631E7" w14:textId="77777777">
        <w:trPr>
          <w:divId w:val="851144631"/>
          <w:jc w:val="center"/>
        </w:trPr>
        <w:tc>
          <w:tcPr>
            <w:tcW w:w="1682" w:type="pct"/>
            <w:shd w:val="clear" w:color="auto" w:fill="CFF0FC"/>
            <w:tcMar>
              <w:top w:w="15" w:type="dxa"/>
              <w:left w:w="0" w:type="dxa"/>
              <w:bottom w:w="0" w:type="dxa"/>
              <w:right w:w="15" w:type="dxa"/>
            </w:tcMar>
            <w:hideMark/>
          </w:tcPr>
          <w:p w14:paraId="10C38768" w14:textId="77777777" w:rsidR="00000000" w:rsidRDefault="007125B5">
            <w:pPr>
              <w:pStyle w:val="a3"/>
              <w:spacing w:before="0" w:beforeAutospacing="0" w:after="0" w:afterAutospacing="0"/>
              <w:rPr>
                <w:color w:val="000000"/>
                <w:sz w:val="20"/>
                <w:szCs w:val="20"/>
              </w:rPr>
            </w:pPr>
            <w:r>
              <w:rPr>
                <w:color w:val="000000"/>
                <w:sz w:val="20"/>
                <w:szCs w:val="20"/>
              </w:rPr>
              <w:t>Assessment, Permitting and Response</w:t>
            </w:r>
          </w:p>
        </w:tc>
        <w:tc>
          <w:tcPr>
            <w:tcW w:w="40" w:type="pct"/>
            <w:shd w:val="clear" w:color="auto" w:fill="CFF0FC"/>
            <w:tcMar>
              <w:top w:w="15" w:type="dxa"/>
              <w:left w:w="0" w:type="dxa"/>
              <w:bottom w:w="0" w:type="dxa"/>
              <w:right w:w="15" w:type="dxa"/>
            </w:tcMar>
            <w:vAlign w:val="bottom"/>
            <w:hideMark/>
          </w:tcPr>
          <w:p w14:paraId="382E4C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2FA77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36392C65" w14:textId="77777777" w:rsidR="00000000" w:rsidRDefault="007125B5">
            <w:pPr>
              <w:pStyle w:val="a3"/>
              <w:spacing w:before="0" w:beforeAutospacing="0" w:after="0" w:afterAutospacing="0"/>
              <w:jc w:val="right"/>
              <w:rPr>
                <w:color w:val="000000"/>
                <w:sz w:val="20"/>
                <w:szCs w:val="20"/>
              </w:rPr>
            </w:pPr>
            <w:r>
              <w:rPr>
                <w:color w:val="000000"/>
                <w:sz w:val="20"/>
                <w:szCs w:val="20"/>
              </w:rPr>
              <w:t>18,631</w:t>
            </w:r>
          </w:p>
        </w:tc>
        <w:tc>
          <w:tcPr>
            <w:tcW w:w="50" w:type="pct"/>
            <w:shd w:val="clear" w:color="auto" w:fill="CFF0FC"/>
            <w:noWrap/>
            <w:tcMar>
              <w:top w:w="15" w:type="dxa"/>
              <w:left w:w="0" w:type="dxa"/>
              <w:bottom w:w="0" w:type="dxa"/>
              <w:right w:w="15" w:type="dxa"/>
            </w:tcMar>
            <w:vAlign w:val="bottom"/>
            <w:hideMark/>
          </w:tcPr>
          <w:p w14:paraId="4A68EB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3613A2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3E771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396C922A" w14:textId="77777777" w:rsidR="00000000" w:rsidRDefault="007125B5">
            <w:pPr>
              <w:pStyle w:val="a3"/>
              <w:spacing w:before="0" w:beforeAutospacing="0" w:after="0" w:afterAutospacing="0"/>
              <w:jc w:val="right"/>
              <w:rPr>
                <w:color w:val="000000"/>
                <w:sz w:val="20"/>
                <w:szCs w:val="20"/>
              </w:rPr>
            </w:pPr>
            <w:r>
              <w:rPr>
                <w:color w:val="000000"/>
                <w:sz w:val="20"/>
                <w:szCs w:val="20"/>
              </w:rPr>
              <w:t>4,989</w:t>
            </w:r>
          </w:p>
        </w:tc>
        <w:tc>
          <w:tcPr>
            <w:tcW w:w="50" w:type="pct"/>
            <w:shd w:val="clear" w:color="auto" w:fill="CFF0FC"/>
            <w:noWrap/>
            <w:tcMar>
              <w:top w:w="15" w:type="dxa"/>
              <w:left w:w="0" w:type="dxa"/>
              <w:bottom w:w="0" w:type="dxa"/>
              <w:right w:w="15" w:type="dxa"/>
            </w:tcMar>
            <w:vAlign w:val="bottom"/>
            <w:hideMark/>
          </w:tcPr>
          <w:p w14:paraId="15302E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7463659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3C320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34584C53" w14:textId="77777777" w:rsidR="00000000" w:rsidRDefault="007125B5">
            <w:pPr>
              <w:pStyle w:val="a3"/>
              <w:spacing w:before="0" w:beforeAutospacing="0" w:after="0" w:afterAutospacing="0"/>
              <w:jc w:val="right"/>
              <w:rPr>
                <w:color w:val="000000"/>
                <w:sz w:val="20"/>
                <w:szCs w:val="20"/>
              </w:rPr>
            </w:pPr>
            <w:r>
              <w:rPr>
                <w:color w:val="000000"/>
                <w:sz w:val="20"/>
                <w:szCs w:val="20"/>
              </w:rPr>
              <w:t>5,028</w:t>
            </w:r>
          </w:p>
        </w:tc>
        <w:tc>
          <w:tcPr>
            <w:tcW w:w="50" w:type="pct"/>
            <w:shd w:val="clear" w:color="auto" w:fill="CFF0FC"/>
            <w:noWrap/>
            <w:tcMar>
              <w:top w:w="15" w:type="dxa"/>
              <w:left w:w="0" w:type="dxa"/>
              <w:bottom w:w="0" w:type="dxa"/>
              <w:right w:w="15" w:type="dxa"/>
            </w:tcMar>
            <w:vAlign w:val="bottom"/>
            <w:hideMark/>
          </w:tcPr>
          <w:p w14:paraId="3A74E9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323AAC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F2BFB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6EB223E6" w14:textId="77777777" w:rsidR="00000000" w:rsidRDefault="007125B5">
            <w:pPr>
              <w:pStyle w:val="a3"/>
              <w:spacing w:before="0" w:beforeAutospacing="0" w:after="0" w:afterAutospacing="0"/>
              <w:jc w:val="right"/>
              <w:rPr>
                <w:color w:val="000000"/>
                <w:sz w:val="20"/>
                <w:szCs w:val="20"/>
              </w:rPr>
            </w:pPr>
            <w:r>
              <w:rPr>
                <w:color w:val="000000"/>
                <w:sz w:val="20"/>
                <w:szCs w:val="20"/>
              </w:rPr>
              <w:t>2,002</w:t>
            </w:r>
          </w:p>
        </w:tc>
        <w:tc>
          <w:tcPr>
            <w:tcW w:w="50" w:type="pct"/>
            <w:shd w:val="clear" w:color="auto" w:fill="CFF0FC"/>
            <w:noWrap/>
            <w:tcMar>
              <w:top w:w="15" w:type="dxa"/>
              <w:left w:w="0" w:type="dxa"/>
              <w:bottom w:w="0" w:type="dxa"/>
              <w:right w:w="15" w:type="dxa"/>
            </w:tcMar>
            <w:vAlign w:val="bottom"/>
            <w:hideMark/>
          </w:tcPr>
          <w:p w14:paraId="43182CE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117EBD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39E5A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362CB41A" w14:textId="77777777" w:rsidR="00000000" w:rsidRDefault="007125B5">
            <w:pPr>
              <w:pStyle w:val="a3"/>
              <w:spacing w:before="0" w:beforeAutospacing="0" w:after="0" w:afterAutospacing="0"/>
              <w:jc w:val="right"/>
              <w:rPr>
                <w:color w:val="000000"/>
                <w:sz w:val="20"/>
                <w:szCs w:val="20"/>
              </w:rPr>
            </w:pPr>
            <w:r>
              <w:rPr>
                <w:color w:val="000000"/>
                <w:sz w:val="20"/>
                <w:szCs w:val="20"/>
              </w:rPr>
              <w:t>23,161</w:t>
            </w:r>
          </w:p>
        </w:tc>
        <w:tc>
          <w:tcPr>
            <w:tcW w:w="50" w:type="pct"/>
            <w:shd w:val="clear" w:color="auto" w:fill="CFF0FC"/>
            <w:noWrap/>
            <w:tcMar>
              <w:top w:w="15" w:type="dxa"/>
              <w:left w:w="0" w:type="dxa"/>
              <w:bottom w:w="0" w:type="dxa"/>
              <w:right w:w="15" w:type="dxa"/>
            </w:tcMar>
            <w:vAlign w:val="bottom"/>
            <w:hideMark/>
          </w:tcPr>
          <w:p w14:paraId="6C0621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4236DC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BCFB3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65FE5E6B" w14:textId="77777777" w:rsidR="00000000" w:rsidRDefault="007125B5">
            <w:pPr>
              <w:pStyle w:val="a3"/>
              <w:spacing w:before="0" w:beforeAutospacing="0" w:after="0" w:afterAutospacing="0"/>
              <w:jc w:val="right"/>
              <w:rPr>
                <w:color w:val="000000"/>
                <w:sz w:val="20"/>
                <w:szCs w:val="20"/>
              </w:rPr>
            </w:pPr>
            <w:r>
              <w:rPr>
                <w:color w:val="000000"/>
                <w:sz w:val="20"/>
                <w:szCs w:val="20"/>
              </w:rPr>
              <w:t>6,431</w:t>
            </w:r>
          </w:p>
        </w:tc>
        <w:tc>
          <w:tcPr>
            <w:tcW w:w="50" w:type="pct"/>
            <w:shd w:val="clear" w:color="auto" w:fill="CFF0FC"/>
            <w:noWrap/>
            <w:tcMar>
              <w:top w:w="15" w:type="dxa"/>
              <w:left w:w="0" w:type="dxa"/>
              <w:bottom w:w="0" w:type="dxa"/>
              <w:right w:w="15" w:type="dxa"/>
            </w:tcMar>
            <w:vAlign w:val="bottom"/>
            <w:hideMark/>
          </w:tcPr>
          <w:p w14:paraId="6A792F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46157D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755D9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4E939F60" w14:textId="77777777" w:rsidR="00000000" w:rsidRDefault="007125B5">
            <w:pPr>
              <w:pStyle w:val="a3"/>
              <w:spacing w:before="0" w:beforeAutospacing="0" w:after="0" w:afterAutospacing="0"/>
              <w:jc w:val="right"/>
              <w:rPr>
                <w:color w:val="000000"/>
                <w:sz w:val="20"/>
                <w:szCs w:val="20"/>
              </w:rPr>
            </w:pPr>
            <w:r>
              <w:rPr>
                <w:color w:val="000000"/>
                <w:sz w:val="20"/>
                <w:szCs w:val="20"/>
              </w:rPr>
              <w:t>9,603</w:t>
            </w:r>
          </w:p>
        </w:tc>
        <w:tc>
          <w:tcPr>
            <w:tcW w:w="50" w:type="pct"/>
            <w:shd w:val="clear" w:color="auto" w:fill="CFF0FC"/>
            <w:noWrap/>
            <w:tcMar>
              <w:top w:w="15" w:type="dxa"/>
              <w:left w:w="0" w:type="dxa"/>
              <w:bottom w:w="0" w:type="dxa"/>
              <w:right w:w="15" w:type="dxa"/>
            </w:tcMar>
            <w:vAlign w:val="bottom"/>
            <w:hideMark/>
          </w:tcPr>
          <w:p w14:paraId="105610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50D503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F0916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tcBorders>
            <w:shd w:val="clear" w:color="auto" w:fill="CFF0FC"/>
            <w:noWrap/>
            <w:tcMar>
              <w:top w:w="15" w:type="dxa"/>
              <w:left w:w="0" w:type="dxa"/>
              <w:bottom w:w="0" w:type="dxa"/>
              <w:right w:w="15" w:type="dxa"/>
            </w:tcMar>
            <w:vAlign w:val="bottom"/>
            <w:hideMark/>
          </w:tcPr>
          <w:p w14:paraId="260740D0" w14:textId="77777777" w:rsidR="00000000" w:rsidRDefault="007125B5">
            <w:pPr>
              <w:pStyle w:val="a3"/>
              <w:spacing w:before="0" w:beforeAutospacing="0" w:after="0" w:afterAutospacing="0"/>
              <w:jc w:val="right"/>
              <w:rPr>
                <w:color w:val="000000"/>
                <w:sz w:val="20"/>
                <w:szCs w:val="20"/>
              </w:rPr>
            </w:pPr>
            <w:r>
              <w:rPr>
                <w:color w:val="000000"/>
                <w:sz w:val="20"/>
                <w:szCs w:val="20"/>
              </w:rPr>
              <w:t>3,996</w:t>
            </w:r>
          </w:p>
        </w:tc>
        <w:tc>
          <w:tcPr>
            <w:tcW w:w="50" w:type="pct"/>
            <w:shd w:val="clear" w:color="auto" w:fill="CFF0FC"/>
            <w:noWrap/>
            <w:tcMar>
              <w:top w:w="15" w:type="dxa"/>
              <w:left w:w="0" w:type="dxa"/>
              <w:bottom w:w="0" w:type="dxa"/>
              <w:right w:w="15" w:type="dxa"/>
            </w:tcMar>
            <w:vAlign w:val="bottom"/>
            <w:hideMark/>
          </w:tcPr>
          <w:p w14:paraId="7F4E32F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1AB64403" w14:textId="77777777">
        <w:trPr>
          <w:divId w:val="851144631"/>
          <w:jc w:val="center"/>
        </w:trPr>
        <w:tc>
          <w:tcPr>
            <w:tcW w:w="1682" w:type="pct"/>
            <w:shd w:val="clear" w:color="auto" w:fill="FFFFFF"/>
            <w:tcMar>
              <w:top w:w="15" w:type="dxa"/>
              <w:left w:w="0" w:type="dxa"/>
              <w:bottom w:w="0" w:type="dxa"/>
              <w:right w:w="15" w:type="dxa"/>
            </w:tcMar>
            <w:hideMark/>
          </w:tcPr>
          <w:p w14:paraId="66B554A4" w14:textId="77777777" w:rsidR="00000000" w:rsidRDefault="007125B5">
            <w:pPr>
              <w:pStyle w:val="a3"/>
              <w:spacing w:before="0" w:beforeAutospacing="0" w:after="0" w:afterAutospacing="0"/>
              <w:rPr>
                <w:color w:val="000000"/>
                <w:sz w:val="20"/>
                <w:szCs w:val="20"/>
              </w:rPr>
            </w:pPr>
            <w:r>
              <w:rPr>
                <w:color w:val="000000"/>
                <w:sz w:val="20"/>
                <w:szCs w:val="20"/>
              </w:rPr>
              <w:t>Measurement and Analysis</w:t>
            </w:r>
          </w:p>
        </w:tc>
        <w:tc>
          <w:tcPr>
            <w:tcW w:w="40" w:type="pct"/>
            <w:shd w:val="clear" w:color="auto" w:fill="FFFFFF"/>
            <w:tcMar>
              <w:top w:w="15" w:type="dxa"/>
              <w:left w:w="0" w:type="dxa"/>
              <w:bottom w:w="0" w:type="dxa"/>
              <w:right w:w="15" w:type="dxa"/>
            </w:tcMar>
            <w:vAlign w:val="bottom"/>
            <w:hideMark/>
          </w:tcPr>
          <w:p w14:paraId="557CFC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FB53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62CDF844" w14:textId="77777777" w:rsidR="00000000" w:rsidRDefault="007125B5">
            <w:pPr>
              <w:pStyle w:val="a3"/>
              <w:spacing w:before="0" w:beforeAutospacing="0" w:after="0" w:afterAutospacing="0"/>
              <w:jc w:val="right"/>
              <w:rPr>
                <w:color w:val="000000"/>
                <w:sz w:val="20"/>
                <w:szCs w:val="20"/>
              </w:rPr>
            </w:pPr>
            <w:r>
              <w:rPr>
                <w:color w:val="000000"/>
                <w:sz w:val="20"/>
                <w:szCs w:val="20"/>
              </w:rPr>
              <w:t>37,036</w:t>
            </w:r>
          </w:p>
        </w:tc>
        <w:tc>
          <w:tcPr>
            <w:tcW w:w="50" w:type="pct"/>
            <w:shd w:val="clear" w:color="auto" w:fill="FFFFFF"/>
            <w:noWrap/>
            <w:tcMar>
              <w:top w:w="15" w:type="dxa"/>
              <w:left w:w="0" w:type="dxa"/>
              <w:bottom w:w="0" w:type="dxa"/>
              <w:right w:w="15" w:type="dxa"/>
            </w:tcMar>
            <w:vAlign w:val="bottom"/>
            <w:hideMark/>
          </w:tcPr>
          <w:p w14:paraId="12BA29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0AD754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C3C2D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4E16A32C" w14:textId="77777777" w:rsidR="00000000" w:rsidRDefault="007125B5">
            <w:pPr>
              <w:pStyle w:val="a3"/>
              <w:spacing w:before="0" w:beforeAutospacing="0" w:after="0" w:afterAutospacing="0"/>
              <w:jc w:val="right"/>
              <w:rPr>
                <w:color w:val="000000"/>
                <w:sz w:val="20"/>
                <w:szCs w:val="20"/>
              </w:rPr>
            </w:pPr>
            <w:r>
              <w:rPr>
                <w:color w:val="000000"/>
                <w:sz w:val="20"/>
                <w:szCs w:val="20"/>
              </w:rPr>
              <w:t>11,615</w:t>
            </w:r>
          </w:p>
        </w:tc>
        <w:tc>
          <w:tcPr>
            <w:tcW w:w="50" w:type="pct"/>
            <w:shd w:val="clear" w:color="auto" w:fill="FFFFFF"/>
            <w:noWrap/>
            <w:tcMar>
              <w:top w:w="15" w:type="dxa"/>
              <w:left w:w="0" w:type="dxa"/>
              <w:bottom w:w="0" w:type="dxa"/>
              <w:right w:w="15" w:type="dxa"/>
            </w:tcMar>
            <w:vAlign w:val="bottom"/>
            <w:hideMark/>
          </w:tcPr>
          <w:p w14:paraId="557EAC7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77AC68F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449E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5F80B62A" w14:textId="77777777" w:rsidR="00000000" w:rsidRDefault="007125B5">
            <w:pPr>
              <w:pStyle w:val="a3"/>
              <w:spacing w:before="0" w:beforeAutospacing="0" w:after="0" w:afterAutospacing="0"/>
              <w:jc w:val="right"/>
              <w:rPr>
                <w:color w:val="000000"/>
                <w:sz w:val="20"/>
                <w:szCs w:val="20"/>
              </w:rPr>
            </w:pPr>
            <w:r>
              <w:rPr>
                <w:color w:val="000000"/>
                <w:sz w:val="20"/>
                <w:szCs w:val="20"/>
              </w:rPr>
              <w:t>34,617</w:t>
            </w:r>
          </w:p>
        </w:tc>
        <w:tc>
          <w:tcPr>
            <w:tcW w:w="50" w:type="pct"/>
            <w:shd w:val="clear" w:color="auto" w:fill="FFFFFF"/>
            <w:noWrap/>
            <w:tcMar>
              <w:top w:w="15" w:type="dxa"/>
              <w:left w:w="0" w:type="dxa"/>
              <w:bottom w:w="0" w:type="dxa"/>
              <w:right w:w="15" w:type="dxa"/>
            </w:tcMar>
            <w:vAlign w:val="bottom"/>
            <w:hideMark/>
          </w:tcPr>
          <w:p w14:paraId="67D94F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16BEB2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E348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267083BC" w14:textId="77777777" w:rsidR="00000000" w:rsidRDefault="007125B5">
            <w:pPr>
              <w:pStyle w:val="a3"/>
              <w:spacing w:before="0" w:beforeAutospacing="0" w:after="0" w:afterAutospacing="0"/>
              <w:jc w:val="right"/>
              <w:rPr>
                <w:color w:val="000000"/>
                <w:sz w:val="20"/>
                <w:szCs w:val="20"/>
              </w:rPr>
            </w:pPr>
            <w:r>
              <w:rPr>
                <w:color w:val="000000"/>
                <w:sz w:val="20"/>
                <w:szCs w:val="20"/>
              </w:rPr>
              <w:t>7,979</w:t>
            </w:r>
          </w:p>
        </w:tc>
        <w:tc>
          <w:tcPr>
            <w:tcW w:w="50" w:type="pct"/>
            <w:shd w:val="clear" w:color="auto" w:fill="FFFFFF"/>
            <w:noWrap/>
            <w:tcMar>
              <w:top w:w="15" w:type="dxa"/>
              <w:left w:w="0" w:type="dxa"/>
              <w:bottom w:w="0" w:type="dxa"/>
              <w:right w:w="15" w:type="dxa"/>
            </w:tcMar>
            <w:vAlign w:val="bottom"/>
            <w:hideMark/>
          </w:tcPr>
          <w:p w14:paraId="457A97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0B1383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98BE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2CD32614" w14:textId="77777777" w:rsidR="00000000" w:rsidRDefault="007125B5">
            <w:pPr>
              <w:pStyle w:val="a3"/>
              <w:spacing w:before="0" w:beforeAutospacing="0" w:after="0" w:afterAutospacing="0"/>
              <w:jc w:val="right"/>
              <w:rPr>
                <w:color w:val="000000"/>
                <w:sz w:val="20"/>
                <w:szCs w:val="20"/>
              </w:rPr>
            </w:pPr>
            <w:r>
              <w:rPr>
                <w:color w:val="000000"/>
                <w:sz w:val="20"/>
                <w:szCs w:val="20"/>
              </w:rPr>
              <w:t>73,476</w:t>
            </w:r>
          </w:p>
        </w:tc>
        <w:tc>
          <w:tcPr>
            <w:tcW w:w="50" w:type="pct"/>
            <w:shd w:val="clear" w:color="auto" w:fill="FFFFFF"/>
            <w:noWrap/>
            <w:tcMar>
              <w:top w:w="15" w:type="dxa"/>
              <w:left w:w="0" w:type="dxa"/>
              <w:bottom w:w="0" w:type="dxa"/>
              <w:right w:w="15" w:type="dxa"/>
            </w:tcMar>
            <w:vAlign w:val="bottom"/>
            <w:hideMark/>
          </w:tcPr>
          <w:p w14:paraId="3B6894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361988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9385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1265350C" w14:textId="77777777" w:rsidR="00000000" w:rsidRDefault="007125B5">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FFFFFF"/>
            <w:noWrap/>
            <w:tcMar>
              <w:top w:w="15" w:type="dxa"/>
              <w:left w:w="0" w:type="dxa"/>
              <w:bottom w:w="0" w:type="dxa"/>
              <w:right w:w="15" w:type="dxa"/>
            </w:tcMar>
            <w:vAlign w:val="bottom"/>
            <w:hideMark/>
          </w:tcPr>
          <w:p w14:paraId="4FB0CC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4CA5EF1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D2E3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79775F9C" w14:textId="77777777" w:rsidR="00000000" w:rsidRDefault="007125B5">
            <w:pPr>
              <w:pStyle w:val="a3"/>
              <w:spacing w:before="0" w:beforeAutospacing="0" w:after="0" w:afterAutospacing="0"/>
              <w:jc w:val="right"/>
              <w:rPr>
                <w:color w:val="000000"/>
                <w:sz w:val="20"/>
                <w:szCs w:val="20"/>
              </w:rPr>
            </w:pPr>
            <w:r>
              <w:rPr>
                <w:color w:val="000000"/>
                <w:sz w:val="20"/>
                <w:szCs w:val="20"/>
              </w:rPr>
              <w:t>62,948</w:t>
            </w:r>
          </w:p>
        </w:tc>
        <w:tc>
          <w:tcPr>
            <w:tcW w:w="50" w:type="pct"/>
            <w:shd w:val="clear" w:color="auto" w:fill="FFFFFF"/>
            <w:noWrap/>
            <w:tcMar>
              <w:top w:w="15" w:type="dxa"/>
              <w:left w:w="0" w:type="dxa"/>
              <w:bottom w:w="0" w:type="dxa"/>
              <w:right w:w="15" w:type="dxa"/>
            </w:tcMar>
            <w:vAlign w:val="bottom"/>
            <w:hideMark/>
          </w:tcPr>
          <w:p w14:paraId="739BEC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3FC6AB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AB95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shd w:val="clear" w:color="auto" w:fill="FFFFFF"/>
            <w:noWrap/>
            <w:tcMar>
              <w:top w:w="15" w:type="dxa"/>
              <w:left w:w="0" w:type="dxa"/>
              <w:bottom w:w="0" w:type="dxa"/>
              <w:right w:w="15" w:type="dxa"/>
            </w:tcMar>
            <w:vAlign w:val="bottom"/>
            <w:hideMark/>
          </w:tcPr>
          <w:p w14:paraId="2891F5C3" w14:textId="77777777" w:rsidR="00000000" w:rsidRDefault="007125B5">
            <w:pPr>
              <w:pStyle w:val="a3"/>
              <w:spacing w:before="0" w:beforeAutospacing="0" w:after="0" w:afterAutospacing="0"/>
              <w:jc w:val="right"/>
              <w:rPr>
                <w:color w:val="000000"/>
                <w:sz w:val="20"/>
                <w:szCs w:val="20"/>
              </w:rPr>
            </w:pPr>
            <w:r>
              <w:rPr>
                <w:color w:val="000000"/>
                <w:sz w:val="20"/>
                <w:szCs w:val="20"/>
              </w:rPr>
              <w:t>12,112</w:t>
            </w:r>
          </w:p>
        </w:tc>
        <w:tc>
          <w:tcPr>
            <w:tcW w:w="50" w:type="pct"/>
            <w:shd w:val="clear" w:color="auto" w:fill="FFFFFF"/>
            <w:noWrap/>
            <w:tcMar>
              <w:top w:w="15" w:type="dxa"/>
              <w:left w:w="0" w:type="dxa"/>
              <w:bottom w:w="0" w:type="dxa"/>
              <w:right w:w="15" w:type="dxa"/>
            </w:tcMar>
            <w:vAlign w:val="bottom"/>
            <w:hideMark/>
          </w:tcPr>
          <w:p w14:paraId="028DF32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50D40575" w14:textId="77777777">
        <w:trPr>
          <w:divId w:val="851144631"/>
          <w:jc w:val="center"/>
        </w:trPr>
        <w:tc>
          <w:tcPr>
            <w:tcW w:w="1682" w:type="pct"/>
            <w:shd w:val="clear" w:color="auto" w:fill="CFF0FC"/>
            <w:tcMar>
              <w:top w:w="15" w:type="dxa"/>
              <w:left w:w="0" w:type="dxa"/>
              <w:bottom w:w="0" w:type="dxa"/>
              <w:right w:w="15" w:type="dxa"/>
            </w:tcMar>
            <w:hideMark/>
          </w:tcPr>
          <w:p w14:paraId="5D5BF1F2" w14:textId="77777777" w:rsidR="00000000" w:rsidRDefault="007125B5">
            <w:pPr>
              <w:pStyle w:val="a3"/>
              <w:spacing w:before="0" w:beforeAutospacing="0" w:after="0" w:afterAutospacing="0"/>
              <w:rPr>
                <w:color w:val="000000"/>
                <w:sz w:val="20"/>
                <w:szCs w:val="20"/>
              </w:rPr>
            </w:pPr>
            <w:r>
              <w:rPr>
                <w:color w:val="000000"/>
                <w:sz w:val="20"/>
                <w:szCs w:val="20"/>
              </w:rPr>
              <w:t>Remediation and Reuse</w:t>
            </w:r>
          </w:p>
        </w:tc>
        <w:tc>
          <w:tcPr>
            <w:tcW w:w="40" w:type="pct"/>
            <w:shd w:val="clear" w:color="auto" w:fill="CFF0FC"/>
            <w:tcMar>
              <w:top w:w="15" w:type="dxa"/>
              <w:left w:w="0" w:type="dxa"/>
              <w:bottom w:w="0" w:type="dxa"/>
              <w:right w:w="15" w:type="dxa"/>
            </w:tcMar>
            <w:vAlign w:val="bottom"/>
            <w:hideMark/>
          </w:tcPr>
          <w:p w14:paraId="2B5DAD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C2BB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20AF8422" w14:textId="77777777" w:rsidR="00000000" w:rsidRDefault="007125B5">
            <w:pPr>
              <w:pStyle w:val="a3"/>
              <w:spacing w:before="0" w:beforeAutospacing="0" w:after="0" w:afterAutospacing="0"/>
              <w:jc w:val="right"/>
              <w:rPr>
                <w:color w:val="000000"/>
                <w:sz w:val="20"/>
                <w:szCs w:val="20"/>
              </w:rPr>
            </w:pPr>
            <w:r>
              <w:rPr>
                <w:color w:val="000000"/>
                <w:sz w:val="20"/>
                <w:szCs w:val="20"/>
              </w:rPr>
              <w:t>18,099</w:t>
            </w:r>
          </w:p>
        </w:tc>
        <w:tc>
          <w:tcPr>
            <w:tcW w:w="50" w:type="pct"/>
            <w:shd w:val="clear" w:color="auto" w:fill="CFF0FC"/>
            <w:noWrap/>
            <w:tcMar>
              <w:top w:w="15" w:type="dxa"/>
              <w:left w:w="0" w:type="dxa"/>
              <w:bottom w:w="0" w:type="dxa"/>
              <w:right w:w="15" w:type="dxa"/>
            </w:tcMar>
            <w:vAlign w:val="bottom"/>
            <w:hideMark/>
          </w:tcPr>
          <w:p w14:paraId="086CBF7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4EF99A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8A29C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716909B9" w14:textId="77777777" w:rsidR="00000000" w:rsidRDefault="007125B5">
            <w:pPr>
              <w:pStyle w:val="a3"/>
              <w:spacing w:before="0" w:beforeAutospacing="0" w:after="0" w:afterAutospacing="0"/>
              <w:jc w:val="right"/>
              <w:rPr>
                <w:color w:val="000000"/>
                <w:sz w:val="20"/>
                <w:szCs w:val="20"/>
              </w:rPr>
            </w:pPr>
            <w:r>
              <w:rPr>
                <w:color w:val="000000"/>
                <w:sz w:val="20"/>
                <w:szCs w:val="20"/>
              </w:rPr>
              <w:t>2,375</w:t>
            </w:r>
          </w:p>
        </w:tc>
        <w:tc>
          <w:tcPr>
            <w:tcW w:w="50" w:type="pct"/>
            <w:shd w:val="clear" w:color="auto" w:fill="CFF0FC"/>
            <w:noWrap/>
            <w:tcMar>
              <w:top w:w="15" w:type="dxa"/>
              <w:left w:w="0" w:type="dxa"/>
              <w:bottom w:w="0" w:type="dxa"/>
              <w:right w:w="15" w:type="dxa"/>
            </w:tcMar>
            <w:vAlign w:val="bottom"/>
            <w:hideMark/>
          </w:tcPr>
          <w:p w14:paraId="65A701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5301ED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1002E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5D4CC8F6" w14:textId="77777777" w:rsidR="00000000" w:rsidRDefault="007125B5">
            <w:pPr>
              <w:pStyle w:val="a3"/>
              <w:spacing w:before="0" w:beforeAutospacing="0" w:after="0" w:afterAutospacing="0"/>
              <w:jc w:val="right"/>
              <w:rPr>
                <w:color w:val="000000"/>
                <w:sz w:val="20"/>
                <w:szCs w:val="20"/>
              </w:rPr>
            </w:pPr>
            <w:r>
              <w:rPr>
                <w:color w:val="000000"/>
                <w:sz w:val="20"/>
                <w:szCs w:val="20"/>
              </w:rPr>
              <w:t>17,756</w:t>
            </w:r>
          </w:p>
        </w:tc>
        <w:tc>
          <w:tcPr>
            <w:tcW w:w="50" w:type="pct"/>
            <w:shd w:val="clear" w:color="auto" w:fill="CFF0FC"/>
            <w:noWrap/>
            <w:tcMar>
              <w:top w:w="15" w:type="dxa"/>
              <w:left w:w="0" w:type="dxa"/>
              <w:bottom w:w="0" w:type="dxa"/>
              <w:right w:w="15" w:type="dxa"/>
            </w:tcMar>
            <w:vAlign w:val="bottom"/>
            <w:hideMark/>
          </w:tcPr>
          <w:p w14:paraId="65C66C2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08308F8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FFFD9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7CAFB2B6" w14:textId="77777777" w:rsidR="00000000" w:rsidRDefault="007125B5">
            <w:pPr>
              <w:pStyle w:val="a3"/>
              <w:spacing w:before="0" w:beforeAutospacing="0" w:after="0" w:afterAutospacing="0"/>
              <w:jc w:val="right"/>
              <w:rPr>
                <w:color w:val="000000"/>
                <w:sz w:val="20"/>
                <w:szCs w:val="20"/>
              </w:rPr>
            </w:pPr>
            <w:r>
              <w:rPr>
                <w:color w:val="000000"/>
                <w:sz w:val="20"/>
                <w:szCs w:val="20"/>
              </w:rPr>
              <w:t>2,399</w:t>
            </w:r>
          </w:p>
        </w:tc>
        <w:tc>
          <w:tcPr>
            <w:tcW w:w="50" w:type="pct"/>
            <w:shd w:val="clear" w:color="auto" w:fill="CFF0FC"/>
            <w:noWrap/>
            <w:tcMar>
              <w:top w:w="15" w:type="dxa"/>
              <w:left w:w="0" w:type="dxa"/>
              <w:bottom w:w="0" w:type="dxa"/>
              <w:right w:w="15" w:type="dxa"/>
            </w:tcMar>
            <w:vAlign w:val="bottom"/>
            <w:hideMark/>
          </w:tcPr>
          <w:p w14:paraId="7B67E6C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5C0E3BE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1C3F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3BB21352" w14:textId="77777777" w:rsidR="00000000" w:rsidRDefault="007125B5">
            <w:pPr>
              <w:pStyle w:val="a3"/>
              <w:spacing w:before="0" w:beforeAutospacing="0" w:after="0" w:afterAutospacing="0"/>
              <w:jc w:val="right"/>
              <w:rPr>
                <w:color w:val="000000"/>
                <w:sz w:val="20"/>
                <w:szCs w:val="20"/>
              </w:rPr>
            </w:pPr>
            <w:r>
              <w:rPr>
                <w:color w:val="000000"/>
                <w:sz w:val="20"/>
                <w:szCs w:val="20"/>
              </w:rPr>
              <w:t>38,160</w:t>
            </w:r>
          </w:p>
        </w:tc>
        <w:tc>
          <w:tcPr>
            <w:tcW w:w="50" w:type="pct"/>
            <w:shd w:val="clear" w:color="auto" w:fill="CFF0FC"/>
            <w:noWrap/>
            <w:tcMar>
              <w:top w:w="15" w:type="dxa"/>
              <w:left w:w="0" w:type="dxa"/>
              <w:bottom w:w="0" w:type="dxa"/>
              <w:right w:w="15" w:type="dxa"/>
            </w:tcMar>
            <w:vAlign w:val="bottom"/>
            <w:hideMark/>
          </w:tcPr>
          <w:p w14:paraId="399C11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335EC8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2BA40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633FABCE" w14:textId="77777777" w:rsidR="00000000" w:rsidRDefault="007125B5">
            <w:pPr>
              <w:pStyle w:val="a3"/>
              <w:spacing w:before="0" w:beforeAutospacing="0" w:after="0" w:afterAutospacing="0"/>
              <w:jc w:val="right"/>
              <w:rPr>
                <w:color w:val="000000"/>
                <w:sz w:val="20"/>
                <w:szCs w:val="20"/>
              </w:rPr>
            </w:pPr>
            <w:r>
              <w:rPr>
                <w:color w:val="000000"/>
                <w:sz w:val="20"/>
                <w:szCs w:val="20"/>
              </w:rPr>
              <w:t>4,481</w:t>
            </w:r>
          </w:p>
        </w:tc>
        <w:tc>
          <w:tcPr>
            <w:tcW w:w="50" w:type="pct"/>
            <w:shd w:val="clear" w:color="auto" w:fill="CFF0FC"/>
            <w:noWrap/>
            <w:tcMar>
              <w:top w:w="15" w:type="dxa"/>
              <w:left w:w="0" w:type="dxa"/>
              <w:bottom w:w="0" w:type="dxa"/>
              <w:right w:w="15" w:type="dxa"/>
            </w:tcMar>
            <w:vAlign w:val="bottom"/>
            <w:hideMark/>
          </w:tcPr>
          <w:p w14:paraId="1CAED7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7A9A99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F670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64463A75" w14:textId="77777777" w:rsidR="00000000" w:rsidRDefault="007125B5">
            <w:pPr>
              <w:pStyle w:val="a3"/>
              <w:spacing w:before="0" w:beforeAutospacing="0" w:after="0" w:afterAutospacing="0"/>
              <w:jc w:val="right"/>
              <w:rPr>
                <w:color w:val="000000"/>
                <w:sz w:val="20"/>
                <w:szCs w:val="20"/>
              </w:rPr>
            </w:pPr>
            <w:r>
              <w:rPr>
                <w:color w:val="000000"/>
                <w:sz w:val="20"/>
                <w:szCs w:val="20"/>
              </w:rPr>
              <w:t>35,804</w:t>
            </w:r>
          </w:p>
        </w:tc>
        <w:tc>
          <w:tcPr>
            <w:tcW w:w="50" w:type="pct"/>
            <w:shd w:val="clear" w:color="auto" w:fill="CFF0FC"/>
            <w:noWrap/>
            <w:tcMar>
              <w:top w:w="15" w:type="dxa"/>
              <w:left w:w="0" w:type="dxa"/>
              <w:bottom w:w="0" w:type="dxa"/>
              <w:right w:w="15" w:type="dxa"/>
            </w:tcMar>
            <w:vAlign w:val="bottom"/>
            <w:hideMark/>
          </w:tcPr>
          <w:p w14:paraId="753D8C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55459BD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A7978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511952AF" w14:textId="77777777" w:rsidR="00000000" w:rsidRDefault="007125B5">
            <w:pPr>
              <w:pStyle w:val="a3"/>
              <w:spacing w:before="0" w:beforeAutospacing="0" w:after="0" w:afterAutospacing="0"/>
              <w:jc w:val="right"/>
              <w:rPr>
                <w:color w:val="000000"/>
                <w:sz w:val="20"/>
                <w:szCs w:val="20"/>
              </w:rPr>
            </w:pPr>
            <w:r>
              <w:rPr>
                <w:color w:val="000000"/>
                <w:sz w:val="20"/>
                <w:szCs w:val="20"/>
              </w:rPr>
              <w:t>4,875</w:t>
            </w:r>
          </w:p>
        </w:tc>
        <w:tc>
          <w:tcPr>
            <w:tcW w:w="50" w:type="pct"/>
            <w:shd w:val="clear" w:color="auto" w:fill="CFF0FC"/>
            <w:noWrap/>
            <w:tcMar>
              <w:top w:w="15" w:type="dxa"/>
              <w:left w:w="0" w:type="dxa"/>
              <w:bottom w:w="0" w:type="dxa"/>
              <w:right w:w="15" w:type="dxa"/>
            </w:tcMar>
            <w:vAlign w:val="bottom"/>
            <w:hideMark/>
          </w:tcPr>
          <w:p w14:paraId="5385D89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12F4E18B" w14:textId="77777777">
        <w:trPr>
          <w:divId w:val="851144631"/>
          <w:jc w:val="center"/>
        </w:trPr>
        <w:tc>
          <w:tcPr>
            <w:tcW w:w="1682" w:type="pct"/>
            <w:shd w:val="clear" w:color="auto" w:fill="FFFFFF"/>
            <w:tcMar>
              <w:top w:w="15" w:type="dxa"/>
              <w:left w:w="0" w:type="dxa"/>
              <w:bottom w:w="0" w:type="dxa"/>
              <w:right w:w="15" w:type="dxa"/>
            </w:tcMar>
            <w:hideMark/>
          </w:tcPr>
          <w:p w14:paraId="70E22E18" w14:textId="77777777" w:rsidR="00000000" w:rsidRDefault="007125B5">
            <w:pPr>
              <w:pStyle w:val="a3"/>
              <w:spacing w:before="0" w:beforeAutospacing="0" w:after="0" w:afterAutospacing="0"/>
              <w:rPr>
                <w:color w:val="000000"/>
                <w:sz w:val="20"/>
                <w:szCs w:val="20"/>
              </w:rPr>
            </w:pPr>
            <w:r>
              <w:rPr>
                <w:color w:val="000000"/>
                <w:sz w:val="20"/>
                <w:szCs w:val="20"/>
              </w:rPr>
              <w:t>Total Operating Segments</w:t>
            </w:r>
          </w:p>
        </w:tc>
        <w:tc>
          <w:tcPr>
            <w:tcW w:w="40" w:type="pct"/>
            <w:shd w:val="clear" w:color="auto" w:fill="FFFFFF"/>
            <w:tcMar>
              <w:top w:w="15" w:type="dxa"/>
              <w:left w:w="0" w:type="dxa"/>
              <w:bottom w:w="0" w:type="dxa"/>
              <w:right w:w="15" w:type="dxa"/>
            </w:tcMar>
            <w:vAlign w:val="bottom"/>
            <w:hideMark/>
          </w:tcPr>
          <w:p w14:paraId="300F51B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6BDE09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4D5F0E20" w14:textId="77777777" w:rsidR="00000000" w:rsidRDefault="007125B5">
            <w:pPr>
              <w:pStyle w:val="a3"/>
              <w:spacing w:before="0" w:beforeAutospacing="0" w:after="0" w:afterAutospacing="0"/>
              <w:jc w:val="right"/>
              <w:rPr>
                <w:color w:val="000000"/>
                <w:sz w:val="20"/>
                <w:szCs w:val="20"/>
              </w:rPr>
            </w:pPr>
            <w:r>
              <w:rPr>
                <w:color w:val="000000"/>
                <w:sz w:val="20"/>
                <w:szCs w:val="20"/>
              </w:rPr>
              <w:t>73,766</w:t>
            </w:r>
          </w:p>
        </w:tc>
        <w:tc>
          <w:tcPr>
            <w:tcW w:w="50" w:type="pct"/>
            <w:shd w:val="clear" w:color="auto" w:fill="FFFFFF"/>
            <w:noWrap/>
            <w:tcMar>
              <w:top w:w="15" w:type="dxa"/>
              <w:left w:w="0" w:type="dxa"/>
              <w:bottom w:w="0" w:type="dxa"/>
              <w:right w:w="15" w:type="dxa"/>
            </w:tcMar>
            <w:vAlign w:val="bottom"/>
            <w:hideMark/>
          </w:tcPr>
          <w:p w14:paraId="52ADBDB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6E53D2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0AD01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280D4316" w14:textId="77777777" w:rsidR="00000000" w:rsidRDefault="007125B5">
            <w:pPr>
              <w:pStyle w:val="a3"/>
              <w:spacing w:before="0" w:beforeAutospacing="0" w:after="0" w:afterAutospacing="0"/>
              <w:jc w:val="right"/>
              <w:rPr>
                <w:color w:val="000000"/>
                <w:sz w:val="20"/>
                <w:szCs w:val="20"/>
              </w:rPr>
            </w:pPr>
            <w:r>
              <w:rPr>
                <w:color w:val="000000"/>
                <w:sz w:val="20"/>
                <w:szCs w:val="20"/>
              </w:rPr>
              <w:t>18,979</w:t>
            </w:r>
          </w:p>
        </w:tc>
        <w:tc>
          <w:tcPr>
            <w:tcW w:w="50" w:type="pct"/>
            <w:shd w:val="clear" w:color="auto" w:fill="FFFFFF"/>
            <w:noWrap/>
            <w:tcMar>
              <w:top w:w="15" w:type="dxa"/>
              <w:left w:w="0" w:type="dxa"/>
              <w:bottom w:w="0" w:type="dxa"/>
              <w:right w:w="15" w:type="dxa"/>
            </w:tcMar>
            <w:vAlign w:val="bottom"/>
            <w:hideMark/>
          </w:tcPr>
          <w:p w14:paraId="1FD358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0A0227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FA8DBB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5C01623A" w14:textId="77777777" w:rsidR="00000000" w:rsidRDefault="007125B5">
            <w:pPr>
              <w:pStyle w:val="a3"/>
              <w:spacing w:before="0" w:beforeAutospacing="0" w:after="0" w:afterAutospacing="0"/>
              <w:jc w:val="right"/>
              <w:rPr>
                <w:color w:val="000000"/>
                <w:sz w:val="20"/>
                <w:szCs w:val="20"/>
              </w:rPr>
            </w:pPr>
            <w:r>
              <w:rPr>
                <w:color w:val="000000"/>
                <w:sz w:val="20"/>
                <w:szCs w:val="20"/>
              </w:rPr>
              <w:t>57,401</w:t>
            </w:r>
          </w:p>
        </w:tc>
        <w:tc>
          <w:tcPr>
            <w:tcW w:w="50" w:type="pct"/>
            <w:shd w:val="clear" w:color="auto" w:fill="FFFFFF"/>
            <w:noWrap/>
            <w:tcMar>
              <w:top w:w="15" w:type="dxa"/>
              <w:left w:w="0" w:type="dxa"/>
              <w:bottom w:w="0" w:type="dxa"/>
              <w:right w:w="15" w:type="dxa"/>
            </w:tcMar>
            <w:vAlign w:val="bottom"/>
            <w:hideMark/>
          </w:tcPr>
          <w:p w14:paraId="3C22431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09753C3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1933E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38DB3DDE" w14:textId="77777777" w:rsidR="00000000" w:rsidRDefault="007125B5">
            <w:pPr>
              <w:pStyle w:val="a3"/>
              <w:spacing w:before="0" w:beforeAutospacing="0" w:after="0" w:afterAutospacing="0"/>
              <w:jc w:val="right"/>
              <w:rPr>
                <w:color w:val="000000"/>
                <w:sz w:val="20"/>
                <w:szCs w:val="20"/>
              </w:rPr>
            </w:pPr>
            <w:r>
              <w:rPr>
                <w:color w:val="000000"/>
                <w:sz w:val="20"/>
                <w:szCs w:val="20"/>
              </w:rPr>
              <w:t>12,380</w:t>
            </w:r>
          </w:p>
        </w:tc>
        <w:tc>
          <w:tcPr>
            <w:tcW w:w="50" w:type="pct"/>
            <w:shd w:val="clear" w:color="auto" w:fill="FFFFFF"/>
            <w:noWrap/>
            <w:tcMar>
              <w:top w:w="15" w:type="dxa"/>
              <w:left w:w="0" w:type="dxa"/>
              <w:bottom w:w="0" w:type="dxa"/>
              <w:right w:w="15" w:type="dxa"/>
            </w:tcMar>
            <w:vAlign w:val="bottom"/>
            <w:hideMark/>
          </w:tcPr>
          <w:p w14:paraId="4DE139B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546F6F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223DB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449AA3BC" w14:textId="77777777" w:rsidR="00000000" w:rsidRDefault="007125B5">
            <w:pPr>
              <w:pStyle w:val="a3"/>
              <w:spacing w:before="0" w:beforeAutospacing="0" w:after="0" w:afterAutospacing="0"/>
              <w:jc w:val="right"/>
              <w:rPr>
                <w:color w:val="000000"/>
                <w:sz w:val="20"/>
                <w:szCs w:val="20"/>
              </w:rPr>
            </w:pPr>
            <w:r>
              <w:rPr>
                <w:color w:val="000000"/>
                <w:sz w:val="20"/>
                <w:szCs w:val="20"/>
              </w:rPr>
              <w:t>134,797</w:t>
            </w:r>
          </w:p>
        </w:tc>
        <w:tc>
          <w:tcPr>
            <w:tcW w:w="50" w:type="pct"/>
            <w:shd w:val="clear" w:color="auto" w:fill="FFFFFF"/>
            <w:noWrap/>
            <w:tcMar>
              <w:top w:w="15" w:type="dxa"/>
              <w:left w:w="0" w:type="dxa"/>
              <w:bottom w:w="0" w:type="dxa"/>
              <w:right w:w="15" w:type="dxa"/>
            </w:tcMar>
            <w:vAlign w:val="bottom"/>
            <w:hideMark/>
          </w:tcPr>
          <w:p w14:paraId="7B882AD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31E0D8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9EF77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12BC138E" w14:textId="77777777" w:rsidR="00000000" w:rsidRDefault="007125B5">
            <w:pPr>
              <w:pStyle w:val="a3"/>
              <w:spacing w:before="0" w:beforeAutospacing="0" w:after="0" w:afterAutospacing="0"/>
              <w:jc w:val="right"/>
              <w:rPr>
                <w:color w:val="000000"/>
                <w:sz w:val="20"/>
                <w:szCs w:val="20"/>
              </w:rPr>
            </w:pPr>
            <w:r>
              <w:rPr>
                <w:color w:val="000000"/>
                <w:sz w:val="20"/>
                <w:szCs w:val="20"/>
              </w:rPr>
              <w:t>30,088</w:t>
            </w:r>
          </w:p>
        </w:tc>
        <w:tc>
          <w:tcPr>
            <w:tcW w:w="50" w:type="pct"/>
            <w:shd w:val="clear" w:color="auto" w:fill="FFFFFF"/>
            <w:noWrap/>
            <w:tcMar>
              <w:top w:w="15" w:type="dxa"/>
              <w:left w:w="0" w:type="dxa"/>
              <w:bottom w:w="0" w:type="dxa"/>
              <w:right w:w="15" w:type="dxa"/>
            </w:tcMar>
            <w:vAlign w:val="bottom"/>
            <w:hideMark/>
          </w:tcPr>
          <w:p w14:paraId="5446DB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3D4D1DA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276F9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3956B2DA" w14:textId="77777777" w:rsidR="00000000" w:rsidRDefault="007125B5">
            <w:pPr>
              <w:pStyle w:val="a3"/>
              <w:spacing w:before="0" w:beforeAutospacing="0" w:after="0" w:afterAutospacing="0"/>
              <w:jc w:val="right"/>
              <w:rPr>
                <w:color w:val="000000"/>
                <w:sz w:val="20"/>
                <w:szCs w:val="20"/>
              </w:rPr>
            </w:pPr>
            <w:r>
              <w:rPr>
                <w:color w:val="000000"/>
                <w:sz w:val="20"/>
                <w:szCs w:val="20"/>
              </w:rPr>
              <w:t>108,355</w:t>
            </w:r>
          </w:p>
        </w:tc>
        <w:tc>
          <w:tcPr>
            <w:tcW w:w="50" w:type="pct"/>
            <w:shd w:val="clear" w:color="auto" w:fill="FFFFFF"/>
            <w:noWrap/>
            <w:tcMar>
              <w:top w:w="15" w:type="dxa"/>
              <w:left w:w="0" w:type="dxa"/>
              <w:bottom w:w="0" w:type="dxa"/>
              <w:right w:w="15" w:type="dxa"/>
            </w:tcMar>
            <w:vAlign w:val="bottom"/>
            <w:hideMark/>
          </w:tcPr>
          <w:p w14:paraId="4E1839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12526C9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F1D8D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top w:val="single" w:sz="6" w:space="0" w:color="000000"/>
            </w:tcBorders>
            <w:shd w:val="clear" w:color="auto" w:fill="FFFFFF"/>
            <w:noWrap/>
            <w:tcMar>
              <w:top w:w="15" w:type="dxa"/>
              <w:left w:w="0" w:type="dxa"/>
              <w:bottom w:w="0" w:type="dxa"/>
              <w:right w:w="15" w:type="dxa"/>
            </w:tcMar>
            <w:vAlign w:val="bottom"/>
            <w:hideMark/>
          </w:tcPr>
          <w:p w14:paraId="2BC229F3" w14:textId="77777777" w:rsidR="00000000" w:rsidRDefault="007125B5">
            <w:pPr>
              <w:pStyle w:val="a3"/>
              <w:spacing w:before="0" w:beforeAutospacing="0" w:after="0" w:afterAutospacing="0"/>
              <w:jc w:val="right"/>
              <w:rPr>
                <w:color w:val="000000"/>
                <w:sz w:val="20"/>
                <w:szCs w:val="20"/>
              </w:rPr>
            </w:pPr>
            <w:r>
              <w:rPr>
                <w:color w:val="000000"/>
                <w:sz w:val="20"/>
                <w:szCs w:val="20"/>
              </w:rPr>
              <w:t>20,983</w:t>
            </w:r>
          </w:p>
        </w:tc>
        <w:tc>
          <w:tcPr>
            <w:tcW w:w="50" w:type="pct"/>
            <w:shd w:val="clear" w:color="auto" w:fill="FFFFFF"/>
            <w:noWrap/>
            <w:tcMar>
              <w:top w:w="15" w:type="dxa"/>
              <w:left w:w="0" w:type="dxa"/>
              <w:bottom w:w="0" w:type="dxa"/>
              <w:right w:w="15" w:type="dxa"/>
            </w:tcMar>
            <w:vAlign w:val="bottom"/>
            <w:hideMark/>
          </w:tcPr>
          <w:p w14:paraId="52D00FA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7125B5" w14:paraId="62234A18" w14:textId="77777777">
        <w:trPr>
          <w:divId w:val="851144631"/>
          <w:jc w:val="center"/>
        </w:trPr>
        <w:tc>
          <w:tcPr>
            <w:tcW w:w="1682" w:type="pct"/>
            <w:shd w:val="clear" w:color="auto" w:fill="CFF0FC"/>
            <w:tcMar>
              <w:top w:w="15" w:type="dxa"/>
              <w:left w:w="0" w:type="dxa"/>
              <w:bottom w:w="0" w:type="dxa"/>
              <w:right w:w="15" w:type="dxa"/>
            </w:tcMar>
            <w:hideMark/>
          </w:tcPr>
          <w:p w14:paraId="577D589A" w14:textId="77777777" w:rsidR="00000000" w:rsidRDefault="007125B5">
            <w:pPr>
              <w:pStyle w:val="a3"/>
              <w:spacing w:before="0" w:beforeAutospacing="0" w:after="0" w:afterAutospacing="0"/>
              <w:rPr>
                <w:color w:val="000000"/>
                <w:sz w:val="20"/>
                <w:szCs w:val="20"/>
              </w:rPr>
            </w:pPr>
            <w:r>
              <w:rPr>
                <w:color w:val="000000"/>
                <w:sz w:val="20"/>
                <w:szCs w:val="20"/>
              </w:rPr>
              <w:t>Corporate and Other</w:t>
            </w:r>
          </w:p>
        </w:tc>
        <w:tc>
          <w:tcPr>
            <w:tcW w:w="40" w:type="pct"/>
            <w:shd w:val="clear" w:color="auto" w:fill="CFF0FC"/>
            <w:tcMar>
              <w:top w:w="15" w:type="dxa"/>
              <w:left w:w="0" w:type="dxa"/>
              <w:bottom w:w="0" w:type="dxa"/>
              <w:right w:w="15" w:type="dxa"/>
            </w:tcMar>
            <w:vAlign w:val="bottom"/>
            <w:hideMark/>
          </w:tcPr>
          <w:p w14:paraId="7EBCF4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F2E8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4ED731A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99178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7C288E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FF0D3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65AB7E0D" w14:textId="77777777" w:rsidR="00000000" w:rsidRDefault="007125B5">
            <w:pPr>
              <w:pStyle w:val="a3"/>
              <w:spacing w:before="0" w:beforeAutospacing="0" w:after="0" w:afterAutospacing="0"/>
              <w:jc w:val="right"/>
              <w:rPr>
                <w:color w:val="000000"/>
                <w:sz w:val="20"/>
                <w:szCs w:val="20"/>
              </w:rPr>
            </w:pPr>
            <w:r>
              <w:rPr>
                <w:color w:val="000000"/>
                <w:sz w:val="20"/>
                <w:szCs w:val="20"/>
              </w:rPr>
              <w:t>(5,084</w:t>
            </w:r>
          </w:p>
        </w:tc>
        <w:tc>
          <w:tcPr>
            <w:tcW w:w="50" w:type="pct"/>
            <w:shd w:val="clear" w:color="auto" w:fill="CFF0FC"/>
            <w:noWrap/>
            <w:tcMar>
              <w:top w:w="15" w:type="dxa"/>
              <w:left w:w="0" w:type="dxa"/>
              <w:bottom w:w="0" w:type="dxa"/>
              <w:right w:w="15" w:type="dxa"/>
            </w:tcMar>
            <w:vAlign w:val="bottom"/>
            <w:hideMark/>
          </w:tcPr>
          <w:p w14:paraId="7F0FAEF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0" w:type="pct"/>
            <w:shd w:val="clear" w:color="auto" w:fill="CFF0FC"/>
            <w:tcMar>
              <w:top w:w="15" w:type="dxa"/>
              <w:left w:w="0" w:type="dxa"/>
              <w:bottom w:w="0" w:type="dxa"/>
              <w:right w:w="15" w:type="dxa"/>
            </w:tcMar>
            <w:vAlign w:val="bottom"/>
            <w:hideMark/>
          </w:tcPr>
          <w:p w14:paraId="17B7DE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F1B49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6AA9352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6828F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4EF9C2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96AA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5512A7B9" w14:textId="77777777" w:rsidR="00000000" w:rsidRDefault="007125B5">
            <w:pPr>
              <w:pStyle w:val="a3"/>
              <w:spacing w:before="0" w:beforeAutospacing="0" w:after="0" w:afterAutospacing="0"/>
              <w:jc w:val="right"/>
              <w:rPr>
                <w:color w:val="000000"/>
                <w:sz w:val="20"/>
                <w:szCs w:val="20"/>
              </w:rPr>
            </w:pPr>
            <w:r>
              <w:rPr>
                <w:color w:val="000000"/>
                <w:sz w:val="20"/>
                <w:szCs w:val="20"/>
              </w:rPr>
              <w:t>(3,842</w:t>
            </w:r>
          </w:p>
        </w:tc>
        <w:tc>
          <w:tcPr>
            <w:tcW w:w="50" w:type="pct"/>
            <w:shd w:val="clear" w:color="auto" w:fill="CFF0FC"/>
            <w:noWrap/>
            <w:tcMar>
              <w:top w:w="15" w:type="dxa"/>
              <w:left w:w="0" w:type="dxa"/>
              <w:bottom w:w="0" w:type="dxa"/>
              <w:right w:w="15" w:type="dxa"/>
            </w:tcMar>
            <w:vAlign w:val="bottom"/>
            <w:hideMark/>
          </w:tcPr>
          <w:p w14:paraId="47B93A4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0" w:type="pct"/>
            <w:shd w:val="clear" w:color="auto" w:fill="CFF0FC"/>
            <w:tcMar>
              <w:top w:w="15" w:type="dxa"/>
              <w:left w:w="0" w:type="dxa"/>
              <w:bottom w:w="0" w:type="dxa"/>
              <w:right w:w="15" w:type="dxa"/>
            </w:tcMar>
            <w:vAlign w:val="bottom"/>
            <w:hideMark/>
          </w:tcPr>
          <w:p w14:paraId="27FE6A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4871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044127B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9CBA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619A24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824F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2F38323D" w14:textId="77777777" w:rsidR="00000000" w:rsidRDefault="007125B5">
            <w:pPr>
              <w:pStyle w:val="a3"/>
              <w:spacing w:before="0" w:beforeAutospacing="0" w:after="0" w:afterAutospacing="0"/>
              <w:jc w:val="right"/>
              <w:rPr>
                <w:color w:val="000000"/>
                <w:sz w:val="20"/>
                <w:szCs w:val="20"/>
              </w:rPr>
            </w:pPr>
            <w:r>
              <w:rPr>
                <w:color w:val="000000"/>
                <w:sz w:val="20"/>
                <w:szCs w:val="20"/>
              </w:rPr>
              <w:t>(10,640</w:t>
            </w:r>
          </w:p>
        </w:tc>
        <w:tc>
          <w:tcPr>
            <w:tcW w:w="50" w:type="pct"/>
            <w:shd w:val="clear" w:color="auto" w:fill="CFF0FC"/>
            <w:noWrap/>
            <w:tcMar>
              <w:top w:w="15" w:type="dxa"/>
              <w:left w:w="0" w:type="dxa"/>
              <w:bottom w:w="0" w:type="dxa"/>
              <w:right w:w="15" w:type="dxa"/>
            </w:tcMar>
            <w:vAlign w:val="bottom"/>
            <w:hideMark/>
          </w:tcPr>
          <w:p w14:paraId="19EC083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0" w:type="pct"/>
            <w:shd w:val="clear" w:color="auto" w:fill="CFF0FC"/>
            <w:tcMar>
              <w:top w:w="15" w:type="dxa"/>
              <w:left w:w="0" w:type="dxa"/>
              <w:bottom w:w="0" w:type="dxa"/>
              <w:right w:w="15" w:type="dxa"/>
            </w:tcMar>
            <w:vAlign w:val="bottom"/>
            <w:hideMark/>
          </w:tcPr>
          <w:p w14:paraId="0F04908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28933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58A52DA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D442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10FE2C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204AE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273" w:type="pct"/>
            <w:tcBorders>
              <w:bottom w:val="single" w:sz="6" w:space="0" w:color="000000"/>
            </w:tcBorders>
            <w:shd w:val="clear" w:color="auto" w:fill="CFF0FC"/>
            <w:noWrap/>
            <w:tcMar>
              <w:top w:w="15" w:type="dxa"/>
              <w:left w:w="0" w:type="dxa"/>
              <w:bottom w:w="0" w:type="dxa"/>
              <w:right w:w="15" w:type="dxa"/>
            </w:tcMar>
            <w:vAlign w:val="bottom"/>
            <w:hideMark/>
          </w:tcPr>
          <w:p w14:paraId="08B10E04" w14:textId="77777777" w:rsidR="00000000" w:rsidRDefault="007125B5">
            <w:pPr>
              <w:pStyle w:val="a3"/>
              <w:spacing w:before="0" w:beforeAutospacing="0" w:after="0" w:afterAutospacing="0"/>
              <w:jc w:val="right"/>
              <w:rPr>
                <w:color w:val="000000"/>
                <w:sz w:val="20"/>
                <w:szCs w:val="20"/>
              </w:rPr>
            </w:pPr>
            <w:r>
              <w:rPr>
                <w:color w:val="000000"/>
                <w:sz w:val="20"/>
                <w:szCs w:val="20"/>
              </w:rPr>
              <w:t>(7,373</w:t>
            </w:r>
          </w:p>
        </w:tc>
        <w:tc>
          <w:tcPr>
            <w:tcW w:w="50" w:type="pct"/>
            <w:shd w:val="clear" w:color="auto" w:fill="CFF0FC"/>
            <w:noWrap/>
            <w:tcMar>
              <w:top w:w="15" w:type="dxa"/>
              <w:left w:w="0" w:type="dxa"/>
              <w:bottom w:w="0" w:type="dxa"/>
              <w:right w:w="15" w:type="dxa"/>
            </w:tcMar>
            <w:vAlign w:val="bottom"/>
            <w:hideMark/>
          </w:tcPr>
          <w:p w14:paraId="0B735227"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7125B5" w14:paraId="586AEBDA" w14:textId="77777777">
        <w:trPr>
          <w:divId w:val="851144631"/>
          <w:jc w:val="center"/>
        </w:trPr>
        <w:tc>
          <w:tcPr>
            <w:tcW w:w="1682" w:type="pct"/>
            <w:shd w:val="clear" w:color="auto" w:fill="FFFFFF"/>
            <w:tcMar>
              <w:top w:w="15" w:type="dxa"/>
              <w:left w:w="0" w:type="dxa"/>
              <w:bottom w:w="0" w:type="dxa"/>
              <w:right w:w="15" w:type="dxa"/>
            </w:tcMar>
            <w:hideMark/>
          </w:tcPr>
          <w:p w14:paraId="7EDE648B" w14:textId="77777777" w:rsidR="00000000" w:rsidRDefault="007125B5">
            <w:pPr>
              <w:pStyle w:val="a3"/>
              <w:spacing w:before="0" w:beforeAutospacing="0" w:after="0" w:afterAutospacing="0"/>
              <w:ind w:left="274"/>
              <w:rPr>
                <w:color w:val="000000"/>
                <w:sz w:val="20"/>
                <w:szCs w:val="20"/>
              </w:rPr>
            </w:pPr>
            <w:r>
              <w:rPr>
                <w:color w:val="000000"/>
                <w:sz w:val="20"/>
                <w:szCs w:val="20"/>
              </w:rPr>
              <w:t>Total</w:t>
            </w:r>
          </w:p>
        </w:tc>
        <w:tc>
          <w:tcPr>
            <w:tcW w:w="40" w:type="pct"/>
            <w:shd w:val="clear" w:color="auto" w:fill="FFFFFF"/>
            <w:tcMar>
              <w:top w:w="15" w:type="dxa"/>
              <w:left w:w="0" w:type="dxa"/>
              <w:bottom w:w="0" w:type="dxa"/>
              <w:right w:w="15" w:type="dxa"/>
            </w:tcMar>
            <w:vAlign w:val="bottom"/>
            <w:hideMark/>
          </w:tcPr>
          <w:p w14:paraId="34C41C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7462B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FB80A3" w14:textId="77777777" w:rsidR="00000000" w:rsidRDefault="007125B5">
            <w:pPr>
              <w:pStyle w:val="a3"/>
              <w:spacing w:before="0" w:beforeAutospacing="0" w:after="0" w:afterAutospacing="0"/>
              <w:jc w:val="right"/>
              <w:rPr>
                <w:color w:val="000000"/>
                <w:sz w:val="20"/>
                <w:szCs w:val="20"/>
              </w:rPr>
            </w:pPr>
            <w:r>
              <w:rPr>
                <w:color w:val="000000"/>
                <w:sz w:val="20"/>
                <w:szCs w:val="20"/>
              </w:rPr>
              <w:t>73,766</w:t>
            </w:r>
          </w:p>
        </w:tc>
        <w:tc>
          <w:tcPr>
            <w:tcW w:w="50" w:type="pct"/>
            <w:shd w:val="clear" w:color="auto" w:fill="FFFFFF"/>
            <w:noWrap/>
            <w:tcMar>
              <w:top w:w="15" w:type="dxa"/>
              <w:left w:w="0" w:type="dxa"/>
              <w:bottom w:w="0" w:type="dxa"/>
              <w:right w:w="15" w:type="dxa"/>
            </w:tcMar>
            <w:vAlign w:val="bottom"/>
            <w:hideMark/>
          </w:tcPr>
          <w:p w14:paraId="3C82C09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7F2400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429A4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251D83" w14:textId="77777777" w:rsidR="00000000" w:rsidRDefault="007125B5">
            <w:pPr>
              <w:pStyle w:val="a3"/>
              <w:spacing w:before="0" w:beforeAutospacing="0" w:after="0" w:afterAutospacing="0"/>
              <w:jc w:val="right"/>
              <w:rPr>
                <w:color w:val="000000"/>
                <w:sz w:val="20"/>
                <w:szCs w:val="20"/>
              </w:rPr>
            </w:pPr>
            <w:r>
              <w:rPr>
                <w:color w:val="000000"/>
                <w:sz w:val="20"/>
                <w:szCs w:val="20"/>
              </w:rPr>
              <w:t>13,895</w:t>
            </w:r>
          </w:p>
        </w:tc>
        <w:tc>
          <w:tcPr>
            <w:tcW w:w="50" w:type="pct"/>
            <w:shd w:val="clear" w:color="auto" w:fill="FFFFFF"/>
            <w:noWrap/>
            <w:tcMar>
              <w:top w:w="15" w:type="dxa"/>
              <w:left w:w="0" w:type="dxa"/>
              <w:bottom w:w="0" w:type="dxa"/>
              <w:right w:w="15" w:type="dxa"/>
            </w:tcMar>
            <w:vAlign w:val="bottom"/>
            <w:hideMark/>
          </w:tcPr>
          <w:p w14:paraId="23E9F94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620C74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ED9B8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749389" w14:textId="77777777" w:rsidR="00000000" w:rsidRDefault="007125B5">
            <w:pPr>
              <w:pStyle w:val="a3"/>
              <w:spacing w:before="0" w:beforeAutospacing="0" w:after="0" w:afterAutospacing="0"/>
              <w:jc w:val="right"/>
              <w:rPr>
                <w:color w:val="000000"/>
                <w:sz w:val="20"/>
                <w:szCs w:val="20"/>
              </w:rPr>
            </w:pPr>
            <w:r>
              <w:rPr>
                <w:color w:val="000000"/>
                <w:sz w:val="20"/>
                <w:szCs w:val="20"/>
              </w:rPr>
              <w:t>57,401</w:t>
            </w:r>
          </w:p>
        </w:tc>
        <w:tc>
          <w:tcPr>
            <w:tcW w:w="50" w:type="pct"/>
            <w:shd w:val="clear" w:color="auto" w:fill="FFFFFF"/>
            <w:noWrap/>
            <w:tcMar>
              <w:top w:w="15" w:type="dxa"/>
              <w:left w:w="0" w:type="dxa"/>
              <w:bottom w:w="0" w:type="dxa"/>
              <w:right w:w="15" w:type="dxa"/>
            </w:tcMar>
            <w:vAlign w:val="bottom"/>
            <w:hideMark/>
          </w:tcPr>
          <w:p w14:paraId="534CD4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4581E5C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58FFF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60D6E3" w14:textId="77777777" w:rsidR="00000000" w:rsidRDefault="007125B5">
            <w:pPr>
              <w:pStyle w:val="a3"/>
              <w:spacing w:before="0" w:beforeAutospacing="0" w:after="0" w:afterAutospacing="0"/>
              <w:jc w:val="right"/>
              <w:rPr>
                <w:color w:val="000000"/>
                <w:sz w:val="20"/>
                <w:szCs w:val="20"/>
              </w:rPr>
            </w:pPr>
            <w:r>
              <w:rPr>
                <w:color w:val="000000"/>
                <w:sz w:val="20"/>
                <w:szCs w:val="20"/>
              </w:rPr>
              <w:t>8,538</w:t>
            </w:r>
          </w:p>
        </w:tc>
        <w:tc>
          <w:tcPr>
            <w:tcW w:w="50" w:type="pct"/>
            <w:shd w:val="clear" w:color="auto" w:fill="FFFFFF"/>
            <w:noWrap/>
            <w:tcMar>
              <w:top w:w="15" w:type="dxa"/>
              <w:left w:w="0" w:type="dxa"/>
              <w:bottom w:w="0" w:type="dxa"/>
              <w:right w:w="15" w:type="dxa"/>
            </w:tcMar>
            <w:vAlign w:val="bottom"/>
            <w:hideMark/>
          </w:tcPr>
          <w:p w14:paraId="26209DB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4C4FCB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40B80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E12CFA" w14:textId="77777777" w:rsidR="00000000" w:rsidRDefault="007125B5">
            <w:pPr>
              <w:pStyle w:val="a3"/>
              <w:spacing w:before="0" w:beforeAutospacing="0" w:after="0" w:afterAutospacing="0"/>
              <w:jc w:val="right"/>
              <w:rPr>
                <w:color w:val="000000"/>
                <w:sz w:val="20"/>
                <w:szCs w:val="20"/>
              </w:rPr>
            </w:pPr>
            <w:r>
              <w:rPr>
                <w:color w:val="000000"/>
                <w:sz w:val="20"/>
                <w:szCs w:val="20"/>
              </w:rPr>
              <w:t>134,797</w:t>
            </w:r>
          </w:p>
        </w:tc>
        <w:tc>
          <w:tcPr>
            <w:tcW w:w="50" w:type="pct"/>
            <w:shd w:val="clear" w:color="auto" w:fill="FFFFFF"/>
            <w:noWrap/>
            <w:tcMar>
              <w:top w:w="15" w:type="dxa"/>
              <w:left w:w="0" w:type="dxa"/>
              <w:bottom w:w="0" w:type="dxa"/>
              <w:right w:w="15" w:type="dxa"/>
            </w:tcMar>
            <w:vAlign w:val="bottom"/>
            <w:hideMark/>
          </w:tcPr>
          <w:p w14:paraId="5E8748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06F0E87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11EEC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02E758" w14:textId="77777777" w:rsidR="00000000" w:rsidRDefault="007125B5">
            <w:pPr>
              <w:pStyle w:val="a3"/>
              <w:spacing w:before="0" w:beforeAutospacing="0" w:after="0" w:afterAutospacing="0"/>
              <w:jc w:val="right"/>
              <w:rPr>
                <w:color w:val="000000"/>
                <w:sz w:val="20"/>
                <w:szCs w:val="20"/>
              </w:rPr>
            </w:pPr>
            <w:r>
              <w:rPr>
                <w:color w:val="000000"/>
                <w:sz w:val="20"/>
                <w:szCs w:val="20"/>
              </w:rPr>
              <w:t>19,448</w:t>
            </w:r>
          </w:p>
        </w:tc>
        <w:tc>
          <w:tcPr>
            <w:tcW w:w="50" w:type="pct"/>
            <w:shd w:val="clear" w:color="auto" w:fill="FFFFFF"/>
            <w:noWrap/>
            <w:tcMar>
              <w:top w:w="15" w:type="dxa"/>
              <w:left w:w="0" w:type="dxa"/>
              <w:bottom w:w="0" w:type="dxa"/>
              <w:right w:w="15" w:type="dxa"/>
            </w:tcMar>
            <w:vAlign w:val="bottom"/>
            <w:hideMark/>
          </w:tcPr>
          <w:p w14:paraId="0471EFA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220323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810BF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B41DA8" w14:textId="77777777" w:rsidR="00000000" w:rsidRDefault="007125B5">
            <w:pPr>
              <w:pStyle w:val="a3"/>
              <w:spacing w:before="0" w:beforeAutospacing="0" w:after="0" w:afterAutospacing="0"/>
              <w:jc w:val="right"/>
              <w:rPr>
                <w:color w:val="000000"/>
                <w:sz w:val="20"/>
                <w:szCs w:val="20"/>
              </w:rPr>
            </w:pPr>
            <w:r>
              <w:rPr>
                <w:color w:val="000000"/>
                <w:sz w:val="20"/>
                <w:szCs w:val="20"/>
              </w:rPr>
              <w:t>108,355</w:t>
            </w:r>
          </w:p>
        </w:tc>
        <w:tc>
          <w:tcPr>
            <w:tcW w:w="50" w:type="pct"/>
            <w:shd w:val="clear" w:color="auto" w:fill="FFFFFF"/>
            <w:noWrap/>
            <w:tcMar>
              <w:top w:w="15" w:type="dxa"/>
              <w:left w:w="0" w:type="dxa"/>
              <w:bottom w:w="0" w:type="dxa"/>
              <w:right w:w="15" w:type="dxa"/>
            </w:tcMar>
            <w:vAlign w:val="bottom"/>
            <w:hideMark/>
          </w:tcPr>
          <w:p w14:paraId="3AE268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1AC873F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15BFB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2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67D7E5" w14:textId="77777777" w:rsidR="00000000" w:rsidRDefault="007125B5">
            <w:pPr>
              <w:pStyle w:val="a3"/>
              <w:spacing w:before="0" w:beforeAutospacing="0" w:after="0" w:afterAutospacing="0"/>
              <w:jc w:val="right"/>
              <w:rPr>
                <w:color w:val="000000"/>
                <w:sz w:val="20"/>
                <w:szCs w:val="20"/>
              </w:rPr>
            </w:pPr>
            <w:r>
              <w:rPr>
                <w:color w:val="000000"/>
                <w:sz w:val="20"/>
                <w:szCs w:val="20"/>
              </w:rPr>
              <w:t>13,610</w:t>
            </w:r>
          </w:p>
        </w:tc>
        <w:tc>
          <w:tcPr>
            <w:tcW w:w="50" w:type="pct"/>
            <w:shd w:val="clear" w:color="auto" w:fill="FFFFFF"/>
            <w:noWrap/>
            <w:tcMar>
              <w:top w:w="15" w:type="dxa"/>
              <w:left w:w="0" w:type="dxa"/>
              <w:bottom w:w="0" w:type="dxa"/>
              <w:right w:w="15" w:type="dxa"/>
            </w:tcMar>
            <w:vAlign w:val="bottom"/>
            <w:hideMark/>
          </w:tcPr>
          <w:p w14:paraId="02D249EE"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18E6F37A"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F173B4D"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Presented b</w:t>
      </w:r>
      <w:r>
        <w:rPr>
          <w:color w:val="000000"/>
          <w:sz w:val="20"/>
          <w:szCs w:val="20"/>
        </w:rPr>
        <w:t>elow is a reconciliation of the Company’s segment measure to income (loss) before benefit from income taxes for the three and six months ended June 30, 2020 and June 30, 2019:</w:t>
      </w:r>
    </w:p>
    <w:p w14:paraId="694AEAB6"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14:paraId="53F11DF7" w14:textId="77777777">
        <w:trPr>
          <w:divId w:val="506332364"/>
          <w:jc w:val="center"/>
        </w:trPr>
        <w:tc>
          <w:tcPr>
            <w:tcW w:w="2517" w:type="pct"/>
            <w:shd w:val="clear" w:color="auto" w:fill="FFFFFF"/>
            <w:tcMar>
              <w:top w:w="15" w:type="dxa"/>
              <w:left w:w="0" w:type="dxa"/>
              <w:bottom w:w="0" w:type="dxa"/>
              <w:right w:w="15" w:type="dxa"/>
            </w:tcMar>
            <w:vAlign w:val="bottom"/>
            <w:hideMark/>
          </w:tcPr>
          <w:p w14:paraId="7A1B3E20" w14:textId="77777777" w:rsidR="00000000" w:rsidRDefault="007125B5">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022B550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536A9E4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For the Three Months Ended</w:t>
            </w:r>
          </w:p>
          <w:p w14:paraId="3C46D95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050DD83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F2DAE5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16864E6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For the Six Months Ended</w:t>
            </w:r>
          </w:p>
          <w:p w14:paraId="397B40C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w:t>
            </w:r>
            <w:r>
              <w:rPr>
                <w:b/>
                <w:bCs/>
                <w:color w:val="000000"/>
                <w:sz w:val="16"/>
                <w:szCs w:val="16"/>
              </w:rPr>
              <w:t xml:space="preserve"> 30,</w:t>
            </w:r>
          </w:p>
        </w:tc>
        <w:tc>
          <w:tcPr>
            <w:tcW w:w="50" w:type="pct"/>
            <w:shd w:val="clear" w:color="auto" w:fill="FFFFFF"/>
            <w:noWrap/>
            <w:tcMar>
              <w:top w:w="15" w:type="dxa"/>
              <w:left w:w="0" w:type="dxa"/>
              <w:bottom w:w="0" w:type="dxa"/>
              <w:right w:w="15" w:type="dxa"/>
            </w:tcMar>
            <w:vAlign w:val="bottom"/>
            <w:hideMark/>
          </w:tcPr>
          <w:p w14:paraId="4871E1D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611C4E04" w14:textId="77777777">
        <w:trPr>
          <w:divId w:val="506332364"/>
          <w:jc w:val="center"/>
        </w:trPr>
        <w:tc>
          <w:tcPr>
            <w:tcW w:w="2517" w:type="pct"/>
            <w:shd w:val="clear" w:color="auto" w:fill="FFFFFF"/>
            <w:tcMar>
              <w:top w:w="15" w:type="dxa"/>
              <w:left w:w="0" w:type="dxa"/>
              <w:bottom w:w="0" w:type="dxa"/>
              <w:right w:w="15" w:type="dxa"/>
            </w:tcMar>
            <w:vAlign w:val="bottom"/>
            <w:hideMark/>
          </w:tcPr>
          <w:p w14:paraId="64175D0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6F59B12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ED576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23E82D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32EB1C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66C4D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E99F94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3FD8AE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C5FBB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65729E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8EF24D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65F0B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6CFE8A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E963DA2" w14:textId="77777777">
        <w:trPr>
          <w:divId w:val="506332364"/>
          <w:jc w:val="center"/>
        </w:trPr>
        <w:tc>
          <w:tcPr>
            <w:tcW w:w="2517" w:type="pct"/>
            <w:shd w:val="clear" w:color="auto" w:fill="CFF0FC"/>
            <w:tcMar>
              <w:top w:w="15" w:type="dxa"/>
              <w:left w:w="0" w:type="dxa"/>
              <w:bottom w:w="0" w:type="dxa"/>
              <w:right w:w="15" w:type="dxa"/>
            </w:tcMar>
            <w:hideMark/>
          </w:tcPr>
          <w:p w14:paraId="15E9CE04" w14:textId="77777777" w:rsidR="00000000" w:rsidRDefault="007125B5">
            <w:pPr>
              <w:pStyle w:val="a3"/>
              <w:spacing w:before="0" w:beforeAutospacing="0" w:after="0" w:afterAutospacing="0"/>
              <w:rPr>
                <w:color w:val="000000"/>
                <w:sz w:val="20"/>
                <w:szCs w:val="20"/>
              </w:rPr>
            </w:pPr>
            <w:r>
              <w:rPr>
                <w:color w:val="000000"/>
                <w:sz w:val="20"/>
                <w:szCs w:val="20"/>
              </w:rPr>
              <w:t>Total</w:t>
            </w:r>
          </w:p>
        </w:tc>
        <w:tc>
          <w:tcPr>
            <w:tcW w:w="61" w:type="pct"/>
            <w:shd w:val="clear" w:color="auto" w:fill="CFF0FC"/>
            <w:tcMar>
              <w:top w:w="15" w:type="dxa"/>
              <w:left w:w="0" w:type="dxa"/>
              <w:bottom w:w="0" w:type="dxa"/>
              <w:right w:w="15" w:type="dxa"/>
            </w:tcMar>
            <w:vAlign w:val="bottom"/>
            <w:hideMark/>
          </w:tcPr>
          <w:p w14:paraId="45912BC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4906D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5997ED7" w14:textId="77777777" w:rsidR="00000000" w:rsidRDefault="007125B5">
            <w:pPr>
              <w:pStyle w:val="a3"/>
              <w:spacing w:before="0" w:beforeAutospacing="0" w:after="0" w:afterAutospacing="0"/>
              <w:jc w:val="right"/>
              <w:rPr>
                <w:color w:val="000000"/>
                <w:sz w:val="20"/>
                <w:szCs w:val="20"/>
              </w:rPr>
            </w:pPr>
            <w:r>
              <w:rPr>
                <w:color w:val="000000"/>
                <w:sz w:val="20"/>
                <w:szCs w:val="20"/>
              </w:rPr>
              <w:t>13,895</w:t>
            </w:r>
          </w:p>
        </w:tc>
        <w:tc>
          <w:tcPr>
            <w:tcW w:w="50" w:type="pct"/>
            <w:shd w:val="clear" w:color="auto" w:fill="CFF0FC"/>
            <w:noWrap/>
            <w:tcMar>
              <w:top w:w="15" w:type="dxa"/>
              <w:left w:w="0" w:type="dxa"/>
              <w:bottom w:w="0" w:type="dxa"/>
              <w:right w:w="15" w:type="dxa"/>
            </w:tcMar>
            <w:vAlign w:val="bottom"/>
            <w:hideMark/>
          </w:tcPr>
          <w:p w14:paraId="0CA3D2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3C5BA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8D543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FE3B3EA" w14:textId="77777777" w:rsidR="00000000" w:rsidRDefault="007125B5">
            <w:pPr>
              <w:pStyle w:val="a3"/>
              <w:spacing w:before="0" w:beforeAutospacing="0" w:after="0" w:afterAutospacing="0"/>
              <w:jc w:val="right"/>
              <w:rPr>
                <w:color w:val="000000"/>
                <w:sz w:val="20"/>
                <w:szCs w:val="20"/>
              </w:rPr>
            </w:pPr>
            <w:r>
              <w:rPr>
                <w:color w:val="000000"/>
                <w:sz w:val="20"/>
                <w:szCs w:val="20"/>
              </w:rPr>
              <w:t>8,538</w:t>
            </w:r>
          </w:p>
        </w:tc>
        <w:tc>
          <w:tcPr>
            <w:tcW w:w="50" w:type="pct"/>
            <w:shd w:val="clear" w:color="auto" w:fill="CFF0FC"/>
            <w:noWrap/>
            <w:tcMar>
              <w:top w:w="15" w:type="dxa"/>
              <w:left w:w="0" w:type="dxa"/>
              <w:bottom w:w="0" w:type="dxa"/>
              <w:right w:w="15" w:type="dxa"/>
            </w:tcMar>
            <w:vAlign w:val="bottom"/>
            <w:hideMark/>
          </w:tcPr>
          <w:p w14:paraId="0D7A093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DC0BB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DB930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3A3A5FE" w14:textId="77777777" w:rsidR="00000000" w:rsidRDefault="007125B5">
            <w:pPr>
              <w:pStyle w:val="a3"/>
              <w:spacing w:before="0" w:beforeAutospacing="0" w:after="0" w:afterAutospacing="0"/>
              <w:jc w:val="right"/>
              <w:rPr>
                <w:color w:val="000000"/>
                <w:sz w:val="20"/>
                <w:szCs w:val="20"/>
              </w:rPr>
            </w:pPr>
            <w:r>
              <w:rPr>
                <w:color w:val="000000"/>
                <w:sz w:val="20"/>
                <w:szCs w:val="20"/>
              </w:rPr>
              <w:t>19,448</w:t>
            </w:r>
          </w:p>
        </w:tc>
        <w:tc>
          <w:tcPr>
            <w:tcW w:w="50" w:type="pct"/>
            <w:shd w:val="clear" w:color="auto" w:fill="CFF0FC"/>
            <w:noWrap/>
            <w:tcMar>
              <w:top w:w="15" w:type="dxa"/>
              <w:left w:w="0" w:type="dxa"/>
              <w:bottom w:w="0" w:type="dxa"/>
              <w:right w:w="15" w:type="dxa"/>
            </w:tcMar>
            <w:vAlign w:val="bottom"/>
            <w:hideMark/>
          </w:tcPr>
          <w:p w14:paraId="4823DB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29C99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A9698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A427B5F" w14:textId="77777777" w:rsidR="00000000" w:rsidRDefault="007125B5">
            <w:pPr>
              <w:pStyle w:val="a3"/>
              <w:spacing w:before="0" w:beforeAutospacing="0" w:after="0" w:afterAutospacing="0"/>
              <w:jc w:val="right"/>
              <w:rPr>
                <w:color w:val="000000"/>
                <w:sz w:val="20"/>
                <w:szCs w:val="20"/>
              </w:rPr>
            </w:pPr>
            <w:r>
              <w:rPr>
                <w:color w:val="000000"/>
                <w:sz w:val="20"/>
                <w:szCs w:val="20"/>
              </w:rPr>
              <w:t>13,610</w:t>
            </w:r>
          </w:p>
        </w:tc>
        <w:tc>
          <w:tcPr>
            <w:tcW w:w="50" w:type="pct"/>
            <w:shd w:val="clear" w:color="auto" w:fill="CFF0FC"/>
            <w:noWrap/>
            <w:tcMar>
              <w:top w:w="15" w:type="dxa"/>
              <w:left w:w="0" w:type="dxa"/>
              <w:bottom w:w="0" w:type="dxa"/>
              <w:right w:w="15" w:type="dxa"/>
            </w:tcMar>
            <w:vAlign w:val="bottom"/>
            <w:hideMark/>
          </w:tcPr>
          <w:p w14:paraId="2383B3D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02BF28B" w14:textId="77777777">
        <w:trPr>
          <w:divId w:val="506332364"/>
          <w:jc w:val="center"/>
        </w:trPr>
        <w:tc>
          <w:tcPr>
            <w:tcW w:w="2517" w:type="pct"/>
            <w:shd w:val="clear" w:color="auto" w:fill="FFFFFF"/>
            <w:tcMar>
              <w:top w:w="15" w:type="dxa"/>
              <w:left w:w="0" w:type="dxa"/>
              <w:bottom w:w="0" w:type="dxa"/>
              <w:right w:w="15" w:type="dxa"/>
            </w:tcMar>
            <w:hideMark/>
          </w:tcPr>
          <w:p w14:paraId="34C72820" w14:textId="77777777" w:rsidR="00000000" w:rsidRDefault="007125B5">
            <w:pPr>
              <w:pStyle w:val="a3"/>
              <w:spacing w:before="0" w:beforeAutospacing="0" w:after="0" w:afterAutospacing="0"/>
              <w:ind w:left="274"/>
              <w:rPr>
                <w:color w:val="000000"/>
                <w:sz w:val="20"/>
                <w:szCs w:val="20"/>
              </w:rPr>
            </w:pPr>
            <w:r>
              <w:rPr>
                <w:color w:val="000000"/>
                <w:sz w:val="20"/>
                <w:szCs w:val="20"/>
              </w:rPr>
              <w:t>Interest Expense, net</w:t>
            </w:r>
          </w:p>
        </w:tc>
        <w:tc>
          <w:tcPr>
            <w:tcW w:w="61" w:type="pct"/>
            <w:shd w:val="clear" w:color="auto" w:fill="FFFFFF"/>
            <w:tcMar>
              <w:top w:w="15" w:type="dxa"/>
              <w:left w:w="0" w:type="dxa"/>
              <w:bottom w:w="0" w:type="dxa"/>
              <w:right w:w="15" w:type="dxa"/>
            </w:tcMar>
            <w:vAlign w:val="bottom"/>
            <w:hideMark/>
          </w:tcPr>
          <w:p w14:paraId="575B16E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8AC6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2FA9938" w14:textId="77777777" w:rsidR="00000000" w:rsidRDefault="007125B5">
            <w:pPr>
              <w:pStyle w:val="a3"/>
              <w:spacing w:before="0" w:beforeAutospacing="0" w:after="0" w:afterAutospacing="0"/>
              <w:jc w:val="right"/>
              <w:rPr>
                <w:color w:val="000000"/>
                <w:sz w:val="20"/>
                <w:szCs w:val="20"/>
              </w:rPr>
            </w:pPr>
            <w:r>
              <w:rPr>
                <w:color w:val="000000"/>
                <w:sz w:val="20"/>
                <w:szCs w:val="20"/>
              </w:rPr>
              <w:t>(5,260</w:t>
            </w:r>
          </w:p>
        </w:tc>
        <w:tc>
          <w:tcPr>
            <w:tcW w:w="50" w:type="pct"/>
            <w:shd w:val="clear" w:color="auto" w:fill="FFFFFF"/>
            <w:noWrap/>
            <w:tcMar>
              <w:top w:w="15" w:type="dxa"/>
              <w:left w:w="0" w:type="dxa"/>
              <w:bottom w:w="0" w:type="dxa"/>
              <w:right w:w="15" w:type="dxa"/>
            </w:tcMar>
            <w:vAlign w:val="bottom"/>
            <w:hideMark/>
          </w:tcPr>
          <w:p w14:paraId="72D4C9E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85213C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CDC5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41DFA1F" w14:textId="77777777" w:rsidR="00000000" w:rsidRDefault="007125B5">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0D11231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57C33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D173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645C49C" w14:textId="77777777" w:rsidR="00000000" w:rsidRDefault="007125B5">
            <w:pPr>
              <w:pStyle w:val="a3"/>
              <w:spacing w:before="0" w:beforeAutospacing="0" w:after="0" w:afterAutospacing="0"/>
              <w:jc w:val="right"/>
              <w:rPr>
                <w:color w:val="000000"/>
                <w:sz w:val="20"/>
                <w:szCs w:val="20"/>
              </w:rPr>
            </w:pPr>
            <w:r>
              <w:rPr>
                <w:color w:val="000000"/>
                <w:sz w:val="20"/>
                <w:szCs w:val="20"/>
              </w:rPr>
              <w:t>(7,853</w:t>
            </w:r>
          </w:p>
        </w:tc>
        <w:tc>
          <w:tcPr>
            <w:tcW w:w="50" w:type="pct"/>
            <w:shd w:val="clear" w:color="auto" w:fill="FFFFFF"/>
            <w:noWrap/>
            <w:tcMar>
              <w:top w:w="15" w:type="dxa"/>
              <w:left w:w="0" w:type="dxa"/>
              <w:bottom w:w="0" w:type="dxa"/>
              <w:right w:w="15" w:type="dxa"/>
            </w:tcMar>
            <w:vAlign w:val="bottom"/>
            <w:hideMark/>
          </w:tcPr>
          <w:p w14:paraId="7D946E5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25AA9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2634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3CA1BC0" w14:textId="77777777" w:rsidR="00000000" w:rsidRDefault="007125B5">
            <w:pPr>
              <w:pStyle w:val="a3"/>
              <w:spacing w:before="0" w:beforeAutospacing="0" w:after="0" w:afterAutospacing="0"/>
              <w:jc w:val="right"/>
              <w:rPr>
                <w:color w:val="000000"/>
                <w:sz w:val="20"/>
                <w:szCs w:val="20"/>
              </w:rPr>
            </w:pPr>
            <w:r>
              <w:rPr>
                <w:color w:val="000000"/>
                <w:sz w:val="20"/>
                <w:szCs w:val="20"/>
              </w:rPr>
              <w:t>(2,460</w:t>
            </w:r>
          </w:p>
        </w:tc>
        <w:tc>
          <w:tcPr>
            <w:tcW w:w="50" w:type="pct"/>
            <w:shd w:val="clear" w:color="auto" w:fill="FFFFFF"/>
            <w:noWrap/>
            <w:tcMar>
              <w:top w:w="15" w:type="dxa"/>
              <w:left w:w="0" w:type="dxa"/>
              <w:bottom w:w="0" w:type="dxa"/>
              <w:right w:w="15" w:type="dxa"/>
            </w:tcMar>
            <w:vAlign w:val="bottom"/>
            <w:hideMark/>
          </w:tcPr>
          <w:p w14:paraId="2B978DE9"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A25DCE9" w14:textId="77777777">
        <w:trPr>
          <w:divId w:val="506332364"/>
          <w:jc w:val="center"/>
        </w:trPr>
        <w:tc>
          <w:tcPr>
            <w:tcW w:w="2517" w:type="pct"/>
            <w:shd w:val="clear" w:color="auto" w:fill="CFF0FC"/>
            <w:tcMar>
              <w:top w:w="15" w:type="dxa"/>
              <w:left w:w="0" w:type="dxa"/>
              <w:bottom w:w="0" w:type="dxa"/>
              <w:right w:w="15" w:type="dxa"/>
            </w:tcMar>
            <w:hideMark/>
          </w:tcPr>
          <w:p w14:paraId="6104A299" w14:textId="77777777" w:rsidR="00000000" w:rsidRDefault="007125B5">
            <w:pPr>
              <w:pStyle w:val="a3"/>
              <w:spacing w:before="0" w:beforeAutospacing="0" w:after="0" w:afterAutospacing="0"/>
              <w:ind w:left="274"/>
              <w:rPr>
                <w:color w:val="000000"/>
                <w:sz w:val="20"/>
                <w:szCs w:val="20"/>
              </w:rPr>
            </w:pPr>
            <w:r>
              <w:rPr>
                <w:color w:val="000000"/>
                <w:sz w:val="20"/>
                <w:szCs w:val="20"/>
              </w:rPr>
              <w:t>Income tax benefit</w:t>
            </w:r>
          </w:p>
        </w:tc>
        <w:tc>
          <w:tcPr>
            <w:tcW w:w="61" w:type="pct"/>
            <w:shd w:val="clear" w:color="auto" w:fill="CFF0FC"/>
            <w:tcMar>
              <w:top w:w="15" w:type="dxa"/>
              <w:left w:w="0" w:type="dxa"/>
              <w:bottom w:w="0" w:type="dxa"/>
              <w:right w:w="15" w:type="dxa"/>
            </w:tcMar>
            <w:vAlign w:val="bottom"/>
            <w:hideMark/>
          </w:tcPr>
          <w:p w14:paraId="09DEBB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C051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D00510F" w14:textId="77777777" w:rsidR="00000000" w:rsidRDefault="007125B5">
            <w:pPr>
              <w:pStyle w:val="a3"/>
              <w:spacing w:before="0" w:beforeAutospacing="0" w:after="0" w:afterAutospacing="0"/>
              <w:jc w:val="right"/>
              <w:rPr>
                <w:color w:val="000000"/>
                <w:sz w:val="20"/>
                <w:szCs w:val="20"/>
              </w:rPr>
            </w:pPr>
            <w:r>
              <w:rPr>
                <w:color w:val="000000"/>
                <w:sz w:val="20"/>
                <w:szCs w:val="20"/>
              </w:rPr>
              <w:t>1,759</w:t>
            </w:r>
          </w:p>
        </w:tc>
        <w:tc>
          <w:tcPr>
            <w:tcW w:w="50" w:type="pct"/>
            <w:shd w:val="clear" w:color="auto" w:fill="CFF0FC"/>
            <w:noWrap/>
            <w:tcMar>
              <w:top w:w="15" w:type="dxa"/>
              <w:left w:w="0" w:type="dxa"/>
              <w:bottom w:w="0" w:type="dxa"/>
              <w:right w:w="15" w:type="dxa"/>
            </w:tcMar>
            <w:vAlign w:val="bottom"/>
            <w:hideMark/>
          </w:tcPr>
          <w:p w14:paraId="003288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DA9F2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D49D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6B6CF50" w14:textId="77777777" w:rsidR="00000000" w:rsidRDefault="007125B5">
            <w:pPr>
              <w:pStyle w:val="a3"/>
              <w:spacing w:before="0" w:beforeAutospacing="0" w:after="0" w:afterAutospacing="0"/>
              <w:jc w:val="right"/>
              <w:rPr>
                <w:color w:val="000000"/>
                <w:sz w:val="20"/>
                <w:szCs w:val="20"/>
              </w:rPr>
            </w:pPr>
            <w:r>
              <w:rPr>
                <w:color w:val="000000"/>
                <w:sz w:val="20"/>
                <w:szCs w:val="20"/>
              </w:rPr>
              <w:t>1,712</w:t>
            </w:r>
          </w:p>
        </w:tc>
        <w:tc>
          <w:tcPr>
            <w:tcW w:w="50" w:type="pct"/>
            <w:shd w:val="clear" w:color="auto" w:fill="CFF0FC"/>
            <w:noWrap/>
            <w:tcMar>
              <w:top w:w="15" w:type="dxa"/>
              <w:left w:w="0" w:type="dxa"/>
              <w:bottom w:w="0" w:type="dxa"/>
              <w:right w:w="15" w:type="dxa"/>
            </w:tcMar>
            <w:vAlign w:val="bottom"/>
            <w:hideMark/>
          </w:tcPr>
          <w:p w14:paraId="3E3C04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F747EA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2C9AC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13A754B" w14:textId="77777777" w:rsidR="00000000" w:rsidRDefault="007125B5">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CFF0FC"/>
            <w:noWrap/>
            <w:tcMar>
              <w:top w:w="15" w:type="dxa"/>
              <w:left w:w="0" w:type="dxa"/>
              <w:bottom w:w="0" w:type="dxa"/>
              <w:right w:w="15" w:type="dxa"/>
            </w:tcMar>
            <w:vAlign w:val="bottom"/>
            <w:hideMark/>
          </w:tcPr>
          <w:p w14:paraId="6AB2B6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51061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6F03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DEB003D" w14:textId="77777777" w:rsidR="00000000" w:rsidRDefault="007125B5">
            <w:pPr>
              <w:pStyle w:val="a3"/>
              <w:spacing w:before="0" w:beforeAutospacing="0" w:after="0" w:afterAutospacing="0"/>
              <w:jc w:val="right"/>
              <w:rPr>
                <w:color w:val="000000"/>
                <w:sz w:val="20"/>
                <w:szCs w:val="20"/>
              </w:rPr>
            </w:pPr>
            <w:r>
              <w:rPr>
                <w:color w:val="000000"/>
                <w:sz w:val="20"/>
                <w:szCs w:val="20"/>
              </w:rPr>
              <w:t>896</w:t>
            </w:r>
          </w:p>
        </w:tc>
        <w:tc>
          <w:tcPr>
            <w:tcW w:w="50" w:type="pct"/>
            <w:shd w:val="clear" w:color="auto" w:fill="CFF0FC"/>
            <w:noWrap/>
            <w:tcMar>
              <w:top w:w="15" w:type="dxa"/>
              <w:left w:w="0" w:type="dxa"/>
              <w:bottom w:w="0" w:type="dxa"/>
              <w:right w:w="15" w:type="dxa"/>
            </w:tcMar>
            <w:vAlign w:val="bottom"/>
            <w:hideMark/>
          </w:tcPr>
          <w:p w14:paraId="3B7532A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024ED096" w14:textId="77777777">
        <w:trPr>
          <w:divId w:val="506332364"/>
          <w:jc w:val="center"/>
        </w:trPr>
        <w:tc>
          <w:tcPr>
            <w:tcW w:w="2517" w:type="pct"/>
            <w:shd w:val="clear" w:color="auto" w:fill="FFFFFF"/>
            <w:tcMar>
              <w:top w:w="15" w:type="dxa"/>
              <w:left w:w="0" w:type="dxa"/>
              <w:bottom w:w="0" w:type="dxa"/>
              <w:right w:w="15" w:type="dxa"/>
            </w:tcMar>
            <w:hideMark/>
          </w:tcPr>
          <w:p w14:paraId="399883C1" w14:textId="77777777" w:rsidR="00000000" w:rsidRDefault="007125B5">
            <w:pPr>
              <w:pStyle w:val="a3"/>
              <w:spacing w:before="0" w:beforeAutospacing="0" w:after="0" w:afterAutospacing="0"/>
              <w:ind w:left="274"/>
              <w:rPr>
                <w:color w:val="000000"/>
                <w:sz w:val="20"/>
                <w:szCs w:val="20"/>
              </w:rPr>
            </w:pPr>
            <w:r>
              <w:rPr>
                <w:color w:val="000000"/>
                <w:sz w:val="20"/>
                <w:szCs w:val="20"/>
              </w:rPr>
              <w:t>Depreciation and Amortization</w:t>
            </w:r>
          </w:p>
        </w:tc>
        <w:tc>
          <w:tcPr>
            <w:tcW w:w="61" w:type="pct"/>
            <w:shd w:val="clear" w:color="auto" w:fill="FFFFFF"/>
            <w:tcMar>
              <w:top w:w="15" w:type="dxa"/>
              <w:left w:w="0" w:type="dxa"/>
              <w:bottom w:w="0" w:type="dxa"/>
              <w:right w:w="15" w:type="dxa"/>
            </w:tcMar>
            <w:vAlign w:val="bottom"/>
            <w:hideMark/>
          </w:tcPr>
          <w:p w14:paraId="2B0343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3751B98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center"/>
            <w:hideMark/>
          </w:tcPr>
          <w:p w14:paraId="554684F8" w14:textId="77777777" w:rsidR="00000000" w:rsidRDefault="007125B5">
            <w:pPr>
              <w:pStyle w:val="a3"/>
              <w:spacing w:before="0" w:beforeAutospacing="0" w:after="0" w:afterAutospacing="0"/>
              <w:jc w:val="right"/>
              <w:rPr>
                <w:color w:val="000000"/>
                <w:sz w:val="20"/>
                <w:szCs w:val="20"/>
              </w:rPr>
            </w:pPr>
            <w:r>
              <w:rPr>
                <w:color w:val="000000"/>
                <w:sz w:val="20"/>
                <w:szCs w:val="20"/>
              </w:rPr>
              <w:t>(9,784</w:t>
            </w:r>
          </w:p>
        </w:tc>
        <w:tc>
          <w:tcPr>
            <w:tcW w:w="50" w:type="pct"/>
            <w:shd w:val="clear" w:color="auto" w:fill="FFFFFF"/>
            <w:noWrap/>
            <w:tcMar>
              <w:top w:w="15" w:type="dxa"/>
              <w:left w:w="0" w:type="dxa"/>
              <w:bottom w:w="0" w:type="dxa"/>
              <w:right w:w="15" w:type="dxa"/>
            </w:tcMar>
            <w:vAlign w:val="center"/>
            <w:hideMark/>
          </w:tcPr>
          <w:p w14:paraId="0D6808A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B2060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28E8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05EA87C" w14:textId="77777777" w:rsidR="00000000" w:rsidRDefault="007125B5">
            <w:pPr>
              <w:pStyle w:val="a3"/>
              <w:spacing w:before="0" w:beforeAutospacing="0" w:after="0" w:afterAutospacing="0"/>
              <w:jc w:val="right"/>
              <w:rPr>
                <w:color w:val="000000"/>
                <w:sz w:val="20"/>
                <w:szCs w:val="20"/>
              </w:rPr>
            </w:pPr>
            <w:r>
              <w:rPr>
                <w:color w:val="000000"/>
                <w:sz w:val="20"/>
                <w:szCs w:val="20"/>
              </w:rPr>
              <w:t>(6,401</w:t>
            </w:r>
          </w:p>
        </w:tc>
        <w:tc>
          <w:tcPr>
            <w:tcW w:w="50" w:type="pct"/>
            <w:shd w:val="clear" w:color="auto" w:fill="FFFFFF"/>
            <w:noWrap/>
            <w:tcMar>
              <w:top w:w="15" w:type="dxa"/>
              <w:left w:w="0" w:type="dxa"/>
              <w:bottom w:w="0" w:type="dxa"/>
              <w:right w:w="15" w:type="dxa"/>
            </w:tcMar>
            <w:vAlign w:val="bottom"/>
            <w:hideMark/>
          </w:tcPr>
          <w:p w14:paraId="0A727D1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53649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AAD1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A21E6DD" w14:textId="77777777" w:rsidR="00000000" w:rsidRDefault="007125B5">
            <w:pPr>
              <w:pStyle w:val="a3"/>
              <w:spacing w:before="0" w:beforeAutospacing="0" w:after="0" w:afterAutospacing="0"/>
              <w:jc w:val="right"/>
              <w:rPr>
                <w:color w:val="000000"/>
                <w:sz w:val="20"/>
                <w:szCs w:val="20"/>
              </w:rPr>
            </w:pPr>
            <w:r>
              <w:rPr>
                <w:color w:val="000000"/>
                <w:sz w:val="20"/>
                <w:szCs w:val="20"/>
              </w:rPr>
              <w:t>(17,344</w:t>
            </w:r>
          </w:p>
        </w:tc>
        <w:tc>
          <w:tcPr>
            <w:tcW w:w="50" w:type="pct"/>
            <w:shd w:val="clear" w:color="auto" w:fill="FFFFFF"/>
            <w:noWrap/>
            <w:tcMar>
              <w:top w:w="15" w:type="dxa"/>
              <w:left w:w="0" w:type="dxa"/>
              <w:bottom w:w="0" w:type="dxa"/>
              <w:right w:w="15" w:type="dxa"/>
            </w:tcMar>
            <w:vAlign w:val="bottom"/>
            <w:hideMark/>
          </w:tcPr>
          <w:p w14:paraId="71A286B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3174A4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88CB4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DEB1B98" w14:textId="77777777" w:rsidR="00000000" w:rsidRDefault="007125B5">
            <w:pPr>
              <w:pStyle w:val="a3"/>
              <w:spacing w:before="0" w:beforeAutospacing="0" w:after="0" w:afterAutospacing="0"/>
              <w:jc w:val="right"/>
              <w:rPr>
                <w:color w:val="000000"/>
                <w:sz w:val="20"/>
                <w:szCs w:val="20"/>
              </w:rPr>
            </w:pPr>
            <w:r>
              <w:rPr>
                <w:color w:val="000000"/>
                <w:sz w:val="20"/>
                <w:szCs w:val="20"/>
              </w:rPr>
              <w:t>(12,850</w:t>
            </w:r>
          </w:p>
        </w:tc>
        <w:tc>
          <w:tcPr>
            <w:tcW w:w="50" w:type="pct"/>
            <w:shd w:val="clear" w:color="auto" w:fill="FFFFFF"/>
            <w:noWrap/>
            <w:tcMar>
              <w:top w:w="15" w:type="dxa"/>
              <w:left w:w="0" w:type="dxa"/>
              <w:bottom w:w="0" w:type="dxa"/>
              <w:right w:w="15" w:type="dxa"/>
            </w:tcMar>
            <w:vAlign w:val="bottom"/>
            <w:hideMark/>
          </w:tcPr>
          <w:p w14:paraId="2F8E548F"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FFD97BA" w14:textId="77777777">
        <w:trPr>
          <w:divId w:val="506332364"/>
          <w:jc w:val="center"/>
        </w:trPr>
        <w:tc>
          <w:tcPr>
            <w:tcW w:w="2517" w:type="pct"/>
            <w:shd w:val="clear" w:color="auto" w:fill="CFF0FC"/>
            <w:tcMar>
              <w:top w:w="15" w:type="dxa"/>
              <w:left w:w="0" w:type="dxa"/>
              <w:bottom w:w="0" w:type="dxa"/>
              <w:right w:w="15" w:type="dxa"/>
            </w:tcMar>
            <w:hideMark/>
          </w:tcPr>
          <w:p w14:paraId="24A4CDC8" w14:textId="77777777" w:rsidR="00000000" w:rsidRDefault="007125B5">
            <w:pPr>
              <w:pStyle w:val="a3"/>
              <w:spacing w:before="0" w:beforeAutospacing="0" w:after="0" w:afterAutospacing="0"/>
              <w:ind w:left="274"/>
              <w:rPr>
                <w:color w:val="000000"/>
                <w:sz w:val="20"/>
                <w:szCs w:val="20"/>
              </w:rPr>
            </w:pPr>
            <w:r>
              <w:rPr>
                <w:color w:val="000000"/>
                <w:sz w:val="20"/>
                <w:szCs w:val="20"/>
              </w:rPr>
              <w:t>Stock-based compensation</w:t>
            </w:r>
          </w:p>
        </w:tc>
        <w:tc>
          <w:tcPr>
            <w:tcW w:w="61" w:type="pct"/>
            <w:shd w:val="clear" w:color="auto" w:fill="CFF0FC"/>
            <w:tcMar>
              <w:top w:w="15" w:type="dxa"/>
              <w:left w:w="0" w:type="dxa"/>
              <w:bottom w:w="0" w:type="dxa"/>
              <w:right w:w="15" w:type="dxa"/>
            </w:tcMar>
            <w:vAlign w:val="bottom"/>
            <w:hideMark/>
          </w:tcPr>
          <w:p w14:paraId="617729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7F2A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08F4487" w14:textId="77777777" w:rsidR="00000000" w:rsidRDefault="007125B5">
            <w:pPr>
              <w:pStyle w:val="a3"/>
              <w:spacing w:before="0" w:beforeAutospacing="0" w:after="0" w:afterAutospacing="0"/>
              <w:jc w:val="right"/>
              <w:rPr>
                <w:color w:val="000000"/>
                <w:sz w:val="20"/>
                <w:szCs w:val="20"/>
              </w:rPr>
            </w:pPr>
            <w:r>
              <w:rPr>
                <w:color w:val="000000"/>
                <w:sz w:val="20"/>
                <w:szCs w:val="20"/>
              </w:rPr>
              <w:t>(1,140</w:t>
            </w:r>
          </w:p>
        </w:tc>
        <w:tc>
          <w:tcPr>
            <w:tcW w:w="50" w:type="pct"/>
            <w:shd w:val="clear" w:color="auto" w:fill="CFF0FC"/>
            <w:noWrap/>
            <w:tcMar>
              <w:top w:w="15" w:type="dxa"/>
              <w:left w:w="0" w:type="dxa"/>
              <w:bottom w:w="0" w:type="dxa"/>
              <w:right w:w="15" w:type="dxa"/>
            </w:tcMar>
            <w:vAlign w:val="bottom"/>
            <w:hideMark/>
          </w:tcPr>
          <w:p w14:paraId="0344AD7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CBF47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17BC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6A124CF" w14:textId="77777777" w:rsidR="00000000" w:rsidRDefault="007125B5">
            <w:pPr>
              <w:pStyle w:val="a3"/>
              <w:spacing w:before="0" w:beforeAutospacing="0" w:after="0" w:afterAutospacing="0"/>
              <w:jc w:val="right"/>
              <w:rPr>
                <w:color w:val="000000"/>
                <w:sz w:val="20"/>
                <w:szCs w:val="20"/>
              </w:rPr>
            </w:pPr>
            <w:r>
              <w:rPr>
                <w:color w:val="000000"/>
                <w:sz w:val="20"/>
                <w:szCs w:val="20"/>
              </w:rPr>
              <w:t>(1,294</w:t>
            </w:r>
          </w:p>
        </w:tc>
        <w:tc>
          <w:tcPr>
            <w:tcW w:w="50" w:type="pct"/>
            <w:shd w:val="clear" w:color="auto" w:fill="CFF0FC"/>
            <w:noWrap/>
            <w:tcMar>
              <w:top w:w="15" w:type="dxa"/>
              <w:left w:w="0" w:type="dxa"/>
              <w:bottom w:w="0" w:type="dxa"/>
              <w:right w:w="15" w:type="dxa"/>
            </w:tcMar>
            <w:vAlign w:val="bottom"/>
            <w:hideMark/>
          </w:tcPr>
          <w:p w14:paraId="3F0DCC7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F693AE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05BC0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E0B7260" w14:textId="77777777" w:rsidR="00000000" w:rsidRDefault="007125B5">
            <w:pPr>
              <w:pStyle w:val="a3"/>
              <w:spacing w:before="0" w:beforeAutospacing="0" w:after="0" w:afterAutospacing="0"/>
              <w:jc w:val="right"/>
              <w:rPr>
                <w:color w:val="000000"/>
                <w:sz w:val="20"/>
                <w:szCs w:val="20"/>
              </w:rPr>
            </w:pPr>
            <w:r>
              <w:rPr>
                <w:color w:val="000000"/>
                <w:sz w:val="20"/>
                <w:szCs w:val="20"/>
              </w:rPr>
              <w:t>(2,290</w:t>
            </w:r>
          </w:p>
        </w:tc>
        <w:tc>
          <w:tcPr>
            <w:tcW w:w="50" w:type="pct"/>
            <w:shd w:val="clear" w:color="auto" w:fill="CFF0FC"/>
            <w:noWrap/>
            <w:tcMar>
              <w:top w:w="15" w:type="dxa"/>
              <w:left w:w="0" w:type="dxa"/>
              <w:bottom w:w="0" w:type="dxa"/>
              <w:right w:w="15" w:type="dxa"/>
            </w:tcMar>
            <w:vAlign w:val="bottom"/>
            <w:hideMark/>
          </w:tcPr>
          <w:p w14:paraId="382F7CD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0D4B4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1B54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28C53D3" w14:textId="77777777" w:rsidR="00000000" w:rsidRDefault="007125B5">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CFF0FC"/>
            <w:noWrap/>
            <w:tcMar>
              <w:top w:w="15" w:type="dxa"/>
              <w:left w:w="0" w:type="dxa"/>
              <w:bottom w:w="0" w:type="dxa"/>
              <w:right w:w="15" w:type="dxa"/>
            </w:tcMar>
            <w:vAlign w:val="bottom"/>
            <w:hideMark/>
          </w:tcPr>
          <w:p w14:paraId="0C78C3D6"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540E3E04" w14:textId="77777777">
        <w:trPr>
          <w:divId w:val="506332364"/>
          <w:jc w:val="center"/>
        </w:trPr>
        <w:tc>
          <w:tcPr>
            <w:tcW w:w="2517" w:type="pct"/>
            <w:shd w:val="clear" w:color="auto" w:fill="FFFFFF"/>
            <w:tcMar>
              <w:top w:w="15" w:type="dxa"/>
              <w:left w:w="0" w:type="dxa"/>
              <w:bottom w:w="0" w:type="dxa"/>
              <w:right w:w="15" w:type="dxa"/>
            </w:tcMar>
            <w:hideMark/>
          </w:tcPr>
          <w:p w14:paraId="0EB269C7" w14:textId="77777777" w:rsidR="00000000" w:rsidRDefault="007125B5">
            <w:pPr>
              <w:pStyle w:val="a3"/>
              <w:spacing w:before="0" w:beforeAutospacing="0" w:after="0" w:afterAutospacing="0"/>
              <w:ind w:left="274"/>
              <w:rPr>
                <w:color w:val="000000"/>
                <w:sz w:val="20"/>
                <w:szCs w:val="20"/>
              </w:rPr>
            </w:pPr>
            <w:r>
              <w:rPr>
                <w:color w:val="000000"/>
                <w:sz w:val="20"/>
                <w:szCs w:val="20"/>
              </w:rPr>
              <w:t>Start-up losses and investment in new services</w:t>
            </w:r>
          </w:p>
        </w:tc>
        <w:tc>
          <w:tcPr>
            <w:tcW w:w="61" w:type="pct"/>
            <w:shd w:val="clear" w:color="auto" w:fill="FFFFFF"/>
            <w:tcMar>
              <w:top w:w="15" w:type="dxa"/>
              <w:left w:w="0" w:type="dxa"/>
              <w:bottom w:w="0" w:type="dxa"/>
              <w:right w:w="15" w:type="dxa"/>
            </w:tcMar>
            <w:vAlign w:val="bottom"/>
            <w:hideMark/>
          </w:tcPr>
          <w:p w14:paraId="6D90BB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723C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D88E648" w14:textId="77777777" w:rsidR="00000000" w:rsidRDefault="007125B5">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14:paraId="57F7067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ABFC0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46BE9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A0B67C6" w14:textId="77777777" w:rsidR="00000000" w:rsidRDefault="007125B5">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FFFFFF"/>
            <w:noWrap/>
            <w:tcMar>
              <w:top w:w="15" w:type="dxa"/>
              <w:left w:w="0" w:type="dxa"/>
              <w:bottom w:w="0" w:type="dxa"/>
              <w:right w:w="15" w:type="dxa"/>
            </w:tcMar>
            <w:vAlign w:val="bottom"/>
            <w:hideMark/>
          </w:tcPr>
          <w:p w14:paraId="0298EF8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028A9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F900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5919B01" w14:textId="77777777" w:rsidR="00000000" w:rsidRDefault="007125B5">
            <w:pPr>
              <w:pStyle w:val="a3"/>
              <w:spacing w:before="0" w:beforeAutospacing="0" w:after="0" w:afterAutospacing="0"/>
              <w:jc w:val="right"/>
              <w:rPr>
                <w:color w:val="000000"/>
                <w:sz w:val="20"/>
                <w:szCs w:val="20"/>
              </w:rPr>
            </w:pPr>
            <w:r>
              <w:rPr>
                <w:color w:val="000000"/>
                <w:sz w:val="20"/>
                <w:szCs w:val="20"/>
              </w:rPr>
              <w:t>(675</w:t>
            </w:r>
          </w:p>
        </w:tc>
        <w:tc>
          <w:tcPr>
            <w:tcW w:w="50" w:type="pct"/>
            <w:shd w:val="clear" w:color="auto" w:fill="FFFFFF"/>
            <w:noWrap/>
            <w:tcMar>
              <w:top w:w="15" w:type="dxa"/>
              <w:left w:w="0" w:type="dxa"/>
              <w:bottom w:w="0" w:type="dxa"/>
              <w:right w:w="15" w:type="dxa"/>
            </w:tcMar>
            <w:vAlign w:val="bottom"/>
            <w:hideMark/>
          </w:tcPr>
          <w:p w14:paraId="4DF44DB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055D22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6BDA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FB92390" w14:textId="77777777" w:rsidR="00000000" w:rsidRDefault="007125B5">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FFFFFF"/>
            <w:noWrap/>
            <w:tcMar>
              <w:top w:w="15" w:type="dxa"/>
              <w:left w:w="0" w:type="dxa"/>
              <w:bottom w:w="0" w:type="dxa"/>
              <w:right w:w="15" w:type="dxa"/>
            </w:tcMar>
            <w:vAlign w:val="bottom"/>
            <w:hideMark/>
          </w:tcPr>
          <w:p w14:paraId="6C9610C5"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6CD5D9E" w14:textId="77777777">
        <w:trPr>
          <w:divId w:val="506332364"/>
          <w:jc w:val="center"/>
        </w:trPr>
        <w:tc>
          <w:tcPr>
            <w:tcW w:w="2517" w:type="pct"/>
            <w:shd w:val="clear" w:color="auto" w:fill="CFF0FC"/>
            <w:tcMar>
              <w:top w:w="15" w:type="dxa"/>
              <w:left w:w="0" w:type="dxa"/>
              <w:bottom w:w="0" w:type="dxa"/>
              <w:right w:w="15" w:type="dxa"/>
            </w:tcMar>
            <w:hideMark/>
          </w:tcPr>
          <w:p w14:paraId="416E0162" w14:textId="77777777" w:rsidR="00000000" w:rsidRDefault="007125B5">
            <w:pPr>
              <w:pStyle w:val="a3"/>
              <w:spacing w:before="0" w:beforeAutospacing="0" w:after="0" w:afterAutospacing="0"/>
              <w:ind w:left="274"/>
              <w:rPr>
                <w:color w:val="000000"/>
                <w:sz w:val="20"/>
                <w:szCs w:val="20"/>
              </w:rPr>
            </w:pPr>
            <w:r>
              <w:rPr>
                <w:color w:val="000000"/>
                <w:sz w:val="20"/>
                <w:szCs w:val="20"/>
              </w:rPr>
              <w:t>Acquisition costs</w:t>
            </w:r>
          </w:p>
        </w:tc>
        <w:tc>
          <w:tcPr>
            <w:tcW w:w="61" w:type="pct"/>
            <w:shd w:val="clear" w:color="auto" w:fill="CFF0FC"/>
            <w:tcMar>
              <w:top w:w="15" w:type="dxa"/>
              <w:left w:w="0" w:type="dxa"/>
              <w:bottom w:w="0" w:type="dxa"/>
              <w:right w:w="15" w:type="dxa"/>
            </w:tcMar>
            <w:vAlign w:val="bottom"/>
            <w:hideMark/>
          </w:tcPr>
          <w:p w14:paraId="3437F5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E353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91887F6" w14:textId="77777777" w:rsidR="00000000" w:rsidRDefault="007125B5">
            <w:pPr>
              <w:pStyle w:val="a3"/>
              <w:spacing w:before="0" w:beforeAutospacing="0" w:after="0" w:afterAutospacing="0"/>
              <w:jc w:val="right"/>
              <w:rPr>
                <w:color w:val="000000"/>
                <w:sz w:val="20"/>
                <w:szCs w:val="20"/>
              </w:rPr>
            </w:pPr>
            <w:r>
              <w:rPr>
                <w:color w:val="000000"/>
                <w:sz w:val="20"/>
                <w:szCs w:val="20"/>
              </w:rPr>
              <w:t>(2,454</w:t>
            </w:r>
          </w:p>
        </w:tc>
        <w:tc>
          <w:tcPr>
            <w:tcW w:w="50" w:type="pct"/>
            <w:shd w:val="clear" w:color="auto" w:fill="CFF0FC"/>
            <w:noWrap/>
            <w:tcMar>
              <w:top w:w="15" w:type="dxa"/>
              <w:left w:w="0" w:type="dxa"/>
              <w:bottom w:w="0" w:type="dxa"/>
              <w:right w:w="15" w:type="dxa"/>
            </w:tcMar>
            <w:vAlign w:val="bottom"/>
            <w:hideMark/>
          </w:tcPr>
          <w:p w14:paraId="6D24DDC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A5D0D5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D561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B0678FE" w14:textId="77777777" w:rsidR="00000000" w:rsidRDefault="007125B5">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CFF0FC"/>
            <w:noWrap/>
            <w:tcMar>
              <w:top w:w="15" w:type="dxa"/>
              <w:left w:w="0" w:type="dxa"/>
              <w:bottom w:w="0" w:type="dxa"/>
              <w:right w:w="15" w:type="dxa"/>
            </w:tcMar>
            <w:vAlign w:val="bottom"/>
            <w:hideMark/>
          </w:tcPr>
          <w:p w14:paraId="425C9A8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5A17A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D6D6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2FDFA29" w14:textId="77777777" w:rsidR="00000000" w:rsidRDefault="007125B5">
            <w:pPr>
              <w:pStyle w:val="a3"/>
              <w:spacing w:before="0" w:beforeAutospacing="0" w:after="0" w:afterAutospacing="0"/>
              <w:jc w:val="right"/>
              <w:rPr>
                <w:color w:val="000000"/>
                <w:sz w:val="20"/>
                <w:szCs w:val="20"/>
              </w:rPr>
            </w:pPr>
            <w:r>
              <w:rPr>
                <w:color w:val="000000"/>
                <w:sz w:val="20"/>
                <w:szCs w:val="20"/>
              </w:rPr>
              <w:t>(3,761</w:t>
            </w:r>
          </w:p>
        </w:tc>
        <w:tc>
          <w:tcPr>
            <w:tcW w:w="50" w:type="pct"/>
            <w:shd w:val="clear" w:color="auto" w:fill="CFF0FC"/>
            <w:noWrap/>
            <w:tcMar>
              <w:top w:w="15" w:type="dxa"/>
              <w:left w:w="0" w:type="dxa"/>
              <w:bottom w:w="0" w:type="dxa"/>
              <w:right w:w="15" w:type="dxa"/>
            </w:tcMar>
            <w:vAlign w:val="bottom"/>
            <w:hideMark/>
          </w:tcPr>
          <w:p w14:paraId="0472C5D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21DC0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77425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C38C1E0" w14:textId="77777777" w:rsidR="00000000" w:rsidRDefault="007125B5">
            <w:pPr>
              <w:pStyle w:val="a3"/>
              <w:spacing w:before="0" w:beforeAutospacing="0" w:after="0" w:afterAutospacing="0"/>
              <w:jc w:val="right"/>
              <w:rPr>
                <w:color w:val="000000"/>
                <w:sz w:val="20"/>
                <w:szCs w:val="20"/>
              </w:rPr>
            </w:pPr>
            <w:r>
              <w:rPr>
                <w:color w:val="000000"/>
                <w:sz w:val="20"/>
                <w:szCs w:val="20"/>
              </w:rPr>
              <w:t>(1,072</w:t>
            </w:r>
          </w:p>
        </w:tc>
        <w:tc>
          <w:tcPr>
            <w:tcW w:w="50" w:type="pct"/>
            <w:shd w:val="clear" w:color="auto" w:fill="CFF0FC"/>
            <w:noWrap/>
            <w:tcMar>
              <w:top w:w="15" w:type="dxa"/>
              <w:left w:w="0" w:type="dxa"/>
              <w:bottom w:w="0" w:type="dxa"/>
              <w:right w:w="15" w:type="dxa"/>
            </w:tcMar>
            <w:vAlign w:val="bottom"/>
            <w:hideMark/>
          </w:tcPr>
          <w:p w14:paraId="48725FAD"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571FC0F" w14:textId="77777777">
        <w:trPr>
          <w:divId w:val="506332364"/>
          <w:jc w:val="center"/>
        </w:trPr>
        <w:tc>
          <w:tcPr>
            <w:tcW w:w="2517" w:type="pct"/>
            <w:shd w:val="clear" w:color="auto" w:fill="FFFFFF"/>
            <w:tcMar>
              <w:top w:w="15" w:type="dxa"/>
              <w:left w:w="0" w:type="dxa"/>
              <w:bottom w:w="0" w:type="dxa"/>
              <w:right w:w="15" w:type="dxa"/>
            </w:tcMar>
            <w:hideMark/>
          </w:tcPr>
          <w:p w14:paraId="6F8D5435" w14:textId="77777777" w:rsidR="00000000" w:rsidRDefault="007125B5">
            <w:pPr>
              <w:pStyle w:val="a3"/>
              <w:spacing w:before="0" w:beforeAutospacing="0" w:after="0" w:afterAutospacing="0"/>
              <w:ind w:left="274"/>
              <w:rPr>
                <w:color w:val="000000"/>
                <w:sz w:val="20"/>
                <w:szCs w:val="20"/>
              </w:rPr>
            </w:pPr>
            <w:r>
              <w:rPr>
                <w:color w:val="000000"/>
                <w:sz w:val="20"/>
                <w:szCs w:val="20"/>
              </w:rPr>
              <w:t>Fair value changes in contingent put option</w:t>
            </w:r>
          </w:p>
        </w:tc>
        <w:tc>
          <w:tcPr>
            <w:tcW w:w="61" w:type="pct"/>
            <w:shd w:val="clear" w:color="auto" w:fill="FFFFFF"/>
            <w:tcMar>
              <w:top w:w="15" w:type="dxa"/>
              <w:left w:w="0" w:type="dxa"/>
              <w:bottom w:w="0" w:type="dxa"/>
              <w:right w:w="15" w:type="dxa"/>
            </w:tcMar>
            <w:vAlign w:val="bottom"/>
            <w:hideMark/>
          </w:tcPr>
          <w:p w14:paraId="1BE45E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1C82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7B5EF69" w14:textId="77777777" w:rsidR="00000000" w:rsidRDefault="007125B5">
            <w:pPr>
              <w:pStyle w:val="a3"/>
              <w:spacing w:before="0" w:beforeAutospacing="0" w:after="0" w:afterAutospacing="0"/>
              <w:jc w:val="right"/>
              <w:rPr>
                <w:color w:val="000000"/>
                <w:sz w:val="20"/>
                <w:szCs w:val="20"/>
              </w:rPr>
            </w:pPr>
            <w:r>
              <w:rPr>
                <w:color w:val="000000"/>
                <w:sz w:val="20"/>
                <w:szCs w:val="20"/>
              </w:rPr>
              <w:t>22,602</w:t>
            </w:r>
          </w:p>
        </w:tc>
        <w:tc>
          <w:tcPr>
            <w:tcW w:w="50" w:type="pct"/>
            <w:shd w:val="clear" w:color="auto" w:fill="FFFFFF"/>
            <w:noWrap/>
            <w:tcMar>
              <w:top w:w="15" w:type="dxa"/>
              <w:left w:w="0" w:type="dxa"/>
              <w:bottom w:w="0" w:type="dxa"/>
              <w:right w:w="15" w:type="dxa"/>
            </w:tcMar>
            <w:vAlign w:val="bottom"/>
            <w:hideMark/>
          </w:tcPr>
          <w:p w14:paraId="39AE5B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10A33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6F0DC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26FA55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025E6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8F9267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45BE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39DDCD4" w14:textId="77777777" w:rsidR="00000000" w:rsidRDefault="007125B5">
            <w:pPr>
              <w:pStyle w:val="a3"/>
              <w:spacing w:before="0" w:beforeAutospacing="0" w:after="0" w:afterAutospacing="0"/>
              <w:jc w:val="right"/>
              <w:rPr>
                <w:color w:val="000000"/>
                <w:sz w:val="20"/>
                <w:szCs w:val="20"/>
              </w:rPr>
            </w:pPr>
            <w:r>
              <w:rPr>
                <w:color w:val="000000"/>
                <w:sz w:val="20"/>
                <w:szCs w:val="20"/>
              </w:rPr>
              <w:t>(7,025</w:t>
            </w:r>
          </w:p>
        </w:tc>
        <w:tc>
          <w:tcPr>
            <w:tcW w:w="50" w:type="pct"/>
            <w:shd w:val="clear" w:color="auto" w:fill="FFFFFF"/>
            <w:noWrap/>
            <w:tcMar>
              <w:top w:w="15" w:type="dxa"/>
              <w:left w:w="0" w:type="dxa"/>
              <w:bottom w:w="0" w:type="dxa"/>
              <w:right w:w="15" w:type="dxa"/>
            </w:tcMar>
            <w:vAlign w:val="bottom"/>
            <w:hideMark/>
          </w:tcPr>
          <w:p w14:paraId="1A2D7CF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E20FD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9CBC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1E7145E"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905253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C768765" w14:textId="77777777">
        <w:trPr>
          <w:divId w:val="506332364"/>
          <w:jc w:val="center"/>
        </w:trPr>
        <w:tc>
          <w:tcPr>
            <w:tcW w:w="2517" w:type="pct"/>
            <w:shd w:val="clear" w:color="auto" w:fill="CFF0FC"/>
            <w:tcMar>
              <w:top w:w="15" w:type="dxa"/>
              <w:left w:w="0" w:type="dxa"/>
              <w:bottom w:w="0" w:type="dxa"/>
              <w:right w:w="15" w:type="dxa"/>
            </w:tcMar>
            <w:hideMark/>
          </w:tcPr>
          <w:p w14:paraId="70DFAB0E" w14:textId="77777777" w:rsidR="00000000" w:rsidRDefault="007125B5">
            <w:pPr>
              <w:pStyle w:val="a3"/>
              <w:spacing w:before="0" w:beforeAutospacing="0" w:after="0" w:afterAutospacing="0"/>
              <w:ind w:left="274"/>
              <w:rPr>
                <w:color w:val="000000"/>
                <w:sz w:val="20"/>
                <w:szCs w:val="20"/>
              </w:rPr>
            </w:pPr>
            <w:r>
              <w:rPr>
                <w:color w:val="000000"/>
                <w:sz w:val="20"/>
                <w:szCs w:val="20"/>
              </w:rPr>
              <w:t>Fair value changes in warrant options</w:t>
            </w:r>
          </w:p>
        </w:tc>
        <w:tc>
          <w:tcPr>
            <w:tcW w:w="61" w:type="pct"/>
            <w:shd w:val="clear" w:color="auto" w:fill="CFF0FC"/>
            <w:tcMar>
              <w:top w:w="15" w:type="dxa"/>
              <w:left w:w="0" w:type="dxa"/>
              <w:bottom w:w="0" w:type="dxa"/>
              <w:right w:w="15" w:type="dxa"/>
            </w:tcMar>
            <w:vAlign w:val="bottom"/>
            <w:hideMark/>
          </w:tcPr>
          <w:p w14:paraId="4FB22F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D8CF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5A24587" w14:textId="77777777" w:rsidR="00000000" w:rsidRDefault="007125B5">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14:paraId="6D52376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624D9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B9681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9DBB4C4" w14:textId="77777777" w:rsidR="00000000" w:rsidRDefault="007125B5">
            <w:pPr>
              <w:pStyle w:val="a3"/>
              <w:spacing w:before="0" w:beforeAutospacing="0" w:after="0" w:afterAutospacing="0"/>
              <w:jc w:val="right"/>
              <w:rPr>
                <w:color w:val="000000"/>
                <w:sz w:val="20"/>
                <w:szCs w:val="20"/>
              </w:rPr>
            </w:pPr>
            <w:r>
              <w:rPr>
                <w:color w:val="000000"/>
                <w:sz w:val="20"/>
                <w:szCs w:val="20"/>
              </w:rPr>
              <w:t>(1,549</w:t>
            </w:r>
          </w:p>
        </w:tc>
        <w:tc>
          <w:tcPr>
            <w:tcW w:w="50" w:type="pct"/>
            <w:shd w:val="clear" w:color="auto" w:fill="CFF0FC"/>
            <w:noWrap/>
            <w:tcMar>
              <w:top w:w="15" w:type="dxa"/>
              <w:left w:w="0" w:type="dxa"/>
              <w:bottom w:w="0" w:type="dxa"/>
              <w:right w:w="15" w:type="dxa"/>
            </w:tcMar>
            <w:vAlign w:val="bottom"/>
            <w:hideMark/>
          </w:tcPr>
          <w:p w14:paraId="3CB29EB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B7EBD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45131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CFAC946" w14:textId="77777777" w:rsidR="00000000" w:rsidRDefault="007125B5">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4C0873C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B4F2C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5CD1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EE650B1" w14:textId="77777777" w:rsidR="00000000" w:rsidRDefault="007125B5">
            <w:pPr>
              <w:pStyle w:val="a3"/>
              <w:spacing w:before="0" w:beforeAutospacing="0" w:after="0" w:afterAutospacing="0"/>
              <w:jc w:val="right"/>
              <w:rPr>
                <w:color w:val="000000"/>
                <w:sz w:val="20"/>
                <w:szCs w:val="20"/>
              </w:rPr>
            </w:pPr>
            <w:r>
              <w:rPr>
                <w:color w:val="000000"/>
                <w:sz w:val="20"/>
                <w:szCs w:val="20"/>
              </w:rPr>
              <w:t>(1,549</w:t>
            </w:r>
          </w:p>
        </w:tc>
        <w:tc>
          <w:tcPr>
            <w:tcW w:w="50" w:type="pct"/>
            <w:shd w:val="clear" w:color="auto" w:fill="CFF0FC"/>
            <w:noWrap/>
            <w:tcMar>
              <w:top w:w="15" w:type="dxa"/>
              <w:left w:w="0" w:type="dxa"/>
              <w:bottom w:w="0" w:type="dxa"/>
              <w:right w:w="15" w:type="dxa"/>
            </w:tcMar>
            <w:vAlign w:val="bottom"/>
            <w:hideMark/>
          </w:tcPr>
          <w:p w14:paraId="54B26FC4"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86F1FDB" w14:textId="77777777">
        <w:trPr>
          <w:divId w:val="506332364"/>
          <w:jc w:val="center"/>
        </w:trPr>
        <w:tc>
          <w:tcPr>
            <w:tcW w:w="2517" w:type="pct"/>
            <w:shd w:val="clear" w:color="auto" w:fill="FFFFFF"/>
            <w:tcMar>
              <w:top w:w="15" w:type="dxa"/>
              <w:left w:w="0" w:type="dxa"/>
              <w:bottom w:w="0" w:type="dxa"/>
              <w:right w:w="15" w:type="dxa"/>
            </w:tcMar>
            <w:hideMark/>
          </w:tcPr>
          <w:p w14:paraId="4A351BB0" w14:textId="77777777" w:rsidR="00000000" w:rsidRDefault="007125B5">
            <w:pPr>
              <w:pStyle w:val="a3"/>
              <w:spacing w:before="0" w:beforeAutospacing="0" w:after="0" w:afterAutospacing="0"/>
              <w:ind w:left="274"/>
              <w:rPr>
                <w:color w:val="000000"/>
                <w:sz w:val="20"/>
                <w:szCs w:val="20"/>
              </w:rPr>
            </w:pPr>
            <w:r>
              <w:rPr>
                <w:color w:val="000000"/>
                <w:sz w:val="20"/>
                <w:szCs w:val="20"/>
              </w:rPr>
              <w:t>Fair value changes in compound embedded option</w:t>
            </w:r>
          </w:p>
        </w:tc>
        <w:tc>
          <w:tcPr>
            <w:tcW w:w="61" w:type="pct"/>
            <w:shd w:val="clear" w:color="auto" w:fill="FFFFFF"/>
            <w:tcMar>
              <w:top w:w="15" w:type="dxa"/>
              <w:left w:w="0" w:type="dxa"/>
              <w:bottom w:w="0" w:type="dxa"/>
              <w:right w:w="15" w:type="dxa"/>
            </w:tcMar>
            <w:vAlign w:val="bottom"/>
            <w:hideMark/>
          </w:tcPr>
          <w:p w14:paraId="7273FB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7C23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360E7F3" w14:textId="77777777" w:rsidR="00000000" w:rsidRDefault="007125B5">
            <w:pPr>
              <w:pStyle w:val="a3"/>
              <w:spacing w:before="0" w:beforeAutospacing="0" w:after="0" w:afterAutospacing="0"/>
              <w:jc w:val="right"/>
              <w:rPr>
                <w:color w:val="000000"/>
                <w:sz w:val="20"/>
                <w:szCs w:val="20"/>
              </w:rPr>
            </w:pPr>
            <w:r>
              <w:rPr>
                <w:color w:val="000000"/>
                <w:sz w:val="20"/>
                <w:szCs w:val="20"/>
              </w:rPr>
              <w:t>(756</w:t>
            </w:r>
          </w:p>
        </w:tc>
        <w:tc>
          <w:tcPr>
            <w:tcW w:w="50" w:type="pct"/>
            <w:shd w:val="clear" w:color="auto" w:fill="FFFFFF"/>
            <w:noWrap/>
            <w:tcMar>
              <w:top w:w="15" w:type="dxa"/>
              <w:left w:w="0" w:type="dxa"/>
              <w:bottom w:w="0" w:type="dxa"/>
              <w:right w:w="15" w:type="dxa"/>
            </w:tcMar>
            <w:vAlign w:val="bottom"/>
            <w:hideMark/>
          </w:tcPr>
          <w:p w14:paraId="77AF3AB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86CEF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2DCE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65A067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6B7A8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EBF6E7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FE31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2BD42DA" w14:textId="77777777" w:rsidR="00000000" w:rsidRDefault="007125B5">
            <w:pPr>
              <w:pStyle w:val="a3"/>
              <w:spacing w:before="0" w:beforeAutospacing="0" w:after="0" w:afterAutospacing="0"/>
              <w:jc w:val="right"/>
              <w:rPr>
                <w:color w:val="000000"/>
                <w:sz w:val="20"/>
                <w:szCs w:val="20"/>
              </w:rPr>
            </w:pPr>
            <w:r>
              <w:rPr>
                <w:color w:val="000000"/>
                <w:sz w:val="20"/>
                <w:szCs w:val="20"/>
              </w:rPr>
              <w:t>(756</w:t>
            </w:r>
          </w:p>
        </w:tc>
        <w:tc>
          <w:tcPr>
            <w:tcW w:w="50" w:type="pct"/>
            <w:shd w:val="clear" w:color="auto" w:fill="FFFFFF"/>
            <w:noWrap/>
            <w:tcMar>
              <w:top w:w="15" w:type="dxa"/>
              <w:left w:w="0" w:type="dxa"/>
              <w:bottom w:w="0" w:type="dxa"/>
              <w:right w:w="15" w:type="dxa"/>
            </w:tcMar>
            <w:vAlign w:val="bottom"/>
            <w:hideMark/>
          </w:tcPr>
          <w:p w14:paraId="41BA991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E90A0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7AE1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E38C556"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2F7687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EE70E4D" w14:textId="77777777">
        <w:trPr>
          <w:divId w:val="506332364"/>
          <w:jc w:val="center"/>
        </w:trPr>
        <w:tc>
          <w:tcPr>
            <w:tcW w:w="2517" w:type="pct"/>
            <w:shd w:val="clear" w:color="auto" w:fill="CFF0FC"/>
            <w:tcMar>
              <w:top w:w="15" w:type="dxa"/>
              <w:left w:w="0" w:type="dxa"/>
              <w:bottom w:w="0" w:type="dxa"/>
              <w:right w:w="15" w:type="dxa"/>
            </w:tcMar>
            <w:hideMark/>
          </w:tcPr>
          <w:p w14:paraId="1A25D5C0" w14:textId="77777777" w:rsidR="00000000" w:rsidRDefault="007125B5">
            <w:pPr>
              <w:pStyle w:val="a3"/>
              <w:spacing w:before="0" w:beforeAutospacing="0" w:after="0" w:afterAutospacing="0"/>
              <w:ind w:left="274"/>
              <w:rPr>
                <w:color w:val="000000"/>
                <w:sz w:val="20"/>
                <w:szCs w:val="20"/>
              </w:rPr>
            </w:pPr>
            <w:r>
              <w:rPr>
                <w:color w:val="000000"/>
                <w:sz w:val="20"/>
                <w:szCs w:val="20"/>
              </w:rPr>
              <w:t>Fair value changes in contingent liabilities</w:t>
            </w:r>
          </w:p>
        </w:tc>
        <w:tc>
          <w:tcPr>
            <w:tcW w:w="61" w:type="pct"/>
            <w:shd w:val="clear" w:color="auto" w:fill="CFF0FC"/>
            <w:tcMar>
              <w:top w:w="15" w:type="dxa"/>
              <w:left w:w="0" w:type="dxa"/>
              <w:bottom w:w="0" w:type="dxa"/>
              <w:right w:w="15" w:type="dxa"/>
            </w:tcMar>
            <w:vAlign w:val="bottom"/>
            <w:hideMark/>
          </w:tcPr>
          <w:p w14:paraId="3885DB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39F2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42980E3" w14:textId="77777777" w:rsidR="00000000" w:rsidRDefault="007125B5">
            <w:pPr>
              <w:pStyle w:val="a3"/>
              <w:spacing w:before="0" w:beforeAutospacing="0" w:after="0" w:afterAutospacing="0"/>
              <w:jc w:val="right"/>
              <w:rPr>
                <w:color w:val="000000"/>
                <w:sz w:val="20"/>
                <w:szCs w:val="20"/>
              </w:rPr>
            </w:pPr>
            <w:r>
              <w:rPr>
                <w:color w:val="000000"/>
                <w:sz w:val="20"/>
                <w:szCs w:val="20"/>
              </w:rPr>
              <w:t>(3,983</w:t>
            </w:r>
          </w:p>
        </w:tc>
        <w:tc>
          <w:tcPr>
            <w:tcW w:w="50" w:type="pct"/>
            <w:shd w:val="clear" w:color="auto" w:fill="CFF0FC"/>
            <w:noWrap/>
            <w:tcMar>
              <w:top w:w="15" w:type="dxa"/>
              <w:left w:w="0" w:type="dxa"/>
              <w:bottom w:w="0" w:type="dxa"/>
              <w:right w:w="15" w:type="dxa"/>
            </w:tcMar>
            <w:vAlign w:val="bottom"/>
            <w:hideMark/>
          </w:tcPr>
          <w:p w14:paraId="4742319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174AC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FF59A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6201551" w14:textId="77777777" w:rsidR="00000000" w:rsidRDefault="007125B5">
            <w:pPr>
              <w:pStyle w:val="a3"/>
              <w:spacing w:before="0" w:beforeAutospacing="0" w:after="0" w:afterAutospacing="0"/>
              <w:jc w:val="right"/>
              <w:rPr>
                <w:color w:val="000000"/>
                <w:sz w:val="20"/>
                <w:szCs w:val="20"/>
              </w:rPr>
            </w:pPr>
            <w:r>
              <w:rPr>
                <w:color w:val="000000"/>
                <w:sz w:val="20"/>
                <w:szCs w:val="20"/>
              </w:rPr>
              <w:t>926</w:t>
            </w:r>
          </w:p>
        </w:tc>
        <w:tc>
          <w:tcPr>
            <w:tcW w:w="50" w:type="pct"/>
            <w:shd w:val="clear" w:color="auto" w:fill="CFF0FC"/>
            <w:noWrap/>
            <w:tcMar>
              <w:top w:w="15" w:type="dxa"/>
              <w:left w:w="0" w:type="dxa"/>
              <w:bottom w:w="0" w:type="dxa"/>
              <w:right w:w="15" w:type="dxa"/>
            </w:tcMar>
            <w:vAlign w:val="bottom"/>
            <w:hideMark/>
          </w:tcPr>
          <w:p w14:paraId="47DEAB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46A11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2B84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48DA0EA" w14:textId="77777777" w:rsidR="00000000" w:rsidRDefault="007125B5">
            <w:pPr>
              <w:pStyle w:val="a3"/>
              <w:spacing w:before="0" w:beforeAutospacing="0" w:after="0" w:afterAutospacing="0"/>
              <w:jc w:val="right"/>
              <w:rPr>
                <w:color w:val="000000"/>
                <w:sz w:val="20"/>
                <w:szCs w:val="20"/>
              </w:rPr>
            </w:pPr>
            <w:r>
              <w:rPr>
                <w:color w:val="000000"/>
                <w:sz w:val="20"/>
                <w:szCs w:val="20"/>
              </w:rPr>
              <w:t>(3,983</w:t>
            </w:r>
          </w:p>
        </w:tc>
        <w:tc>
          <w:tcPr>
            <w:tcW w:w="50" w:type="pct"/>
            <w:shd w:val="clear" w:color="auto" w:fill="CFF0FC"/>
            <w:noWrap/>
            <w:tcMar>
              <w:top w:w="15" w:type="dxa"/>
              <w:left w:w="0" w:type="dxa"/>
              <w:bottom w:w="0" w:type="dxa"/>
              <w:right w:w="15" w:type="dxa"/>
            </w:tcMar>
            <w:vAlign w:val="bottom"/>
            <w:hideMark/>
          </w:tcPr>
          <w:p w14:paraId="4862F01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6A1C6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4F9B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4052174" w14:textId="77777777" w:rsidR="00000000" w:rsidRDefault="007125B5">
            <w:pPr>
              <w:pStyle w:val="a3"/>
              <w:spacing w:before="0" w:beforeAutospacing="0" w:after="0" w:afterAutospacing="0"/>
              <w:jc w:val="right"/>
              <w:rPr>
                <w:color w:val="000000"/>
                <w:sz w:val="20"/>
                <w:szCs w:val="20"/>
              </w:rPr>
            </w:pPr>
            <w:r>
              <w:rPr>
                <w:color w:val="000000"/>
                <w:sz w:val="20"/>
                <w:szCs w:val="20"/>
              </w:rPr>
              <w:t>926</w:t>
            </w:r>
          </w:p>
        </w:tc>
        <w:tc>
          <w:tcPr>
            <w:tcW w:w="50" w:type="pct"/>
            <w:shd w:val="clear" w:color="auto" w:fill="CFF0FC"/>
            <w:noWrap/>
            <w:tcMar>
              <w:top w:w="15" w:type="dxa"/>
              <w:left w:w="0" w:type="dxa"/>
              <w:bottom w:w="0" w:type="dxa"/>
              <w:right w:w="15" w:type="dxa"/>
            </w:tcMar>
            <w:vAlign w:val="bottom"/>
            <w:hideMark/>
          </w:tcPr>
          <w:p w14:paraId="73E1222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445B45C" w14:textId="77777777">
        <w:trPr>
          <w:divId w:val="506332364"/>
          <w:jc w:val="center"/>
        </w:trPr>
        <w:tc>
          <w:tcPr>
            <w:tcW w:w="2517" w:type="pct"/>
            <w:shd w:val="clear" w:color="auto" w:fill="FFFFFF"/>
            <w:tcMar>
              <w:top w:w="15" w:type="dxa"/>
              <w:left w:w="0" w:type="dxa"/>
              <w:bottom w:w="0" w:type="dxa"/>
              <w:right w:w="15" w:type="dxa"/>
            </w:tcMar>
            <w:hideMark/>
          </w:tcPr>
          <w:p w14:paraId="211C705F" w14:textId="77777777" w:rsidR="00000000" w:rsidRDefault="007125B5">
            <w:pPr>
              <w:pStyle w:val="a3"/>
              <w:spacing w:before="0" w:beforeAutospacing="0" w:after="0" w:afterAutospacing="0"/>
              <w:ind w:left="274"/>
              <w:rPr>
                <w:color w:val="000000"/>
                <w:sz w:val="20"/>
                <w:szCs w:val="20"/>
              </w:rPr>
            </w:pPr>
            <w:r>
              <w:rPr>
                <w:color w:val="000000"/>
                <w:sz w:val="20"/>
                <w:szCs w:val="20"/>
              </w:rPr>
              <w:t>Short term purchase accounting fair value adjustment</w:t>
            </w:r>
          </w:p>
          <w:p w14:paraId="5B0FC287" w14:textId="77777777" w:rsidR="00000000" w:rsidRDefault="007125B5">
            <w:pPr>
              <w:pStyle w:val="a3"/>
              <w:spacing w:before="0" w:beforeAutospacing="0" w:after="0" w:afterAutospacing="0"/>
              <w:ind w:left="274"/>
              <w:rPr>
                <w:color w:val="000000"/>
                <w:sz w:val="20"/>
                <w:szCs w:val="20"/>
              </w:rPr>
            </w:pPr>
            <w:r>
              <w:rPr>
                <w:color w:val="000000"/>
                <w:sz w:val="20"/>
                <w:szCs w:val="20"/>
              </w:rPr>
              <w:t>   to deferred revenue</w:t>
            </w:r>
          </w:p>
        </w:tc>
        <w:tc>
          <w:tcPr>
            <w:tcW w:w="61" w:type="pct"/>
            <w:shd w:val="clear" w:color="auto" w:fill="FFFFFF"/>
            <w:tcMar>
              <w:top w:w="15" w:type="dxa"/>
              <w:left w:w="0" w:type="dxa"/>
              <w:bottom w:w="0" w:type="dxa"/>
              <w:right w:w="15" w:type="dxa"/>
            </w:tcMar>
            <w:vAlign w:val="bottom"/>
            <w:hideMark/>
          </w:tcPr>
          <w:p w14:paraId="06A6A2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C6A31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C6C7103"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7388C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F6D5A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263F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351C5D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3206B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DB8B6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30F8D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BC75EEC" w14:textId="77777777" w:rsidR="00000000" w:rsidRDefault="007125B5">
            <w:pPr>
              <w:pStyle w:val="a3"/>
              <w:spacing w:before="0" w:beforeAutospacing="0" w:after="0" w:afterAutospacing="0"/>
              <w:jc w:val="right"/>
              <w:rPr>
                <w:color w:val="000000"/>
                <w:sz w:val="20"/>
                <w:szCs w:val="20"/>
              </w:rPr>
            </w:pPr>
            <w:r>
              <w:rPr>
                <w:color w:val="000000"/>
                <w:sz w:val="20"/>
                <w:szCs w:val="20"/>
              </w:rPr>
              <w:t>(243</w:t>
            </w:r>
          </w:p>
        </w:tc>
        <w:tc>
          <w:tcPr>
            <w:tcW w:w="50" w:type="pct"/>
            <w:shd w:val="clear" w:color="auto" w:fill="FFFFFF"/>
            <w:noWrap/>
            <w:tcMar>
              <w:top w:w="15" w:type="dxa"/>
              <w:left w:w="0" w:type="dxa"/>
              <w:bottom w:w="0" w:type="dxa"/>
              <w:right w:w="15" w:type="dxa"/>
            </w:tcMar>
            <w:vAlign w:val="bottom"/>
            <w:hideMark/>
          </w:tcPr>
          <w:p w14:paraId="1A913F2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130AD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8014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3B1B194"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2F6772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9613859" w14:textId="77777777">
        <w:trPr>
          <w:divId w:val="506332364"/>
          <w:jc w:val="center"/>
        </w:trPr>
        <w:tc>
          <w:tcPr>
            <w:tcW w:w="2517" w:type="pct"/>
            <w:shd w:val="clear" w:color="auto" w:fill="CFF0FC"/>
            <w:tcMar>
              <w:top w:w="15" w:type="dxa"/>
              <w:left w:w="0" w:type="dxa"/>
              <w:bottom w:w="0" w:type="dxa"/>
              <w:right w:w="15" w:type="dxa"/>
            </w:tcMar>
            <w:hideMark/>
          </w:tcPr>
          <w:p w14:paraId="4125192C" w14:textId="77777777" w:rsidR="00000000" w:rsidRDefault="007125B5">
            <w:pPr>
              <w:pStyle w:val="a3"/>
              <w:spacing w:before="0" w:beforeAutospacing="0" w:after="0" w:afterAutospacing="0"/>
              <w:ind w:left="274"/>
              <w:rPr>
                <w:color w:val="000000"/>
                <w:sz w:val="20"/>
                <w:szCs w:val="20"/>
              </w:rPr>
            </w:pPr>
            <w:r>
              <w:rPr>
                <w:color w:val="000000"/>
                <w:sz w:val="20"/>
                <w:szCs w:val="20"/>
              </w:rPr>
              <w:t>IPO preparation costs</w:t>
            </w:r>
          </w:p>
        </w:tc>
        <w:tc>
          <w:tcPr>
            <w:tcW w:w="61" w:type="pct"/>
            <w:shd w:val="clear" w:color="auto" w:fill="CFF0FC"/>
            <w:tcMar>
              <w:top w:w="15" w:type="dxa"/>
              <w:left w:w="0" w:type="dxa"/>
              <w:bottom w:w="0" w:type="dxa"/>
              <w:right w:w="15" w:type="dxa"/>
            </w:tcMar>
            <w:vAlign w:val="bottom"/>
            <w:hideMark/>
          </w:tcPr>
          <w:p w14:paraId="47437F1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700B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C7B94CD"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C0870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ADD9F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2AAED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782BCD6" w14:textId="77777777" w:rsidR="00000000" w:rsidRDefault="007125B5">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CFF0FC"/>
            <w:noWrap/>
            <w:tcMar>
              <w:top w:w="15" w:type="dxa"/>
              <w:left w:w="0" w:type="dxa"/>
              <w:bottom w:w="0" w:type="dxa"/>
              <w:right w:w="15" w:type="dxa"/>
            </w:tcMar>
            <w:vAlign w:val="bottom"/>
            <w:hideMark/>
          </w:tcPr>
          <w:p w14:paraId="0D9316D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EE010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DEE7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674CD57" w14:textId="77777777" w:rsidR="00000000" w:rsidRDefault="007125B5">
            <w:pPr>
              <w:pStyle w:val="a3"/>
              <w:spacing w:before="0" w:beforeAutospacing="0" w:after="0" w:afterAutospacing="0"/>
              <w:jc w:val="right"/>
              <w:rPr>
                <w:color w:val="000000"/>
                <w:sz w:val="20"/>
                <w:szCs w:val="20"/>
              </w:rPr>
            </w:pPr>
            <w:r>
              <w:rPr>
                <w:color w:val="000000"/>
                <w:sz w:val="20"/>
                <w:szCs w:val="20"/>
              </w:rPr>
              <w:t>(531</w:t>
            </w:r>
          </w:p>
        </w:tc>
        <w:tc>
          <w:tcPr>
            <w:tcW w:w="50" w:type="pct"/>
            <w:shd w:val="clear" w:color="auto" w:fill="CFF0FC"/>
            <w:noWrap/>
            <w:tcMar>
              <w:top w:w="15" w:type="dxa"/>
              <w:left w:w="0" w:type="dxa"/>
              <w:bottom w:w="0" w:type="dxa"/>
              <w:right w:w="15" w:type="dxa"/>
            </w:tcMar>
            <w:vAlign w:val="bottom"/>
            <w:hideMark/>
          </w:tcPr>
          <w:p w14:paraId="49F62C5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40FE61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FBBE9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4CAF7A8" w14:textId="77777777" w:rsidR="00000000" w:rsidRDefault="007125B5">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14:paraId="798B8B05"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C5F6382" w14:textId="77777777">
        <w:trPr>
          <w:divId w:val="506332364"/>
          <w:jc w:val="center"/>
        </w:trPr>
        <w:tc>
          <w:tcPr>
            <w:tcW w:w="2517" w:type="pct"/>
            <w:shd w:val="clear" w:color="auto" w:fill="FFFFFF"/>
            <w:tcMar>
              <w:top w:w="15" w:type="dxa"/>
              <w:left w:w="0" w:type="dxa"/>
              <w:bottom w:w="0" w:type="dxa"/>
              <w:right w:w="15" w:type="dxa"/>
            </w:tcMar>
            <w:hideMark/>
          </w:tcPr>
          <w:p w14:paraId="21BBA026" w14:textId="77777777" w:rsidR="00000000" w:rsidRDefault="007125B5">
            <w:pPr>
              <w:pStyle w:val="a3"/>
              <w:spacing w:before="0" w:beforeAutospacing="0" w:after="0" w:afterAutospacing="0"/>
              <w:ind w:left="274"/>
              <w:rPr>
                <w:color w:val="000000"/>
                <w:sz w:val="20"/>
                <w:szCs w:val="20"/>
              </w:rPr>
            </w:pPr>
            <w:r>
              <w:rPr>
                <w:color w:val="000000"/>
                <w:sz w:val="20"/>
                <w:szCs w:val="20"/>
              </w:rPr>
              <w:t>Discontinued services</w:t>
            </w:r>
            <w:r>
              <w:rPr>
                <w:color w:val="000000"/>
                <w:sz w:val="17"/>
                <w:szCs w:val="17"/>
                <w:vertAlign w:val="superscript"/>
              </w:rPr>
              <w:t xml:space="preserve"> (i)</w:t>
            </w:r>
          </w:p>
        </w:tc>
        <w:tc>
          <w:tcPr>
            <w:tcW w:w="61" w:type="pct"/>
            <w:shd w:val="clear" w:color="auto" w:fill="FFFFFF"/>
            <w:tcMar>
              <w:top w:w="15" w:type="dxa"/>
              <w:left w:w="0" w:type="dxa"/>
              <w:bottom w:w="0" w:type="dxa"/>
              <w:right w:w="15" w:type="dxa"/>
            </w:tcMar>
            <w:vAlign w:val="bottom"/>
            <w:hideMark/>
          </w:tcPr>
          <w:p w14:paraId="35FBA8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7630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B27EF3C" w14:textId="77777777" w:rsidR="00000000" w:rsidRDefault="007125B5">
            <w:pPr>
              <w:pStyle w:val="a3"/>
              <w:spacing w:before="0" w:beforeAutospacing="0" w:after="0" w:afterAutospacing="0"/>
              <w:jc w:val="right"/>
              <w:rPr>
                <w:color w:val="000000"/>
                <w:sz w:val="20"/>
                <w:szCs w:val="20"/>
              </w:rPr>
            </w:pPr>
            <w:r>
              <w:rPr>
                <w:color w:val="000000"/>
                <w:sz w:val="20"/>
                <w:szCs w:val="20"/>
              </w:rPr>
              <w:t>(1,078</w:t>
            </w:r>
          </w:p>
        </w:tc>
        <w:tc>
          <w:tcPr>
            <w:tcW w:w="50" w:type="pct"/>
            <w:shd w:val="clear" w:color="auto" w:fill="FFFFFF"/>
            <w:noWrap/>
            <w:tcMar>
              <w:top w:w="15" w:type="dxa"/>
              <w:left w:w="0" w:type="dxa"/>
              <w:bottom w:w="0" w:type="dxa"/>
              <w:right w:w="15" w:type="dxa"/>
            </w:tcMar>
            <w:vAlign w:val="bottom"/>
            <w:hideMark/>
          </w:tcPr>
          <w:p w14:paraId="2611B4E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055CF2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F988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E04D48F"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A5B74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8A70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FAF7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4EF043F" w14:textId="77777777" w:rsidR="00000000" w:rsidRDefault="007125B5">
            <w:pPr>
              <w:pStyle w:val="a3"/>
              <w:spacing w:before="0" w:beforeAutospacing="0" w:after="0" w:afterAutospacing="0"/>
              <w:jc w:val="right"/>
              <w:rPr>
                <w:color w:val="000000"/>
                <w:sz w:val="20"/>
                <w:szCs w:val="20"/>
              </w:rPr>
            </w:pPr>
            <w:r>
              <w:rPr>
                <w:color w:val="000000"/>
                <w:sz w:val="20"/>
                <w:szCs w:val="20"/>
              </w:rPr>
              <w:t>(7,496</w:t>
            </w:r>
          </w:p>
        </w:tc>
        <w:tc>
          <w:tcPr>
            <w:tcW w:w="50" w:type="pct"/>
            <w:shd w:val="clear" w:color="auto" w:fill="FFFFFF"/>
            <w:noWrap/>
            <w:tcMar>
              <w:top w:w="15" w:type="dxa"/>
              <w:left w:w="0" w:type="dxa"/>
              <w:bottom w:w="0" w:type="dxa"/>
              <w:right w:w="15" w:type="dxa"/>
            </w:tcMar>
            <w:vAlign w:val="bottom"/>
            <w:hideMark/>
          </w:tcPr>
          <w:p w14:paraId="6082973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CF0DB6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1DA2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EF12A5F"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4F37F1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6D01C25" w14:textId="77777777">
        <w:trPr>
          <w:divId w:val="506332364"/>
          <w:jc w:val="center"/>
        </w:trPr>
        <w:tc>
          <w:tcPr>
            <w:tcW w:w="2517" w:type="pct"/>
            <w:shd w:val="clear" w:color="auto" w:fill="CFF0FC"/>
            <w:tcMar>
              <w:top w:w="15" w:type="dxa"/>
              <w:left w:w="0" w:type="dxa"/>
              <w:bottom w:w="0" w:type="dxa"/>
              <w:right w:w="15" w:type="dxa"/>
            </w:tcMar>
            <w:hideMark/>
          </w:tcPr>
          <w:p w14:paraId="42793703" w14:textId="77777777" w:rsidR="00000000" w:rsidRDefault="007125B5">
            <w:pPr>
              <w:pStyle w:val="a3"/>
              <w:spacing w:before="0" w:beforeAutospacing="0" w:after="0" w:afterAutospacing="0"/>
              <w:ind w:left="274"/>
              <w:rPr>
                <w:color w:val="000000"/>
                <w:sz w:val="20"/>
                <w:szCs w:val="20"/>
              </w:rPr>
            </w:pPr>
            <w:r>
              <w:rPr>
                <w:color w:val="000000"/>
                <w:sz w:val="20"/>
                <w:szCs w:val="20"/>
              </w:rPr>
              <w:t>Other expenses</w:t>
            </w:r>
          </w:p>
        </w:tc>
        <w:tc>
          <w:tcPr>
            <w:tcW w:w="61" w:type="pct"/>
            <w:shd w:val="clear" w:color="auto" w:fill="CFF0FC"/>
            <w:tcMar>
              <w:top w:w="15" w:type="dxa"/>
              <w:left w:w="0" w:type="dxa"/>
              <w:bottom w:w="0" w:type="dxa"/>
              <w:right w:w="15" w:type="dxa"/>
            </w:tcMar>
            <w:vAlign w:val="bottom"/>
            <w:hideMark/>
          </w:tcPr>
          <w:p w14:paraId="3F403E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9E97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537F6F4"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F09D8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7D26C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875A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9A7DA69"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772B5E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6BA1F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52EE1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18482A8" w14:textId="77777777" w:rsidR="00000000" w:rsidRDefault="007125B5">
            <w:pPr>
              <w:pStyle w:val="a3"/>
              <w:spacing w:before="0" w:beforeAutospacing="0" w:after="0" w:afterAutospacing="0"/>
              <w:jc w:val="right"/>
              <w:rPr>
                <w:color w:val="000000"/>
                <w:sz w:val="20"/>
                <w:szCs w:val="20"/>
              </w:rPr>
            </w:pPr>
            <w:r>
              <w:rPr>
                <w:color w:val="000000"/>
                <w:sz w:val="20"/>
                <w:szCs w:val="20"/>
              </w:rPr>
              <w:t>(147</w:t>
            </w:r>
          </w:p>
        </w:tc>
        <w:tc>
          <w:tcPr>
            <w:tcW w:w="50" w:type="pct"/>
            <w:shd w:val="clear" w:color="auto" w:fill="CFF0FC"/>
            <w:noWrap/>
            <w:tcMar>
              <w:top w:w="15" w:type="dxa"/>
              <w:left w:w="0" w:type="dxa"/>
              <w:bottom w:w="0" w:type="dxa"/>
              <w:right w:w="15" w:type="dxa"/>
            </w:tcMar>
            <w:vAlign w:val="bottom"/>
            <w:hideMark/>
          </w:tcPr>
          <w:p w14:paraId="1395378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E7F2CD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E86AA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24F8E9D"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11ED4A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1DC2CBD" w14:textId="77777777">
        <w:trPr>
          <w:divId w:val="506332364"/>
          <w:jc w:val="center"/>
        </w:trPr>
        <w:tc>
          <w:tcPr>
            <w:tcW w:w="2517" w:type="pct"/>
            <w:shd w:val="clear" w:color="auto" w:fill="FFFFFF"/>
            <w:tcMar>
              <w:top w:w="15" w:type="dxa"/>
              <w:left w:w="0" w:type="dxa"/>
              <w:bottom w:w="0" w:type="dxa"/>
              <w:right w:w="15" w:type="dxa"/>
            </w:tcMar>
            <w:hideMark/>
          </w:tcPr>
          <w:p w14:paraId="28D4BAB8" w14:textId="77777777" w:rsidR="00000000" w:rsidRDefault="007125B5">
            <w:pPr>
              <w:pStyle w:val="a3"/>
              <w:spacing w:before="0" w:beforeAutospacing="0" w:after="0" w:afterAutospacing="0"/>
              <w:ind w:left="274"/>
              <w:rPr>
                <w:color w:val="000000"/>
                <w:sz w:val="20"/>
                <w:szCs w:val="20"/>
              </w:rPr>
            </w:pPr>
            <w:r>
              <w:rPr>
                <w:color w:val="000000"/>
                <w:sz w:val="20"/>
                <w:szCs w:val="20"/>
              </w:rPr>
              <w:t>Expenses related to financing transactions</w:t>
            </w:r>
          </w:p>
        </w:tc>
        <w:tc>
          <w:tcPr>
            <w:tcW w:w="61" w:type="pct"/>
            <w:shd w:val="clear" w:color="auto" w:fill="FFFFFF"/>
            <w:tcMar>
              <w:top w:w="15" w:type="dxa"/>
              <w:left w:w="0" w:type="dxa"/>
              <w:bottom w:w="0" w:type="dxa"/>
              <w:right w:w="15" w:type="dxa"/>
            </w:tcMar>
            <w:vAlign w:val="bottom"/>
            <w:hideMark/>
          </w:tcPr>
          <w:p w14:paraId="040BE1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CF83F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2059222" w14:textId="77777777" w:rsidR="00000000" w:rsidRDefault="007125B5">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14:paraId="5AC41D8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0ADDBE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8DACDB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D11DACA"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10348E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610B7B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657D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2969335" w14:textId="77777777" w:rsidR="00000000" w:rsidRDefault="007125B5">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14:paraId="559A2B4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67B00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C1F5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6FA739E"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1324DB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0A97465" w14:textId="77777777">
        <w:trPr>
          <w:divId w:val="506332364"/>
          <w:jc w:val="center"/>
        </w:trPr>
        <w:tc>
          <w:tcPr>
            <w:tcW w:w="2517" w:type="pct"/>
            <w:shd w:val="clear" w:color="auto" w:fill="CFF0FC"/>
            <w:tcMar>
              <w:top w:w="15" w:type="dxa"/>
              <w:left w:w="0" w:type="dxa"/>
              <w:bottom w:w="0" w:type="dxa"/>
              <w:right w:w="15" w:type="dxa"/>
            </w:tcMar>
            <w:hideMark/>
          </w:tcPr>
          <w:p w14:paraId="36AD1E89" w14:textId="77777777" w:rsidR="00000000" w:rsidRDefault="007125B5">
            <w:pPr>
              <w:pStyle w:val="a3"/>
              <w:spacing w:before="0" w:beforeAutospacing="0" w:after="0" w:afterAutospacing="0"/>
              <w:rPr>
                <w:color w:val="000000"/>
                <w:sz w:val="20"/>
                <w:szCs w:val="20"/>
              </w:rPr>
            </w:pPr>
            <w:r>
              <w:rPr>
                <w:color w:val="000000"/>
                <w:sz w:val="20"/>
                <w:szCs w:val="20"/>
              </w:rPr>
              <w:t>Net Income (Loss)</w:t>
            </w:r>
          </w:p>
        </w:tc>
        <w:tc>
          <w:tcPr>
            <w:tcW w:w="61" w:type="pct"/>
            <w:shd w:val="clear" w:color="auto" w:fill="CFF0FC"/>
            <w:tcMar>
              <w:top w:w="15" w:type="dxa"/>
              <w:left w:w="0" w:type="dxa"/>
              <w:bottom w:w="0" w:type="dxa"/>
              <w:right w:w="15" w:type="dxa"/>
            </w:tcMar>
            <w:vAlign w:val="bottom"/>
            <w:hideMark/>
          </w:tcPr>
          <w:p w14:paraId="2A7939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9AD5E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0D5B22" w14:textId="77777777" w:rsidR="00000000" w:rsidRDefault="007125B5">
            <w:pPr>
              <w:pStyle w:val="a3"/>
              <w:spacing w:before="0" w:beforeAutospacing="0" w:after="0" w:afterAutospacing="0"/>
              <w:jc w:val="right"/>
              <w:rPr>
                <w:color w:val="000000"/>
                <w:sz w:val="20"/>
                <w:szCs w:val="20"/>
              </w:rPr>
            </w:pPr>
            <w:r>
              <w:rPr>
                <w:color w:val="000000"/>
                <w:sz w:val="20"/>
                <w:szCs w:val="20"/>
              </w:rPr>
              <w:t>13,224</w:t>
            </w:r>
          </w:p>
        </w:tc>
        <w:tc>
          <w:tcPr>
            <w:tcW w:w="50" w:type="pct"/>
            <w:shd w:val="clear" w:color="auto" w:fill="CFF0FC"/>
            <w:noWrap/>
            <w:tcMar>
              <w:top w:w="15" w:type="dxa"/>
              <w:left w:w="0" w:type="dxa"/>
              <w:bottom w:w="0" w:type="dxa"/>
              <w:right w:w="15" w:type="dxa"/>
            </w:tcMar>
            <w:vAlign w:val="bottom"/>
            <w:hideMark/>
          </w:tcPr>
          <w:p w14:paraId="4D6DFB1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F47B0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5C283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7F2923" w14:textId="77777777" w:rsidR="00000000" w:rsidRDefault="007125B5">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14:paraId="5759D9D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D05DFF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6D298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DEAEA7" w14:textId="77777777" w:rsidR="00000000" w:rsidRDefault="007125B5">
            <w:pPr>
              <w:pStyle w:val="a3"/>
              <w:spacing w:before="0" w:beforeAutospacing="0" w:after="0" w:afterAutospacing="0"/>
              <w:jc w:val="right"/>
              <w:rPr>
                <w:color w:val="000000"/>
                <w:sz w:val="20"/>
                <w:szCs w:val="20"/>
              </w:rPr>
            </w:pPr>
            <w:r>
              <w:rPr>
                <w:color w:val="000000"/>
                <w:sz w:val="20"/>
                <w:szCs w:val="20"/>
              </w:rPr>
              <w:t>(28,024</w:t>
            </w:r>
          </w:p>
        </w:tc>
        <w:tc>
          <w:tcPr>
            <w:tcW w:w="50" w:type="pct"/>
            <w:shd w:val="clear" w:color="auto" w:fill="CFF0FC"/>
            <w:noWrap/>
            <w:tcMar>
              <w:top w:w="15" w:type="dxa"/>
              <w:left w:w="0" w:type="dxa"/>
              <w:bottom w:w="0" w:type="dxa"/>
              <w:right w:w="15" w:type="dxa"/>
            </w:tcMar>
            <w:vAlign w:val="bottom"/>
            <w:hideMark/>
          </w:tcPr>
          <w:p w14:paraId="14DF269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FD94F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BC216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5B97BB" w14:textId="77777777" w:rsidR="00000000" w:rsidRDefault="007125B5">
            <w:pPr>
              <w:pStyle w:val="a3"/>
              <w:spacing w:before="0" w:beforeAutospacing="0" w:after="0" w:afterAutospacing="0"/>
              <w:jc w:val="right"/>
              <w:rPr>
                <w:color w:val="000000"/>
                <w:sz w:val="20"/>
                <w:szCs w:val="20"/>
              </w:rPr>
            </w:pPr>
            <w:r>
              <w:rPr>
                <w:color w:val="000000"/>
                <w:sz w:val="20"/>
                <w:szCs w:val="20"/>
              </w:rPr>
              <w:t>(5,564</w:t>
            </w:r>
          </w:p>
        </w:tc>
        <w:tc>
          <w:tcPr>
            <w:tcW w:w="50" w:type="pct"/>
            <w:shd w:val="clear" w:color="auto" w:fill="CFF0FC"/>
            <w:noWrap/>
            <w:tcMar>
              <w:top w:w="15" w:type="dxa"/>
              <w:left w:w="0" w:type="dxa"/>
              <w:bottom w:w="0" w:type="dxa"/>
              <w:right w:w="15" w:type="dxa"/>
            </w:tcMar>
            <w:vAlign w:val="bottom"/>
            <w:hideMark/>
          </w:tcPr>
          <w:p w14:paraId="3ED8DD2A" w14:textId="77777777" w:rsidR="00000000" w:rsidRDefault="007125B5">
            <w:pPr>
              <w:pStyle w:val="a3"/>
              <w:spacing w:before="0" w:beforeAutospacing="0" w:after="0" w:afterAutospacing="0"/>
              <w:rPr>
                <w:color w:val="000000"/>
                <w:sz w:val="20"/>
                <w:szCs w:val="20"/>
              </w:rPr>
            </w:pPr>
            <w:r>
              <w:rPr>
                <w:color w:val="000000"/>
                <w:sz w:val="20"/>
                <w:szCs w:val="20"/>
              </w:rPr>
              <w:t>)</w:t>
            </w:r>
          </w:p>
        </w:tc>
      </w:tr>
    </w:tbl>
    <w:p w14:paraId="1FE2FBE5"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1E63251" w14:textId="77777777" w:rsidR="00000000" w:rsidRDefault="007125B5">
      <w:pPr>
        <w:pStyle w:val="a3"/>
        <w:spacing w:before="40" w:beforeAutospacing="0" w:after="0" w:afterAutospacing="0"/>
        <w:ind w:left="476"/>
        <w:rPr>
          <w:sz w:val="20"/>
          <w:szCs w:val="20"/>
        </w:rPr>
      </w:pPr>
      <w:r>
        <w:rPr>
          <w:sz w:val="20"/>
          <w:szCs w:val="20"/>
        </w:rPr>
        <w:t>(i)Durin</w:t>
      </w:r>
      <w:r>
        <w:rPr>
          <w:sz w:val="20"/>
          <w:szCs w:val="20"/>
        </w:rPr>
        <w:t xml:space="preserve">g the first quarter of 2020, the Company determined to reduce the footprint of its environmental lab in Berkeley, California, and to exit its non-specialized municipal water engineering service line and its food waste biogas engineering service line. As a </w:t>
      </w:r>
      <w:r>
        <w:rPr>
          <w:sz w:val="20"/>
          <w:szCs w:val="20"/>
        </w:rPr>
        <w:t>part of discontinuing service lines, the Company made the decision to book an additional bad debt reserve related to the uncertainty around the ability to collect on receivables related to these service lines (Note 3). It was determined that the discontinu</w:t>
      </w:r>
      <w:r>
        <w:rPr>
          <w:sz w:val="20"/>
          <w:szCs w:val="20"/>
        </w:rPr>
        <w:t>ation of these service lines did not represent a strategic shift that had (or will have) a major effect on the Company’s operations and financial results therefore did not meet the requirements to be classified as discontinued operations.</w:t>
      </w:r>
    </w:p>
    <w:p w14:paraId="57253B1F"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21. RELATED-PARTY</w:t>
      </w:r>
      <w:r>
        <w:rPr>
          <w:b/>
          <w:bCs/>
          <w:color w:val="000000"/>
          <w:sz w:val="20"/>
          <w:szCs w:val="20"/>
        </w:rPr>
        <w:t xml:space="preserve"> TRANSACTIONS</w:t>
      </w:r>
    </w:p>
    <w:p w14:paraId="4A59EB1A"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The Company engages a related party to provide Quality of Earnings reports on acquisition targets. The Company paid this related party approximately $0.1 million during the six months ended June 30, 2020 and there were no payments made during</w:t>
      </w:r>
      <w:r>
        <w:rPr>
          <w:color w:val="000000"/>
          <w:sz w:val="20"/>
          <w:szCs w:val="20"/>
        </w:rPr>
        <w:t xml:space="preserve"> the three months ended June 30, 2020, and $0.1 million during both the three and six months ended June 30, 2019 for its services. This expense is included within related-party expense on the condensed consolidated statements of operations. As of June 30, </w:t>
      </w:r>
      <w:r>
        <w:rPr>
          <w:color w:val="000000"/>
          <w:sz w:val="20"/>
          <w:szCs w:val="20"/>
        </w:rPr>
        <w:t>2020 and December 31, 2019, the Company had no significant unpaid invoices to this related party, which would be/are included in accounts payable and other accrued liabilities on the condensed consolidated statements of financial position. The related part</w:t>
      </w:r>
      <w:r>
        <w:rPr>
          <w:color w:val="000000"/>
          <w:sz w:val="20"/>
          <w:szCs w:val="20"/>
        </w:rPr>
        <w:t>y used by the Company is partially owned through investment vehicles controlled by certain members of the Company’s Board of Directors.</w:t>
      </w:r>
    </w:p>
    <w:p w14:paraId="769D324A" w14:textId="77777777" w:rsidR="00000000" w:rsidRDefault="007125B5">
      <w:pPr>
        <w:pStyle w:val="a3"/>
        <w:spacing w:before="240" w:beforeAutospacing="0" w:after="0" w:afterAutospacing="0"/>
        <w:jc w:val="center"/>
        <w:rPr>
          <w:sz w:val="20"/>
          <w:szCs w:val="20"/>
        </w:rPr>
      </w:pPr>
      <w:r>
        <w:rPr>
          <w:sz w:val="20"/>
          <w:szCs w:val="20"/>
        </w:rPr>
        <w:t>25</w:t>
      </w:r>
    </w:p>
    <w:p w14:paraId="079F25AA" w14:textId="77777777" w:rsidR="00000000" w:rsidRDefault="007125B5">
      <w:pPr>
        <w:rPr>
          <w:rFonts w:eastAsia="Times New Roman"/>
        </w:rPr>
      </w:pPr>
      <w:r>
        <w:rPr>
          <w:rFonts w:eastAsia="Times New Roman"/>
        </w:rPr>
        <w:pict w14:anchorId="0C61A010">
          <v:rect id="_x0000_i1051" style="width:415.3pt;height:1.5pt" o:hralign="center" o:hrstd="t" o:hr="t" fillcolor="#a0a0a0" stroked="f"/>
        </w:pict>
      </w:r>
    </w:p>
    <w:p w14:paraId="7F74AA12" w14:textId="77777777" w:rsidR="00000000" w:rsidRDefault="007125B5">
      <w:pPr>
        <w:pStyle w:val="a3"/>
        <w:spacing w:before="0" w:beforeAutospacing="0" w:after="0" w:afterAutospacing="0"/>
        <w:rPr>
          <w:sz w:val="20"/>
          <w:szCs w:val="20"/>
        </w:rPr>
      </w:pPr>
      <w:r>
        <w:rPr>
          <w:sz w:val="20"/>
          <w:szCs w:val="20"/>
        </w:rPr>
        <w:t> </w:t>
      </w:r>
    </w:p>
    <w:p w14:paraId="39AD6109" w14:textId="77777777" w:rsidR="00000000" w:rsidRDefault="007125B5">
      <w:pPr>
        <w:pStyle w:val="a3"/>
        <w:shd w:val="clear" w:color="auto" w:fill="FFFFFF"/>
        <w:spacing w:before="360" w:beforeAutospacing="0" w:after="0" w:afterAutospacing="0"/>
        <w:rPr>
          <w:b/>
          <w:bCs/>
          <w:color w:val="000000"/>
          <w:sz w:val="20"/>
          <w:szCs w:val="20"/>
        </w:rPr>
      </w:pPr>
      <w:bookmarkStart w:id="43" w:name="_AEIOULastRenderedPageBreakAEIOU28"/>
      <w:bookmarkEnd w:id="43"/>
      <w:r>
        <w:rPr>
          <w:b/>
          <w:bCs/>
          <w:color w:val="000000"/>
          <w:sz w:val="20"/>
          <w:szCs w:val="20"/>
        </w:rPr>
        <w:t>22. DEFINED CONTRIBUTION PLAN</w:t>
      </w:r>
    </w:p>
    <w:p w14:paraId="4B7070B5"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On January 1, 2014, the Company established </w:t>
      </w:r>
      <w:r>
        <w:rPr>
          <w:color w:val="000000"/>
          <w:sz w:val="20"/>
          <w:szCs w:val="20"/>
        </w:rPr>
        <w:t>the Montrose Environmental Group 401(k) Savings Plan. As of June 30, 2020 and December 31, 2019, plan participants may defer up to 85.0% of their eligible wages for the year, up to the Internal Revenue Service dollar limit and catch up contribution allowed</w:t>
      </w:r>
      <w:r>
        <w:rPr>
          <w:color w:val="000000"/>
          <w:sz w:val="20"/>
          <w:szCs w:val="20"/>
        </w:rPr>
        <w:t xml:space="preserve"> by law. Up to May 22, 2020, the Company provided employer matching contributions equal to 100.0% of the first 3.0% of the participant’s compensation and 50.0% of the participant’s elective deferrals that exceed 3.0% but do not exceed 4.0% of the participa</w:t>
      </w:r>
      <w:r>
        <w:rPr>
          <w:color w:val="000000"/>
          <w:sz w:val="20"/>
          <w:szCs w:val="20"/>
        </w:rPr>
        <w:t>nt’s compensation. Subsequent to May 22, 2020, the Company temporarily ceased making employer contributions. Employer contributions for the three and six months ended June 30, 2020 were $0.4 million and $1.2 million, respectively, and $0.7 million and $1.3</w:t>
      </w:r>
      <w:r>
        <w:rPr>
          <w:color w:val="000000"/>
          <w:sz w:val="20"/>
          <w:szCs w:val="20"/>
        </w:rPr>
        <w:t xml:space="preserve"> million for the three and six months ended June 30, 2019, respectively, and are included within selling, general, and administrative expenses on the condensed consolidated statements of operations.</w:t>
      </w:r>
    </w:p>
    <w:p w14:paraId="33A0B2CF"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23. SUBSEQUENT EVENTS</w:t>
      </w:r>
    </w:p>
    <w:p w14:paraId="36F88DFC"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On July 14, 2020, the Company amend</w:t>
      </w:r>
      <w:r>
        <w:rPr>
          <w:color w:val="000000"/>
          <w:sz w:val="20"/>
          <w:szCs w:val="20"/>
        </w:rPr>
        <w:t>ed and restated its certificate of incorporation to, among other things, increase the number of shares of common stock the Company is authorized to issue to 190,000,000.</w:t>
      </w:r>
    </w:p>
    <w:p w14:paraId="786BCDC4"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On July 27, 2020, the Company completed its IPO. In the IPO, the Company issued and so</w:t>
      </w:r>
      <w:r>
        <w:rPr>
          <w:color w:val="000000"/>
          <w:sz w:val="20"/>
          <w:szCs w:val="20"/>
        </w:rPr>
        <w:t>ld 11,500,000 shares of common stock, including 1,500,000 shares issued pursuant to the underwriters full exercise on July 24, 2020 of their option to purchase additional shares, at a price to the public of $15.00 per share, resulting in net proceeds to th</w:t>
      </w:r>
      <w:r>
        <w:rPr>
          <w:color w:val="000000"/>
          <w:sz w:val="20"/>
          <w:szCs w:val="20"/>
        </w:rPr>
        <w:t xml:space="preserve">e Company of approximately $161.3 million after deducting underwriting discounts and commissions and offering expenses of approximately $9.8 million payable by the Company. All shares issued and sold were registered pursuant to a registration statement on </w:t>
      </w:r>
      <w:r>
        <w:rPr>
          <w:color w:val="000000"/>
          <w:sz w:val="20"/>
          <w:szCs w:val="20"/>
        </w:rPr>
        <w:t xml:space="preserve">Form S-1 (File No. 333-239542), as amended, declared effective by the Commission on July 22, 2020. </w:t>
      </w:r>
    </w:p>
    <w:p w14:paraId="5AC1D48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 Company used $131.8 million of proceeds and 1,786,739 shares of common stock to redeem in full all outstanding shares of the Company’s Redeemable Series</w:t>
      </w:r>
      <w:r>
        <w:rPr>
          <w:color w:val="000000"/>
          <w:sz w:val="20"/>
          <w:szCs w:val="20"/>
        </w:rPr>
        <w:t xml:space="preserve"> A-1 Preferred Stock.</w:t>
      </w:r>
    </w:p>
    <w:p w14:paraId="5902664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As a result of the $15.00 per share public offering price in the IPO, the warrant issued in connection with the issuance of the Convertible and Redeemable Series A-2 Preferred Stock was adjusted pursuant to its terms and, upon closing</w:t>
      </w:r>
      <w:r>
        <w:rPr>
          <w:color w:val="000000"/>
          <w:sz w:val="20"/>
          <w:szCs w:val="20"/>
        </w:rPr>
        <w:t xml:space="preserve"> of the IPO, represented a warrant to purchase 1,999,999 shares of common stock (an increase of 648,039 shares). On July 30, 2020, the holders of the warrants issued in connection with the Redeemable Series A-1 and Convertible and Redeemable Series A-2 Pre</w:t>
      </w:r>
      <w:r>
        <w:rPr>
          <w:color w:val="000000"/>
          <w:sz w:val="20"/>
          <w:szCs w:val="20"/>
        </w:rPr>
        <w:t>ferred Stock, fully exercised the warrants, and paid the Company in cash the aggregate exercise price of $0.03 million in cash in return for 2,534,239 shares of common stock.</w:t>
      </w:r>
    </w:p>
    <w:p w14:paraId="4C199C16" w14:textId="77777777" w:rsidR="00000000" w:rsidRDefault="007125B5">
      <w:pPr>
        <w:pStyle w:val="a3"/>
        <w:spacing w:before="240" w:beforeAutospacing="0" w:after="0" w:afterAutospacing="0"/>
        <w:jc w:val="center"/>
        <w:rPr>
          <w:sz w:val="20"/>
          <w:szCs w:val="20"/>
        </w:rPr>
      </w:pPr>
      <w:r>
        <w:rPr>
          <w:sz w:val="20"/>
          <w:szCs w:val="20"/>
        </w:rPr>
        <w:t>26</w:t>
      </w:r>
    </w:p>
    <w:p w14:paraId="0D85D4FB" w14:textId="77777777" w:rsidR="00000000" w:rsidRDefault="007125B5">
      <w:pPr>
        <w:rPr>
          <w:rFonts w:eastAsia="Times New Roman"/>
        </w:rPr>
      </w:pPr>
      <w:r>
        <w:rPr>
          <w:rFonts w:eastAsia="Times New Roman"/>
        </w:rPr>
        <w:pict w14:anchorId="18462F40">
          <v:rect id="_x0000_i1052" style="width:415.3pt;height:1.5pt" o:hralign="center" o:hrstd="t" o:hr="t" fillcolor="#a0a0a0" stroked="f"/>
        </w:pict>
      </w:r>
    </w:p>
    <w:p w14:paraId="6248649E" w14:textId="77777777" w:rsidR="00000000" w:rsidRDefault="007125B5">
      <w:pPr>
        <w:pStyle w:val="a3"/>
        <w:spacing w:before="0" w:beforeAutospacing="0" w:after="0" w:afterAutospacing="0"/>
        <w:rPr>
          <w:sz w:val="20"/>
          <w:szCs w:val="20"/>
        </w:rPr>
      </w:pPr>
      <w:r>
        <w:rPr>
          <w:sz w:val="20"/>
          <w:szCs w:val="20"/>
        </w:rPr>
        <w:t> </w:t>
      </w:r>
    </w:p>
    <w:p w14:paraId="0E48ED86" w14:textId="77777777" w:rsidR="00000000" w:rsidRDefault="007125B5">
      <w:pPr>
        <w:pStyle w:val="a3"/>
        <w:spacing w:before="0" w:beforeAutospacing="0" w:after="0" w:afterAutospacing="0"/>
        <w:jc w:val="center"/>
        <w:rPr>
          <w:b/>
          <w:bCs/>
          <w:sz w:val="20"/>
          <w:szCs w:val="20"/>
        </w:rPr>
      </w:pPr>
      <w:bookmarkStart w:id="44" w:name="_AEIOULastRenderedPageBreakAEIOU29"/>
      <w:bookmarkEnd w:id="44"/>
      <w:r>
        <w:rPr>
          <w:b/>
          <w:bCs/>
          <w:sz w:val="20"/>
          <w:szCs w:val="20"/>
        </w:rPr>
        <w:t>FORWARD-LOOKING STATEMENTS</w:t>
      </w:r>
    </w:p>
    <w:p w14:paraId="1ECCE547" w14:textId="77777777" w:rsidR="00000000" w:rsidRDefault="007125B5">
      <w:pPr>
        <w:pStyle w:val="a3"/>
        <w:spacing w:before="240" w:beforeAutospacing="0" w:after="0" w:afterAutospacing="0"/>
        <w:ind w:firstLine="556"/>
        <w:rPr>
          <w:sz w:val="20"/>
          <w:szCs w:val="20"/>
        </w:rPr>
      </w:pPr>
      <w:r>
        <w:rPr>
          <w:sz w:val="20"/>
          <w:szCs w:val="20"/>
        </w:rPr>
        <w:t>This Quarterly Report on Form 10-Q contains “forward-looking statements” within the meaning of Section 27A of the Secur</w:t>
      </w:r>
      <w:r>
        <w:rPr>
          <w:sz w:val="20"/>
          <w:szCs w:val="20"/>
        </w:rPr>
        <w:t>ities Act of 1933, as amended, or the Securities Act, and Section 21E of the Securities Exchange Act of 1934, as amended, or the Exchange Act. These forward-looking statements relate to matters such as our industry, business strategy, goals and expectation</w:t>
      </w:r>
      <w:r>
        <w:rPr>
          <w:sz w:val="20"/>
          <w:szCs w:val="20"/>
        </w:rPr>
        <w:t>s concerning our market position, future operations, margins, profitability, capital expenditures, liquidity, capital resources and other financial and operating information. We use words such as “anticipate,” “assume,” “believe,” “contemplate,” “continue,</w:t>
      </w:r>
      <w:r>
        <w:rPr>
          <w:sz w:val="20"/>
          <w:szCs w:val="20"/>
        </w:rPr>
        <w:t>” “could,” “estimate,” “expect,” “future,” “intend,” “may,” “plan,” “position,” “potential,” “predict,” “project,” “seek,” “should,” “target,” “will” and similar terms and phrases to identify forward-looking statements in this filing. All of our forward-lo</w:t>
      </w:r>
      <w:r>
        <w:rPr>
          <w:sz w:val="20"/>
          <w:szCs w:val="20"/>
        </w:rPr>
        <w:t>oking statements are subject to risks and uncertainties that may cause actual results to differ materially from those that we are expecting,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9BD7DA7" w14:textId="77777777">
        <w:tc>
          <w:tcPr>
            <w:tcW w:w="227" w:type="pct"/>
            <w:noWrap/>
            <w:hideMark/>
          </w:tcPr>
          <w:p w14:paraId="3584A617"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3CE49D44"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29721C89" w14:textId="77777777" w:rsidR="00000000" w:rsidRDefault="007125B5">
            <w:pPr>
              <w:pStyle w:val="a3"/>
              <w:spacing w:before="120" w:beforeAutospacing="0" w:after="0" w:afterAutospacing="0"/>
              <w:rPr>
                <w:sz w:val="20"/>
                <w:szCs w:val="20"/>
              </w:rPr>
            </w:pPr>
            <w:r>
              <w:rPr>
                <w:sz w:val="20"/>
                <w:szCs w:val="20"/>
              </w:rPr>
              <w:t>our limited operating history;</w:t>
            </w:r>
          </w:p>
        </w:tc>
      </w:tr>
    </w:tbl>
    <w:p w14:paraId="158A26E5"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4CBD33B" w14:textId="77777777">
        <w:tc>
          <w:tcPr>
            <w:tcW w:w="227" w:type="pct"/>
            <w:noWrap/>
            <w:hideMark/>
          </w:tcPr>
          <w:p w14:paraId="7002CDA5"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36982475"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05BB7D8A" w14:textId="77777777" w:rsidR="00000000" w:rsidRDefault="007125B5">
            <w:pPr>
              <w:pStyle w:val="a3"/>
              <w:spacing w:before="120" w:beforeAutospacing="0" w:after="0" w:afterAutospacing="0"/>
              <w:rPr>
                <w:sz w:val="20"/>
                <w:szCs w:val="20"/>
              </w:rPr>
            </w:pPr>
            <w:r>
              <w:rPr>
                <w:sz w:val="20"/>
                <w:szCs w:val="20"/>
              </w:rPr>
              <w:t xml:space="preserve">our history of losses and ability to achieve profitability; </w:t>
            </w:r>
          </w:p>
        </w:tc>
      </w:tr>
    </w:tbl>
    <w:p w14:paraId="1A732579"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C925D1" w14:textId="77777777">
        <w:tc>
          <w:tcPr>
            <w:tcW w:w="227" w:type="pct"/>
            <w:noWrap/>
            <w:hideMark/>
          </w:tcPr>
          <w:p w14:paraId="4E715EC9"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6E4E17F6"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44FA3B7E" w14:textId="77777777" w:rsidR="00000000" w:rsidRDefault="007125B5">
            <w:pPr>
              <w:pStyle w:val="a3"/>
              <w:spacing w:before="120" w:beforeAutospacing="0" w:after="0" w:afterAutospacing="0"/>
              <w:rPr>
                <w:sz w:val="20"/>
                <w:szCs w:val="20"/>
              </w:rPr>
            </w:pPr>
            <w:r>
              <w:rPr>
                <w:sz w:val="20"/>
                <w:szCs w:val="20"/>
              </w:rPr>
              <w:t>general global economic, business and other conditions, the cyclical nature of our industry and the significant fluctuations in events that impact our business;</w:t>
            </w:r>
          </w:p>
        </w:tc>
      </w:tr>
    </w:tbl>
    <w:p w14:paraId="15BCA2FD"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0905D7" w14:textId="77777777">
        <w:tc>
          <w:tcPr>
            <w:tcW w:w="227" w:type="pct"/>
            <w:noWrap/>
            <w:hideMark/>
          </w:tcPr>
          <w:p w14:paraId="00C57225"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31B8ABB1"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149F6C43" w14:textId="77777777" w:rsidR="00000000" w:rsidRDefault="007125B5">
            <w:pPr>
              <w:pStyle w:val="a3"/>
              <w:spacing w:before="120" w:beforeAutospacing="0" w:after="0" w:afterAutospacing="0"/>
              <w:rPr>
                <w:sz w:val="20"/>
                <w:szCs w:val="20"/>
              </w:rPr>
            </w:pPr>
            <w:r>
              <w:rPr>
                <w:sz w:val="20"/>
                <w:szCs w:val="20"/>
              </w:rPr>
              <w:t>the impact of the COVI</w:t>
            </w:r>
            <w:r>
              <w:rPr>
                <w:sz w:val="20"/>
                <w:szCs w:val="20"/>
              </w:rPr>
              <w:t>D-19 pandemic on our business operations and on local, national and global economies;</w:t>
            </w:r>
          </w:p>
        </w:tc>
      </w:tr>
    </w:tbl>
    <w:p w14:paraId="4C31F3D7"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6F1D215" w14:textId="77777777">
        <w:tc>
          <w:tcPr>
            <w:tcW w:w="227" w:type="pct"/>
            <w:noWrap/>
            <w:hideMark/>
          </w:tcPr>
          <w:p w14:paraId="33646276"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2D221D2A"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10C59500" w14:textId="77777777" w:rsidR="00000000" w:rsidRDefault="007125B5">
            <w:pPr>
              <w:pStyle w:val="a3"/>
              <w:spacing w:before="120" w:beforeAutospacing="0" w:after="0" w:afterAutospacing="0"/>
              <w:rPr>
                <w:sz w:val="20"/>
                <w:szCs w:val="20"/>
              </w:rPr>
            </w:pPr>
            <w:r>
              <w:rPr>
                <w:sz w:val="20"/>
                <w:szCs w:val="20"/>
              </w:rPr>
              <w:t>the parts of our business that depend on difficult to predict natural or manmade events and the fluctuations in our revenue and customer concentration as a result t</w:t>
            </w:r>
            <w:r>
              <w:rPr>
                <w:sz w:val="20"/>
                <w:szCs w:val="20"/>
              </w:rPr>
              <w:t>hereof;</w:t>
            </w:r>
          </w:p>
        </w:tc>
      </w:tr>
    </w:tbl>
    <w:p w14:paraId="06152222"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B6AE4F2" w14:textId="77777777">
        <w:tc>
          <w:tcPr>
            <w:tcW w:w="227" w:type="pct"/>
            <w:noWrap/>
            <w:hideMark/>
          </w:tcPr>
          <w:p w14:paraId="73CB3629"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55E9AB7E"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0064F07F" w14:textId="77777777" w:rsidR="00000000" w:rsidRDefault="007125B5">
            <w:pPr>
              <w:pStyle w:val="a3"/>
              <w:spacing w:before="120" w:beforeAutospacing="0" w:after="0" w:afterAutospacing="0"/>
              <w:rPr>
                <w:sz w:val="20"/>
                <w:szCs w:val="20"/>
              </w:rPr>
            </w:pPr>
            <w:r>
              <w:rPr>
                <w:sz w:val="20"/>
                <w:szCs w:val="20"/>
              </w:rPr>
              <w:t>the highly competitive nature of our business;</w:t>
            </w:r>
          </w:p>
        </w:tc>
      </w:tr>
    </w:tbl>
    <w:p w14:paraId="0EDDE339"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3C7258F" w14:textId="77777777">
        <w:tc>
          <w:tcPr>
            <w:tcW w:w="227" w:type="pct"/>
            <w:noWrap/>
            <w:hideMark/>
          </w:tcPr>
          <w:p w14:paraId="7162B242"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725D82C9"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086F601E" w14:textId="77777777" w:rsidR="00000000" w:rsidRDefault="007125B5">
            <w:pPr>
              <w:pStyle w:val="a3"/>
              <w:spacing w:before="120" w:beforeAutospacing="0" w:after="0" w:afterAutospacing="0"/>
              <w:rPr>
                <w:sz w:val="20"/>
                <w:szCs w:val="20"/>
              </w:rPr>
            </w:pPr>
            <w:r>
              <w:rPr>
                <w:sz w:val="20"/>
                <w:szCs w:val="20"/>
              </w:rPr>
              <w:t>our ability to execute on our acquisition strategy and successfully integrate and realize benefits of our acquisitions;</w:t>
            </w:r>
          </w:p>
        </w:tc>
      </w:tr>
    </w:tbl>
    <w:p w14:paraId="79F89D70"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FEFC9D2" w14:textId="77777777">
        <w:tc>
          <w:tcPr>
            <w:tcW w:w="227" w:type="pct"/>
            <w:noWrap/>
            <w:hideMark/>
          </w:tcPr>
          <w:p w14:paraId="51BCBE42"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50DBCB75"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1B192D69" w14:textId="77777777" w:rsidR="00000000" w:rsidRDefault="007125B5">
            <w:pPr>
              <w:pStyle w:val="a3"/>
              <w:spacing w:before="120" w:beforeAutospacing="0" w:after="0" w:afterAutospacing="0"/>
              <w:rPr>
                <w:sz w:val="20"/>
                <w:szCs w:val="20"/>
              </w:rPr>
            </w:pPr>
            <w:r>
              <w:rPr>
                <w:sz w:val="20"/>
                <w:szCs w:val="20"/>
              </w:rPr>
              <w:t>our ability to promote and develop our brands;</w:t>
            </w:r>
          </w:p>
        </w:tc>
      </w:tr>
    </w:tbl>
    <w:p w14:paraId="1D1E4B5E"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23A2B6" w14:textId="77777777">
        <w:tc>
          <w:tcPr>
            <w:tcW w:w="227" w:type="pct"/>
            <w:noWrap/>
            <w:hideMark/>
          </w:tcPr>
          <w:p w14:paraId="2E3E12F7"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1E6A61F4"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723C8768" w14:textId="77777777" w:rsidR="00000000" w:rsidRDefault="007125B5">
            <w:pPr>
              <w:pStyle w:val="a3"/>
              <w:spacing w:before="120" w:beforeAutospacing="0" w:after="0" w:afterAutospacing="0"/>
              <w:rPr>
                <w:sz w:val="20"/>
                <w:szCs w:val="20"/>
              </w:rPr>
            </w:pPr>
            <w:r>
              <w:rPr>
                <w:sz w:val="20"/>
                <w:szCs w:val="20"/>
              </w:rPr>
              <w:t>our ability to maintain and expand our client base;</w:t>
            </w:r>
          </w:p>
        </w:tc>
      </w:tr>
    </w:tbl>
    <w:p w14:paraId="4D25D265"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94ABFE3" w14:textId="77777777">
        <w:tc>
          <w:tcPr>
            <w:tcW w:w="227" w:type="pct"/>
            <w:noWrap/>
            <w:hideMark/>
          </w:tcPr>
          <w:p w14:paraId="3F0541F6"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47C048F8"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36BC1A53" w14:textId="77777777" w:rsidR="00000000" w:rsidRDefault="007125B5">
            <w:pPr>
              <w:pStyle w:val="a3"/>
              <w:spacing w:before="120" w:beforeAutospacing="0" w:after="0" w:afterAutospacing="0"/>
              <w:rPr>
                <w:sz w:val="20"/>
                <w:szCs w:val="20"/>
              </w:rPr>
            </w:pPr>
            <w:r>
              <w:rPr>
                <w:sz w:val="20"/>
                <w:szCs w:val="20"/>
              </w:rPr>
              <w:t>our ability to maintain necessary accreditations and other authorizations in varying jurisdictions;</w:t>
            </w:r>
          </w:p>
        </w:tc>
      </w:tr>
    </w:tbl>
    <w:p w14:paraId="73B04A38"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14A882E" w14:textId="77777777">
        <w:tc>
          <w:tcPr>
            <w:tcW w:w="227" w:type="pct"/>
            <w:noWrap/>
            <w:hideMark/>
          </w:tcPr>
          <w:p w14:paraId="4D1C2F9E"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4D5BA22E"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4F699A1F" w14:textId="77777777" w:rsidR="00000000" w:rsidRDefault="007125B5">
            <w:pPr>
              <w:pStyle w:val="a3"/>
              <w:spacing w:before="120" w:beforeAutospacing="0" w:after="0" w:afterAutospacing="0"/>
              <w:rPr>
                <w:sz w:val="20"/>
                <w:szCs w:val="20"/>
              </w:rPr>
            </w:pPr>
            <w:r>
              <w:rPr>
                <w:sz w:val="20"/>
                <w:szCs w:val="20"/>
              </w:rPr>
              <w:t>significant environmental governmental regulation;</w:t>
            </w:r>
          </w:p>
        </w:tc>
      </w:tr>
    </w:tbl>
    <w:p w14:paraId="43571C49"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F0A4142" w14:textId="77777777">
        <w:tc>
          <w:tcPr>
            <w:tcW w:w="227" w:type="pct"/>
            <w:noWrap/>
            <w:hideMark/>
          </w:tcPr>
          <w:p w14:paraId="7FE4F29C"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0D3C3F90"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5B5F3893" w14:textId="77777777" w:rsidR="00000000" w:rsidRDefault="007125B5">
            <w:pPr>
              <w:pStyle w:val="a3"/>
              <w:spacing w:before="120" w:beforeAutospacing="0" w:after="0" w:afterAutospacing="0"/>
              <w:rPr>
                <w:sz w:val="20"/>
                <w:szCs w:val="20"/>
              </w:rPr>
            </w:pPr>
            <w:r>
              <w:rPr>
                <w:sz w:val="20"/>
                <w:szCs w:val="20"/>
              </w:rPr>
              <w:t>our ability to attract and retain qualified managerial and skilled technical personnel;</w:t>
            </w:r>
          </w:p>
        </w:tc>
      </w:tr>
    </w:tbl>
    <w:p w14:paraId="7776635B"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6512C7D" w14:textId="77777777">
        <w:tc>
          <w:tcPr>
            <w:tcW w:w="227" w:type="pct"/>
            <w:noWrap/>
            <w:hideMark/>
          </w:tcPr>
          <w:p w14:paraId="13CE86EF"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751B2F73"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2EF84A8F" w14:textId="77777777" w:rsidR="00000000" w:rsidRDefault="007125B5">
            <w:pPr>
              <w:pStyle w:val="a3"/>
              <w:spacing w:before="120" w:beforeAutospacing="0" w:after="0" w:afterAutospacing="0"/>
              <w:rPr>
                <w:sz w:val="20"/>
                <w:szCs w:val="20"/>
              </w:rPr>
            </w:pPr>
            <w:r>
              <w:rPr>
                <w:sz w:val="20"/>
                <w:szCs w:val="20"/>
              </w:rPr>
              <w:t>safety-related issues;</w:t>
            </w:r>
          </w:p>
        </w:tc>
      </w:tr>
    </w:tbl>
    <w:p w14:paraId="73247765"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23CF8A" w14:textId="77777777">
        <w:tc>
          <w:tcPr>
            <w:tcW w:w="227" w:type="pct"/>
            <w:noWrap/>
            <w:hideMark/>
          </w:tcPr>
          <w:p w14:paraId="5905628A"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3EA223EC"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6D48DBC4" w14:textId="77777777" w:rsidR="00000000" w:rsidRDefault="007125B5">
            <w:pPr>
              <w:pStyle w:val="a3"/>
              <w:spacing w:before="120" w:beforeAutospacing="0" w:after="0" w:afterAutospacing="0"/>
              <w:rPr>
                <w:sz w:val="20"/>
                <w:szCs w:val="20"/>
              </w:rPr>
            </w:pPr>
            <w:r>
              <w:rPr>
                <w:sz w:val="20"/>
                <w:szCs w:val="20"/>
              </w:rPr>
              <w:t>allegations regarding compliance with professional standards, duties and statutory obligations and our ability to provide accurate results;</w:t>
            </w:r>
          </w:p>
        </w:tc>
      </w:tr>
    </w:tbl>
    <w:p w14:paraId="3BDD92D0"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9713535" w14:textId="77777777">
        <w:tc>
          <w:tcPr>
            <w:tcW w:w="227" w:type="pct"/>
            <w:noWrap/>
            <w:hideMark/>
          </w:tcPr>
          <w:p w14:paraId="3E55F973"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034F79FC"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1B077DC8" w14:textId="77777777" w:rsidR="00000000" w:rsidRDefault="007125B5">
            <w:pPr>
              <w:pStyle w:val="a3"/>
              <w:spacing w:before="120" w:beforeAutospacing="0" w:after="0" w:afterAutospacing="0"/>
              <w:rPr>
                <w:sz w:val="20"/>
                <w:szCs w:val="20"/>
              </w:rPr>
            </w:pPr>
            <w:r>
              <w:rPr>
                <w:sz w:val="20"/>
                <w:szCs w:val="20"/>
              </w:rPr>
              <w:t>the lack of formal long-term agreements with many of our clients;</w:t>
            </w:r>
          </w:p>
        </w:tc>
      </w:tr>
    </w:tbl>
    <w:p w14:paraId="5712EAAD"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3879FB9" w14:textId="77777777">
        <w:tc>
          <w:tcPr>
            <w:tcW w:w="227" w:type="pct"/>
            <w:noWrap/>
            <w:hideMark/>
          </w:tcPr>
          <w:p w14:paraId="0BC1C013"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22F2487C"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43D37DA3" w14:textId="77777777" w:rsidR="00000000" w:rsidRDefault="007125B5">
            <w:pPr>
              <w:pStyle w:val="a3"/>
              <w:spacing w:before="120" w:beforeAutospacing="0" w:after="0" w:afterAutospacing="0"/>
              <w:rPr>
                <w:sz w:val="20"/>
                <w:szCs w:val="20"/>
              </w:rPr>
            </w:pPr>
            <w:r>
              <w:rPr>
                <w:sz w:val="20"/>
                <w:szCs w:val="20"/>
              </w:rPr>
              <w:t>our ability to successfully implement our new enterprise resource planning system;</w:t>
            </w:r>
          </w:p>
        </w:tc>
      </w:tr>
    </w:tbl>
    <w:p w14:paraId="250736F4"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B3406F" w14:textId="77777777">
        <w:tc>
          <w:tcPr>
            <w:tcW w:w="227" w:type="pct"/>
            <w:noWrap/>
            <w:hideMark/>
          </w:tcPr>
          <w:p w14:paraId="20D3F1B4"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7DEC4FAB"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6DB945AF" w14:textId="77777777" w:rsidR="00000000" w:rsidRDefault="007125B5">
            <w:pPr>
              <w:pStyle w:val="a3"/>
              <w:spacing w:before="120" w:beforeAutospacing="0" w:after="0" w:afterAutospacing="0"/>
              <w:rPr>
                <w:sz w:val="20"/>
                <w:szCs w:val="20"/>
              </w:rPr>
            </w:pPr>
            <w:r>
              <w:rPr>
                <w:sz w:val="20"/>
                <w:szCs w:val="20"/>
              </w:rPr>
              <w:t>our ability to adapt to changing technology, industry standards or regulatory requirements;</w:t>
            </w:r>
          </w:p>
        </w:tc>
      </w:tr>
    </w:tbl>
    <w:p w14:paraId="32BBD7E3"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65169B8" w14:textId="77777777">
        <w:tc>
          <w:tcPr>
            <w:tcW w:w="227" w:type="pct"/>
            <w:noWrap/>
            <w:hideMark/>
          </w:tcPr>
          <w:p w14:paraId="6B55F927"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5C443744"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40090D56" w14:textId="77777777" w:rsidR="00000000" w:rsidRDefault="007125B5">
            <w:pPr>
              <w:pStyle w:val="a3"/>
              <w:spacing w:before="120" w:beforeAutospacing="0" w:after="0" w:afterAutospacing="0"/>
              <w:rPr>
                <w:sz w:val="20"/>
                <w:szCs w:val="20"/>
              </w:rPr>
            </w:pPr>
            <w:r>
              <w:rPr>
                <w:sz w:val="20"/>
                <w:szCs w:val="20"/>
              </w:rPr>
              <w:t>government clients and contracts;</w:t>
            </w:r>
          </w:p>
        </w:tc>
      </w:tr>
    </w:tbl>
    <w:p w14:paraId="6C518AA3"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6DA92E2" w14:textId="77777777">
        <w:tc>
          <w:tcPr>
            <w:tcW w:w="227" w:type="pct"/>
            <w:noWrap/>
            <w:hideMark/>
          </w:tcPr>
          <w:p w14:paraId="0F408468"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3924408E"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3ECD58F5" w14:textId="77777777" w:rsidR="00000000" w:rsidRDefault="007125B5">
            <w:pPr>
              <w:pStyle w:val="a3"/>
              <w:spacing w:before="120" w:beforeAutospacing="0" w:after="0" w:afterAutospacing="0"/>
              <w:rPr>
                <w:sz w:val="20"/>
                <w:szCs w:val="20"/>
              </w:rPr>
            </w:pPr>
            <w:r>
              <w:rPr>
                <w:sz w:val="20"/>
                <w:szCs w:val="20"/>
              </w:rPr>
              <w:t>our ability to maintain our prices and manage costs; ›</w:t>
            </w:r>
          </w:p>
        </w:tc>
      </w:tr>
    </w:tbl>
    <w:p w14:paraId="6A41C6CF"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2880A2D" w14:textId="77777777">
        <w:tc>
          <w:tcPr>
            <w:tcW w:w="227" w:type="pct"/>
            <w:noWrap/>
            <w:hideMark/>
          </w:tcPr>
          <w:p w14:paraId="7874E3D0"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3754A2FE"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44FDAAA3" w14:textId="77777777" w:rsidR="00000000" w:rsidRDefault="007125B5">
            <w:pPr>
              <w:pStyle w:val="a3"/>
              <w:spacing w:before="120" w:beforeAutospacing="0" w:after="0" w:afterAutospacing="0"/>
              <w:rPr>
                <w:sz w:val="20"/>
                <w:szCs w:val="20"/>
              </w:rPr>
            </w:pPr>
            <w:r>
              <w:rPr>
                <w:sz w:val="20"/>
                <w:szCs w:val="20"/>
              </w:rPr>
              <w:t>our ability to protect our intellectual property or claims that we infringe on the intellectual property rights of others;</w:t>
            </w:r>
          </w:p>
        </w:tc>
      </w:tr>
    </w:tbl>
    <w:p w14:paraId="47FB4DD1"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748A91" w14:textId="77777777">
        <w:tc>
          <w:tcPr>
            <w:tcW w:w="227" w:type="pct"/>
            <w:noWrap/>
            <w:hideMark/>
          </w:tcPr>
          <w:p w14:paraId="0EE5333B"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09EB0BEB"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1934F3AA" w14:textId="77777777" w:rsidR="00000000" w:rsidRDefault="007125B5">
            <w:pPr>
              <w:pStyle w:val="a3"/>
              <w:spacing w:before="120" w:beforeAutospacing="0" w:after="0" w:afterAutospacing="0"/>
              <w:rPr>
                <w:sz w:val="20"/>
                <w:szCs w:val="20"/>
              </w:rPr>
            </w:pPr>
            <w:r>
              <w:rPr>
                <w:sz w:val="20"/>
                <w:szCs w:val="20"/>
              </w:rPr>
              <w:t>laws and regulations regarding handling of confidential information;</w:t>
            </w:r>
          </w:p>
        </w:tc>
      </w:tr>
    </w:tbl>
    <w:p w14:paraId="54F48CEE"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55982AD" w14:textId="77777777">
        <w:tc>
          <w:tcPr>
            <w:tcW w:w="227" w:type="pct"/>
            <w:noWrap/>
            <w:hideMark/>
          </w:tcPr>
          <w:p w14:paraId="44CF5F67"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628BBD32"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25E60BA5" w14:textId="77777777" w:rsidR="00000000" w:rsidRDefault="007125B5">
            <w:pPr>
              <w:pStyle w:val="a3"/>
              <w:spacing w:before="120" w:beforeAutospacing="0" w:after="0" w:afterAutospacing="0"/>
              <w:rPr>
                <w:sz w:val="20"/>
                <w:szCs w:val="20"/>
              </w:rPr>
            </w:pPr>
            <w:r>
              <w:rPr>
                <w:sz w:val="20"/>
                <w:szCs w:val="20"/>
              </w:rPr>
              <w:t>any failure in or breach of our networks and systems</w:t>
            </w:r>
            <w:r>
              <w:rPr>
                <w:sz w:val="20"/>
                <w:szCs w:val="20"/>
              </w:rPr>
              <w:t>;</w:t>
            </w:r>
          </w:p>
        </w:tc>
      </w:tr>
    </w:tbl>
    <w:p w14:paraId="55F6D022"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7246726" w14:textId="77777777">
        <w:tc>
          <w:tcPr>
            <w:tcW w:w="227" w:type="pct"/>
            <w:noWrap/>
            <w:hideMark/>
          </w:tcPr>
          <w:p w14:paraId="789B8569"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0159FDEA"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746EBBB8" w14:textId="77777777" w:rsidR="00000000" w:rsidRDefault="007125B5">
            <w:pPr>
              <w:pStyle w:val="a3"/>
              <w:spacing w:before="120" w:beforeAutospacing="0" w:after="0" w:afterAutospacing="0"/>
              <w:rPr>
                <w:sz w:val="20"/>
                <w:szCs w:val="20"/>
              </w:rPr>
            </w:pPr>
            <w:r>
              <w:rPr>
                <w:sz w:val="20"/>
                <w:szCs w:val="20"/>
              </w:rPr>
              <w:t>our international operations;</w:t>
            </w:r>
          </w:p>
        </w:tc>
      </w:tr>
    </w:tbl>
    <w:p w14:paraId="2A95F200"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F2AE587" w14:textId="77777777">
        <w:tc>
          <w:tcPr>
            <w:tcW w:w="227" w:type="pct"/>
            <w:noWrap/>
            <w:hideMark/>
          </w:tcPr>
          <w:p w14:paraId="5571B1A1"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05B86035"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0D4F8841" w14:textId="77777777" w:rsidR="00000000" w:rsidRDefault="007125B5">
            <w:pPr>
              <w:pStyle w:val="a3"/>
              <w:spacing w:before="120" w:beforeAutospacing="0" w:after="0" w:afterAutospacing="0"/>
              <w:rPr>
                <w:sz w:val="20"/>
                <w:szCs w:val="20"/>
              </w:rPr>
            </w:pPr>
            <w:r>
              <w:rPr>
                <w:sz w:val="20"/>
                <w:szCs w:val="20"/>
              </w:rPr>
              <w:t>product related risks;</w:t>
            </w:r>
          </w:p>
        </w:tc>
      </w:tr>
    </w:tbl>
    <w:p w14:paraId="6BB4438F"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4AE7F88" w14:textId="77777777">
        <w:tc>
          <w:tcPr>
            <w:tcW w:w="227" w:type="pct"/>
            <w:noWrap/>
            <w:hideMark/>
          </w:tcPr>
          <w:p w14:paraId="7D90A4C7"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310E72C9"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125652AD" w14:textId="77777777" w:rsidR="00000000" w:rsidRDefault="007125B5">
            <w:pPr>
              <w:pStyle w:val="a3"/>
              <w:spacing w:before="120" w:beforeAutospacing="0" w:after="0" w:afterAutospacing="0"/>
              <w:rPr>
                <w:sz w:val="20"/>
                <w:szCs w:val="20"/>
              </w:rPr>
            </w:pPr>
            <w:r>
              <w:rPr>
                <w:sz w:val="20"/>
                <w:szCs w:val="20"/>
              </w:rPr>
              <w:t>environmental regulations and liabilities; and</w:t>
            </w:r>
          </w:p>
        </w:tc>
      </w:tr>
    </w:tbl>
    <w:p w14:paraId="055F3F3B"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95F4E5D" w14:textId="77777777">
        <w:tc>
          <w:tcPr>
            <w:tcW w:w="227" w:type="pct"/>
            <w:noWrap/>
            <w:hideMark/>
          </w:tcPr>
          <w:p w14:paraId="32095E1A" w14:textId="77777777" w:rsidR="00000000" w:rsidRDefault="007125B5">
            <w:pPr>
              <w:pStyle w:val="a3"/>
              <w:spacing w:before="120" w:beforeAutospacing="0" w:after="0" w:afterAutospacing="0"/>
              <w:rPr>
                <w:sz w:val="20"/>
                <w:szCs w:val="20"/>
              </w:rPr>
            </w:pPr>
            <w:r>
              <w:rPr>
                <w:sz w:val="20"/>
                <w:szCs w:val="20"/>
              </w:rPr>
              <w:t> </w:t>
            </w:r>
          </w:p>
        </w:tc>
        <w:tc>
          <w:tcPr>
            <w:tcW w:w="227" w:type="pct"/>
            <w:noWrap/>
            <w:hideMark/>
          </w:tcPr>
          <w:p w14:paraId="2C6BD09B" w14:textId="77777777" w:rsidR="00000000" w:rsidRDefault="007125B5">
            <w:pPr>
              <w:pStyle w:val="a3"/>
              <w:spacing w:before="120" w:beforeAutospacing="0" w:after="0" w:afterAutospacing="0"/>
              <w:rPr>
                <w:sz w:val="20"/>
                <w:szCs w:val="20"/>
              </w:rPr>
            </w:pPr>
            <w:r>
              <w:rPr>
                <w:sz w:val="20"/>
                <w:szCs w:val="20"/>
              </w:rPr>
              <w:t>•</w:t>
            </w:r>
          </w:p>
        </w:tc>
        <w:tc>
          <w:tcPr>
            <w:tcW w:w="0" w:type="auto"/>
            <w:hideMark/>
          </w:tcPr>
          <w:p w14:paraId="3F2E96E3" w14:textId="77777777" w:rsidR="00000000" w:rsidRDefault="007125B5">
            <w:pPr>
              <w:pStyle w:val="a3"/>
              <w:spacing w:before="120" w:beforeAutospacing="0" w:after="0" w:afterAutospacing="0"/>
              <w:rPr>
                <w:sz w:val="20"/>
                <w:szCs w:val="20"/>
              </w:rPr>
            </w:pPr>
            <w:r>
              <w:rPr>
                <w:sz w:val="20"/>
                <w:szCs w:val="20"/>
              </w:rPr>
              <w:t>additional factors discussed in our filings with the Securities and Exchange Commission, or the SEC.</w:t>
            </w:r>
          </w:p>
        </w:tc>
      </w:tr>
    </w:tbl>
    <w:p w14:paraId="584E4610" w14:textId="77777777" w:rsidR="00000000" w:rsidRDefault="007125B5">
      <w:pPr>
        <w:pStyle w:val="a3"/>
        <w:spacing w:before="240" w:beforeAutospacing="0" w:after="0" w:afterAutospacing="0"/>
        <w:jc w:val="center"/>
        <w:rPr>
          <w:sz w:val="20"/>
          <w:szCs w:val="20"/>
        </w:rPr>
      </w:pPr>
      <w:r>
        <w:rPr>
          <w:sz w:val="20"/>
          <w:szCs w:val="20"/>
        </w:rPr>
        <w:t>27</w:t>
      </w:r>
    </w:p>
    <w:p w14:paraId="4DE2AC74" w14:textId="77777777" w:rsidR="00000000" w:rsidRDefault="007125B5">
      <w:pPr>
        <w:rPr>
          <w:rFonts w:eastAsia="Times New Roman"/>
        </w:rPr>
      </w:pPr>
      <w:r>
        <w:rPr>
          <w:rFonts w:eastAsia="Times New Roman"/>
        </w:rPr>
        <w:pict w14:anchorId="578F6EE2">
          <v:rect id="_x0000_i1053" style="width:415.3pt;height:1.5pt" o:hralign="center" o:hrstd="t" o:hr="t" fillcolor="#a0a0a0" stroked="f"/>
        </w:pict>
      </w:r>
    </w:p>
    <w:p w14:paraId="0BFEB36A" w14:textId="77777777" w:rsidR="00000000" w:rsidRDefault="007125B5">
      <w:pPr>
        <w:pStyle w:val="a3"/>
        <w:spacing w:before="0" w:beforeAutospacing="0" w:after="0" w:afterAutospacing="0"/>
        <w:rPr>
          <w:sz w:val="20"/>
          <w:szCs w:val="20"/>
        </w:rPr>
      </w:pPr>
      <w:r>
        <w:rPr>
          <w:sz w:val="20"/>
          <w:szCs w:val="20"/>
        </w:rPr>
        <w:t> </w:t>
      </w:r>
    </w:p>
    <w:p w14:paraId="453591BF" w14:textId="77777777" w:rsidR="00000000" w:rsidRDefault="007125B5">
      <w:pPr>
        <w:pStyle w:val="a3"/>
        <w:spacing w:before="240" w:beforeAutospacing="0" w:after="0" w:afterAutospacing="0"/>
        <w:ind w:firstLine="556"/>
        <w:rPr>
          <w:sz w:val="20"/>
          <w:szCs w:val="20"/>
        </w:rPr>
      </w:pPr>
      <w:bookmarkStart w:id="45" w:name="_AEIOULastRenderedPageBreakAEIOU30"/>
      <w:bookmarkEnd w:id="45"/>
      <w:r>
        <w:rPr>
          <w:sz w:val="20"/>
          <w:szCs w:val="20"/>
        </w:rPr>
        <w:t>The forward-looking statements in this Quarterly Report on Form 10-Q are based on historical performance and management’s current plans, estimates and expectations in light of information currently available to us and are su</w:t>
      </w:r>
      <w:r>
        <w:rPr>
          <w:sz w:val="20"/>
          <w:szCs w:val="20"/>
        </w:rPr>
        <w:t>bject to uncertainty and changes in circumstances. There can be no assurance that future developments affecting us will be those that we have anticipated. Actual results may differ materially from these expectations due to changes in global, regional or lo</w:t>
      </w:r>
      <w:r>
        <w:rPr>
          <w:sz w:val="20"/>
          <w:szCs w:val="20"/>
        </w:rPr>
        <w:t>cal political, economic, business, competitive, market, regulatory and other factors, many of which are beyond our control, as well as the other factors described in “Risk Factors” in our Final Prospectus dated July 22, 2020. Further, many of these factors</w:t>
      </w:r>
      <w:r>
        <w:rPr>
          <w:sz w:val="20"/>
          <w:szCs w:val="20"/>
        </w:rPr>
        <w:t xml:space="preserve"> are, and may continue to be, amplified by the COVID-19 pandemic. </w:t>
      </w:r>
    </w:p>
    <w:p w14:paraId="3325149E" w14:textId="77777777" w:rsidR="00000000" w:rsidRDefault="007125B5">
      <w:pPr>
        <w:pStyle w:val="a3"/>
        <w:spacing w:before="240" w:beforeAutospacing="0" w:after="0" w:afterAutospacing="0"/>
        <w:ind w:firstLine="556"/>
        <w:rPr>
          <w:sz w:val="20"/>
          <w:szCs w:val="20"/>
        </w:rPr>
      </w:pPr>
      <w:r>
        <w:rPr>
          <w:sz w:val="20"/>
          <w:szCs w:val="20"/>
        </w:rPr>
        <w:t>Additional factors or events that could cause our actual results to differ may also emerge from time to time, and it is not possible for us to predict all of them. Should one or more of the</w:t>
      </w:r>
      <w:r>
        <w:rPr>
          <w:sz w:val="20"/>
          <w:szCs w:val="20"/>
        </w:rPr>
        <w:t>se risks or uncertainties materialize, or should any of our assumptions prove to be incorrect, our actual results may vary in material respects from what we may have expressed or implied by any forward-looking statement and, therefore, you should not regar</w:t>
      </w:r>
      <w:r>
        <w:rPr>
          <w:sz w:val="20"/>
          <w:szCs w:val="20"/>
        </w:rPr>
        <w:t>d any forward-looking statement as a representation or warranty by us or any other person that we will successfully achieve the expectation, plan or objective expressed in such forward-looking statement in any specified time frame, or at all. We caution th</w:t>
      </w:r>
      <w:r>
        <w:rPr>
          <w:sz w:val="20"/>
          <w:szCs w:val="20"/>
        </w:rPr>
        <w:t>at you should not place undue reliance on any of our forward-looking statements. Any forward-looking statement made by us speaks only as of the date on which we make it. We undertake no obligation to publicly update any forward-looking statement, whether a</w:t>
      </w:r>
      <w:r>
        <w:rPr>
          <w:sz w:val="20"/>
          <w:szCs w:val="20"/>
        </w:rPr>
        <w:t>s a result of new information, future developments or otherwise, except as may be required by applicable securities laws.</w:t>
      </w:r>
    </w:p>
    <w:p w14:paraId="3094CF23" w14:textId="77777777" w:rsidR="00000000" w:rsidRDefault="007125B5">
      <w:pPr>
        <w:pStyle w:val="a3"/>
        <w:spacing w:before="0" w:beforeAutospacing="0" w:after="0" w:afterAutospacing="0"/>
        <w:rPr>
          <w:sz w:val="20"/>
          <w:szCs w:val="20"/>
        </w:rPr>
      </w:pPr>
      <w:r>
        <w:rPr>
          <w:sz w:val="20"/>
          <w:szCs w:val="20"/>
        </w:rPr>
        <w:t> </w:t>
      </w:r>
    </w:p>
    <w:p w14:paraId="57DB2E1B" w14:textId="77777777" w:rsidR="00000000" w:rsidRDefault="007125B5">
      <w:pPr>
        <w:pStyle w:val="a3"/>
        <w:spacing w:before="240" w:beforeAutospacing="0" w:after="0" w:afterAutospacing="0"/>
        <w:jc w:val="center"/>
        <w:rPr>
          <w:sz w:val="20"/>
          <w:szCs w:val="20"/>
        </w:rPr>
      </w:pPr>
      <w:r>
        <w:rPr>
          <w:sz w:val="20"/>
          <w:szCs w:val="20"/>
        </w:rPr>
        <w:t>28</w:t>
      </w:r>
    </w:p>
    <w:p w14:paraId="0E84AB16" w14:textId="77777777" w:rsidR="00000000" w:rsidRDefault="007125B5">
      <w:pPr>
        <w:rPr>
          <w:rFonts w:eastAsia="Times New Roman"/>
        </w:rPr>
      </w:pPr>
      <w:r>
        <w:rPr>
          <w:rFonts w:eastAsia="Times New Roman"/>
        </w:rPr>
        <w:pict w14:anchorId="349DBCA1">
          <v:rect id="_x0000_i1054" style="width:415.3pt;height:1.5pt" o:hralign="center" o:hrstd="t" o:hr="t" fillcolor="#a0a0a0" stroked="f"/>
        </w:pict>
      </w:r>
    </w:p>
    <w:p w14:paraId="12A42657" w14:textId="77777777" w:rsidR="00000000" w:rsidRDefault="007125B5">
      <w:pPr>
        <w:pStyle w:val="a3"/>
        <w:spacing w:before="0" w:beforeAutospacing="0" w:after="0" w:afterAutospacing="0"/>
        <w:rPr>
          <w:sz w:val="20"/>
          <w:szCs w:val="20"/>
        </w:rPr>
      </w:pPr>
      <w:r>
        <w:rPr>
          <w:sz w:val="20"/>
          <w:szCs w:val="20"/>
        </w:rPr>
        <w:t> </w:t>
      </w:r>
    </w:p>
    <w:p w14:paraId="3E5F85B0" w14:textId="77777777" w:rsidR="00000000" w:rsidRDefault="007125B5">
      <w:pPr>
        <w:pStyle w:val="a3"/>
        <w:spacing w:before="0" w:beforeAutospacing="0" w:after="0" w:afterAutospacing="0"/>
        <w:rPr>
          <w:b/>
          <w:bCs/>
          <w:sz w:val="20"/>
          <w:szCs w:val="20"/>
        </w:rPr>
      </w:pPr>
      <w:bookmarkStart w:id="46" w:name="_AEIOULastRenderedPageBreakAEIOU31"/>
      <w:bookmarkStart w:id="47" w:name="ITEM_2_MANAGEMENTS_DISCUSSION_ANALYSIS_F"/>
      <w:bookmarkEnd w:id="46"/>
      <w:r>
        <w:rPr>
          <w:b/>
          <w:bCs/>
          <w:sz w:val="20"/>
          <w:szCs w:val="20"/>
        </w:rPr>
        <w:t xml:space="preserve">Item </w:t>
      </w:r>
      <w:bookmarkEnd w:id="47"/>
      <w:r>
        <w:rPr>
          <w:b/>
          <w:bCs/>
          <w:sz w:val="20"/>
          <w:szCs w:val="20"/>
        </w:rPr>
        <w:t>2. Management’s Discussion and Analysis of Financial Condition and Re</w:t>
      </w:r>
      <w:r>
        <w:rPr>
          <w:b/>
          <w:bCs/>
          <w:sz w:val="20"/>
          <w:szCs w:val="20"/>
        </w:rPr>
        <w:t>sults of Operations.</w:t>
      </w:r>
    </w:p>
    <w:p w14:paraId="71987F9C" w14:textId="77777777" w:rsidR="00000000" w:rsidRDefault="007125B5">
      <w:pPr>
        <w:pStyle w:val="a3"/>
        <w:shd w:val="clear" w:color="auto" w:fill="FFFFFF"/>
        <w:spacing w:before="120" w:beforeAutospacing="0" w:after="0" w:afterAutospacing="0"/>
        <w:ind w:firstLine="556"/>
        <w:rPr>
          <w:i/>
          <w:iCs/>
          <w:color w:val="000000"/>
          <w:sz w:val="20"/>
          <w:szCs w:val="20"/>
        </w:rPr>
      </w:pPr>
      <w:r>
        <w:rPr>
          <w:i/>
          <w:iCs/>
          <w:color w:val="000000"/>
          <w:sz w:val="20"/>
          <w:szCs w:val="20"/>
        </w:rPr>
        <w:t>The following discussion and analysis of our financial condition and results of operations should be read in conjunction with our historical audited and unaudited consolidated financial statements and related notes and other informatio</w:t>
      </w:r>
      <w:r>
        <w:rPr>
          <w:i/>
          <w:iCs/>
          <w:color w:val="000000"/>
          <w:sz w:val="20"/>
          <w:szCs w:val="20"/>
        </w:rPr>
        <w:t>n included elsewhere in this filing and our other filings with the SEC, including our unaudited condensed consolidated financial statements and the accompanying notes as of and for the three and six months ended June 30, 2020 and 2019 included in Part I, I</w:t>
      </w:r>
      <w:r>
        <w:rPr>
          <w:i/>
          <w:iCs/>
          <w:color w:val="000000"/>
          <w:sz w:val="20"/>
          <w:szCs w:val="20"/>
        </w:rPr>
        <w:t>tem 1. “Financial Statements” in this Quarterly Report on Form 10-Q . This discussion contains forward-looking statements that involve risks and uncertainties. Our actual results could differ materially from such forward-looking statements. Factors that co</w:t>
      </w:r>
      <w:r>
        <w:rPr>
          <w:i/>
          <w:iCs/>
          <w:color w:val="000000"/>
          <w:sz w:val="20"/>
          <w:szCs w:val="20"/>
        </w:rPr>
        <w:t>uld cause or contribute to those differences include, but are not limited to, those identified below and those discussed in the section entitled “Forward-Looking Statements”, and elsewhere in this filing and our other filings with the SEC.</w:t>
      </w:r>
    </w:p>
    <w:p w14:paraId="0264793D" w14:textId="77777777" w:rsidR="00000000" w:rsidRDefault="007125B5">
      <w:pPr>
        <w:pStyle w:val="a3"/>
        <w:shd w:val="clear" w:color="auto" w:fill="FFFFFF"/>
        <w:spacing w:before="360" w:beforeAutospacing="0" w:after="0" w:afterAutospacing="0"/>
        <w:jc w:val="center"/>
        <w:rPr>
          <w:b/>
          <w:bCs/>
          <w:color w:val="000000"/>
          <w:sz w:val="20"/>
          <w:szCs w:val="20"/>
        </w:rPr>
      </w:pPr>
      <w:r>
        <w:rPr>
          <w:b/>
          <w:bCs/>
          <w:color w:val="000000"/>
          <w:sz w:val="20"/>
          <w:szCs w:val="20"/>
        </w:rPr>
        <w:t>Overview</w:t>
      </w:r>
    </w:p>
    <w:p w14:paraId="638BCC7C"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Since o</w:t>
      </w:r>
      <w:r>
        <w:rPr>
          <w:color w:val="000000"/>
          <w:sz w:val="20"/>
          <w:szCs w:val="20"/>
        </w:rPr>
        <w:t>ur inception in 2012, our mission has been to help clients and communities meet their environmental goals and needs. Today, we have emerged as one of the fastest growing companies in a highly fragmented and growing $1.25 trillion global environmental indus</w:t>
      </w:r>
      <w:r>
        <w:rPr>
          <w:color w:val="000000"/>
          <w:sz w:val="20"/>
          <w:szCs w:val="20"/>
        </w:rPr>
        <w:t>try.</w:t>
      </w:r>
    </w:p>
    <w:p w14:paraId="05309B27"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Our Segments</w:t>
      </w:r>
    </w:p>
    <w:p w14:paraId="34BCD314"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We provide environmental services to our clients through three business segments—Assessment, Permitting and Response, Measurement and Analysis and Remediation and Reuse.</w:t>
      </w:r>
    </w:p>
    <w:p w14:paraId="4AFA6AAD"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Assessment, Permitting and Response</w:t>
      </w:r>
    </w:p>
    <w:p w14:paraId="03DB4279"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Through our Assessment, Permitti</w:t>
      </w:r>
      <w:r>
        <w:rPr>
          <w:color w:val="000000"/>
          <w:sz w:val="20"/>
          <w:szCs w:val="20"/>
        </w:rPr>
        <w:t>ng and Response segment, we provide scientific advisory and consulting services to support environmental assessments, environmental emergency response, and environmental audits and permits for current operations, facility upgrades, new projects, decommissi</w:t>
      </w:r>
      <w:r>
        <w:rPr>
          <w:color w:val="000000"/>
          <w:sz w:val="20"/>
          <w:szCs w:val="20"/>
        </w:rPr>
        <w:t>oning projects and development projects. Our technical advisory and consulting offerings include regulatory compliance support and planning, environmental, ecosystem and toxicological assessments and support during responses to environmental disruption. We</w:t>
      </w:r>
      <w:r>
        <w:rPr>
          <w:color w:val="000000"/>
          <w:sz w:val="20"/>
          <w:szCs w:val="20"/>
        </w:rPr>
        <w:t xml:space="preserve"> help clients navigate regulations at the local, state, provincial and federal levels. In addition to environmental toxicology, through June 30, 2020, our scientists and response teams have helped clients address COVID-19-related needs on approximately 200</w:t>
      </w:r>
      <w:r>
        <w:rPr>
          <w:color w:val="000000"/>
          <w:sz w:val="20"/>
          <w:szCs w:val="20"/>
        </w:rPr>
        <w:t xml:space="preserve"> separate projects, and continue to help clients navigate their preparation for and response to COVID-19 infections.</w:t>
      </w:r>
    </w:p>
    <w:p w14:paraId="0D91C459"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Measurement and Analysis</w:t>
      </w:r>
    </w:p>
    <w:p w14:paraId="2C263A23"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Through our Measurement and Analysis segment, our highly credentialed teams test and analyze air, water and soil t</w:t>
      </w:r>
      <w:r>
        <w:rPr>
          <w:color w:val="000000"/>
          <w:sz w:val="20"/>
          <w:szCs w:val="20"/>
        </w:rPr>
        <w:t>o determine concentrations of contaminants as well as the toxicological impact of contaminants on flora, fauna and human health. Our offerings include source and ambient air testing and monitoring, leak detection and advanced analytical laboratory services</w:t>
      </w:r>
      <w:r>
        <w:rPr>
          <w:color w:val="000000"/>
          <w:sz w:val="20"/>
          <w:szCs w:val="20"/>
        </w:rPr>
        <w:t xml:space="preserve"> such as air, storm water, wastewater and drinking water analysis. </w:t>
      </w:r>
    </w:p>
    <w:p w14:paraId="51912635"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Remediation and Reuse</w:t>
      </w:r>
    </w:p>
    <w:p w14:paraId="4873A2C2"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Through our Remediation and Reuse segment, we provide clients with engineering, design, implementation and operations and maintenance services, primarily to treat con</w:t>
      </w:r>
      <w:r>
        <w:rPr>
          <w:color w:val="000000"/>
          <w:sz w:val="20"/>
          <w:szCs w:val="20"/>
        </w:rPr>
        <w:t>taminated water, remove contaminants from soil or create biogas from waste. We do not own the properties or facilities at which we implement these projects or the underlying liabilities, nor do we own material amounts of the equipment used in projects; ins</w:t>
      </w:r>
      <w:r>
        <w:rPr>
          <w:color w:val="000000"/>
          <w:sz w:val="20"/>
          <w:szCs w:val="20"/>
        </w:rPr>
        <w:t>tead, we assist our clients in designing solutions, managing projects and mitigating their environmental risks and liabilities.</w:t>
      </w:r>
    </w:p>
    <w:p w14:paraId="1737CEB6"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These operating segments have been structured and organized to align with how we view and manage the business with the full life</w:t>
      </w:r>
      <w:r>
        <w:rPr>
          <w:color w:val="000000"/>
          <w:sz w:val="20"/>
          <w:szCs w:val="20"/>
        </w:rPr>
        <w:t>cycle of our clients’ targeted environmental concerns and needs in mind. Within each segment, we cover similar service offerings, regulatory frameworks, internal operating structures and client types. Corporate activities not directly related to segment pe</w:t>
      </w:r>
      <w:r>
        <w:rPr>
          <w:color w:val="000000"/>
          <w:sz w:val="20"/>
          <w:szCs w:val="20"/>
        </w:rPr>
        <w:t xml:space="preserve">rformance, including general corporate expenses, interest and taxes, are reported separately. </w:t>
      </w:r>
    </w:p>
    <w:p w14:paraId="5301D49D" w14:textId="77777777" w:rsidR="00000000" w:rsidRDefault="007125B5">
      <w:pPr>
        <w:pStyle w:val="a3"/>
        <w:spacing w:before="240" w:beforeAutospacing="0" w:after="0" w:afterAutospacing="0"/>
        <w:jc w:val="center"/>
        <w:rPr>
          <w:sz w:val="20"/>
          <w:szCs w:val="20"/>
        </w:rPr>
      </w:pPr>
      <w:r>
        <w:rPr>
          <w:sz w:val="20"/>
          <w:szCs w:val="20"/>
        </w:rPr>
        <w:t>29</w:t>
      </w:r>
    </w:p>
    <w:p w14:paraId="0846633B" w14:textId="77777777" w:rsidR="00000000" w:rsidRDefault="007125B5">
      <w:pPr>
        <w:rPr>
          <w:rFonts w:eastAsia="Times New Roman"/>
        </w:rPr>
      </w:pPr>
      <w:r>
        <w:rPr>
          <w:rFonts w:eastAsia="Times New Roman"/>
        </w:rPr>
        <w:pict w14:anchorId="225A2EE0">
          <v:rect id="_x0000_i1055" style="width:415.3pt;height:1.5pt" o:hralign="center" o:hrstd="t" o:hr="t" fillcolor="#a0a0a0" stroked="f"/>
        </w:pict>
      </w:r>
    </w:p>
    <w:p w14:paraId="0F5979E5" w14:textId="77777777" w:rsidR="00000000" w:rsidRDefault="007125B5">
      <w:pPr>
        <w:pStyle w:val="a3"/>
        <w:spacing w:before="0" w:beforeAutospacing="0" w:after="0" w:afterAutospacing="0"/>
        <w:rPr>
          <w:sz w:val="20"/>
          <w:szCs w:val="20"/>
        </w:rPr>
      </w:pPr>
      <w:r>
        <w:rPr>
          <w:sz w:val="20"/>
          <w:szCs w:val="20"/>
        </w:rPr>
        <w:t> </w:t>
      </w:r>
    </w:p>
    <w:p w14:paraId="76A60727" w14:textId="77777777" w:rsidR="00000000" w:rsidRDefault="007125B5">
      <w:pPr>
        <w:pStyle w:val="a3"/>
        <w:shd w:val="clear" w:color="auto" w:fill="FFFFFF"/>
        <w:spacing w:before="360" w:beforeAutospacing="0" w:after="0" w:afterAutospacing="0"/>
        <w:rPr>
          <w:b/>
          <w:bCs/>
          <w:color w:val="000000"/>
          <w:sz w:val="20"/>
          <w:szCs w:val="20"/>
        </w:rPr>
      </w:pPr>
      <w:bookmarkStart w:id="48" w:name="_AEIOULastRenderedPageBreakAEIOU32"/>
      <w:bookmarkEnd w:id="48"/>
      <w:r>
        <w:rPr>
          <w:b/>
          <w:bCs/>
          <w:color w:val="000000"/>
          <w:sz w:val="20"/>
          <w:szCs w:val="20"/>
        </w:rPr>
        <w:t>COVID-19</w:t>
      </w:r>
    </w:p>
    <w:p w14:paraId="5A6D4F83"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We are closely monitoring the impact of the COVID-19 pandemic on our business, including the impact on our customers, employees and suppliers. While COVID-19 did not have a material adverse effect on our reported results for the first half of 2020, we did </w:t>
      </w:r>
      <w:r>
        <w:rPr>
          <w:color w:val="000000"/>
          <w:sz w:val="20"/>
          <w:szCs w:val="20"/>
        </w:rPr>
        <w:t>experience some changes to our business operations. The changes were primarily composed of client postponement of on-site environmental compliance testing, delays in project start dates, and postponement or reformatting of scientific presentations and sale</w:t>
      </w:r>
      <w:r>
        <w:rPr>
          <w:color w:val="000000"/>
          <w:sz w:val="20"/>
          <w:szCs w:val="20"/>
        </w:rPr>
        <w:t>s visits. We believe these impacts are temporary and accordingly we have instituted temporary cost mitigation measures such as limited furloughs and reducing non-billable time for a subset of our impacted workforce. Our businesses exposed to commercial foo</w:t>
      </w:r>
      <w:r>
        <w:rPr>
          <w:color w:val="000000"/>
          <w:sz w:val="20"/>
          <w:szCs w:val="20"/>
        </w:rPr>
        <w:t>d waste and non-specialized municipal water engineering projects also saw or are seeing more significant disruptions and, as a result, in the first quarter we exited those service lines as described further below. On the other hand, our recent CTEH acquisi</w:t>
      </w:r>
      <w:r>
        <w:rPr>
          <w:color w:val="000000"/>
          <w:sz w:val="20"/>
          <w:szCs w:val="20"/>
        </w:rPr>
        <w:t>tion has seen benefits from COVID-19 given client demand for its toxicology and response services. In the aggregate, the majority of our business and our outlook for 2020 has been largely unimpacted to-date. We have not experienced a significant slowdown i</w:t>
      </w:r>
      <w:r>
        <w:rPr>
          <w:color w:val="000000"/>
          <w:sz w:val="20"/>
          <w:szCs w:val="20"/>
        </w:rPr>
        <w:t>n cash collections, and as a result cash flow from operations has not been materially adversely impacted. In addition, in the second quarter we entered into a new credit facility, replacing our prior senior secured credit facility, and as a result, increas</w:t>
      </w:r>
      <w:r>
        <w:rPr>
          <w:color w:val="000000"/>
          <w:sz w:val="20"/>
          <w:szCs w:val="20"/>
        </w:rPr>
        <w:t>ed cash on hand and borrowing capacity. We expect our sources of liquidity to be sufficient for our operating needs for the next twelve months. See “Liquidity and Capital Resources.”</w:t>
      </w:r>
    </w:p>
    <w:p w14:paraId="2E90479B"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On March 27, 2020, the Coronavirus Aid, Relief, and Economic Security Act</w:t>
      </w:r>
      <w:r>
        <w:rPr>
          <w:color w:val="000000"/>
          <w:sz w:val="20"/>
          <w:szCs w:val="20"/>
        </w:rPr>
        <w:t>, or the CARES Act was enacted. The CARES Act includes several significant provisions for corporations, including those pertaining to net operating losses, interest deductions and payroll tax benefits. We anticipate utilizing certain of these provisions, i</w:t>
      </w:r>
      <w:r>
        <w:rPr>
          <w:color w:val="000000"/>
          <w:sz w:val="20"/>
          <w:szCs w:val="20"/>
        </w:rPr>
        <w:t xml:space="preserve">ncluding deferring the employer side social security payments for payroll paid for the remainder of 2020, which we expect will defer approximately $5.0 million of payments to 2021 and 2022. </w:t>
      </w:r>
    </w:p>
    <w:p w14:paraId="7017D82D"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It is difficult to predict the future impact COVID-19 may have on</w:t>
      </w:r>
      <w:r>
        <w:rPr>
          <w:color w:val="000000"/>
          <w:sz w:val="20"/>
          <w:szCs w:val="20"/>
        </w:rPr>
        <w:t xml:space="preserve"> our business, results of operations, financial position, or cash flows. The extent to which we may be impacted will depend largely on future and rapidly evolving developments, including new information on the severity of the pandemic, potential testing, t</w:t>
      </w:r>
      <w:r>
        <w:rPr>
          <w:color w:val="000000"/>
          <w:sz w:val="20"/>
          <w:szCs w:val="20"/>
        </w:rPr>
        <w:t>reatment or vaccines for the virus, and actions by various government authorities to contain the pandemic and mitigate its impact. We intend to closely monitor the impact of COVID-19 on our business and will respond as we believe is appropriate.</w:t>
      </w:r>
    </w:p>
    <w:p w14:paraId="5DCD3281"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Key Factor</w:t>
      </w:r>
      <w:r>
        <w:rPr>
          <w:b/>
          <w:bCs/>
          <w:color w:val="000000"/>
          <w:sz w:val="20"/>
          <w:szCs w:val="20"/>
        </w:rPr>
        <w:t>s that Affect Our Business and Our Results</w:t>
      </w:r>
    </w:p>
    <w:p w14:paraId="241757F4"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Our operating results and financial performance are influenced by a variety of internal and external trends and other factors. Some of the more important factors are discussed briefly below.</w:t>
      </w:r>
    </w:p>
    <w:p w14:paraId="2E96045B"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Acquisitions</w:t>
      </w:r>
    </w:p>
    <w:p w14:paraId="4C31F34B"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We have b</w:t>
      </w:r>
      <w:r>
        <w:rPr>
          <w:color w:val="000000"/>
          <w:sz w:val="20"/>
          <w:szCs w:val="20"/>
        </w:rPr>
        <w:t>een, and expect to continue to be, an acquisitive company. Since January 1, 2017, we have acquired 22 businesses (seven businesses in each of the last three fiscal years and one in the second quarter of 2020).</w:t>
      </w:r>
    </w:p>
    <w:p w14:paraId="334F7517"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Acquisitions have expanded our environmental s</w:t>
      </w:r>
      <w:r>
        <w:rPr>
          <w:color w:val="000000"/>
          <w:sz w:val="20"/>
          <w:szCs w:val="20"/>
        </w:rPr>
        <w:t>ervice capabilities across all three segments, our access to technology, as well as our geographic reach in the United States, Canada and Australia. In April 2020, we acquired CTEH and we acquired three businesses in the second quarter of 2019. For the thr</w:t>
      </w:r>
      <w:r>
        <w:rPr>
          <w:color w:val="000000"/>
          <w:sz w:val="20"/>
          <w:szCs w:val="20"/>
        </w:rPr>
        <w:t xml:space="preserve">ee months ended June 30, 2020 and June 30, 2019, approximately $26.5 million and $1.9 million, or 19.7% and 1.8% of our revenues, respectively, was generated from acquisitions occurring during the applicable period. We did not acquire any companies in the </w:t>
      </w:r>
      <w:r>
        <w:rPr>
          <w:color w:val="000000"/>
          <w:sz w:val="20"/>
          <w:szCs w:val="20"/>
        </w:rPr>
        <w:t>first quarter of 2020. See Note 6 to our unaudited condensed consolidated financial statements. Revenues from acquired companies exclude intercompany revenues from revenue synergies realized between business lines within operating segments, as these are el</w:t>
      </w:r>
      <w:r>
        <w:rPr>
          <w:color w:val="000000"/>
          <w:sz w:val="20"/>
          <w:szCs w:val="20"/>
        </w:rPr>
        <w:t>iminated at the consolidated segment and Company level. We expect our revenue growth to continue to be driven in significant part by acquisitions, in particular, by our recent acquisition of CTEH.</w:t>
      </w:r>
    </w:p>
    <w:p w14:paraId="0A4BBBF7" w14:textId="77777777" w:rsidR="00000000" w:rsidRDefault="007125B5">
      <w:pPr>
        <w:pStyle w:val="a3"/>
        <w:shd w:val="clear" w:color="auto" w:fill="FFFFFF"/>
        <w:spacing w:before="240" w:beforeAutospacing="0" w:after="0" w:afterAutospacing="0"/>
        <w:ind w:firstLine="556"/>
        <w:rPr>
          <w:color w:val="000000"/>
          <w:sz w:val="20"/>
          <w:szCs w:val="20"/>
        </w:rPr>
      </w:pPr>
      <w:bookmarkStart w:id="49" w:name="_AEIOULastRenderedPageBreakAEIOU33"/>
      <w:bookmarkStart w:id="50" w:name="_Hlk47362474"/>
      <w:bookmarkEnd w:id="49"/>
      <w:r>
        <w:rPr>
          <w:color w:val="000000"/>
          <w:sz w:val="20"/>
          <w:szCs w:val="20"/>
        </w:rPr>
        <w:t>As a result of our acquisitions, goodwill and other intangi</w:t>
      </w:r>
      <w:r>
        <w:rPr>
          <w:color w:val="000000"/>
          <w:sz w:val="20"/>
          <w:szCs w:val="20"/>
        </w:rPr>
        <w:t>ble assets represent a significant proportion of our total assets, and amortization of intangible assets has historically been a significant expense. For the three months ended June 30, 2020 and June 30, 2019, amortization expense was $7.8 million and $4.5</w:t>
      </w:r>
      <w:r>
        <w:rPr>
          <w:color w:val="000000"/>
          <w:sz w:val="20"/>
          <w:szCs w:val="20"/>
        </w:rPr>
        <w:t xml:space="preserve"> million, respectively. For the six months ended June 30, 2020 and June 30, 2019, amortization expense was $13.3 million and $9.1 million, res</w:t>
      </w:r>
      <w:bookmarkEnd w:id="50"/>
      <w:r>
        <w:rPr>
          <w:color w:val="000000"/>
          <w:sz w:val="20"/>
          <w:szCs w:val="20"/>
        </w:rPr>
        <w:t>pectively.  Our historical financial statements also include other acquisition-related costs, including costs rela</w:t>
      </w:r>
      <w:r>
        <w:rPr>
          <w:color w:val="000000"/>
          <w:sz w:val="20"/>
          <w:szCs w:val="20"/>
        </w:rPr>
        <w:t>ting to external legal support, diligence and valuation services and other transaction and integration-related matters. For the three months ended June 30, 2020 and June 30, 2019, total acquisition-related costs were $2.5 million and $0.9 million, respecti</w:t>
      </w:r>
      <w:r>
        <w:rPr>
          <w:color w:val="000000"/>
          <w:sz w:val="20"/>
          <w:szCs w:val="20"/>
        </w:rPr>
        <w:t>vely. For the six months ended June 30, 2020 and June 30, 2019, total acquisition-related costs were $3.8 million and $1.1 million, respectively. In addition, in any year gains and losses from changes in the fair value of earn-out related contingent consid</w:t>
      </w:r>
      <w:r>
        <w:rPr>
          <w:color w:val="000000"/>
          <w:sz w:val="20"/>
          <w:szCs w:val="20"/>
        </w:rPr>
        <w:t>eration could be significant. For the three and six months ended June 30, 2020, change in the fair value of contingent consideration resulted in a net charge of $4.0 million. For the three and six months ended June 30, 2019, change in the fair value of con</w:t>
      </w:r>
      <w:r>
        <w:rPr>
          <w:color w:val="000000"/>
          <w:sz w:val="20"/>
          <w:szCs w:val="20"/>
        </w:rPr>
        <w:t>tingent consideration resulted in a net gain of $0.9 million. Additionally, we may be required to make up to $80.0 million in earn-out payments over the next two years in connection with our recent acquisition of CTEH, a portion of which will be paid in th</w:t>
      </w:r>
      <w:r>
        <w:rPr>
          <w:color w:val="000000"/>
          <w:sz w:val="20"/>
          <w:szCs w:val="20"/>
        </w:rPr>
        <w:t xml:space="preserve">e </w:t>
      </w:r>
    </w:p>
    <w:p w14:paraId="1676A695" w14:textId="77777777" w:rsidR="00000000" w:rsidRDefault="007125B5">
      <w:pPr>
        <w:pStyle w:val="a3"/>
        <w:spacing w:before="240" w:beforeAutospacing="0" w:after="0" w:afterAutospacing="0"/>
        <w:jc w:val="center"/>
        <w:rPr>
          <w:sz w:val="20"/>
          <w:szCs w:val="20"/>
        </w:rPr>
      </w:pPr>
      <w:r>
        <w:rPr>
          <w:sz w:val="20"/>
          <w:szCs w:val="20"/>
        </w:rPr>
        <w:t>30</w:t>
      </w:r>
    </w:p>
    <w:p w14:paraId="60E17047" w14:textId="77777777" w:rsidR="00000000" w:rsidRDefault="007125B5">
      <w:pPr>
        <w:rPr>
          <w:rFonts w:eastAsia="Times New Roman"/>
        </w:rPr>
      </w:pPr>
      <w:r>
        <w:rPr>
          <w:rFonts w:eastAsia="Times New Roman"/>
        </w:rPr>
        <w:pict w14:anchorId="78C51EAA">
          <v:rect id="_x0000_i1056" style="width:415.3pt;height:1.5pt" o:hralign="center" o:hrstd="t" o:hr="t" fillcolor="#a0a0a0" stroked="f"/>
        </w:pict>
      </w:r>
    </w:p>
    <w:p w14:paraId="439D3EF1" w14:textId="77777777" w:rsidR="00000000" w:rsidRDefault="007125B5">
      <w:pPr>
        <w:pStyle w:val="a3"/>
        <w:spacing w:before="0" w:beforeAutospacing="0" w:after="0" w:afterAutospacing="0"/>
        <w:rPr>
          <w:sz w:val="20"/>
          <w:szCs w:val="20"/>
        </w:rPr>
      </w:pPr>
      <w:r>
        <w:rPr>
          <w:sz w:val="20"/>
          <w:szCs w:val="20"/>
        </w:rPr>
        <w:t> </w:t>
      </w:r>
    </w:p>
    <w:p w14:paraId="028473A7" w14:textId="77777777" w:rsidR="00000000" w:rsidRDefault="007125B5">
      <w:pPr>
        <w:pStyle w:val="a3"/>
        <w:shd w:val="clear" w:color="auto" w:fill="FFFFFF"/>
        <w:spacing w:before="240" w:beforeAutospacing="0" w:after="0" w:afterAutospacing="0"/>
        <w:rPr>
          <w:color w:val="000000"/>
          <w:sz w:val="20"/>
          <w:szCs w:val="20"/>
        </w:rPr>
      </w:pPr>
      <w:r>
        <w:rPr>
          <w:color w:val="000000"/>
          <w:sz w:val="20"/>
          <w:szCs w:val="20"/>
        </w:rPr>
        <w:t>form of shares of our common stock. See “Liquidity and Capital Resou</w:t>
      </w:r>
      <w:r>
        <w:rPr>
          <w:color w:val="000000"/>
          <w:sz w:val="20"/>
          <w:szCs w:val="20"/>
        </w:rPr>
        <w:t>rces.” We expect that amortization of identifiable intangible assets and other acquisition-related costs, assuming we continue to acquire, will continue to be significant.</w:t>
      </w:r>
    </w:p>
    <w:p w14:paraId="2E5587D0"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Organic Growth</w:t>
      </w:r>
    </w:p>
    <w:p w14:paraId="22480E9C"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We have grown organically and expect to continue to do so. We define </w:t>
      </w:r>
      <w:r>
        <w:rPr>
          <w:color w:val="000000"/>
          <w:sz w:val="20"/>
          <w:szCs w:val="20"/>
        </w:rPr>
        <w:t>organic growth as the change in revenues excluding revenues from acquisitions for the first twelve months following the date of acquisition. Management uses organic growth as one of the means by which it assesses our results of operations. Organic growth i</w:t>
      </w:r>
      <w:r>
        <w:rPr>
          <w:color w:val="000000"/>
          <w:sz w:val="20"/>
          <w:szCs w:val="20"/>
        </w:rPr>
        <w:t>s not, however, a measure of revenue calculated in accordance with GAAP and should be considered in conjunction with revenue growth calculated in accordance with GAAP.</w:t>
      </w:r>
    </w:p>
    <w:p w14:paraId="41652B32" w14:textId="77777777" w:rsidR="00000000" w:rsidRDefault="007125B5">
      <w:pPr>
        <w:pStyle w:val="a3"/>
        <w:shd w:val="clear" w:color="auto" w:fill="FFFFFF"/>
        <w:spacing w:before="240" w:beforeAutospacing="0" w:after="0" w:afterAutospacing="0"/>
        <w:rPr>
          <w:b/>
          <w:bCs/>
          <w:i/>
          <w:iCs/>
          <w:color w:val="000000"/>
          <w:sz w:val="20"/>
          <w:szCs w:val="20"/>
        </w:rPr>
      </w:pPr>
      <w:bookmarkStart w:id="51" w:name="_Hlk47088173"/>
      <w:bookmarkEnd w:id="51"/>
      <w:r>
        <w:rPr>
          <w:b/>
          <w:bCs/>
          <w:i/>
          <w:iCs/>
          <w:color w:val="000000"/>
          <w:sz w:val="20"/>
          <w:szCs w:val="20"/>
        </w:rPr>
        <w:t>Discontinued Service Lines</w:t>
      </w:r>
    </w:p>
    <w:p w14:paraId="613703AA"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Periodically, or when circumstances warrant, we evaluate the performance of our business services to ensure that performance and outlook are consistent with expectations. During the first quarter of 2020, as part of this evaluation, we determined to scale </w:t>
      </w:r>
      <w:r>
        <w:rPr>
          <w:color w:val="000000"/>
          <w:sz w:val="20"/>
          <w:szCs w:val="20"/>
        </w:rPr>
        <w:t>back operations of our environmental lab in Berkeley, California, and to exit our non-specialized municipal water engineering service line and our food-waste biogas engineering service line, collectively, the Discontinued Service Lines. The factors underly</w:t>
      </w:r>
      <w:r>
        <w:rPr>
          <w:color w:val="000000"/>
          <w:sz w:val="20"/>
          <w:szCs w:val="20"/>
        </w:rPr>
        <w:t>ing these decisions were accelerated and amplified by the COVID-19 pandemic, which for example, has made the collection of commercial food waste used in biodigesters less consistent and delayed the approval or initiation of certain projects dependent on mu</w:t>
      </w:r>
      <w:r>
        <w:rPr>
          <w:color w:val="000000"/>
          <w:sz w:val="20"/>
          <w:szCs w:val="20"/>
        </w:rPr>
        <w:t>nicipal or state funding. As a part of discontinuing these service lines, a process which was completed in the second quarter of 2020, we eliminated select personnel and, in the first quarter of 2020, booked an additional bad debt reserve related to the in</w:t>
      </w:r>
      <w:r>
        <w:rPr>
          <w:color w:val="000000"/>
          <w:sz w:val="20"/>
          <w:szCs w:val="20"/>
        </w:rPr>
        <w:t>creased uncertainty around the ability to collect on receivables related to these service lines. Revenue from our non-specialized municipal water engineering service line and our food-waste biogas engineering, which are included in the results of our Remed</w:t>
      </w:r>
      <w:r>
        <w:rPr>
          <w:color w:val="000000"/>
          <w:sz w:val="20"/>
          <w:szCs w:val="20"/>
        </w:rPr>
        <w:t>iation and Reuse segment, were $0.4 million and $3.9 million in the three months ended June 30, 2020 and June 30, 2019, respectively, and $1.3 million and $7.4 million in the six months ended June 30, 2020 and June 30, 2019, respectively. Revenues from our</w:t>
      </w:r>
      <w:r>
        <w:rPr>
          <w:color w:val="000000"/>
          <w:sz w:val="20"/>
          <w:szCs w:val="20"/>
        </w:rPr>
        <w:t xml:space="preserve"> Berkeley lab, which are included in the results of our Measurement and Analysis segment, were $0.9 million and $1.9 million in the three months ended June 30, 2020 and June 30, 2019, respectively, and $2.5 million and $3.6 million in the six months ended </w:t>
      </w:r>
      <w:r>
        <w:rPr>
          <w:color w:val="000000"/>
          <w:sz w:val="20"/>
          <w:szCs w:val="20"/>
        </w:rPr>
        <w:t xml:space="preserve">June 30, 2020 and June 30,2019, respectively. We will not generate any revenues from the Discontinued Service Lines after the three months ended June 30, 2020. </w:t>
      </w:r>
    </w:p>
    <w:p w14:paraId="16947D2F"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Revenue Mix</w:t>
      </w:r>
    </w:p>
    <w:p w14:paraId="5993212E"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Our segments generate different levels of profitability and, accordingly, shifts in</w:t>
      </w:r>
      <w:r>
        <w:rPr>
          <w:color w:val="000000"/>
          <w:sz w:val="20"/>
          <w:szCs w:val="20"/>
        </w:rPr>
        <w:t xml:space="preserve"> the mix of revenues between segments can impact our consolidated reported net income, operating margin, Adjusted EBITDA and Adjusted EBITDA margin from year to year. See Note 20 to our unaudited condensed consolidated financial statements. Inter-company r</w:t>
      </w:r>
      <w:r>
        <w:rPr>
          <w:color w:val="000000"/>
          <w:sz w:val="20"/>
          <w:szCs w:val="20"/>
        </w:rPr>
        <w:t>evenues between business lines within segments have been eliminated.</w:t>
      </w:r>
    </w:p>
    <w:p w14:paraId="7C6CC8E2"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Financing Costs</w:t>
      </w:r>
    </w:p>
    <w:p w14:paraId="74638ADF"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Financing costs, relating primarily to interest expense on our debt, continue to be a significant component of our results of operations. For the three months ended June 3</w:t>
      </w:r>
      <w:r>
        <w:rPr>
          <w:color w:val="000000"/>
          <w:sz w:val="20"/>
          <w:szCs w:val="20"/>
        </w:rPr>
        <w:t>0, 2020 and June 30, 2019, we incurred interest expense of $5.3 million and $1.2 million, respectively. For the six months ended June 30, 2020 and June 30, 2019, we incurred interest expense of $7.9 million and $2.5 million, respectively. On April 13, 2020</w:t>
      </w:r>
      <w:r>
        <w:rPr>
          <w:color w:val="000000"/>
          <w:sz w:val="20"/>
          <w:szCs w:val="20"/>
        </w:rPr>
        <w:t>, we entered into the Unitranche Credit Agreement providing for a new $225.0 million credit facility comprised of a $175.0 million term loan and a $50.0 million revolving credit facility and used the proceeds therefrom to repay in full all amounts outstand</w:t>
      </w:r>
      <w:r>
        <w:rPr>
          <w:color w:val="000000"/>
          <w:sz w:val="20"/>
          <w:szCs w:val="20"/>
        </w:rPr>
        <w:t>ing under our prior senior secured credit facility. We incurred debt extinguishment costs of $1.4 million in connection with this refinancing transaction. We expect interest expense to increase as compared to 2019 periods due to the higher interest rates u</w:t>
      </w:r>
      <w:r>
        <w:rPr>
          <w:color w:val="000000"/>
          <w:sz w:val="20"/>
          <w:szCs w:val="20"/>
        </w:rPr>
        <w:t>nder our new credit facility and that it will remain a significant cost as we continue to leverage our credit facility to support our operations and future acquisitions.</w:t>
      </w:r>
    </w:p>
    <w:p w14:paraId="29D3881F"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Corporate and Operational Infrastructure Investments</w:t>
      </w:r>
    </w:p>
    <w:p w14:paraId="3319D186"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Our historical operating results </w:t>
      </w:r>
      <w:r>
        <w:rPr>
          <w:color w:val="000000"/>
          <w:sz w:val="20"/>
          <w:szCs w:val="20"/>
        </w:rPr>
        <w:t>reflect the impact of our ongoing investments in our corporate infrastructure to support our growth. We have made and expect to continue to make investments in our business platform that we believe have laid the foundation for continued growth. Investments</w:t>
      </w:r>
      <w:r>
        <w:rPr>
          <w:color w:val="000000"/>
          <w:sz w:val="20"/>
          <w:szCs w:val="20"/>
        </w:rPr>
        <w:t xml:space="preserve"> in logistics, quality, risk management, sales and marketing, safety, human resources, research and development, finance and information technology and other areas enable us to support continued growth. These investments have allowed us to improve our oper</w:t>
      </w:r>
      <w:r>
        <w:rPr>
          <w:color w:val="000000"/>
          <w:sz w:val="20"/>
          <w:szCs w:val="20"/>
        </w:rPr>
        <w:t>ating margins.</w:t>
      </w:r>
    </w:p>
    <w:p w14:paraId="0087C75E"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Seasonality</w:t>
      </w:r>
    </w:p>
    <w:p w14:paraId="73F811C6" w14:textId="77777777" w:rsidR="00000000" w:rsidRDefault="007125B5">
      <w:pPr>
        <w:pStyle w:val="a3"/>
        <w:shd w:val="clear" w:color="auto" w:fill="FFFFFF"/>
        <w:spacing w:before="120" w:beforeAutospacing="0" w:after="0" w:afterAutospacing="0"/>
        <w:ind w:firstLine="556"/>
        <w:rPr>
          <w:color w:val="000000"/>
          <w:sz w:val="20"/>
          <w:szCs w:val="20"/>
        </w:rPr>
      </w:pPr>
      <w:bookmarkStart w:id="52" w:name="_AEIOULastRenderedPageBreakAEIOU34"/>
      <w:bookmarkEnd w:id="52"/>
      <w:r>
        <w:rPr>
          <w:color w:val="000000"/>
          <w:sz w:val="20"/>
          <w:szCs w:val="20"/>
        </w:rPr>
        <w:t>Because demand for environmental services is not driven by specific or predictable patterns in one or more fiscal quarters, our business is better assessed based on yearly results. In addition, our operating results experience so</w:t>
      </w:r>
      <w:r>
        <w:rPr>
          <w:color w:val="000000"/>
          <w:sz w:val="20"/>
          <w:szCs w:val="20"/>
        </w:rPr>
        <w:t xml:space="preserve">me quarterly variability. Excluding the impact of revenues and earnings from new acquisitions, we typically generate slightly lower revenues and lower earnings in the </w:t>
      </w:r>
    </w:p>
    <w:p w14:paraId="0ECED4B7" w14:textId="77777777" w:rsidR="00000000" w:rsidRDefault="007125B5">
      <w:pPr>
        <w:pStyle w:val="a3"/>
        <w:spacing w:before="240" w:beforeAutospacing="0" w:after="0" w:afterAutospacing="0"/>
        <w:jc w:val="center"/>
        <w:rPr>
          <w:sz w:val="20"/>
          <w:szCs w:val="20"/>
        </w:rPr>
      </w:pPr>
      <w:r>
        <w:rPr>
          <w:sz w:val="20"/>
          <w:szCs w:val="20"/>
        </w:rPr>
        <w:t>31</w:t>
      </w:r>
    </w:p>
    <w:p w14:paraId="2FC33232" w14:textId="77777777" w:rsidR="00000000" w:rsidRDefault="007125B5">
      <w:pPr>
        <w:rPr>
          <w:rFonts w:eastAsia="Times New Roman"/>
        </w:rPr>
      </w:pPr>
      <w:r>
        <w:rPr>
          <w:rFonts w:eastAsia="Times New Roman"/>
        </w:rPr>
        <w:pict w14:anchorId="3D36510D">
          <v:rect id="_x0000_i1057" style="width:415.3pt;height:1.5pt" o:hralign="center" o:hrstd="t" o:hr="t" fillcolor="#a0a0a0" stroked="f"/>
        </w:pict>
      </w:r>
    </w:p>
    <w:p w14:paraId="6E69671A" w14:textId="77777777" w:rsidR="00000000" w:rsidRDefault="007125B5">
      <w:pPr>
        <w:pStyle w:val="a3"/>
        <w:spacing w:before="0" w:beforeAutospacing="0" w:after="0" w:afterAutospacing="0"/>
        <w:rPr>
          <w:sz w:val="20"/>
          <w:szCs w:val="20"/>
        </w:rPr>
      </w:pPr>
      <w:r>
        <w:rPr>
          <w:sz w:val="20"/>
          <w:szCs w:val="20"/>
        </w:rPr>
        <w:t> </w:t>
      </w:r>
    </w:p>
    <w:p w14:paraId="5CA54076" w14:textId="77777777" w:rsidR="00000000" w:rsidRDefault="007125B5">
      <w:pPr>
        <w:pStyle w:val="a3"/>
        <w:shd w:val="clear" w:color="auto" w:fill="FFFFFF"/>
        <w:spacing w:before="120" w:beforeAutospacing="0" w:after="0" w:afterAutospacing="0"/>
        <w:rPr>
          <w:color w:val="000000"/>
          <w:sz w:val="20"/>
          <w:szCs w:val="20"/>
        </w:rPr>
      </w:pPr>
      <w:r>
        <w:rPr>
          <w:color w:val="000000"/>
          <w:sz w:val="20"/>
          <w:szCs w:val="20"/>
        </w:rPr>
        <w:t>first and fourth quarters and higher overall revenues and earnings in the second and third quarters. Historically, quarterly variability has been driven by we</w:t>
      </w:r>
      <w:r>
        <w:rPr>
          <w:color w:val="000000"/>
          <w:sz w:val="20"/>
          <w:szCs w:val="20"/>
        </w:rPr>
        <w:t>ather patterns, which generally impact our field-based teams’ ability to operate in the winter months. As we continue to grow and expand into new geographies and service lines, quarterly variability may deviate from historical trends.</w:t>
      </w:r>
    </w:p>
    <w:p w14:paraId="4AA6DDFC"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Earnings Volatility</w:t>
      </w:r>
    </w:p>
    <w:p w14:paraId="7E9EF4B2"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W</w:t>
      </w:r>
      <w:r>
        <w:rPr>
          <w:color w:val="000000"/>
          <w:sz w:val="20"/>
          <w:szCs w:val="20"/>
        </w:rPr>
        <w:t xml:space="preserve">e expect to experience increased annual and quarterly revenue and earnings volatility as a result of the timing of large contract wins in our Remediation and Reuse segment. In addition, the acquisition of CTEH exposes us to potentially significant revenue </w:t>
      </w:r>
      <w:r>
        <w:rPr>
          <w:color w:val="000000"/>
          <w:sz w:val="20"/>
          <w:szCs w:val="20"/>
        </w:rPr>
        <w:t>and earnings fluctuations tied to the timing of large environmental emergency response projects following an incident or natural disaster. As a result, we may experience revenues and earnings in a quarter or year that are not indicative of future results.</w:t>
      </w:r>
    </w:p>
    <w:p w14:paraId="331E3CF0"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Results of Operations</w:t>
      </w:r>
    </w:p>
    <w:p w14:paraId="2A1488CC" w14:textId="77777777" w:rsidR="00000000" w:rsidRDefault="007125B5">
      <w:pPr>
        <w:pStyle w:val="a3"/>
        <w:shd w:val="clear" w:color="auto" w:fill="FFFFFF"/>
        <w:spacing w:before="120" w:beforeAutospacing="0" w:after="0" w:afterAutospacing="0"/>
        <w:rPr>
          <w:b/>
          <w:bCs/>
          <w:i/>
          <w:iCs/>
          <w:color w:val="000000"/>
          <w:sz w:val="20"/>
          <w:szCs w:val="20"/>
        </w:rPr>
      </w:pPr>
      <w:r>
        <w:rPr>
          <w:b/>
          <w:bCs/>
          <w:i/>
          <w:iCs/>
          <w:color w:val="000000"/>
          <w:sz w:val="20"/>
          <w:szCs w:val="20"/>
        </w:rPr>
        <w:t>Three Months Ended June 30, 2020 Compared to the Three Months Ended June 30, 2019</w:t>
      </w:r>
    </w:p>
    <w:p w14:paraId="70D0CA21"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22"/>
        <w:gridCol w:w="65"/>
        <w:gridCol w:w="115"/>
        <w:gridCol w:w="634"/>
        <w:gridCol w:w="182"/>
        <w:gridCol w:w="65"/>
        <w:gridCol w:w="115"/>
        <w:gridCol w:w="634"/>
        <w:gridCol w:w="182"/>
      </w:tblGrid>
      <w:tr w:rsidR="00000000" w14:paraId="6378B46D" w14:textId="77777777">
        <w:trPr>
          <w:divId w:val="405500417"/>
          <w:jc w:val="center"/>
        </w:trPr>
        <w:tc>
          <w:tcPr>
            <w:tcW w:w="3349" w:type="pct"/>
            <w:shd w:val="clear" w:color="auto" w:fill="FFFFFF"/>
            <w:tcMar>
              <w:top w:w="15" w:type="dxa"/>
              <w:left w:w="0" w:type="dxa"/>
              <w:bottom w:w="0" w:type="dxa"/>
              <w:right w:w="15" w:type="dxa"/>
            </w:tcMar>
            <w:vAlign w:val="bottom"/>
            <w:hideMark/>
          </w:tcPr>
          <w:p w14:paraId="14E753E5"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098A2E1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15160CA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For the Three Months</w:t>
            </w:r>
          </w:p>
        </w:tc>
        <w:tc>
          <w:tcPr>
            <w:tcW w:w="50" w:type="pct"/>
            <w:shd w:val="clear" w:color="auto" w:fill="FFFFFF"/>
            <w:noWrap/>
            <w:tcMar>
              <w:top w:w="15" w:type="dxa"/>
              <w:left w:w="0" w:type="dxa"/>
              <w:bottom w:w="0" w:type="dxa"/>
              <w:right w:w="15" w:type="dxa"/>
            </w:tcMar>
            <w:vAlign w:val="bottom"/>
            <w:hideMark/>
          </w:tcPr>
          <w:p w14:paraId="09F051A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71D83C7F" w14:textId="77777777">
        <w:trPr>
          <w:divId w:val="405500417"/>
          <w:jc w:val="center"/>
        </w:trPr>
        <w:tc>
          <w:tcPr>
            <w:tcW w:w="3349" w:type="pct"/>
            <w:shd w:val="clear" w:color="auto" w:fill="FFFFFF"/>
            <w:tcMar>
              <w:top w:w="15" w:type="dxa"/>
              <w:left w:w="0" w:type="dxa"/>
              <w:bottom w:w="0" w:type="dxa"/>
              <w:right w:w="15" w:type="dxa"/>
            </w:tcMar>
            <w:vAlign w:val="bottom"/>
            <w:hideMark/>
          </w:tcPr>
          <w:p w14:paraId="28AEAE1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05A535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343B40E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603524F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12BE95FE" w14:textId="77777777">
        <w:trPr>
          <w:divId w:val="405500417"/>
          <w:jc w:val="center"/>
        </w:trPr>
        <w:tc>
          <w:tcPr>
            <w:tcW w:w="3349" w:type="pct"/>
            <w:shd w:val="clear" w:color="auto" w:fill="FFFFFF"/>
            <w:tcMar>
              <w:top w:w="15" w:type="dxa"/>
              <w:left w:w="0" w:type="dxa"/>
              <w:bottom w:w="0" w:type="dxa"/>
              <w:right w:w="15" w:type="dxa"/>
            </w:tcMar>
            <w:vAlign w:val="bottom"/>
            <w:hideMark/>
          </w:tcPr>
          <w:p w14:paraId="0F95BE63" w14:textId="77777777" w:rsidR="00000000" w:rsidRDefault="007125B5">
            <w:pPr>
              <w:pStyle w:val="a3"/>
              <w:spacing w:before="0" w:beforeAutospacing="0" w:after="0" w:afterAutospacing="0"/>
              <w:rPr>
                <w:b/>
                <w:bCs/>
                <w:color w:val="000000"/>
                <w:sz w:val="16"/>
                <w:szCs w:val="16"/>
              </w:rPr>
            </w:pPr>
            <w:r>
              <w:rPr>
                <w:b/>
                <w:bCs/>
                <w:color w:val="000000"/>
                <w:sz w:val="16"/>
                <w:szCs w:val="16"/>
              </w:rPr>
              <w:t>(in thousands, except per share data)</w:t>
            </w:r>
          </w:p>
        </w:tc>
        <w:tc>
          <w:tcPr>
            <w:tcW w:w="81" w:type="pct"/>
            <w:shd w:val="clear" w:color="auto" w:fill="FFFFFF"/>
            <w:tcMar>
              <w:top w:w="15" w:type="dxa"/>
              <w:left w:w="0" w:type="dxa"/>
              <w:bottom w:w="0" w:type="dxa"/>
              <w:right w:w="15" w:type="dxa"/>
            </w:tcMar>
            <w:vAlign w:val="bottom"/>
            <w:hideMark/>
          </w:tcPr>
          <w:p w14:paraId="7EB5A55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940DF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FE861D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70FD8BC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E75C7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BD3ADC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378662A" w14:textId="77777777">
        <w:trPr>
          <w:divId w:val="405500417"/>
          <w:jc w:val="center"/>
        </w:trPr>
        <w:tc>
          <w:tcPr>
            <w:tcW w:w="3349" w:type="pct"/>
            <w:shd w:val="clear" w:color="auto" w:fill="CFF0FC"/>
            <w:tcMar>
              <w:top w:w="15" w:type="dxa"/>
              <w:left w:w="0" w:type="dxa"/>
              <w:bottom w:w="0" w:type="dxa"/>
              <w:right w:w="15" w:type="dxa"/>
            </w:tcMar>
            <w:hideMark/>
          </w:tcPr>
          <w:p w14:paraId="348CFDED" w14:textId="77777777" w:rsidR="00000000" w:rsidRDefault="007125B5">
            <w:pPr>
              <w:pStyle w:val="a3"/>
              <w:spacing w:before="0" w:beforeAutospacing="0" w:after="0" w:afterAutospacing="0"/>
              <w:rPr>
                <w:b/>
                <w:bCs/>
                <w:color w:val="000000"/>
                <w:sz w:val="20"/>
                <w:szCs w:val="20"/>
              </w:rPr>
            </w:pPr>
            <w:r>
              <w:rPr>
                <w:b/>
                <w:bCs/>
                <w:color w:val="000000"/>
                <w:sz w:val="20"/>
                <w:szCs w:val="20"/>
              </w:rPr>
              <w:t>Statements of operations data:</w:t>
            </w:r>
          </w:p>
        </w:tc>
        <w:tc>
          <w:tcPr>
            <w:tcW w:w="81" w:type="pct"/>
            <w:shd w:val="clear" w:color="auto" w:fill="CFF0FC"/>
            <w:tcMar>
              <w:top w:w="15" w:type="dxa"/>
              <w:left w:w="0" w:type="dxa"/>
              <w:bottom w:w="0" w:type="dxa"/>
              <w:right w:w="15" w:type="dxa"/>
            </w:tcMar>
            <w:vAlign w:val="bottom"/>
            <w:hideMark/>
          </w:tcPr>
          <w:p w14:paraId="1FF63FF8"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00E2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E0CF77B"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7EFB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C808B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6D92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8A9275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563D3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4066217" w14:textId="77777777">
        <w:trPr>
          <w:divId w:val="405500417"/>
          <w:jc w:val="center"/>
        </w:trPr>
        <w:tc>
          <w:tcPr>
            <w:tcW w:w="3349" w:type="pct"/>
            <w:shd w:val="clear" w:color="auto" w:fill="FFFFFF"/>
            <w:tcMar>
              <w:top w:w="15" w:type="dxa"/>
              <w:left w:w="0" w:type="dxa"/>
              <w:bottom w:w="0" w:type="dxa"/>
              <w:right w:w="15" w:type="dxa"/>
            </w:tcMar>
            <w:hideMark/>
          </w:tcPr>
          <w:p w14:paraId="2CF42FA7" w14:textId="77777777" w:rsidR="00000000" w:rsidRDefault="007125B5">
            <w:pPr>
              <w:pStyle w:val="a3"/>
              <w:spacing w:before="0" w:beforeAutospacing="0" w:after="0" w:afterAutospacing="0"/>
              <w:rPr>
                <w:color w:val="000000"/>
                <w:sz w:val="20"/>
                <w:szCs w:val="20"/>
              </w:rPr>
            </w:pPr>
            <w:r>
              <w:rPr>
                <w:color w:val="000000"/>
                <w:sz w:val="20"/>
                <w:szCs w:val="20"/>
              </w:rPr>
              <w:t>Revenues</w:t>
            </w:r>
          </w:p>
        </w:tc>
        <w:tc>
          <w:tcPr>
            <w:tcW w:w="81" w:type="pct"/>
            <w:shd w:val="clear" w:color="auto" w:fill="FFFFFF"/>
            <w:tcMar>
              <w:top w:w="15" w:type="dxa"/>
              <w:left w:w="0" w:type="dxa"/>
              <w:bottom w:w="0" w:type="dxa"/>
              <w:right w:w="15" w:type="dxa"/>
            </w:tcMar>
            <w:vAlign w:val="bottom"/>
            <w:hideMark/>
          </w:tcPr>
          <w:p w14:paraId="2ED4DD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4A198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30C259C3" w14:textId="77777777" w:rsidR="00000000" w:rsidRDefault="007125B5">
            <w:pPr>
              <w:pStyle w:val="a3"/>
              <w:spacing w:before="0" w:beforeAutospacing="0" w:after="0" w:afterAutospacing="0"/>
              <w:jc w:val="right"/>
              <w:rPr>
                <w:color w:val="000000"/>
                <w:sz w:val="20"/>
                <w:szCs w:val="20"/>
              </w:rPr>
            </w:pPr>
            <w:r>
              <w:rPr>
                <w:color w:val="000000"/>
                <w:sz w:val="20"/>
                <w:szCs w:val="20"/>
              </w:rPr>
              <w:t>73,766</w:t>
            </w:r>
          </w:p>
        </w:tc>
        <w:tc>
          <w:tcPr>
            <w:tcW w:w="50" w:type="pct"/>
            <w:shd w:val="clear" w:color="auto" w:fill="FFFFFF"/>
            <w:noWrap/>
            <w:tcMar>
              <w:top w:w="15" w:type="dxa"/>
              <w:left w:w="0" w:type="dxa"/>
              <w:bottom w:w="0" w:type="dxa"/>
              <w:right w:w="15" w:type="dxa"/>
            </w:tcMar>
            <w:vAlign w:val="bottom"/>
            <w:hideMark/>
          </w:tcPr>
          <w:p w14:paraId="2AFA62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29399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72CE9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766C02FE" w14:textId="77777777" w:rsidR="00000000" w:rsidRDefault="007125B5">
            <w:pPr>
              <w:pStyle w:val="a3"/>
              <w:spacing w:before="0" w:beforeAutospacing="0" w:after="0" w:afterAutospacing="0"/>
              <w:jc w:val="right"/>
              <w:rPr>
                <w:color w:val="000000"/>
                <w:sz w:val="20"/>
                <w:szCs w:val="20"/>
              </w:rPr>
            </w:pPr>
            <w:r>
              <w:rPr>
                <w:color w:val="000000"/>
                <w:sz w:val="20"/>
                <w:szCs w:val="20"/>
              </w:rPr>
              <w:t>57,401</w:t>
            </w:r>
          </w:p>
        </w:tc>
        <w:tc>
          <w:tcPr>
            <w:tcW w:w="50" w:type="pct"/>
            <w:shd w:val="clear" w:color="auto" w:fill="FFFFFF"/>
            <w:noWrap/>
            <w:tcMar>
              <w:top w:w="15" w:type="dxa"/>
              <w:left w:w="0" w:type="dxa"/>
              <w:bottom w:w="0" w:type="dxa"/>
              <w:right w:w="15" w:type="dxa"/>
            </w:tcMar>
            <w:vAlign w:val="bottom"/>
            <w:hideMark/>
          </w:tcPr>
          <w:p w14:paraId="28BBB473"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B93DA95" w14:textId="77777777">
        <w:trPr>
          <w:divId w:val="405500417"/>
          <w:jc w:val="center"/>
        </w:trPr>
        <w:tc>
          <w:tcPr>
            <w:tcW w:w="3349" w:type="pct"/>
            <w:shd w:val="clear" w:color="auto" w:fill="CFF0FC"/>
            <w:tcMar>
              <w:top w:w="15" w:type="dxa"/>
              <w:left w:w="0" w:type="dxa"/>
              <w:bottom w:w="0" w:type="dxa"/>
              <w:right w:w="15" w:type="dxa"/>
            </w:tcMar>
            <w:hideMark/>
          </w:tcPr>
          <w:p w14:paraId="43EDDCAE" w14:textId="77777777" w:rsidR="00000000" w:rsidRDefault="007125B5">
            <w:pPr>
              <w:pStyle w:val="a3"/>
              <w:spacing w:before="0" w:beforeAutospacing="0" w:after="0" w:afterAutospacing="0"/>
              <w:rPr>
                <w:color w:val="000000"/>
                <w:sz w:val="20"/>
                <w:szCs w:val="20"/>
              </w:rPr>
            </w:pPr>
            <w:r>
              <w:rPr>
                <w:color w:val="000000"/>
                <w:sz w:val="20"/>
                <w:szCs w:val="20"/>
              </w:rPr>
              <w:t>Cost of revenues (exclusive of depreciation and amortization)</w:t>
            </w:r>
          </w:p>
        </w:tc>
        <w:tc>
          <w:tcPr>
            <w:tcW w:w="81" w:type="pct"/>
            <w:shd w:val="clear" w:color="auto" w:fill="CFF0FC"/>
            <w:tcMar>
              <w:top w:w="15" w:type="dxa"/>
              <w:left w:w="0" w:type="dxa"/>
              <w:bottom w:w="0" w:type="dxa"/>
              <w:right w:w="15" w:type="dxa"/>
            </w:tcMar>
            <w:vAlign w:val="bottom"/>
            <w:hideMark/>
          </w:tcPr>
          <w:p w14:paraId="1737CE4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F0AC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60400D3" w14:textId="77777777" w:rsidR="00000000" w:rsidRDefault="007125B5">
            <w:pPr>
              <w:pStyle w:val="a3"/>
              <w:spacing w:before="0" w:beforeAutospacing="0" w:after="0" w:afterAutospacing="0"/>
              <w:jc w:val="right"/>
              <w:rPr>
                <w:color w:val="000000"/>
                <w:sz w:val="20"/>
                <w:szCs w:val="20"/>
              </w:rPr>
            </w:pPr>
            <w:r>
              <w:rPr>
                <w:color w:val="000000"/>
                <w:sz w:val="20"/>
                <w:szCs w:val="20"/>
              </w:rPr>
              <w:t>45,889</w:t>
            </w:r>
          </w:p>
        </w:tc>
        <w:tc>
          <w:tcPr>
            <w:tcW w:w="50" w:type="pct"/>
            <w:shd w:val="clear" w:color="auto" w:fill="CFF0FC"/>
            <w:noWrap/>
            <w:tcMar>
              <w:top w:w="15" w:type="dxa"/>
              <w:left w:w="0" w:type="dxa"/>
              <w:bottom w:w="0" w:type="dxa"/>
              <w:right w:w="15" w:type="dxa"/>
            </w:tcMar>
            <w:vAlign w:val="bottom"/>
            <w:hideMark/>
          </w:tcPr>
          <w:p w14:paraId="12A083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2E7982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C5CF8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4B6B446" w14:textId="77777777" w:rsidR="00000000" w:rsidRDefault="007125B5">
            <w:pPr>
              <w:pStyle w:val="a3"/>
              <w:spacing w:before="0" w:beforeAutospacing="0" w:after="0" w:afterAutospacing="0"/>
              <w:jc w:val="right"/>
              <w:rPr>
                <w:color w:val="000000"/>
                <w:sz w:val="20"/>
                <w:szCs w:val="20"/>
              </w:rPr>
            </w:pPr>
            <w:r>
              <w:rPr>
                <w:color w:val="000000"/>
                <w:sz w:val="20"/>
                <w:szCs w:val="20"/>
              </w:rPr>
              <w:t>39,349</w:t>
            </w:r>
          </w:p>
        </w:tc>
        <w:tc>
          <w:tcPr>
            <w:tcW w:w="50" w:type="pct"/>
            <w:shd w:val="clear" w:color="auto" w:fill="CFF0FC"/>
            <w:noWrap/>
            <w:tcMar>
              <w:top w:w="15" w:type="dxa"/>
              <w:left w:w="0" w:type="dxa"/>
              <w:bottom w:w="0" w:type="dxa"/>
              <w:right w:w="15" w:type="dxa"/>
            </w:tcMar>
            <w:vAlign w:val="bottom"/>
            <w:hideMark/>
          </w:tcPr>
          <w:p w14:paraId="602EB99E"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D10331A" w14:textId="77777777">
        <w:trPr>
          <w:divId w:val="405500417"/>
          <w:jc w:val="center"/>
        </w:trPr>
        <w:tc>
          <w:tcPr>
            <w:tcW w:w="3349" w:type="pct"/>
            <w:shd w:val="clear" w:color="auto" w:fill="FFFFFF"/>
            <w:tcMar>
              <w:top w:w="15" w:type="dxa"/>
              <w:left w:w="0" w:type="dxa"/>
              <w:bottom w:w="0" w:type="dxa"/>
              <w:right w:w="15" w:type="dxa"/>
            </w:tcMar>
            <w:hideMark/>
          </w:tcPr>
          <w:p w14:paraId="72356D74" w14:textId="77777777" w:rsidR="00000000" w:rsidRDefault="007125B5">
            <w:pPr>
              <w:pStyle w:val="a3"/>
              <w:spacing w:before="0" w:beforeAutospacing="0" w:after="0" w:afterAutospacing="0"/>
              <w:rPr>
                <w:color w:val="000000"/>
                <w:sz w:val="20"/>
                <w:szCs w:val="20"/>
              </w:rPr>
            </w:pPr>
            <w:r>
              <w:rPr>
                <w:color w:val="000000"/>
                <w:sz w:val="20"/>
                <w:szCs w:val="20"/>
              </w:rPr>
              <w:t>Selling, general and administrative expenses</w:t>
            </w:r>
          </w:p>
        </w:tc>
        <w:tc>
          <w:tcPr>
            <w:tcW w:w="81" w:type="pct"/>
            <w:shd w:val="clear" w:color="auto" w:fill="FFFFFF"/>
            <w:tcMar>
              <w:top w:w="15" w:type="dxa"/>
              <w:left w:w="0" w:type="dxa"/>
              <w:bottom w:w="0" w:type="dxa"/>
              <w:right w:w="15" w:type="dxa"/>
            </w:tcMar>
            <w:vAlign w:val="bottom"/>
            <w:hideMark/>
          </w:tcPr>
          <w:p w14:paraId="06B4E79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2452D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D8B89B4" w14:textId="77777777" w:rsidR="00000000" w:rsidRDefault="007125B5">
            <w:pPr>
              <w:pStyle w:val="a3"/>
              <w:spacing w:before="0" w:beforeAutospacing="0" w:after="0" w:afterAutospacing="0"/>
              <w:jc w:val="right"/>
              <w:rPr>
                <w:color w:val="000000"/>
                <w:sz w:val="20"/>
                <w:szCs w:val="20"/>
              </w:rPr>
            </w:pPr>
            <w:r>
              <w:rPr>
                <w:color w:val="000000"/>
                <w:sz w:val="20"/>
                <w:szCs w:val="20"/>
              </w:rPr>
              <w:t>23,301</w:t>
            </w:r>
          </w:p>
        </w:tc>
        <w:tc>
          <w:tcPr>
            <w:tcW w:w="50" w:type="pct"/>
            <w:shd w:val="clear" w:color="auto" w:fill="FFFFFF"/>
            <w:noWrap/>
            <w:tcMar>
              <w:top w:w="15" w:type="dxa"/>
              <w:left w:w="0" w:type="dxa"/>
              <w:bottom w:w="0" w:type="dxa"/>
              <w:right w:w="15" w:type="dxa"/>
            </w:tcMar>
            <w:vAlign w:val="bottom"/>
            <w:hideMark/>
          </w:tcPr>
          <w:p w14:paraId="2D2E98A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FA420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791D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F6F2E0B" w14:textId="77777777" w:rsidR="00000000" w:rsidRDefault="007125B5">
            <w:pPr>
              <w:pStyle w:val="a3"/>
              <w:spacing w:before="0" w:beforeAutospacing="0" w:after="0" w:afterAutospacing="0"/>
              <w:jc w:val="right"/>
              <w:rPr>
                <w:color w:val="000000"/>
                <w:sz w:val="20"/>
                <w:szCs w:val="20"/>
              </w:rPr>
            </w:pPr>
            <w:r>
              <w:rPr>
                <w:color w:val="000000"/>
                <w:sz w:val="20"/>
                <w:szCs w:val="20"/>
              </w:rPr>
              <w:t>11,156</w:t>
            </w:r>
          </w:p>
        </w:tc>
        <w:tc>
          <w:tcPr>
            <w:tcW w:w="50" w:type="pct"/>
            <w:shd w:val="clear" w:color="auto" w:fill="FFFFFF"/>
            <w:noWrap/>
            <w:tcMar>
              <w:top w:w="15" w:type="dxa"/>
              <w:left w:w="0" w:type="dxa"/>
              <w:bottom w:w="0" w:type="dxa"/>
              <w:right w:w="15" w:type="dxa"/>
            </w:tcMar>
            <w:vAlign w:val="bottom"/>
            <w:hideMark/>
          </w:tcPr>
          <w:p w14:paraId="17463FF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F031137" w14:textId="77777777">
        <w:trPr>
          <w:divId w:val="405500417"/>
          <w:jc w:val="center"/>
        </w:trPr>
        <w:tc>
          <w:tcPr>
            <w:tcW w:w="3349" w:type="pct"/>
            <w:shd w:val="clear" w:color="auto" w:fill="CFF0FC"/>
            <w:tcMar>
              <w:top w:w="15" w:type="dxa"/>
              <w:left w:w="0" w:type="dxa"/>
              <w:bottom w:w="0" w:type="dxa"/>
              <w:right w:w="15" w:type="dxa"/>
            </w:tcMar>
            <w:hideMark/>
          </w:tcPr>
          <w:p w14:paraId="718566E0" w14:textId="77777777" w:rsidR="00000000" w:rsidRDefault="007125B5">
            <w:pPr>
              <w:pStyle w:val="a3"/>
              <w:spacing w:before="0" w:beforeAutospacing="0" w:after="0" w:afterAutospacing="0"/>
              <w:rPr>
                <w:color w:val="000000"/>
                <w:sz w:val="20"/>
                <w:szCs w:val="20"/>
              </w:rPr>
            </w:pPr>
            <w:r>
              <w:rPr>
                <w:color w:val="000000"/>
                <w:sz w:val="20"/>
                <w:szCs w:val="20"/>
              </w:rPr>
              <w:t>Related party expense</w:t>
            </w:r>
          </w:p>
        </w:tc>
        <w:tc>
          <w:tcPr>
            <w:tcW w:w="81" w:type="pct"/>
            <w:shd w:val="clear" w:color="auto" w:fill="CFF0FC"/>
            <w:tcMar>
              <w:top w:w="15" w:type="dxa"/>
              <w:left w:w="0" w:type="dxa"/>
              <w:bottom w:w="0" w:type="dxa"/>
              <w:right w:w="15" w:type="dxa"/>
            </w:tcMar>
            <w:vAlign w:val="bottom"/>
            <w:hideMark/>
          </w:tcPr>
          <w:p w14:paraId="25C8981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B7F4F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E179EE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B370F1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A4B51E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91F5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88B5AEB" w14:textId="77777777" w:rsidR="00000000" w:rsidRDefault="007125B5">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CFF0FC"/>
            <w:noWrap/>
            <w:tcMar>
              <w:top w:w="15" w:type="dxa"/>
              <w:left w:w="0" w:type="dxa"/>
              <w:bottom w:w="0" w:type="dxa"/>
              <w:right w:w="15" w:type="dxa"/>
            </w:tcMar>
            <w:vAlign w:val="bottom"/>
            <w:hideMark/>
          </w:tcPr>
          <w:p w14:paraId="752BDE7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C077887" w14:textId="77777777">
        <w:trPr>
          <w:divId w:val="405500417"/>
          <w:jc w:val="center"/>
        </w:trPr>
        <w:tc>
          <w:tcPr>
            <w:tcW w:w="3349" w:type="pct"/>
            <w:shd w:val="clear" w:color="auto" w:fill="FFFFFF"/>
            <w:tcMar>
              <w:top w:w="15" w:type="dxa"/>
              <w:left w:w="0" w:type="dxa"/>
              <w:bottom w:w="0" w:type="dxa"/>
              <w:right w:w="15" w:type="dxa"/>
            </w:tcMar>
            <w:hideMark/>
          </w:tcPr>
          <w:p w14:paraId="23B840A0" w14:textId="77777777" w:rsidR="00000000" w:rsidRDefault="007125B5">
            <w:pPr>
              <w:pStyle w:val="a3"/>
              <w:spacing w:before="0" w:beforeAutospacing="0" w:after="0" w:afterAutospacing="0"/>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14:paraId="6E9405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9875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6EF186C" w14:textId="77777777" w:rsidR="00000000" w:rsidRDefault="007125B5">
            <w:pPr>
              <w:pStyle w:val="a3"/>
              <w:spacing w:before="0" w:beforeAutospacing="0" w:after="0" w:afterAutospacing="0"/>
              <w:jc w:val="right"/>
              <w:rPr>
                <w:color w:val="000000"/>
                <w:sz w:val="20"/>
                <w:szCs w:val="20"/>
              </w:rPr>
            </w:pPr>
            <w:r>
              <w:rPr>
                <w:color w:val="000000"/>
                <w:sz w:val="20"/>
                <w:szCs w:val="20"/>
              </w:rPr>
              <w:t>9,784</w:t>
            </w:r>
          </w:p>
        </w:tc>
        <w:tc>
          <w:tcPr>
            <w:tcW w:w="50" w:type="pct"/>
            <w:shd w:val="clear" w:color="auto" w:fill="FFFFFF"/>
            <w:noWrap/>
            <w:tcMar>
              <w:top w:w="15" w:type="dxa"/>
              <w:left w:w="0" w:type="dxa"/>
              <w:bottom w:w="0" w:type="dxa"/>
              <w:right w:w="15" w:type="dxa"/>
            </w:tcMar>
            <w:vAlign w:val="bottom"/>
            <w:hideMark/>
          </w:tcPr>
          <w:p w14:paraId="2D88BF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221AA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98A8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4B7DA475" w14:textId="77777777" w:rsidR="00000000" w:rsidRDefault="007125B5">
            <w:pPr>
              <w:pStyle w:val="a3"/>
              <w:spacing w:before="0" w:beforeAutospacing="0" w:after="0" w:afterAutospacing="0"/>
              <w:jc w:val="right"/>
              <w:rPr>
                <w:color w:val="000000"/>
                <w:sz w:val="20"/>
                <w:szCs w:val="20"/>
              </w:rPr>
            </w:pPr>
            <w:r>
              <w:rPr>
                <w:color w:val="000000"/>
                <w:sz w:val="20"/>
                <w:szCs w:val="20"/>
              </w:rPr>
              <w:t>6,401</w:t>
            </w:r>
          </w:p>
        </w:tc>
        <w:tc>
          <w:tcPr>
            <w:tcW w:w="50" w:type="pct"/>
            <w:shd w:val="clear" w:color="auto" w:fill="FFFFFF"/>
            <w:noWrap/>
            <w:tcMar>
              <w:top w:w="15" w:type="dxa"/>
              <w:left w:w="0" w:type="dxa"/>
              <w:bottom w:w="0" w:type="dxa"/>
              <w:right w:w="15" w:type="dxa"/>
            </w:tcMar>
            <w:vAlign w:val="bottom"/>
            <w:hideMark/>
          </w:tcPr>
          <w:p w14:paraId="2E1AFA7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70DAE85" w14:textId="77777777">
        <w:trPr>
          <w:divId w:val="405500417"/>
          <w:jc w:val="center"/>
        </w:trPr>
        <w:tc>
          <w:tcPr>
            <w:tcW w:w="3349" w:type="pct"/>
            <w:shd w:val="clear" w:color="auto" w:fill="CFF0FC"/>
            <w:tcMar>
              <w:top w:w="15" w:type="dxa"/>
              <w:left w:w="0" w:type="dxa"/>
              <w:bottom w:w="0" w:type="dxa"/>
              <w:right w:w="15" w:type="dxa"/>
            </w:tcMar>
            <w:hideMark/>
          </w:tcPr>
          <w:p w14:paraId="25A7AFF5" w14:textId="77777777" w:rsidR="00000000" w:rsidRDefault="007125B5">
            <w:pPr>
              <w:pStyle w:val="a3"/>
              <w:spacing w:before="0" w:beforeAutospacing="0" w:after="0" w:afterAutospacing="0"/>
              <w:rPr>
                <w:b/>
                <w:bCs/>
                <w:color w:val="000000"/>
                <w:sz w:val="20"/>
                <w:szCs w:val="20"/>
              </w:rPr>
            </w:pPr>
            <w:r>
              <w:rPr>
                <w:b/>
                <w:bCs/>
                <w:color w:val="000000"/>
                <w:sz w:val="20"/>
                <w:szCs w:val="20"/>
              </w:rPr>
              <w:t>(Loss) income from operations</w:t>
            </w:r>
          </w:p>
        </w:tc>
        <w:tc>
          <w:tcPr>
            <w:tcW w:w="81" w:type="pct"/>
            <w:shd w:val="clear" w:color="auto" w:fill="CFF0FC"/>
            <w:tcMar>
              <w:top w:w="15" w:type="dxa"/>
              <w:left w:w="0" w:type="dxa"/>
              <w:bottom w:w="0" w:type="dxa"/>
              <w:right w:w="15" w:type="dxa"/>
            </w:tcMar>
            <w:vAlign w:val="bottom"/>
            <w:hideMark/>
          </w:tcPr>
          <w:p w14:paraId="2D160679"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0319D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030454"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(5,208</w:t>
            </w:r>
          </w:p>
        </w:tc>
        <w:tc>
          <w:tcPr>
            <w:tcW w:w="50" w:type="pct"/>
            <w:shd w:val="clear" w:color="auto" w:fill="CFF0FC"/>
            <w:noWrap/>
            <w:tcMar>
              <w:top w:w="15" w:type="dxa"/>
              <w:left w:w="0" w:type="dxa"/>
              <w:bottom w:w="0" w:type="dxa"/>
              <w:right w:w="15" w:type="dxa"/>
            </w:tcMar>
            <w:vAlign w:val="bottom"/>
            <w:hideMark/>
          </w:tcPr>
          <w:p w14:paraId="21C9DF5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14:paraId="5889B165"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6750A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8DCBCB"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375</w:t>
            </w:r>
          </w:p>
        </w:tc>
        <w:tc>
          <w:tcPr>
            <w:tcW w:w="50" w:type="pct"/>
            <w:shd w:val="clear" w:color="auto" w:fill="CFF0FC"/>
            <w:noWrap/>
            <w:tcMar>
              <w:top w:w="15" w:type="dxa"/>
              <w:left w:w="0" w:type="dxa"/>
              <w:bottom w:w="0" w:type="dxa"/>
              <w:right w:w="15" w:type="dxa"/>
            </w:tcMar>
            <w:vAlign w:val="bottom"/>
            <w:hideMark/>
          </w:tcPr>
          <w:p w14:paraId="75CFFC44"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r>
      <w:tr w:rsidR="00000000" w14:paraId="719AE8F2" w14:textId="77777777">
        <w:trPr>
          <w:divId w:val="405500417"/>
          <w:jc w:val="center"/>
        </w:trPr>
        <w:tc>
          <w:tcPr>
            <w:tcW w:w="3349" w:type="pct"/>
            <w:shd w:val="clear" w:color="auto" w:fill="FFFFFF"/>
            <w:tcMar>
              <w:top w:w="15" w:type="dxa"/>
              <w:left w:w="0" w:type="dxa"/>
              <w:bottom w:w="0" w:type="dxa"/>
              <w:right w:w="15" w:type="dxa"/>
            </w:tcMar>
            <w:hideMark/>
          </w:tcPr>
          <w:p w14:paraId="72ECFADB" w14:textId="77777777" w:rsidR="00000000" w:rsidRDefault="007125B5">
            <w:pPr>
              <w:pStyle w:val="a3"/>
              <w:spacing w:before="0" w:beforeAutospacing="0" w:after="0" w:afterAutospacing="0"/>
              <w:rPr>
                <w:color w:val="000000"/>
                <w:sz w:val="20"/>
                <w:szCs w:val="20"/>
              </w:rPr>
            </w:pPr>
            <w:r>
              <w:rPr>
                <w:color w:val="000000"/>
                <w:sz w:val="20"/>
                <w:szCs w:val="20"/>
              </w:rPr>
              <w:t>Other income (expense)</w:t>
            </w:r>
          </w:p>
        </w:tc>
        <w:tc>
          <w:tcPr>
            <w:tcW w:w="81" w:type="pct"/>
            <w:shd w:val="clear" w:color="auto" w:fill="FFFFFF"/>
            <w:tcMar>
              <w:top w:w="15" w:type="dxa"/>
              <w:left w:w="0" w:type="dxa"/>
              <w:bottom w:w="0" w:type="dxa"/>
              <w:right w:w="15" w:type="dxa"/>
            </w:tcMar>
            <w:vAlign w:val="bottom"/>
            <w:hideMark/>
          </w:tcPr>
          <w:p w14:paraId="08609B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D496F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053D6934" w14:textId="77777777" w:rsidR="00000000" w:rsidRDefault="007125B5">
            <w:pPr>
              <w:pStyle w:val="a3"/>
              <w:spacing w:before="0" w:beforeAutospacing="0" w:after="0" w:afterAutospacing="0"/>
              <w:jc w:val="right"/>
              <w:rPr>
                <w:color w:val="000000"/>
                <w:sz w:val="20"/>
                <w:szCs w:val="20"/>
              </w:rPr>
            </w:pPr>
            <w:r>
              <w:rPr>
                <w:color w:val="000000"/>
                <w:sz w:val="20"/>
                <w:szCs w:val="20"/>
              </w:rPr>
              <w:t>21,933</w:t>
            </w:r>
          </w:p>
        </w:tc>
        <w:tc>
          <w:tcPr>
            <w:tcW w:w="50" w:type="pct"/>
            <w:shd w:val="clear" w:color="auto" w:fill="FFFFFF"/>
            <w:noWrap/>
            <w:tcMar>
              <w:top w:w="15" w:type="dxa"/>
              <w:left w:w="0" w:type="dxa"/>
              <w:bottom w:w="0" w:type="dxa"/>
              <w:right w:w="15" w:type="dxa"/>
            </w:tcMar>
            <w:vAlign w:val="bottom"/>
            <w:hideMark/>
          </w:tcPr>
          <w:p w14:paraId="1FF9B50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9A380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07DD5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1682CC4B" w14:textId="77777777" w:rsidR="00000000" w:rsidRDefault="007125B5">
            <w:pPr>
              <w:pStyle w:val="a3"/>
              <w:spacing w:before="0" w:beforeAutospacing="0" w:after="0" w:afterAutospacing="0"/>
              <w:jc w:val="right"/>
              <w:rPr>
                <w:color w:val="000000"/>
                <w:sz w:val="20"/>
                <w:szCs w:val="20"/>
              </w:rPr>
            </w:pPr>
            <w:r>
              <w:rPr>
                <w:color w:val="000000"/>
                <w:sz w:val="20"/>
                <w:szCs w:val="20"/>
              </w:rPr>
              <w:t>(1,228</w:t>
            </w:r>
          </w:p>
        </w:tc>
        <w:tc>
          <w:tcPr>
            <w:tcW w:w="50" w:type="pct"/>
            <w:shd w:val="clear" w:color="auto" w:fill="FFFFFF"/>
            <w:noWrap/>
            <w:tcMar>
              <w:top w:w="15" w:type="dxa"/>
              <w:left w:w="0" w:type="dxa"/>
              <w:bottom w:w="0" w:type="dxa"/>
              <w:right w:w="15" w:type="dxa"/>
            </w:tcMar>
            <w:vAlign w:val="bottom"/>
            <w:hideMark/>
          </w:tcPr>
          <w:p w14:paraId="32E40B86"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D01346B" w14:textId="77777777">
        <w:trPr>
          <w:divId w:val="405500417"/>
          <w:jc w:val="center"/>
        </w:trPr>
        <w:tc>
          <w:tcPr>
            <w:tcW w:w="3349" w:type="pct"/>
            <w:shd w:val="clear" w:color="auto" w:fill="CFF0FC"/>
            <w:tcMar>
              <w:top w:w="15" w:type="dxa"/>
              <w:left w:w="0" w:type="dxa"/>
              <w:bottom w:w="0" w:type="dxa"/>
              <w:right w:w="15" w:type="dxa"/>
            </w:tcMar>
            <w:hideMark/>
          </w:tcPr>
          <w:p w14:paraId="5EE780E0" w14:textId="77777777" w:rsidR="00000000" w:rsidRDefault="007125B5">
            <w:pPr>
              <w:pStyle w:val="a3"/>
              <w:spacing w:before="0" w:beforeAutospacing="0" w:after="0" w:afterAutospacing="0"/>
              <w:rPr>
                <w:color w:val="000000"/>
                <w:sz w:val="20"/>
                <w:szCs w:val="20"/>
              </w:rPr>
            </w:pPr>
            <w:r>
              <w:rPr>
                <w:color w:val="000000"/>
                <w:sz w:val="20"/>
                <w:szCs w:val="20"/>
              </w:rPr>
              <w:t>Interest expense, net</w:t>
            </w:r>
          </w:p>
        </w:tc>
        <w:tc>
          <w:tcPr>
            <w:tcW w:w="81" w:type="pct"/>
            <w:shd w:val="clear" w:color="auto" w:fill="CFF0FC"/>
            <w:tcMar>
              <w:top w:w="15" w:type="dxa"/>
              <w:left w:w="0" w:type="dxa"/>
              <w:bottom w:w="0" w:type="dxa"/>
              <w:right w:w="15" w:type="dxa"/>
            </w:tcMar>
            <w:vAlign w:val="bottom"/>
            <w:hideMark/>
          </w:tcPr>
          <w:p w14:paraId="724800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368AB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A73D3A9" w14:textId="77777777" w:rsidR="00000000" w:rsidRDefault="007125B5">
            <w:pPr>
              <w:pStyle w:val="a3"/>
              <w:spacing w:before="0" w:beforeAutospacing="0" w:after="0" w:afterAutospacing="0"/>
              <w:jc w:val="right"/>
              <w:rPr>
                <w:color w:val="000000"/>
                <w:sz w:val="20"/>
                <w:szCs w:val="20"/>
              </w:rPr>
            </w:pPr>
            <w:r>
              <w:rPr>
                <w:color w:val="000000"/>
                <w:sz w:val="20"/>
                <w:szCs w:val="20"/>
              </w:rPr>
              <w:t>(5,260</w:t>
            </w:r>
          </w:p>
        </w:tc>
        <w:tc>
          <w:tcPr>
            <w:tcW w:w="50" w:type="pct"/>
            <w:shd w:val="clear" w:color="auto" w:fill="CFF0FC"/>
            <w:noWrap/>
            <w:tcMar>
              <w:top w:w="15" w:type="dxa"/>
              <w:left w:w="0" w:type="dxa"/>
              <w:bottom w:w="0" w:type="dxa"/>
              <w:right w:w="15" w:type="dxa"/>
            </w:tcMar>
            <w:vAlign w:val="bottom"/>
            <w:hideMark/>
          </w:tcPr>
          <w:p w14:paraId="488BE40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39B858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2182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09E2F56" w14:textId="77777777" w:rsidR="00000000" w:rsidRDefault="007125B5">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14:paraId="5F8ADB05"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A4EEB82" w14:textId="77777777">
        <w:trPr>
          <w:divId w:val="405500417"/>
          <w:jc w:val="center"/>
        </w:trPr>
        <w:tc>
          <w:tcPr>
            <w:tcW w:w="3349" w:type="pct"/>
            <w:shd w:val="clear" w:color="auto" w:fill="FFFFFF"/>
            <w:tcMar>
              <w:top w:w="15" w:type="dxa"/>
              <w:left w:w="0" w:type="dxa"/>
              <w:bottom w:w="0" w:type="dxa"/>
              <w:right w:w="15" w:type="dxa"/>
            </w:tcMar>
            <w:hideMark/>
          </w:tcPr>
          <w:p w14:paraId="6244D266" w14:textId="77777777" w:rsidR="00000000" w:rsidRDefault="007125B5">
            <w:pPr>
              <w:pStyle w:val="a3"/>
              <w:spacing w:before="0" w:beforeAutospacing="0" w:after="0" w:afterAutospacing="0"/>
              <w:rPr>
                <w:b/>
                <w:bCs/>
                <w:color w:val="000000"/>
                <w:sz w:val="20"/>
                <w:szCs w:val="20"/>
              </w:rPr>
            </w:pPr>
            <w:r>
              <w:rPr>
                <w:b/>
                <w:bCs/>
                <w:color w:val="000000"/>
                <w:sz w:val="20"/>
                <w:szCs w:val="20"/>
              </w:rPr>
              <w:t>Income (loss) before income taxes</w:t>
            </w:r>
          </w:p>
        </w:tc>
        <w:tc>
          <w:tcPr>
            <w:tcW w:w="81" w:type="pct"/>
            <w:shd w:val="clear" w:color="auto" w:fill="FFFFFF"/>
            <w:tcMar>
              <w:top w:w="15" w:type="dxa"/>
              <w:left w:w="0" w:type="dxa"/>
              <w:bottom w:w="0" w:type="dxa"/>
              <w:right w:w="15" w:type="dxa"/>
            </w:tcMar>
            <w:vAlign w:val="bottom"/>
            <w:hideMark/>
          </w:tcPr>
          <w:p w14:paraId="054871B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73E5696"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3D8C96AD"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11,465</w:t>
            </w:r>
          </w:p>
        </w:tc>
        <w:tc>
          <w:tcPr>
            <w:tcW w:w="50" w:type="pct"/>
            <w:shd w:val="clear" w:color="auto" w:fill="FFFFFF"/>
            <w:noWrap/>
            <w:tcMar>
              <w:top w:w="15" w:type="dxa"/>
              <w:left w:w="0" w:type="dxa"/>
              <w:bottom w:w="0" w:type="dxa"/>
              <w:right w:w="15" w:type="dxa"/>
            </w:tcMar>
            <w:vAlign w:val="bottom"/>
            <w:hideMark/>
          </w:tcPr>
          <w:p w14:paraId="557D510D"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439B3045"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397AB06"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5C88C47E"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(2,034</w:t>
            </w:r>
          </w:p>
        </w:tc>
        <w:tc>
          <w:tcPr>
            <w:tcW w:w="50" w:type="pct"/>
            <w:shd w:val="clear" w:color="auto" w:fill="FFFFFF"/>
            <w:noWrap/>
            <w:tcMar>
              <w:top w:w="15" w:type="dxa"/>
              <w:left w:w="0" w:type="dxa"/>
              <w:bottom w:w="0" w:type="dxa"/>
              <w:right w:w="15" w:type="dxa"/>
            </w:tcMar>
            <w:vAlign w:val="bottom"/>
            <w:hideMark/>
          </w:tcPr>
          <w:p w14:paraId="05E7024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0B56AF8B" w14:textId="77777777">
        <w:trPr>
          <w:divId w:val="405500417"/>
          <w:jc w:val="center"/>
        </w:trPr>
        <w:tc>
          <w:tcPr>
            <w:tcW w:w="3349" w:type="pct"/>
            <w:shd w:val="clear" w:color="auto" w:fill="CFF0FC"/>
            <w:tcMar>
              <w:top w:w="15" w:type="dxa"/>
              <w:left w:w="0" w:type="dxa"/>
              <w:bottom w:w="0" w:type="dxa"/>
              <w:right w:w="15" w:type="dxa"/>
            </w:tcMar>
            <w:hideMark/>
          </w:tcPr>
          <w:p w14:paraId="10AD96EC" w14:textId="77777777" w:rsidR="00000000" w:rsidRDefault="007125B5">
            <w:pPr>
              <w:pStyle w:val="a3"/>
              <w:spacing w:before="0" w:beforeAutospacing="0" w:after="0" w:afterAutospacing="0"/>
              <w:rPr>
                <w:color w:val="000000"/>
                <w:sz w:val="20"/>
                <w:szCs w:val="20"/>
              </w:rPr>
            </w:pPr>
            <w:r>
              <w:rPr>
                <w:color w:val="000000"/>
                <w:sz w:val="20"/>
                <w:szCs w:val="20"/>
              </w:rPr>
              <w:t>Income tax benefit</w:t>
            </w:r>
          </w:p>
        </w:tc>
        <w:tc>
          <w:tcPr>
            <w:tcW w:w="81" w:type="pct"/>
            <w:shd w:val="clear" w:color="auto" w:fill="CFF0FC"/>
            <w:tcMar>
              <w:top w:w="15" w:type="dxa"/>
              <w:left w:w="0" w:type="dxa"/>
              <w:bottom w:w="0" w:type="dxa"/>
              <w:right w:w="15" w:type="dxa"/>
            </w:tcMar>
            <w:vAlign w:val="bottom"/>
            <w:hideMark/>
          </w:tcPr>
          <w:p w14:paraId="6E8394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D793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114C290F" w14:textId="77777777" w:rsidR="00000000" w:rsidRDefault="007125B5">
            <w:pPr>
              <w:pStyle w:val="a3"/>
              <w:spacing w:before="0" w:beforeAutospacing="0" w:after="0" w:afterAutospacing="0"/>
              <w:jc w:val="right"/>
              <w:rPr>
                <w:color w:val="000000"/>
                <w:sz w:val="20"/>
                <w:szCs w:val="20"/>
              </w:rPr>
            </w:pPr>
            <w:r>
              <w:rPr>
                <w:color w:val="000000"/>
                <w:sz w:val="20"/>
                <w:szCs w:val="20"/>
              </w:rPr>
              <w:t>(1,759</w:t>
            </w:r>
          </w:p>
        </w:tc>
        <w:tc>
          <w:tcPr>
            <w:tcW w:w="50" w:type="pct"/>
            <w:shd w:val="clear" w:color="auto" w:fill="CFF0FC"/>
            <w:noWrap/>
            <w:tcMar>
              <w:top w:w="15" w:type="dxa"/>
              <w:left w:w="0" w:type="dxa"/>
              <w:bottom w:w="0" w:type="dxa"/>
              <w:right w:w="15" w:type="dxa"/>
            </w:tcMar>
            <w:vAlign w:val="bottom"/>
            <w:hideMark/>
          </w:tcPr>
          <w:p w14:paraId="31CFE50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0F927A2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6471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56F6EB8" w14:textId="77777777" w:rsidR="00000000" w:rsidRDefault="007125B5">
            <w:pPr>
              <w:pStyle w:val="a3"/>
              <w:spacing w:before="0" w:beforeAutospacing="0" w:after="0" w:afterAutospacing="0"/>
              <w:jc w:val="right"/>
              <w:rPr>
                <w:color w:val="000000"/>
                <w:sz w:val="20"/>
                <w:szCs w:val="20"/>
              </w:rPr>
            </w:pPr>
            <w:r>
              <w:rPr>
                <w:color w:val="000000"/>
                <w:sz w:val="20"/>
                <w:szCs w:val="20"/>
              </w:rPr>
              <w:t>(1,712</w:t>
            </w:r>
          </w:p>
        </w:tc>
        <w:tc>
          <w:tcPr>
            <w:tcW w:w="50" w:type="pct"/>
            <w:shd w:val="clear" w:color="auto" w:fill="CFF0FC"/>
            <w:noWrap/>
            <w:tcMar>
              <w:top w:w="15" w:type="dxa"/>
              <w:left w:w="0" w:type="dxa"/>
              <w:bottom w:w="0" w:type="dxa"/>
              <w:right w:w="15" w:type="dxa"/>
            </w:tcMar>
            <w:vAlign w:val="bottom"/>
            <w:hideMark/>
          </w:tcPr>
          <w:p w14:paraId="1EF72BC4"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9DCF7EC" w14:textId="77777777">
        <w:trPr>
          <w:divId w:val="405500417"/>
          <w:jc w:val="center"/>
        </w:trPr>
        <w:tc>
          <w:tcPr>
            <w:tcW w:w="3349" w:type="pct"/>
            <w:shd w:val="clear" w:color="auto" w:fill="FFFFFF"/>
            <w:tcMar>
              <w:top w:w="15" w:type="dxa"/>
              <w:left w:w="0" w:type="dxa"/>
              <w:bottom w:w="0" w:type="dxa"/>
              <w:right w:w="15" w:type="dxa"/>
            </w:tcMar>
            <w:hideMark/>
          </w:tcPr>
          <w:p w14:paraId="17991791" w14:textId="77777777" w:rsidR="00000000" w:rsidRDefault="007125B5">
            <w:pPr>
              <w:pStyle w:val="a3"/>
              <w:spacing w:before="0" w:beforeAutospacing="0" w:after="0" w:afterAutospacing="0"/>
              <w:rPr>
                <w:b/>
                <w:bCs/>
                <w:color w:val="000000"/>
                <w:sz w:val="20"/>
                <w:szCs w:val="20"/>
              </w:rPr>
            </w:pPr>
            <w:r>
              <w:rPr>
                <w:b/>
                <w:bCs/>
                <w:color w:val="000000"/>
                <w:sz w:val="20"/>
                <w:szCs w:val="20"/>
              </w:rPr>
              <w:t>Net income (loss)</w:t>
            </w:r>
          </w:p>
        </w:tc>
        <w:tc>
          <w:tcPr>
            <w:tcW w:w="81" w:type="pct"/>
            <w:shd w:val="clear" w:color="auto" w:fill="FFFFFF"/>
            <w:tcMar>
              <w:top w:w="15" w:type="dxa"/>
              <w:left w:w="0" w:type="dxa"/>
              <w:bottom w:w="0" w:type="dxa"/>
              <w:right w:w="15" w:type="dxa"/>
            </w:tcMar>
            <w:vAlign w:val="bottom"/>
            <w:hideMark/>
          </w:tcPr>
          <w:p w14:paraId="6729CA03"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37BD5A"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680932"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13,224</w:t>
            </w:r>
          </w:p>
        </w:tc>
        <w:tc>
          <w:tcPr>
            <w:tcW w:w="50" w:type="pct"/>
            <w:shd w:val="clear" w:color="auto" w:fill="FFFFFF"/>
            <w:noWrap/>
            <w:tcMar>
              <w:top w:w="15" w:type="dxa"/>
              <w:left w:w="0" w:type="dxa"/>
              <w:bottom w:w="0" w:type="dxa"/>
              <w:right w:w="15" w:type="dxa"/>
            </w:tcMar>
            <w:vAlign w:val="bottom"/>
            <w:hideMark/>
          </w:tcPr>
          <w:p w14:paraId="0435CBC3"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1ED6B06A"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3A8B4E"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FEFD0A"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(322</w:t>
            </w:r>
          </w:p>
        </w:tc>
        <w:tc>
          <w:tcPr>
            <w:tcW w:w="50" w:type="pct"/>
            <w:shd w:val="clear" w:color="auto" w:fill="FFFFFF"/>
            <w:noWrap/>
            <w:tcMar>
              <w:top w:w="15" w:type="dxa"/>
              <w:left w:w="0" w:type="dxa"/>
              <w:bottom w:w="0" w:type="dxa"/>
              <w:right w:w="15" w:type="dxa"/>
            </w:tcMar>
            <w:vAlign w:val="bottom"/>
            <w:hideMark/>
          </w:tcPr>
          <w:p w14:paraId="063E29F9"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705F3B17" w14:textId="77777777">
        <w:trPr>
          <w:divId w:val="405500417"/>
          <w:jc w:val="center"/>
        </w:trPr>
        <w:tc>
          <w:tcPr>
            <w:tcW w:w="3349" w:type="pct"/>
            <w:shd w:val="clear" w:color="auto" w:fill="CFF0FC"/>
            <w:tcMar>
              <w:top w:w="15" w:type="dxa"/>
              <w:left w:w="0" w:type="dxa"/>
              <w:bottom w:w="0" w:type="dxa"/>
              <w:right w:w="15" w:type="dxa"/>
            </w:tcMar>
            <w:hideMark/>
          </w:tcPr>
          <w:p w14:paraId="4D1FD0A1" w14:textId="77777777" w:rsidR="00000000" w:rsidRDefault="007125B5">
            <w:pPr>
              <w:pStyle w:val="a3"/>
              <w:spacing w:before="0" w:beforeAutospacing="0" w:after="0" w:afterAutospacing="0"/>
              <w:ind w:left="274"/>
              <w:rPr>
                <w:color w:val="000000"/>
                <w:sz w:val="20"/>
                <w:szCs w:val="20"/>
              </w:rPr>
            </w:pPr>
            <w:r>
              <w:rPr>
                <w:color w:val="000000"/>
                <w:sz w:val="20"/>
                <w:szCs w:val="20"/>
              </w:rPr>
              <w:t>Accretion of redeemable preferred stock</w:t>
            </w:r>
          </w:p>
        </w:tc>
        <w:tc>
          <w:tcPr>
            <w:tcW w:w="81" w:type="pct"/>
            <w:shd w:val="clear" w:color="auto" w:fill="CFF0FC"/>
            <w:tcMar>
              <w:top w:w="15" w:type="dxa"/>
              <w:left w:w="0" w:type="dxa"/>
              <w:bottom w:w="0" w:type="dxa"/>
              <w:right w:w="15" w:type="dxa"/>
            </w:tcMar>
            <w:vAlign w:val="bottom"/>
            <w:hideMark/>
          </w:tcPr>
          <w:p w14:paraId="58939D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21428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4A6EE49E" w14:textId="77777777" w:rsidR="00000000" w:rsidRDefault="007125B5">
            <w:pPr>
              <w:pStyle w:val="a3"/>
              <w:spacing w:before="0" w:beforeAutospacing="0" w:after="0" w:afterAutospacing="0"/>
              <w:jc w:val="right"/>
              <w:rPr>
                <w:color w:val="000000"/>
                <w:sz w:val="20"/>
                <w:szCs w:val="20"/>
              </w:rPr>
            </w:pPr>
            <w:r>
              <w:rPr>
                <w:color w:val="000000"/>
                <w:sz w:val="20"/>
                <w:szCs w:val="20"/>
              </w:rPr>
              <w:t>(5,644</w:t>
            </w:r>
          </w:p>
        </w:tc>
        <w:tc>
          <w:tcPr>
            <w:tcW w:w="50" w:type="pct"/>
            <w:shd w:val="clear" w:color="auto" w:fill="CFF0FC"/>
            <w:noWrap/>
            <w:tcMar>
              <w:top w:w="15" w:type="dxa"/>
              <w:left w:w="0" w:type="dxa"/>
              <w:bottom w:w="0" w:type="dxa"/>
              <w:right w:w="15" w:type="dxa"/>
            </w:tcMar>
            <w:vAlign w:val="bottom"/>
            <w:hideMark/>
          </w:tcPr>
          <w:p w14:paraId="1B45638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500916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7B022A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B2D724D" w14:textId="77777777" w:rsidR="00000000" w:rsidRDefault="007125B5">
            <w:pPr>
              <w:pStyle w:val="a3"/>
              <w:spacing w:before="0" w:beforeAutospacing="0" w:after="0" w:afterAutospacing="0"/>
              <w:jc w:val="right"/>
              <w:rPr>
                <w:color w:val="000000"/>
                <w:sz w:val="20"/>
                <w:szCs w:val="20"/>
              </w:rPr>
            </w:pPr>
            <w:r>
              <w:rPr>
                <w:color w:val="000000"/>
                <w:sz w:val="20"/>
                <w:szCs w:val="20"/>
              </w:rPr>
              <w:t>(4,777</w:t>
            </w:r>
          </w:p>
        </w:tc>
        <w:tc>
          <w:tcPr>
            <w:tcW w:w="50" w:type="pct"/>
            <w:shd w:val="clear" w:color="auto" w:fill="CFF0FC"/>
            <w:noWrap/>
            <w:tcMar>
              <w:top w:w="15" w:type="dxa"/>
              <w:left w:w="0" w:type="dxa"/>
              <w:bottom w:w="0" w:type="dxa"/>
              <w:right w:w="15" w:type="dxa"/>
            </w:tcMar>
            <w:vAlign w:val="bottom"/>
            <w:hideMark/>
          </w:tcPr>
          <w:p w14:paraId="6986B874"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27EBB4D" w14:textId="77777777">
        <w:trPr>
          <w:divId w:val="405500417"/>
          <w:jc w:val="center"/>
        </w:trPr>
        <w:tc>
          <w:tcPr>
            <w:tcW w:w="3349" w:type="pct"/>
            <w:shd w:val="clear" w:color="auto" w:fill="FFFFFF"/>
            <w:tcMar>
              <w:top w:w="15" w:type="dxa"/>
              <w:left w:w="0" w:type="dxa"/>
              <w:bottom w:w="0" w:type="dxa"/>
              <w:right w:w="15" w:type="dxa"/>
            </w:tcMar>
            <w:hideMark/>
          </w:tcPr>
          <w:p w14:paraId="106AD25A" w14:textId="77777777" w:rsidR="00000000" w:rsidRDefault="007125B5">
            <w:pPr>
              <w:pStyle w:val="a3"/>
              <w:spacing w:before="0" w:beforeAutospacing="0" w:after="0" w:afterAutospacing="0"/>
              <w:rPr>
                <w:b/>
                <w:bCs/>
                <w:color w:val="000000"/>
                <w:sz w:val="20"/>
                <w:szCs w:val="20"/>
              </w:rPr>
            </w:pPr>
            <w:r>
              <w:rPr>
                <w:b/>
                <w:bCs/>
                <w:color w:val="000000"/>
                <w:sz w:val="20"/>
                <w:szCs w:val="20"/>
              </w:rPr>
              <w:t>Net income (loss) attributable to common stockholders</w:t>
            </w:r>
          </w:p>
        </w:tc>
        <w:tc>
          <w:tcPr>
            <w:tcW w:w="81" w:type="pct"/>
            <w:shd w:val="clear" w:color="auto" w:fill="FFFFFF"/>
            <w:tcMar>
              <w:top w:w="15" w:type="dxa"/>
              <w:left w:w="0" w:type="dxa"/>
              <w:bottom w:w="0" w:type="dxa"/>
              <w:right w:w="15" w:type="dxa"/>
            </w:tcMar>
            <w:vAlign w:val="bottom"/>
            <w:hideMark/>
          </w:tcPr>
          <w:p w14:paraId="6D1476DF"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214159"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D4C262"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7,580</w:t>
            </w:r>
          </w:p>
        </w:tc>
        <w:tc>
          <w:tcPr>
            <w:tcW w:w="50" w:type="pct"/>
            <w:shd w:val="clear" w:color="auto" w:fill="FFFFFF"/>
            <w:noWrap/>
            <w:tcMar>
              <w:top w:w="15" w:type="dxa"/>
              <w:left w:w="0" w:type="dxa"/>
              <w:bottom w:w="0" w:type="dxa"/>
              <w:right w:w="15" w:type="dxa"/>
            </w:tcMar>
            <w:vAlign w:val="bottom"/>
            <w:hideMark/>
          </w:tcPr>
          <w:p w14:paraId="2831F548"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1F9B902B"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F68043"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A35E7B"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(5,099</w:t>
            </w:r>
          </w:p>
        </w:tc>
        <w:tc>
          <w:tcPr>
            <w:tcW w:w="50" w:type="pct"/>
            <w:shd w:val="clear" w:color="auto" w:fill="FFFFFF"/>
            <w:noWrap/>
            <w:tcMar>
              <w:top w:w="15" w:type="dxa"/>
              <w:left w:w="0" w:type="dxa"/>
              <w:bottom w:w="0" w:type="dxa"/>
              <w:right w:w="15" w:type="dxa"/>
            </w:tcMar>
            <w:vAlign w:val="bottom"/>
            <w:hideMark/>
          </w:tcPr>
          <w:p w14:paraId="6A6C943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5E621459" w14:textId="77777777">
        <w:trPr>
          <w:divId w:val="405500417"/>
          <w:jc w:val="center"/>
        </w:trPr>
        <w:tc>
          <w:tcPr>
            <w:tcW w:w="3349" w:type="pct"/>
            <w:shd w:val="clear" w:color="auto" w:fill="CFF0FC"/>
            <w:tcMar>
              <w:top w:w="15" w:type="dxa"/>
              <w:left w:w="0" w:type="dxa"/>
              <w:bottom w:w="0" w:type="dxa"/>
              <w:right w:w="15" w:type="dxa"/>
            </w:tcMar>
            <w:hideMark/>
          </w:tcPr>
          <w:p w14:paraId="32E45117" w14:textId="77777777" w:rsidR="00000000" w:rsidRDefault="007125B5">
            <w:pPr>
              <w:pStyle w:val="a3"/>
              <w:spacing w:before="0" w:beforeAutospacing="0" w:after="0" w:afterAutospacing="0"/>
              <w:rPr>
                <w:color w:val="000000"/>
                <w:sz w:val="20"/>
                <w:szCs w:val="20"/>
              </w:rPr>
            </w:pPr>
            <w:r>
              <w:rPr>
                <w:color w:val="000000"/>
                <w:sz w:val="20"/>
                <w:szCs w:val="20"/>
              </w:rPr>
              <w:t>Income (loss) per share</w:t>
            </w:r>
          </w:p>
        </w:tc>
        <w:tc>
          <w:tcPr>
            <w:tcW w:w="81" w:type="pct"/>
            <w:shd w:val="clear" w:color="auto" w:fill="CFF0FC"/>
            <w:tcMar>
              <w:top w:w="15" w:type="dxa"/>
              <w:left w:w="0" w:type="dxa"/>
              <w:bottom w:w="0" w:type="dxa"/>
              <w:right w:w="15" w:type="dxa"/>
            </w:tcMar>
            <w:vAlign w:val="bottom"/>
            <w:hideMark/>
          </w:tcPr>
          <w:p w14:paraId="7C07AA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199EB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EA2526" w14:textId="77777777" w:rsidR="00000000" w:rsidRDefault="007125B5">
            <w:pPr>
              <w:pStyle w:val="a3"/>
              <w:spacing w:before="0" w:beforeAutospacing="0" w:after="0" w:afterAutospacing="0"/>
              <w:jc w:val="right"/>
              <w:rPr>
                <w:color w:val="000000"/>
                <w:sz w:val="20"/>
                <w:szCs w:val="20"/>
              </w:rPr>
            </w:pPr>
            <w:r>
              <w:rPr>
                <w:color w:val="000000"/>
                <w:sz w:val="20"/>
                <w:szCs w:val="20"/>
              </w:rPr>
              <w:t>0.40</w:t>
            </w:r>
          </w:p>
        </w:tc>
        <w:tc>
          <w:tcPr>
            <w:tcW w:w="50" w:type="pct"/>
            <w:shd w:val="clear" w:color="auto" w:fill="CFF0FC"/>
            <w:noWrap/>
            <w:tcMar>
              <w:top w:w="15" w:type="dxa"/>
              <w:left w:w="0" w:type="dxa"/>
              <w:bottom w:w="0" w:type="dxa"/>
              <w:right w:w="15" w:type="dxa"/>
            </w:tcMar>
            <w:vAlign w:val="bottom"/>
            <w:hideMark/>
          </w:tcPr>
          <w:p w14:paraId="33A000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C4A30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5393B2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9F21C1" w14:textId="77777777" w:rsidR="00000000" w:rsidRDefault="007125B5">
            <w:pPr>
              <w:pStyle w:val="a3"/>
              <w:spacing w:before="0" w:beforeAutospacing="0" w:after="0" w:afterAutospacing="0"/>
              <w:jc w:val="right"/>
              <w:rPr>
                <w:color w:val="000000"/>
                <w:sz w:val="20"/>
                <w:szCs w:val="20"/>
              </w:rPr>
            </w:pPr>
            <w:r>
              <w:rPr>
                <w:color w:val="000000"/>
                <w:sz w:val="20"/>
                <w:szCs w:val="20"/>
              </w:rPr>
              <w:t>(0.59</w:t>
            </w:r>
          </w:p>
        </w:tc>
        <w:tc>
          <w:tcPr>
            <w:tcW w:w="50" w:type="pct"/>
            <w:shd w:val="clear" w:color="auto" w:fill="CFF0FC"/>
            <w:noWrap/>
            <w:tcMar>
              <w:top w:w="15" w:type="dxa"/>
              <w:left w:w="0" w:type="dxa"/>
              <w:bottom w:w="0" w:type="dxa"/>
              <w:right w:w="15" w:type="dxa"/>
            </w:tcMar>
            <w:vAlign w:val="bottom"/>
            <w:hideMark/>
          </w:tcPr>
          <w:p w14:paraId="76DEDA1A"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786E9030" w14:textId="77777777">
        <w:trPr>
          <w:divId w:val="405500417"/>
          <w:jc w:val="center"/>
        </w:trPr>
        <w:tc>
          <w:tcPr>
            <w:tcW w:w="3349" w:type="pct"/>
            <w:shd w:val="clear" w:color="auto" w:fill="FFFFFF"/>
            <w:tcMar>
              <w:top w:w="15" w:type="dxa"/>
              <w:left w:w="0" w:type="dxa"/>
              <w:bottom w:w="0" w:type="dxa"/>
              <w:right w:w="15" w:type="dxa"/>
            </w:tcMar>
            <w:hideMark/>
          </w:tcPr>
          <w:p w14:paraId="73B392BD" w14:textId="77777777" w:rsidR="00000000" w:rsidRDefault="007125B5">
            <w:pPr>
              <w:pStyle w:val="a3"/>
              <w:spacing w:before="0" w:beforeAutospacing="0" w:after="0" w:afterAutospacing="0"/>
              <w:rPr>
                <w:b/>
                <w:bCs/>
                <w:color w:val="000000"/>
                <w:sz w:val="20"/>
                <w:szCs w:val="20"/>
              </w:rPr>
            </w:pPr>
            <w:r>
              <w:rPr>
                <w:b/>
                <w:bCs/>
                <w:color w:val="000000"/>
                <w:sz w:val="20"/>
                <w:szCs w:val="20"/>
              </w:rPr>
              <w:t>Other financial data:</w:t>
            </w:r>
          </w:p>
        </w:tc>
        <w:tc>
          <w:tcPr>
            <w:tcW w:w="81" w:type="pct"/>
            <w:shd w:val="clear" w:color="auto" w:fill="FFFFFF"/>
            <w:tcMar>
              <w:top w:w="15" w:type="dxa"/>
              <w:left w:w="0" w:type="dxa"/>
              <w:bottom w:w="0" w:type="dxa"/>
              <w:right w:w="15" w:type="dxa"/>
            </w:tcMar>
            <w:vAlign w:val="bottom"/>
            <w:hideMark/>
          </w:tcPr>
          <w:p w14:paraId="4B1158E4"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38C02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5D5A72E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F7ED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F4FD3B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479E2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12E8C79B"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3E347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60F5CCC" w14:textId="77777777">
        <w:trPr>
          <w:divId w:val="405500417"/>
          <w:jc w:val="center"/>
        </w:trPr>
        <w:tc>
          <w:tcPr>
            <w:tcW w:w="3349" w:type="pct"/>
            <w:shd w:val="clear" w:color="auto" w:fill="FFFFFF"/>
            <w:tcMar>
              <w:top w:w="15" w:type="dxa"/>
              <w:left w:w="0" w:type="dxa"/>
              <w:bottom w:w="0" w:type="dxa"/>
              <w:right w:w="15" w:type="dxa"/>
            </w:tcMar>
            <w:hideMark/>
          </w:tcPr>
          <w:p w14:paraId="449E8A08" w14:textId="77777777" w:rsidR="00000000" w:rsidRDefault="007125B5">
            <w:pPr>
              <w:pStyle w:val="a3"/>
              <w:spacing w:before="0" w:beforeAutospacing="0" w:after="0" w:afterAutospacing="0"/>
              <w:rPr>
                <w:b/>
                <w:bCs/>
                <w:color w:val="000000"/>
                <w:sz w:val="20"/>
                <w:szCs w:val="20"/>
              </w:rPr>
            </w:pPr>
            <w:r>
              <w:rPr>
                <w:b/>
                <w:bCs/>
                <w:color w:val="000000"/>
                <w:sz w:val="20"/>
                <w:szCs w:val="20"/>
              </w:rPr>
              <w:t>Adjusted EBITDA</w:t>
            </w:r>
            <w:r>
              <w:rPr>
                <w:b/>
                <w:bCs/>
                <w:color w:val="000000"/>
                <w:sz w:val="17"/>
                <w:szCs w:val="17"/>
                <w:vertAlign w:val="superscript"/>
              </w:rPr>
              <w:t>(1)</w:t>
            </w:r>
          </w:p>
        </w:tc>
        <w:tc>
          <w:tcPr>
            <w:tcW w:w="81" w:type="pct"/>
            <w:shd w:val="clear" w:color="auto" w:fill="FFFFFF"/>
            <w:tcMar>
              <w:top w:w="15" w:type="dxa"/>
              <w:left w:w="0" w:type="dxa"/>
              <w:bottom w:w="0" w:type="dxa"/>
              <w:right w:w="15" w:type="dxa"/>
            </w:tcMar>
            <w:vAlign w:val="bottom"/>
            <w:hideMark/>
          </w:tcPr>
          <w:p w14:paraId="112233D8"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2B9E4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6C636467" w14:textId="77777777" w:rsidR="00000000" w:rsidRDefault="007125B5">
            <w:pPr>
              <w:pStyle w:val="a3"/>
              <w:spacing w:before="0" w:beforeAutospacing="0" w:after="0" w:afterAutospacing="0"/>
              <w:jc w:val="right"/>
              <w:rPr>
                <w:color w:val="000000"/>
                <w:sz w:val="20"/>
                <w:szCs w:val="20"/>
              </w:rPr>
            </w:pPr>
            <w:r>
              <w:rPr>
                <w:color w:val="000000"/>
                <w:sz w:val="20"/>
                <w:szCs w:val="20"/>
              </w:rPr>
              <w:t>13,895</w:t>
            </w:r>
          </w:p>
        </w:tc>
        <w:tc>
          <w:tcPr>
            <w:tcW w:w="50" w:type="pct"/>
            <w:shd w:val="clear" w:color="auto" w:fill="FFFFFF"/>
            <w:noWrap/>
            <w:tcMar>
              <w:top w:w="15" w:type="dxa"/>
              <w:left w:w="0" w:type="dxa"/>
              <w:bottom w:w="0" w:type="dxa"/>
              <w:right w:w="15" w:type="dxa"/>
            </w:tcMar>
            <w:vAlign w:val="bottom"/>
            <w:hideMark/>
          </w:tcPr>
          <w:p w14:paraId="3C0FAB1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02486B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51457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4CE2D367" w14:textId="77777777" w:rsidR="00000000" w:rsidRDefault="007125B5">
            <w:pPr>
              <w:pStyle w:val="a3"/>
              <w:spacing w:before="0" w:beforeAutospacing="0" w:after="0" w:afterAutospacing="0"/>
              <w:jc w:val="right"/>
              <w:rPr>
                <w:color w:val="000000"/>
                <w:sz w:val="20"/>
                <w:szCs w:val="20"/>
              </w:rPr>
            </w:pPr>
            <w:r>
              <w:rPr>
                <w:color w:val="000000"/>
                <w:sz w:val="20"/>
                <w:szCs w:val="20"/>
              </w:rPr>
              <w:t>7,979</w:t>
            </w:r>
          </w:p>
        </w:tc>
        <w:tc>
          <w:tcPr>
            <w:tcW w:w="50" w:type="pct"/>
            <w:shd w:val="clear" w:color="auto" w:fill="FFFFFF"/>
            <w:noWrap/>
            <w:tcMar>
              <w:top w:w="15" w:type="dxa"/>
              <w:left w:w="0" w:type="dxa"/>
              <w:bottom w:w="0" w:type="dxa"/>
              <w:right w:w="15" w:type="dxa"/>
            </w:tcMar>
            <w:vAlign w:val="bottom"/>
            <w:hideMark/>
          </w:tcPr>
          <w:p w14:paraId="34D4E2D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7196405" w14:textId="77777777">
        <w:trPr>
          <w:divId w:val="405500417"/>
          <w:jc w:val="center"/>
        </w:trPr>
        <w:tc>
          <w:tcPr>
            <w:tcW w:w="3349" w:type="pct"/>
            <w:shd w:val="clear" w:color="auto" w:fill="CFF0FC"/>
            <w:tcMar>
              <w:top w:w="15" w:type="dxa"/>
              <w:left w:w="0" w:type="dxa"/>
              <w:bottom w:w="0" w:type="dxa"/>
              <w:right w:w="15" w:type="dxa"/>
            </w:tcMar>
            <w:hideMark/>
          </w:tcPr>
          <w:p w14:paraId="7667E043" w14:textId="77777777" w:rsidR="00000000" w:rsidRDefault="007125B5">
            <w:pPr>
              <w:pStyle w:val="a3"/>
              <w:spacing w:before="0" w:beforeAutospacing="0" w:after="0" w:afterAutospacing="0"/>
              <w:rPr>
                <w:color w:val="000000"/>
                <w:sz w:val="20"/>
                <w:szCs w:val="20"/>
              </w:rPr>
            </w:pPr>
            <w:r>
              <w:rPr>
                <w:color w:val="000000"/>
                <w:sz w:val="20"/>
                <w:szCs w:val="20"/>
              </w:rPr>
              <w:t>Adjusted EBITDA margin</w:t>
            </w:r>
            <w:r>
              <w:rPr>
                <w:color w:val="000000"/>
                <w:sz w:val="17"/>
                <w:szCs w:val="17"/>
                <w:vertAlign w:val="superscript"/>
              </w:rPr>
              <w:t>(1)</w:t>
            </w:r>
          </w:p>
        </w:tc>
        <w:tc>
          <w:tcPr>
            <w:tcW w:w="81" w:type="pct"/>
            <w:shd w:val="clear" w:color="auto" w:fill="CFF0FC"/>
            <w:tcMar>
              <w:top w:w="15" w:type="dxa"/>
              <w:left w:w="0" w:type="dxa"/>
              <w:bottom w:w="0" w:type="dxa"/>
              <w:right w:w="15" w:type="dxa"/>
            </w:tcMar>
            <w:vAlign w:val="bottom"/>
            <w:hideMark/>
          </w:tcPr>
          <w:p w14:paraId="0A1368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A06B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64CF1BA" w14:textId="77777777" w:rsidR="00000000" w:rsidRDefault="007125B5">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14:paraId="20E22CF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1FE2A7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4BB7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4CB1EB6" w14:textId="77777777" w:rsidR="00000000" w:rsidRDefault="007125B5">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CFF0FC"/>
            <w:noWrap/>
            <w:tcMar>
              <w:top w:w="15" w:type="dxa"/>
              <w:left w:w="0" w:type="dxa"/>
              <w:bottom w:w="0" w:type="dxa"/>
              <w:right w:w="15" w:type="dxa"/>
            </w:tcMar>
            <w:vAlign w:val="bottom"/>
            <w:hideMark/>
          </w:tcPr>
          <w:p w14:paraId="0F65FFF7" w14:textId="77777777" w:rsidR="00000000" w:rsidRDefault="007125B5">
            <w:pPr>
              <w:pStyle w:val="a3"/>
              <w:spacing w:before="0" w:beforeAutospacing="0" w:after="0" w:afterAutospacing="0"/>
              <w:rPr>
                <w:color w:val="000000"/>
                <w:sz w:val="20"/>
                <w:szCs w:val="20"/>
              </w:rPr>
            </w:pPr>
            <w:r>
              <w:rPr>
                <w:color w:val="000000"/>
                <w:sz w:val="20"/>
                <w:szCs w:val="20"/>
              </w:rPr>
              <w:t>%</w:t>
            </w:r>
          </w:p>
        </w:tc>
      </w:tr>
    </w:tbl>
    <w:p w14:paraId="041F03FD" w14:textId="77777777" w:rsidR="00000000" w:rsidRDefault="007125B5">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2CC07C4F" w14:textId="77777777">
        <w:tc>
          <w:tcPr>
            <w:tcW w:w="227" w:type="pct"/>
            <w:noWrap/>
            <w:hideMark/>
          </w:tcPr>
          <w:p w14:paraId="34E8B12A" w14:textId="77777777" w:rsidR="00000000" w:rsidRDefault="007125B5">
            <w:pPr>
              <w:pStyle w:val="a3"/>
              <w:spacing w:before="0" w:beforeAutospacing="0" w:after="0" w:afterAutospacing="0"/>
              <w:rPr>
                <w:sz w:val="20"/>
                <w:szCs w:val="20"/>
              </w:rPr>
            </w:pPr>
            <w:r>
              <w:rPr>
                <w:sz w:val="20"/>
                <w:szCs w:val="20"/>
              </w:rPr>
              <w:t>(1)</w:t>
            </w:r>
          </w:p>
        </w:tc>
        <w:tc>
          <w:tcPr>
            <w:tcW w:w="0" w:type="auto"/>
            <w:hideMark/>
          </w:tcPr>
          <w:p w14:paraId="5DE17132" w14:textId="77777777" w:rsidR="00000000" w:rsidRDefault="007125B5">
            <w:pPr>
              <w:pStyle w:val="a3"/>
              <w:spacing w:before="0" w:beforeAutospacing="0" w:after="0" w:afterAutospacing="0"/>
              <w:rPr>
                <w:sz w:val="20"/>
                <w:szCs w:val="20"/>
              </w:rPr>
            </w:pPr>
            <w:r>
              <w:rPr>
                <w:sz w:val="20"/>
                <w:szCs w:val="20"/>
              </w:rPr>
              <w:t xml:space="preserve">Non-GAAP measure. See the section entitled “Non-GAAP Financial Information” </w:t>
            </w:r>
            <w:r>
              <w:rPr>
                <w:sz w:val="20"/>
                <w:szCs w:val="20"/>
              </w:rPr>
              <w:t>for a discussion of non-GAAP measures and a reconciliation thereof to the most directly comparable GAAP measure.</w:t>
            </w:r>
          </w:p>
        </w:tc>
      </w:tr>
    </w:tbl>
    <w:p w14:paraId="6F6DA0D0"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Revenues</w:t>
      </w:r>
    </w:p>
    <w:p w14:paraId="5BBF3BA7"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For the three months ended June 30, 2020, we had revenues of $73.8 million, an increase of $16.4 </w:t>
      </w:r>
      <w:r>
        <w:rPr>
          <w:color w:val="000000"/>
          <w:sz w:val="20"/>
          <w:szCs w:val="20"/>
        </w:rPr>
        <w:t>million, or 28.5% over the three months ended June 30, 2019. The increase in revenues was driven by acquisitions completed at the end of, and subsequent to, the second quarter of 2019 which contributed $20.4 million to revenues during the three months ende</w:t>
      </w:r>
      <w:r>
        <w:rPr>
          <w:color w:val="000000"/>
          <w:sz w:val="20"/>
          <w:szCs w:val="20"/>
        </w:rPr>
        <w:t xml:space="preserve">d June 30, 2020, as well as organic growth excluding the impact of the Discontinued Services Lines. The growth was partially offset by a decline in revenues from Discontinued Service Lines of $4.5 million. All segments were impacted by COVID-19, primarily </w:t>
      </w:r>
      <w:r>
        <w:rPr>
          <w:color w:val="000000"/>
          <w:sz w:val="20"/>
          <w:szCs w:val="20"/>
        </w:rPr>
        <w:t>in the form of delays in project start dates.  </w:t>
      </w:r>
    </w:p>
    <w:p w14:paraId="52606BAE"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For the three months ended June 30, 2020, our Assessment, Permitting and Response segment generated $18.6 million, or 25.3% of total revenues, our Measurement and Analysis segment generated $37.0 million, or </w:t>
      </w:r>
      <w:r>
        <w:rPr>
          <w:color w:val="000000"/>
          <w:sz w:val="20"/>
          <w:szCs w:val="20"/>
        </w:rPr>
        <w:t>50.2% of total revenues, and our Remediation and Reuse segment generated $18.1 million, or 24.5% of total revenues. For the three months ended June 30, 2019, we had revenues of $57.4 million, of which our Assessment, Permitting and Response segment generat</w:t>
      </w:r>
      <w:r>
        <w:rPr>
          <w:color w:val="000000"/>
          <w:sz w:val="20"/>
          <w:szCs w:val="20"/>
        </w:rPr>
        <w:t>ed $5.0 million, or 8.8% of total revenues, our Measurement and Analysis segment generated $34.6 million, or 60.3% of total revenues, and our Remediation and Reuse segment generated $17.8 million, or 30.9 % of total revenues. Revenue from Discontinued Serv</w:t>
      </w:r>
      <w:r>
        <w:rPr>
          <w:color w:val="000000"/>
          <w:sz w:val="20"/>
          <w:szCs w:val="20"/>
        </w:rPr>
        <w:t>ice Lines was $1.3 million and $5.8 million for the three months ended June 30, 2020 and June 30, 2019, respectively, of which $0.9 million and $1.9 million, respectively, was in our Measurement and Analysis segment, and $0.4 million and $3.9 million, resp</w:t>
      </w:r>
      <w:r>
        <w:rPr>
          <w:color w:val="000000"/>
          <w:sz w:val="20"/>
          <w:szCs w:val="20"/>
        </w:rPr>
        <w:t>ectively, was in our Remediation and Reuse segment.</w:t>
      </w:r>
    </w:p>
    <w:p w14:paraId="580FCF45" w14:textId="77777777" w:rsidR="00000000" w:rsidRDefault="007125B5">
      <w:pPr>
        <w:pStyle w:val="a3"/>
        <w:spacing w:before="240" w:beforeAutospacing="0" w:after="0" w:afterAutospacing="0"/>
        <w:jc w:val="center"/>
        <w:rPr>
          <w:sz w:val="20"/>
          <w:szCs w:val="20"/>
        </w:rPr>
      </w:pPr>
      <w:r>
        <w:rPr>
          <w:sz w:val="20"/>
          <w:szCs w:val="20"/>
        </w:rPr>
        <w:t>32</w:t>
      </w:r>
    </w:p>
    <w:p w14:paraId="718F7AD5" w14:textId="77777777" w:rsidR="00000000" w:rsidRDefault="007125B5">
      <w:pPr>
        <w:rPr>
          <w:rFonts w:eastAsia="Times New Roman"/>
        </w:rPr>
      </w:pPr>
      <w:r>
        <w:rPr>
          <w:rFonts w:eastAsia="Times New Roman"/>
        </w:rPr>
        <w:pict w14:anchorId="67D02BC6">
          <v:rect id="_x0000_i1058" style="width:415.3pt;height:1.5pt" o:hralign="center" o:hrstd="t" o:hr="t" fillcolor="#a0a0a0" stroked="f"/>
        </w:pict>
      </w:r>
    </w:p>
    <w:p w14:paraId="28682562" w14:textId="77777777" w:rsidR="00000000" w:rsidRDefault="007125B5">
      <w:pPr>
        <w:pStyle w:val="a3"/>
        <w:spacing w:before="0" w:beforeAutospacing="0" w:after="0" w:afterAutospacing="0"/>
        <w:rPr>
          <w:sz w:val="20"/>
          <w:szCs w:val="20"/>
        </w:rPr>
      </w:pPr>
      <w:r>
        <w:rPr>
          <w:sz w:val="20"/>
          <w:szCs w:val="20"/>
        </w:rPr>
        <w:t> </w:t>
      </w:r>
    </w:p>
    <w:p w14:paraId="3E6ED893" w14:textId="77777777" w:rsidR="00000000" w:rsidRDefault="007125B5">
      <w:pPr>
        <w:pStyle w:val="a3"/>
        <w:shd w:val="clear" w:color="auto" w:fill="FFFFFF"/>
        <w:spacing w:before="360" w:beforeAutospacing="0" w:after="0" w:afterAutospacing="0"/>
        <w:ind w:left="476"/>
        <w:rPr>
          <w:i/>
          <w:iCs/>
          <w:color w:val="000000"/>
          <w:sz w:val="20"/>
          <w:szCs w:val="20"/>
        </w:rPr>
      </w:pPr>
      <w:bookmarkStart w:id="53" w:name="_AEIOULastRenderedPageBreakAEIOU35"/>
      <w:bookmarkEnd w:id="53"/>
      <w:r>
        <w:rPr>
          <w:i/>
          <w:iCs/>
          <w:color w:val="000000"/>
          <w:sz w:val="20"/>
          <w:szCs w:val="20"/>
        </w:rPr>
        <w:t>Cost of Revenues</w:t>
      </w:r>
    </w:p>
    <w:p w14:paraId="3D774D2E"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Cost of revenues consists of all direct costs required to provide services, including fixed and variable direct labor costs, equi</w:t>
      </w:r>
      <w:r>
        <w:rPr>
          <w:color w:val="000000"/>
          <w:sz w:val="20"/>
          <w:szCs w:val="20"/>
        </w:rPr>
        <w:t>pment rental and other outside services, field and lab supplies, vehicle costs and travel- related expenses.</w:t>
      </w:r>
    </w:p>
    <w:p w14:paraId="24D8A605"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 xml:space="preserve">For the three months ended June 30, 2020, cost of revenues was $45.9 million or 62.2 % of revenues, compared to $39.3 million or 68.6% of revenues </w:t>
      </w:r>
      <w:r>
        <w:rPr>
          <w:color w:val="000000"/>
          <w:sz w:val="20"/>
          <w:szCs w:val="20"/>
        </w:rPr>
        <w:t>for the three months ended June 30, 2019. The decline in cost of revenues as a percentage of revenues was primarily a result of lower equipment costs, driven by the decision to exit the Discontinued Service Lines at the end of the first quarter of 2020, as</w:t>
      </w:r>
      <w:r>
        <w:rPr>
          <w:color w:val="000000"/>
          <w:sz w:val="20"/>
          <w:szCs w:val="20"/>
        </w:rPr>
        <w:t xml:space="preserve"> well as a result of temporary cost containment measures, mostly related to direct labor costs in our Measurement and Analysis segment, taken in response to the uncertainty around COVID-19. </w:t>
      </w:r>
    </w:p>
    <w:p w14:paraId="2665CC29"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June 30, 2020, cost of revenues was co</w:t>
      </w:r>
      <w:r>
        <w:rPr>
          <w:color w:val="000000"/>
          <w:sz w:val="20"/>
          <w:szCs w:val="20"/>
        </w:rPr>
        <w:t xml:space="preserve">mprised of direct labor of $30.2 million, outside services (including construction, laboratory, shipping and freight and other outside services) of $6.5 million, field supplies, testing supplies and equipment rental of $5.1 million, project-related travel </w:t>
      </w:r>
      <w:r>
        <w:rPr>
          <w:color w:val="000000"/>
          <w:sz w:val="20"/>
          <w:szCs w:val="20"/>
        </w:rPr>
        <w:t xml:space="preserve">expenses of $2.2 million and other direct costs of $1.9 million. </w:t>
      </w:r>
    </w:p>
    <w:p w14:paraId="2A55F92B"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June 30, 2019, cost of revenues was comprised of direct labor of $22.6 million, outside services (including construction, laboratory, shipping and freight and othe</w:t>
      </w:r>
      <w:r>
        <w:rPr>
          <w:color w:val="000000"/>
          <w:sz w:val="20"/>
          <w:szCs w:val="20"/>
        </w:rPr>
        <w:t>r outside services) of $8.8 million, field supplies, testing supplies and equipment rental of $4.4 million, project-related travel expenses of $2.1 million and other direct costs of $1.4 million.</w:t>
      </w:r>
    </w:p>
    <w:p w14:paraId="3F44A9E8"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Selling, General and Administrative Expenses</w:t>
      </w:r>
    </w:p>
    <w:p w14:paraId="48370777"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Selling, genera</w:t>
      </w:r>
      <w:r>
        <w:rPr>
          <w:color w:val="000000"/>
          <w:sz w:val="20"/>
          <w:szCs w:val="20"/>
        </w:rPr>
        <w:t>l and administrative expenses consist of general corporate overhead, including executive, legal, finance, safety, risk management, human resource, marketing and information technology related costs, as well as indirect operational costs of labor, rent, ins</w:t>
      </w:r>
      <w:r>
        <w:rPr>
          <w:color w:val="000000"/>
          <w:sz w:val="20"/>
          <w:szCs w:val="20"/>
        </w:rPr>
        <w:t>urance and stock-based compensation.</w:t>
      </w:r>
    </w:p>
    <w:p w14:paraId="0226467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June 30, 2020, selling, general and administrative expenses were $23.3 million, an increase of $12.1 million or 108.9% versus the three months ended June 30, 2019, of which $6.9 million was fr</w:t>
      </w:r>
      <w:r>
        <w:rPr>
          <w:color w:val="000000"/>
          <w:sz w:val="20"/>
          <w:szCs w:val="20"/>
        </w:rPr>
        <w:t>om the existing selling, general and administrative expenses of companies we acquired at the end of, and subsequent to the second quarter of 2019. The increase was also driven by an increase in expense related to the fair value adjustment of contingent con</w:t>
      </w:r>
      <w:r>
        <w:rPr>
          <w:color w:val="000000"/>
          <w:sz w:val="20"/>
          <w:szCs w:val="20"/>
        </w:rPr>
        <w:t>sideration of $4.9 million.</w:t>
      </w:r>
    </w:p>
    <w:p w14:paraId="1168E0E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June 30, 2020, selling, general and administrative expenses were comprised of indirect labor of $9.0 million, facilities costs of $2.9 million, stock-based compensation of $0.7 million, expense related to the fair value adjustmen</w:t>
      </w:r>
      <w:r>
        <w:rPr>
          <w:color w:val="000000"/>
          <w:sz w:val="20"/>
          <w:szCs w:val="20"/>
        </w:rPr>
        <w:t>t of contingent consideration of $4.0 million, acquisition-related costs of $2.5 million, and other costs (including software, travel, insurance, legal, consulting and audit services) of $4.2 million.</w:t>
      </w:r>
    </w:p>
    <w:p w14:paraId="7F87AEF7" w14:textId="77777777" w:rsidR="00000000" w:rsidRDefault="007125B5">
      <w:pPr>
        <w:pStyle w:val="a3"/>
        <w:shd w:val="clear" w:color="auto" w:fill="FFFFFF"/>
        <w:spacing w:before="240" w:beforeAutospacing="0" w:after="0" w:afterAutospacing="0"/>
        <w:ind w:firstLine="556"/>
        <w:rPr>
          <w:color w:val="000000"/>
          <w:sz w:val="20"/>
          <w:szCs w:val="20"/>
        </w:rPr>
      </w:pPr>
      <w:bookmarkStart w:id="54" w:name="_Hlk47348131"/>
      <w:bookmarkEnd w:id="54"/>
      <w:r>
        <w:rPr>
          <w:color w:val="000000"/>
          <w:sz w:val="20"/>
          <w:szCs w:val="20"/>
        </w:rPr>
        <w:t>For the three months ended June 30, 2019, selling, gene</w:t>
      </w:r>
      <w:r>
        <w:rPr>
          <w:color w:val="000000"/>
          <w:sz w:val="20"/>
          <w:szCs w:val="20"/>
        </w:rPr>
        <w:t>ral and administrative expenses were $11.2 million, which was comprised of indirect labor of $4.0 million, facilities costs of $2.6 million, stock-based compensation of $0.9 million, bad debt expense of $0.5 million, acquisition-related costs of $0.9 milli</w:t>
      </w:r>
      <w:r>
        <w:rPr>
          <w:color w:val="000000"/>
          <w:sz w:val="20"/>
          <w:szCs w:val="20"/>
        </w:rPr>
        <w:t xml:space="preserve">on, and other costs (including software, travel, insurance, legal, consulting and audit services) of $3.2 million. For the three months ended June 30, 2019, selling, general and administrative expenses also included a credit of $0.9 million related to the </w:t>
      </w:r>
      <w:r>
        <w:rPr>
          <w:color w:val="000000"/>
          <w:sz w:val="20"/>
          <w:szCs w:val="20"/>
        </w:rPr>
        <w:t>fair value adjustment of contingent consideration.</w:t>
      </w:r>
    </w:p>
    <w:p w14:paraId="1350366A"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We expect our general and administrative expenses to increase as a result of additional insurance, legal, accounting, investor relations and other costs associated with becoming a public company.</w:t>
      </w:r>
    </w:p>
    <w:p w14:paraId="07443D94"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Related P</w:t>
      </w:r>
      <w:r>
        <w:rPr>
          <w:i/>
          <w:iCs/>
          <w:color w:val="000000"/>
          <w:sz w:val="20"/>
          <w:szCs w:val="20"/>
        </w:rPr>
        <w:t>arty Expense</w:t>
      </w:r>
    </w:p>
    <w:p w14:paraId="5FFB0BAA"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Related party expense for the three months ended June 30, 2020 and June 30, 2019, of zero and $0.1 million, respectively, represented fees paid to a related party for acquisition-related diligence support. See Note 21 to our unaudited condense</w:t>
      </w:r>
      <w:r>
        <w:rPr>
          <w:color w:val="000000"/>
          <w:sz w:val="20"/>
          <w:szCs w:val="20"/>
        </w:rPr>
        <w:t>d consolidated financial statements.</w:t>
      </w:r>
    </w:p>
    <w:p w14:paraId="3CFB5BBD"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Depreciation and Amortization</w:t>
      </w:r>
    </w:p>
    <w:p w14:paraId="11FB397B"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Depreciation and amortization expense for the three months ended June 30, 2020, was $9.8 million and was comprised of amortization of finite lived intangibles of $7.8 million, arising as a </w:t>
      </w:r>
      <w:r>
        <w:rPr>
          <w:color w:val="000000"/>
          <w:sz w:val="20"/>
          <w:szCs w:val="20"/>
        </w:rPr>
        <w:t>result of our acquisition activity, and depreciation of property and equipment of $2.0 million. Depreciation and amortization expense for the three months ended June 30, 2019, was $6.4 million and was comprised of amortization of finite lived intangibles o</w:t>
      </w:r>
      <w:r>
        <w:rPr>
          <w:color w:val="000000"/>
          <w:sz w:val="20"/>
          <w:szCs w:val="20"/>
        </w:rPr>
        <w:t>f $4.5 million and depreciation of property and equipment of $1.9 million. The increase in both depreciation and amortization for the three months ended June 30, 2020 versus the three months ended June 30, 2019, was primarily a result of acquisitions.</w:t>
      </w:r>
    </w:p>
    <w:p w14:paraId="6DD8D2A9"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Othe</w:t>
      </w:r>
      <w:r>
        <w:rPr>
          <w:i/>
          <w:iCs/>
          <w:color w:val="000000"/>
          <w:sz w:val="20"/>
          <w:szCs w:val="20"/>
        </w:rPr>
        <w:t>r Income (Expense)</w:t>
      </w:r>
    </w:p>
    <w:p w14:paraId="32169954" w14:textId="77777777" w:rsidR="00000000" w:rsidRDefault="007125B5">
      <w:pPr>
        <w:pStyle w:val="a3"/>
        <w:shd w:val="clear" w:color="auto" w:fill="FFFFFF"/>
        <w:spacing w:before="120" w:beforeAutospacing="0" w:after="0" w:afterAutospacing="0"/>
        <w:ind w:firstLine="556"/>
        <w:rPr>
          <w:color w:val="000000"/>
          <w:sz w:val="20"/>
          <w:szCs w:val="20"/>
        </w:rPr>
      </w:pPr>
      <w:bookmarkStart w:id="55" w:name="_AEIOULastRenderedPageBreakAEIOU36"/>
      <w:bookmarkEnd w:id="55"/>
      <w:r>
        <w:rPr>
          <w:color w:val="000000"/>
          <w:sz w:val="20"/>
          <w:szCs w:val="20"/>
        </w:rPr>
        <w:t>Other income for the three months ended June 30, 2020 of $21.9 million was driven primarily by fair value adjustments related to the Series A-1 preferred stock contingent put option. Other expense of $1.2 million for the three months end</w:t>
      </w:r>
      <w:r>
        <w:rPr>
          <w:color w:val="000000"/>
          <w:sz w:val="20"/>
          <w:szCs w:val="20"/>
        </w:rPr>
        <w:t xml:space="preserve">ed June 30, 2019 was </w:t>
      </w:r>
    </w:p>
    <w:p w14:paraId="2804EFC7" w14:textId="77777777" w:rsidR="00000000" w:rsidRDefault="007125B5">
      <w:pPr>
        <w:pStyle w:val="a3"/>
        <w:spacing w:before="240" w:beforeAutospacing="0" w:after="0" w:afterAutospacing="0"/>
        <w:jc w:val="center"/>
        <w:rPr>
          <w:sz w:val="20"/>
          <w:szCs w:val="20"/>
        </w:rPr>
      </w:pPr>
      <w:r>
        <w:rPr>
          <w:sz w:val="20"/>
          <w:szCs w:val="20"/>
        </w:rPr>
        <w:t>33</w:t>
      </w:r>
    </w:p>
    <w:p w14:paraId="606F6AFA" w14:textId="77777777" w:rsidR="00000000" w:rsidRDefault="007125B5">
      <w:pPr>
        <w:rPr>
          <w:rFonts w:eastAsia="Times New Roman"/>
        </w:rPr>
      </w:pPr>
      <w:r>
        <w:rPr>
          <w:rFonts w:eastAsia="Times New Roman"/>
        </w:rPr>
        <w:pict w14:anchorId="382C32C8">
          <v:rect id="_x0000_i1059" style="width:415.3pt;height:1.5pt" o:hralign="center" o:hrstd="t" o:hr="t" fillcolor="#a0a0a0" stroked="f"/>
        </w:pict>
      </w:r>
    </w:p>
    <w:p w14:paraId="2D67CFD0" w14:textId="77777777" w:rsidR="00000000" w:rsidRDefault="007125B5">
      <w:pPr>
        <w:pStyle w:val="a3"/>
        <w:spacing w:before="0" w:beforeAutospacing="0" w:after="0" w:afterAutospacing="0"/>
        <w:rPr>
          <w:sz w:val="20"/>
          <w:szCs w:val="20"/>
        </w:rPr>
      </w:pPr>
      <w:r>
        <w:rPr>
          <w:sz w:val="20"/>
          <w:szCs w:val="20"/>
        </w:rPr>
        <w:t> </w:t>
      </w:r>
    </w:p>
    <w:p w14:paraId="029C33FC" w14:textId="77777777" w:rsidR="00000000" w:rsidRDefault="007125B5">
      <w:pPr>
        <w:pStyle w:val="a3"/>
        <w:shd w:val="clear" w:color="auto" w:fill="FFFFFF"/>
        <w:spacing w:before="120" w:beforeAutospacing="0" w:after="0" w:afterAutospacing="0"/>
        <w:rPr>
          <w:color w:val="000000"/>
          <w:sz w:val="20"/>
          <w:szCs w:val="20"/>
        </w:rPr>
      </w:pPr>
      <w:r>
        <w:rPr>
          <w:color w:val="000000"/>
          <w:sz w:val="20"/>
          <w:szCs w:val="20"/>
        </w:rPr>
        <w:t>driven primarily by fair value adjustments relat</w:t>
      </w:r>
      <w:r>
        <w:rPr>
          <w:color w:val="000000"/>
          <w:sz w:val="20"/>
          <w:szCs w:val="20"/>
        </w:rPr>
        <w:t>ed to the Series A-1 preferred stock warrant option.  See Notes 11 and 16 to our unaudited condensed consolidated financial statements.</w:t>
      </w:r>
    </w:p>
    <w:p w14:paraId="3D8300B8"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Interest Expense, Net</w:t>
      </w:r>
    </w:p>
    <w:p w14:paraId="65BF7932"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Interest expense, net incurred in the three months ended June 30, 2020, was $5.3 million, compared</w:t>
      </w:r>
      <w:r>
        <w:rPr>
          <w:color w:val="000000"/>
          <w:sz w:val="20"/>
          <w:szCs w:val="20"/>
        </w:rPr>
        <w:t xml:space="preserve"> to $1.2 million for the three months ended June 30, 2019. The increase in interest expense was driven by higher outstanding debt balances and higher borrowings under an equipment line of credit, as well as higher average interest rates, as a result of the</w:t>
      </w:r>
      <w:r>
        <w:rPr>
          <w:color w:val="000000"/>
          <w:sz w:val="20"/>
          <w:szCs w:val="20"/>
        </w:rPr>
        <w:t xml:space="preserve"> repayment of our prior senior secured credit facility using proceeds from the Unitranche Credit facility, which carries a higher rate of interest. Interest expense in the three months ended June 30, 2020 also includes $1.4 million from both payments made </w:t>
      </w:r>
      <w:r>
        <w:rPr>
          <w:color w:val="000000"/>
          <w:sz w:val="20"/>
          <w:szCs w:val="20"/>
        </w:rPr>
        <w:t>and the write off of deferred debt issuance costs, related to the repayment of our prior senior secured credit facility. See Note 13 to our unaudited condensed consolidated financial statements.</w:t>
      </w:r>
    </w:p>
    <w:p w14:paraId="7D9968A6"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Income taxes benefit</w:t>
      </w:r>
    </w:p>
    <w:p w14:paraId="0150A151"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Income tax benefit was $1.8 million and </w:t>
      </w:r>
      <w:r>
        <w:rPr>
          <w:color w:val="000000"/>
          <w:sz w:val="20"/>
          <w:szCs w:val="20"/>
        </w:rPr>
        <w:t xml:space="preserve">$1.7 million for the three months ended June 30, 2020 and June 30, 2019, respectively. The increase in tax benefit is primarily attributable to our cumulative loss before income tax, partially offset by an increase in permanently disallowed tax deductions </w:t>
      </w:r>
      <w:r>
        <w:rPr>
          <w:color w:val="000000"/>
          <w:sz w:val="20"/>
          <w:szCs w:val="20"/>
        </w:rPr>
        <w:t>for U.S. federal income tax purposes including, but not limited to, non-deductible mark to market adjustments and Global Intangible Low Taxed Income as well as state and foreign income tax provisions.</w:t>
      </w:r>
    </w:p>
    <w:p w14:paraId="0D496164"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Six Months Ended June </w:t>
      </w:r>
      <w:r>
        <w:rPr>
          <w:b/>
          <w:bCs/>
          <w:i/>
          <w:iCs/>
          <w:color w:val="000000"/>
          <w:sz w:val="20"/>
          <w:szCs w:val="20"/>
        </w:rPr>
        <w:t>30, 2020 Compared to the Six Months Ended June 30, 2019</w:t>
      </w:r>
    </w:p>
    <w:p w14:paraId="5329FF50"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60"/>
        <w:gridCol w:w="65"/>
        <w:gridCol w:w="115"/>
        <w:gridCol w:w="665"/>
        <w:gridCol w:w="182"/>
        <w:gridCol w:w="65"/>
        <w:gridCol w:w="115"/>
        <w:gridCol w:w="665"/>
        <w:gridCol w:w="182"/>
      </w:tblGrid>
      <w:tr w:rsidR="00000000" w14:paraId="7CD950D8" w14:textId="77777777">
        <w:trPr>
          <w:divId w:val="1802727859"/>
          <w:jc w:val="center"/>
        </w:trPr>
        <w:tc>
          <w:tcPr>
            <w:tcW w:w="3349" w:type="pct"/>
            <w:shd w:val="clear" w:color="auto" w:fill="FFFFFF"/>
            <w:tcMar>
              <w:top w:w="15" w:type="dxa"/>
              <w:left w:w="0" w:type="dxa"/>
              <w:bottom w:w="0" w:type="dxa"/>
              <w:right w:w="15" w:type="dxa"/>
            </w:tcMar>
            <w:vAlign w:val="bottom"/>
            <w:hideMark/>
          </w:tcPr>
          <w:p w14:paraId="0D347812" w14:textId="77777777" w:rsidR="00000000" w:rsidRDefault="007125B5">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30EEF7C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5AA51BD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For the Six Months</w:t>
            </w:r>
          </w:p>
        </w:tc>
        <w:tc>
          <w:tcPr>
            <w:tcW w:w="50" w:type="pct"/>
            <w:shd w:val="clear" w:color="auto" w:fill="FFFFFF"/>
            <w:noWrap/>
            <w:tcMar>
              <w:top w:w="15" w:type="dxa"/>
              <w:left w:w="0" w:type="dxa"/>
              <w:bottom w:w="0" w:type="dxa"/>
              <w:right w:w="15" w:type="dxa"/>
            </w:tcMar>
            <w:vAlign w:val="bottom"/>
            <w:hideMark/>
          </w:tcPr>
          <w:p w14:paraId="0B2A9D1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FF163B8" w14:textId="77777777">
        <w:trPr>
          <w:divId w:val="1802727859"/>
          <w:jc w:val="center"/>
        </w:trPr>
        <w:tc>
          <w:tcPr>
            <w:tcW w:w="3349" w:type="pct"/>
            <w:shd w:val="clear" w:color="auto" w:fill="FFFFFF"/>
            <w:tcMar>
              <w:top w:w="15" w:type="dxa"/>
              <w:left w:w="0" w:type="dxa"/>
              <w:bottom w:w="0" w:type="dxa"/>
              <w:right w:w="15" w:type="dxa"/>
            </w:tcMar>
            <w:vAlign w:val="bottom"/>
            <w:hideMark/>
          </w:tcPr>
          <w:p w14:paraId="37FF785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EB85D7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61E6C9D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6DD92F1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00A7F1ED" w14:textId="77777777">
        <w:trPr>
          <w:divId w:val="1802727859"/>
          <w:jc w:val="center"/>
        </w:trPr>
        <w:tc>
          <w:tcPr>
            <w:tcW w:w="3349" w:type="pct"/>
            <w:shd w:val="clear" w:color="auto" w:fill="FFFFFF"/>
            <w:tcMar>
              <w:top w:w="15" w:type="dxa"/>
              <w:left w:w="0" w:type="dxa"/>
              <w:bottom w:w="0" w:type="dxa"/>
              <w:right w:w="15" w:type="dxa"/>
            </w:tcMar>
            <w:vAlign w:val="bottom"/>
            <w:hideMark/>
          </w:tcPr>
          <w:p w14:paraId="2A8B712C" w14:textId="77777777" w:rsidR="00000000" w:rsidRDefault="007125B5">
            <w:pPr>
              <w:pStyle w:val="a3"/>
              <w:spacing w:before="0" w:beforeAutospacing="0" w:after="0" w:afterAutospacing="0"/>
              <w:rPr>
                <w:b/>
                <w:bCs/>
                <w:color w:val="000000"/>
                <w:sz w:val="16"/>
                <w:szCs w:val="16"/>
              </w:rPr>
            </w:pPr>
            <w:r>
              <w:rPr>
                <w:b/>
                <w:bCs/>
                <w:color w:val="000000"/>
                <w:sz w:val="16"/>
                <w:szCs w:val="16"/>
              </w:rPr>
              <w:t>(in thousands, except per share data)</w:t>
            </w:r>
          </w:p>
        </w:tc>
        <w:tc>
          <w:tcPr>
            <w:tcW w:w="81" w:type="pct"/>
            <w:shd w:val="clear" w:color="auto" w:fill="FFFFFF"/>
            <w:tcMar>
              <w:top w:w="15" w:type="dxa"/>
              <w:left w:w="0" w:type="dxa"/>
              <w:bottom w:w="0" w:type="dxa"/>
              <w:right w:w="15" w:type="dxa"/>
            </w:tcMar>
            <w:vAlign w:val="bottom"/>
            <w:hideMark/>
          </w:tcPr>
          <w:p w14:paraId="42816AF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F1789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3FAC4A8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4FB387F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74CD2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CF0102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891094C" w14:textId="77777777">
        <w:trPr>
          <w:divId w:val="1802727859"/>
          <w:jc w:val="center"/>
        </w:trPr>
        <w:tc>
          <w:tcPr>
            <w:tcW w:w="3349" w:type="pct"/>
            <w:shd w:val="clear" w:color="auto" w:fill="CFF0FC"/>
            <w:tcMar>
              <w:top w:w="15" w:type="dxa"/>
              <w:left w:w="0" w:type="dxa"/>
              <w:bottom w:w="0" w:type="dxa"/>
              <w:right w:w="15" w:type="dxa"/>
            </w:tcMar>
            <w:hideMark/>
          </w:tcPr>
          <w:p w14:paraId="45F8B118" w14:textId="77777777" w:rsidR="00000000" w:rsidRDefault="007125B5">
            <w:pPr>
              <w:pStyle w:val="a3"/>
              <w:spacing w:before="0" w:beforeAutospacing="0" w:after="0" w:afterAutospacing="0"/>
              <w:rPr>
                <w:b/>
                <w:bCs/>
                <w:color w:val="000000"/>
                <w:sz w:val="20"/>
                <w:szCs w:val="20"/>
              </w:rPr>
            </w:pPr>
            <w:r>
              <w:rPr>
                <w:b/>
                <w:bCs/>
                <w:color w:val="000000"/>
                <w:sz w:val="20"/>
                <w:szCs w:val="20"/>
              </w:rPr>
              <w:t>Statements of operations data:</w:t>
            </w:r>
          </w:p>
        </w:tc>
        <w:tc>
          <w:tcPr>
            <w:tcW w:w="81" w:type="pct"/>
            <w:shd w:val="clear" w:color="auto" w:fill="CFF0FC"/>
            <w:tcMar>
              <w:top w:w="15" w:type="dxa"/>
              <w:left w:w="0" w:type="dxa"/>
              <w:bottom w:w="0" w:type="dxa"/>
              <w:right w:w="15" w:type="dxa"/>
            </w:tcMar>
            <w:vAlign w:val="bottom"/>
            <w:hideMark/>
          </w:tcPr>
          <w:p w14:paraId="70AEAEB3"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70EB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EFB421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243CD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13F94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2144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A42061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F03E4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708F4C4" w14:textId="77777777">
        <w:trPr>
          <w:divId w:val="1802727859"/>
          <w:jc w:val="center"/>
        </w:trPr>
        <w:tc>
          <w:tcPr>
            <w:tcW w:w="3349" w:type="pct"/>
            <w:shd w:val="clear" w:color="auto" w:fill="FFFFFF"/>
            <w:tcMar>
              <w:top w:w="15" w:type="dxa"/>
              <w:left w:w="0" w:type="dxa"/>
              <w:bottom w:w="0" w:type="dxa"/>
              <w:right w:w="15" w:type="dxa"/>
            </w:tcMar>
            <w:hideMark/>
          </w:tcPr>
          <w:p w14:paraId="4F1E7F9A" w14:textId="77777777" w:rsidR="00000000" w:rsidRDefault="007125B5">
            <w:pPr>
              <w:pStyle w:val="a3"/>
              <w:spacing w:before="0" w:beforeAutospacing="0" w:after="0" w:afterAutospacing="0"/>
              <w:rPr>
                <w:color w:val="000000"/>
                <w:sz w:val="20"/>
                <w:szCs w:val="20"/>
              </w:rPr>
            </w:pPr>
            <w:r>
              <w:rPr>
                <w:color w:val="000000"/>
                <w:sz w:val="20"/>
                <w:szCs w:val="20"/>
              </w:rPr>
              <w:t>Revenues</w:t>
            </w:r>
          </w:p>
        </w:tc>
        <w:tc>
          <w:tcPr>
            <w:tcW w:w="81" w:type="pct"/>
            <w:shd w:val="clear" w:color="auto" w:fill="FFFFFF"/>
            <w:tcMar>
              <w:top w:w="15" w:type="dxa"/>
              <w:left w:w="0" w:type="dxa"/>
              <w:bottom w:w="0" w:type="dxa"/>
              <w:right w:w="15" w:type="dxa"/>
            </w:tcMar>
            <w:vAlign w:val="bottom"/>
            <w:hideMark/>
          </w:tcPr>
          <w:p w14:paraId="60120C5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71285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2324B825" w14:textId="77777777" w:rsidR="00000000" w:rsidRDefault="007125B5">
            <w:pPr>
              <w:pStyle w:val="a3"/>
              <w:spacing w:before="0" w:beforeAutospacing="0" w:after="0" w:afterAutospacing="0"/>
              <w:jc w:val="right"/>
              <w:rPr>
                <w:color w:val="000000"/>
                <w:sz w:val="20"/>
                <w:szCs w:val="20"/>
              </w:rPr>
            </w:pPr>
            <w:r>
              <w:rPr>
                <w:color w:val="000000"/>
                <w:sz w:val="20"/>
                <w:szCs w:val="20"/>
              </w:rPr>
              <w:t>134,797</w:t>
            </w:r>
          </w:p>
        </w:tc>
        <w:tc>
          <w:tcPr>
            <w:tcW w:w="50" w:type="pct"/>
            <w:shd w:val="clear" w:color="auto" w:fill="FFFFFF"/>
            <w:noWrap/>
            <w:tcMar>
              <w:top w:w="15" w:type="dxa"/>
              <w:left w:w="0" w:type="dxa"/>
              <w:bottom w:w="0" w:type="dxa"/>
              <w:right w:w="15" w:type="dxa"/>
            </w:tcMar>
            <w:vAlign w:val="bottom"/>
            <w:hideMark/>
          </w:tcPr>
          <w:p w14:paraId="52B91B9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2633F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75AF9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41DEB2C3" w14:textId="77777777" w:rsidR="00000000" w:rsidRDefault="007125B5">
            <w:pPr>
              <w:pStyle w:val="a3"/>
              <w:spacing w:before="0" w:beforeAutospacing="0" w:after="0" w:afterAutospacing="0"/>
              <w:jc w:val="right"/>
              <w:rPr>
                <w:color w:val="000000"/>
                <w:sz w:val="20"/>
                <w:szCs w:val="20"/>
              </w:rPr>
            </w:pPr>
            <w:r>
              <w:rPr>
                <w:color w:val="000000"/>
                <w:sz w:val="20"/>
                <w:szCs w:val="20"/>
              </w:rPr>
              <w:t>108,355</w:t>
            </w:r>
          </w:p>
        </w:tc>
        <w:tc>
          <w:tcPr>
            <w:tcW w:w="50" w:type="pct"/>
            <w:shd w:val="clear" w:color="auto" w:fill="FFFFFF"/>
            <w:noWrap/>
            <w:tcMar>
              <w:top w:w="15" w:type="dxa"/>
              <w:left w:w="0" w:type="dxa"/>
              <w:bottom w:w="0" w:type="dxa"/>
              <w:right w:w="15" w:type="dxa"/>
            </w:tcMar>
            <w:vAlign w:val="bottom"/>
            <w:hideMark/>
          </w:tcPr>
          <w:p w14:paraId="177CBA6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DBD1AFA" w14:textId="77777777">
        <w:trPr>
          <w:divId w:val="1802727859"/>
          <w:jc w:val="center"/>
        </w:trPr>
        <w:tc>
          <w:tcPr>
            <w:tcW w:w="3349" w:type="pct"/>
            <w:shd w:val="clear" w:color="auto" w:fill="CFF0FC"/>
            <w:tcMar>
              <w:top w:w="15" w:type="dxa"/>
              <w:left w:w="0" w:type="dxa"/>
              <w:bottom w:w="0" w:type="dxa"/>
              <w:right w:w="15" w:type="dxa"/>
            </w:tcMar>
            <w:hideMark/>
          </w:tcPr>
          <w:p w14:paraId="1DA2BEC6" w14:textId="77777777" w:rsidR="00000000" w:rsidRDefault="007125B5">
            <w:pPr>
              <w:pStyle w:val="a3"/>
              <w:spacing w:before="0" w:beforeAutospacing="0" w:after="0" w:afterAutospacing="0"/>
              <w:rPr>
                <w:color w:val="000000"/>
                <w:sz w:val="20"/>
                <w:szCs w:val="20"/>
              </w:rPr>
            </w:pPr>
            <w:r>
              <w:rPr>
                <w:color w:val="000000"/>
                <w:sz w:val="20"/>
                <w:szCs w:val="20"/>
              </w:rPr>
              <w:t>Cost of revenues (exclusive of depreciation and amortization)</w:t>
            </w:r>
          </w:p>
        </w:tc>
        <w:tc>
          <w:tcPr>
            <w:tcW w:w="81" w:type="pct"/>
            <w:shd w:val="clear" w:color="auto" w:fill="CFF0FC"/>
            <w:tcMar>
              <w:top w:w="15" w:type="dxa"/>
              <w:left w:w="0" w:type="dxa"/>
              <w:bottom w:w="0" w:type="dxa"/>
              <w:right w:w="15" w:type="dxa"/>
            </w:tcMar>
            <w:vAlign w:val="bottom"/>
            <w:hideMark/>
          </w:tcPr>
          <w:p w14:paraId="077D74E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FB1DA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6AE92E6" w14:textId="77777777" w:rsidR="00000000" w:rsidRDefault="007125B5">
            <w:pPr>
              <w:pStyle w:val="a3"/>
              <w:spacing w:before="0" w:beforeAutospacing="0" w:after="0" w:afterAutospacing="0"/>
              <w:jc w:val="right"/>
              <w:rPr>
                <w:color w:val="000000"/>
                <w:sz w:val="20"/>
                <w:szCs w:val="20"/>
              </w:rPr>
            </w:pPr>
            <w:r>
              <w:rPr>
                <w:color w:val="000000"/>
                <w:sz w:val="20"/>
                <w:szCs w:val="20"/>
              </w:rPr>
              <w:t>90,287</w:t>
            </w:r>
          </w:p>
        </w:tc>
        <w:tc>
          <w:tcPr>
            <w:tcW w:w="50" w:type="pct"/>
            <w:shd w:val="clear" w:color="auto" w:fill="CFF0FC"/>
            <w:noWrap/>
            <w:tcMar>
              <w:top w:w="15" w:type="dxa"/>
              <w:left w:w="0" w:type="dxa"/>
              <w:bottom w:w="0" w:type="dxa"/>
              <w:right w:w="15" w:type="dxa"/>
            </w:tcMar>
            <w:vAlign w:val="bottom"/>
            <w:hideMark/>
          </w:tcPr>
          <w:p w14:paraId="124650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E8F15F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4B4FE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E45CF5F" w14:textId="77777777" w:rsidR="00000000" w:rsidRDefault="007125B5">
            <w:pPr>
              <w:pStyle w:val="a3"/>
              <w:spacing w:before="0" w:beforeAutospacing="0" w:after="0" w:afterAutospacing="0"/>
              <w:jc w:val="right"/>
              <w:rPr>
                <w:color w:val="000000"/>
                <w:sz w:val="20"/>
                <w:szCs w:val="20"/>
              </w:rPr>
            </w:pPr>
            <w:r>
              <w:rPr>
                <w:color w:val="000000"/>
                <w:sz w:val="20"/>
                <w:szCs w:val="20"/>
              </w:rPr>
              <w:t>76,444</w:t>
            </w:r>
          </w:p>
        </w:tc>
        <w:tc>
          <w:tcPr>
            <w:tcW w:w="50" w:type="pct"/>
            <w:shd w:val="clear" w:color="auto" w:fill="CFF0FC"/>
            <w:noWrap/>
            <w:tcMar>
              <w:top w:w="15" w:type="dxa"/>
              <w:left w:w="0" w:type="dxa"/>
              <w:bottom w:w="0" w:type="dxa"/>
              <w:right w:w="15" w:type="dxa"/>
            </w:tcMar>
            <w:vAlign w:val="bottom"/>
            <w:hideMark/>
          </w:tcPr>
          <w:p w14:paraId="37316A05"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BC2DF7D" w14:textId="77777777">
        <w:trPr>
          <w:divId w:val="1802727859"/>
          <w:jc w:val="center"/>
        </w:trPr>
        <w:tc>
          <w:tcPr>
            <w:tcW w:w="3349" w:type="pct"/>
            <w:shd w:val="clear" w:color="auto" w:fill="FFFFFF"/>
            <w:tcMar>
              <w:top w:w="15" w:type="dxa"/>
              <w:left w:w="0" w:type="dxa"/>
              <w:bottom w:w="0" w:type="dxa"/>
              <w:right w:w="15" w:type="dxa"/>
            </w:tcMar>
            <w:hideMark/>
          </w:tcPr>
          <w:p w14:paraId="5AC0EEDE" w14:textId="77777777" w:rsidR="00000000" w:rsidRDefault="007125B5">
            <w:pPr>
              <w:pStyle w:val="a3"/>
              <w:spacing w:before="0" w:beforeAutospacing="0" w:after="0" w:afterAutospacing="0"/>
              <w:rPr>
                <w:color w:val="000000"/>
                <w:sz w:val="20"/>
                <w:szCs w:val="20"/>
              </w:rPr>
            </w:pPr>
            <w:r>
              <w:rPr>
                <w:color w:val="000000"/>
                <w:sz w:val="20"/>
                <w:szCs w:val="20"/>
              </w:rPr>
              <w:t>Selling, general and administrative expenses</w:t>
            </w:r>
          </w:p>
        </w:tc>
        <w:tc>
          <w:tcPr>
            <w:tcW w:w="81" w:type="pct"/>
            <w:shd w:val="clear" w:color="auto" w:fill="FFFFFF"/>
            <w:tcMar>
              <w:top w:w="15" w:type="dxa"/>
              <w:left w:w="0" w:type="dxa"/>
              <w:bottom w:w="0" w:type="dxa"/>
              <w:right w:w="15" w:type="dxa"/>
            </w:tcMar>
            <w:vAlign w:val="bottom"/>
            <w:hideMark/>
          </w:tcPr>
          <w:p w14:paraId="369892D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4613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977526D" w14:textId="77777777" w:rsidR="00000000" w:rsidRDefault="007125B5">
            <w:pPr>
              <w:pStyle w:val="a3"/>
              <w:spacing w:before="0" w:beforeAutospacing="0" w:after="0" w:afterAutospacing="0"/>
              <w:jc w:val="right"/>
              <w:rPr>
                <w:color w:val="000000"/>
                <w:sz w:val="20"/>
                <w:szCs w:val="20"/>
              </w:rPr>
            </w:pPr>
            <w:r>
              <w:rPr>
                <w:color w:val="000000"/>
                <w:sz w:val="20"/>
                <w:szCs w:val="20"/>
              </w:rPr>
              <w:t>44,232</w:t>
            </w:r>
          </w:p>
        </w:tc>
        <w:tc>
          <w:tcPr>
            <w:tcW w:w="50" w:type="pct"/>
            <w:shd w:val="clear" w:color="auto" w:fill="FFFFFF"/>
            <w:noWrap/>
            <w:tcMar>
              <w:top w:w="15" w:type="dxa"/>
              <w:left w:w="0" w:type="dxa"/>
              <w:bottom w:w="0" w:type="dxa"/>
              <w:right w:w="15" w:type="dxa"/>
            </w:tcMar>
            <w:vAlign w:val="bottom"/>
            <w:hideMark/>
          </w:tcPr>
          <w:p w14:paraId="11A1E5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AF151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D578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687950E" w14:textId="77777777" w:rsidR="00000000" w:rsidRDefault="007125B5">
            <w:pPr>
              <w:pStyle w:val="a3"/>
              <w:spacing w:before="0" w:beforeAutospacing="0" w:after="0" w:afterAutospacing="0"/>
              <w:jc w:val="right"/>
              <w:rPr>
                <w:color w:val="000000"/>
                <w:sz w:val="20"/>
                <w:szCs w:val="20"/>
              </w:rPr>
            </w:pPr>
            <w:r>
              <w:rPr>
                <w:color w:val="000000"/>
                <w:sz w:val="20"/>
                <w:szCs w:val="20"/>
              </w:rPr>
              <w:t>21,603</w:t>
            </w:r>
          </w:p>
        </w:tc>
        <w:tc>
          <w:tcPr>
            <w:tcW w:w="50" w:type="pct"/>
            <w:shd w:val="clear" w:color="auto" w:fill="FFFFFF"/>
            <w:noWrap/>
            <w:tcMar>
              <w:top w:w="15" w:type="dxa"/>
              <w:left w:w="0" w:type="dxa"/>
              <w:bottom w:w="0" w:type="dxa"/>
              <w:right w:w="15" w:type="dxa"/>
            </w:tcMar>
            <w:vAlign w:val="bottom"/>
            <w:hideMark/>
          </w:tcPr>
          <w:p w14:paraId="3A6E125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14C3CF1" w14:textId="77777777">
        <w:trPr>
          <w:divId w:val="1802727859"/>
          <w:jc w:val="center"/>
        </w:trPr>
        <w:tc>
          <w:tcPr>
            <w:tcW w:w="3349" w:type="pct"/>
            <w:shd w:val="clear" w:color="auto" w:fill="CFF0FC"/>
            <w:tcMar>
              <w:top w:w="15" w:type="dxa"/>
              <w:left w:w="0" w:type="dxa"/>
              <w:bottom w:w="0" w:type="dxa"/>
              <w:right w:w="15" w:type="dxa"/>
            </w:tcMar>
            <w:hideMark/>
          </w:tcPr>
          <w:p w14:paraId="6E047B40" w14:textId="77777777" w:rsidR="00000000" w:rsidRDefault="007125B5">
            <w:pPr>
              <w:pStyle w:val="a3"/>
              <w:spacing w:before="0" w:beforeAutospacing="0" w:after="0" w:afterAutospacing="0"/>
              <w:rPr>
                <w:color w:val="000000"/>
                <w:sz w:val="20"/>
                <w:szCs w:val="20"/>
              </w:rPr>
            </w:pPr>
            <w:r>
              <w:rPr>
                <w:color w:val="000000"/>
                <w:sz w:val="20"/>
                <w:szCs w:val="20"/>
              </w:rPr>
              <w:t>Related party expense</w:t>
            </w:r>
          </w:p>
        </w:tc>
        <w:tc>
          <w:tcPr>
            <w:tcW w:w="81" w:type="pct"/>
            <w:shd w:val="clear" w:color="auto" w:fill="CFF0FC"/>
            <w:tcMar>
              <w:top w:w="15" w:type="dxa"/>
              <w:left w:w="0" w:type="dxa"/>
              <w:bottom w:w="0" w:type="dxa"/>
              <w:right w:w="15" w:type="dxa"/>
            </w:tcMar>
            <w:vAlign w:val="bottom"/>
            <w:hideMark/>
          </w:tcPr>
          <w:p w14:paraId="3CF932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2543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39BD641" w14:textId="77777777" w:rsidR="00000000" w:rsidRDefault="007125B5">
            <w:pPr>
              <w:pStyle w:val="a3"/>
              <w:spacing w:before="0" w:beforeAutospacing="0" w:after="0" w:afterAutospacing="0"/>
              <w:jc w:val="right"/>
              <w:rPr>
                <w:color w:val="000000"/>
                <w:sz w:val="20"/>
                <w:szCs w:val="20"/>
              </w:rPr>
            </w:pPr>
            <w:r>
              <w:rPr>
                <w:color w:val="000000"/>
                <w:sz w:val="20"/>
                <w:szCs w:val="20"/>
              </w:rPr>
              <w:t>119</w:t>
            </w:r>
          </w:p>
        </w:tc>
        <w:tc>
          <w:tcPr>
            <w:tcW w:w="50" w:type="pct"/>
            <w:shd w:val="clear" w:color="auto" w:fill="CFF0FC"/>
            <w:noWrap/>
            <w:tcMar>
              <w:top w:w="15" w:type="dxa"/>
              <w:left w:w="0" w:type="dxa"/>
              <w:bottom w:w="0" w:type="dxa"/>
              <w:right w:w="15" w:type="dxa"/>
            </w:tcMar>
            <w:vAlign w:val="bottom"/>
            <w:hideMark/>
          </w:tcPr>
          <w:p w14:paraId="5C7731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3A113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7C42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B004451" w14:textId="77777777" w:rsidR="00000000" w:rsidRDefault="007125B5">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14:paraId="5449E11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20A3FE9" w14:textId="77777777">
        <w:trPr>
          <w:divId w:val="1802727859"/>
          <w:jc w:val="center"/>
        </w:trPr>
        <w:tc>
          <w:tcPr>
            <w:tcW w:w="3349" w:type="pct"/>
            <w:shd w:val="clear" w:color="auto" w:fill="FFFFFF"/>
            <w:tcMar>
              <w:top w:w="15" w:type="dxa"/>
              <w:left w:w="0" w:type="dxa"/>
              <w:bottom w:w="0" w:type="dxa"/>
              <w:right w:w="15" w:type="dxa"/>
            </w:tcMar>
            <w:hideMark/>
          </w:tcPr>
          <w:p w14:paraId="54CAB561" w14:textId="77777777" w:rsidR="00000000" w:rsidRDefault="007125B5">
            <w:pPr>
              <w:pStyle w:val="a3"/>
              <w:spacing w:before="0" w:beforeAutospacing="0" w:after="0" w:afterAutospacing="0"/>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14:paraId="7F9D1D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7570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97696C9" w14:textId="77777777" w:rsidR="00000000" w:rsidRDefault="007125B5">
            <w:pPr>
              <w:pStyle w:val="a3"/>
              <w:spacing w:before="0" w:beforeAutospacing="0" w:after="0" w:afterAutospacing="0"/>
              <w:jc w:val="right"/>
              <w:rPr>
                <w:color w:val="000000"/>
                <w:sz w:val="20"/>
                <w:szCs w:val="20"/>
              </w:rPr>
            </w:pPr>
            <w:r>
              <w:rPr>
                <w:color w:val="000000"/>
                <w:sz w:val="20"/>
                <w:szCs w:val="20"/>
              </w:rPr>
              <w:t>17,344</w:t>
            </w:r>
          </w:p>
        </w:tc>
        <w:tc>
          <w:tcPr>
            <w:tcW w:w="50" w:type="pct"/>
            <w:shd w:val="clear" w:color="auto" w:fill="FFFFFF"/>
            <w:noWrap/>
            <w:tcMar>
              <w:top w:w="15" w:type="dxa"/>
              <w:left w:w="0" w:type="dxa"/>
              <w:bottom w:w="0" w:type="dxa"/>
              <w:right w:w="15" w:type="dxa"/>
            </w:tcMar>
            <w:vAlign w:val="bottom"/>
            <w:hideMark/>
          </w:tcPr>
          <w:p w14:paraId="15837D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0623CD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3C5A0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4FAC6EBA" w14:textId="77777777" w:rsidR="00000000" w:rsidRDefault="007125B5">
            <w:pPr>
              <w:pStyle w:val="a3"/>
              <w:spacing w:before="0" w:beforeAutospacing="0" w:after="0" w:afterAutospacing="0"/>
              <w:jc w:val="right"/>
              <w:rPr>
                <w:color w:val="000000"/>
                <w:sz w:val="20"/>
                <w:szCs w:val="20"/>
              </w:rPr>
            </w:pPr>
            <w:r>
              <w:rPr>
                <w:color w:val="000000"/>
                <w:sz w:val="20"/>
                <w:szCs w:val="20"/>
              </w:rPr>
              <w:t>12,850</w:t>
            </w:r>
          </w:p>
        </w:tc>
        <w:tc>
          <w:tcPr>
            <w:tcW w:w="50" w:type="pct"/>
            <w:shd w:val="clear" w:color="auto" w:fill="FFFFFF"/>
            <w:noWrap/>
            <w:tcMar>
              <w:top w:w="15" w:type="dxa"/>
              <w:left w:w="0" w:type="dxa"/>
              <w:bottom w:w="0" w:type="dxa"/>
              <w:right w:w="15" w:type="dxa"/>
            </w:tcMar>
            <w:vAlign w:val="bottom"/>
            <w:hideMark/>
          </w:tcPr>
          <w:p w14:paraId="2520AFF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65361C0" w14:textId="77777777">
        <w:trPr>
          <w:divId w:val="1802727859"/>
          <w:jc w:val="center"/>
        </w:trPr>
        <w:tc>
          <w:tcPr>
            <w:tcW w:w="3349" w:type="pct"/>
            <w:shd w:val="clear" w:color="auto" w:fill="CFF0FC"/>
            <w:tcMar>
              <w:top w:w="15" w:type="dxa"/>
              <w:left w:w="0" w:type="dxa"/>
              <w:bottom w:w="0" w:type="dxa"/>
              <w:right w:w="15" w:type="dxa"/>
            </w:tcMar>
            <w:hideMark/>
          </w:tcPr>
          <w:p w14:paraId="0E42B08E" w14:textId="77777777" w:rsidR="00000000" w:rsidRDefault="007125B5">
            <w:pPr>
              <w:pStyle w:val="a3"/>
              <w:spacing w:before="0" w:beforeAutospacing="0" w:after="0" w:afterAutospacing="0"/>
              <w:rPr>
                <w:b/>
                <w:bCs/>
                <w:color w:val="000000"/>
                <w:sz w:val="20"/>
                <w:szCs w:val="20"/>
              </w:rPr>
            </w:pPr>
            <w:r>
              <w:rPr>
                <w:b/>
                <w:bCs/>
                <w:color w:val="000000"/>
                <w:sz w:val="20"/>
                <w:szCs w:val="20"/>
              </w:rPr>
              <w:t>Loss from operations</w:t>
            </w:r>
          </w:p>
        </w:tc>
        <w:tc>
          <w:tcPr>
            <w:tcW w:w="81" w:type="pct"/>
            <w:shd w:val="clear" w:color="auto" w:fill="CFF0FC"/>
            <w:tcMar>
              <w:top w:w="15" w:type="dxa"/>
              <w:left w:w="0" w:type="dxa"/>
              <w:bottom w:w="0" w:type="dxa"/>
              <w:right w:w="15" w:type="dxa"/>
            </w:tcMar>
            <w:vAlign w:val="bottom"/>
            <w:hideMark/>
          </w:tcPr>
          <w:p w14:paraId="2F7BE212"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9CA601"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99498F"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(17,185</w:t>
            </w:r>
          </w:p>
        </w:tc>
        <w:tc>
          <w:tcPr>
            <w:tcW w:w="50" w:type="pct"/>
            <w:shd w:val="clear" w:color="auto" w:fill="CFF0FC"/>
            <w:noWrap/>
            <w:tcMar>
              <w:top w:w="15" w:type="dxa"/>
              <w:left w:w="0" w:type="dxa"/>
              <w:bottom w:w="0" w:type="dxa"/>
              <w:right w:w="15" w:type="dxa"/>
            </w:tcMar>
            <w:vAlign w:val="bottom"/>
            <w:hideMark/>
          </w:tcPr>
          <w:p w14:paraId="05A7BA9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14:paraId="0EADB27C"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A4F60C"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7FEA46"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(2,821</w:t>
            </w:r>
          </w:p>
        </w:tc>
        <w:tc>
          <w:tcPr>
            <w:tcW w:w="50" w:type="pct"/>
            <w:shd w:val="clear" w:color="auto" w:fill="CFF0FC"/>
            <w:noWrap/>
            <w:tcMar>
              <w:top w:w="15" w:type="dxa"/>
              <w:left w:w="0" w:type="dxa"/>
              <w:bottom w:w="0" w:type="dxa"/>
              <w:right w:w="15" w:type="dxa"/>
            </w:tcMar>
            <w:vAlign w:val="bottom"/>
            <w:hideMark/>
          </w:tcPr>
          <w:p w14:paraId="654B56F2"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5A0268C9" w14:textId="77777777">
        <w:trPr>
          <w:divId w:val="1802727859"/>
          <w:jc w:val="center"/>
        </w:trPr>
        <w:tc>
          <w:tcPr>
            <w:tcW w:w="3349" w:type="pct"/>
            <w:shd w:val="clear" w:color="auto" w:fill="FFFFFF"/>
            <w:tcMar>
              <w:top w:w="15" w:type="dxa"/>
              <w:left w:w="0" w:type="dxa"/>
              <w:bottom w:w="0" w:type="dxa"/>
              <w:right w:w="15" w:type="dxa"/>
            </w:tcMar>
            <w:hideMark/>
          </w:tcPr>
          <w:p w14:paraId="17D9C271" w14:textId="77777777" w:rsidR="00000000" w:rsidRDefault="007125B5">
            <w:pPr>
              <w:pStyle w:val="a3"/>
              <w:spacing w:before="0" w:beforeAutospacing="0" w:after="0" w:afterAutospacing="0"/>
              <w:rPr>
                <w:color w:val="000000"/>
                <w:sz w:val="20"/>
                <w:szCs w:val="20"/>
              </w:rPr>
            </w:pPr>
            <w:r>
              <w:rPr>
                <w:color w:val="000000"/>
                <w:sz w:val="20"/>
                <w:szCs w:val="20"/>
              </w:rPr>
              <w:t>Other expense</w:t>
            </w:r>
          </w:p>
        </w:tc>
        <w:tc>
          <w:tcPr>
            <w:tcW w:w="81" w:type="pct"/>
            <w:shd w:val="clear" w:color="auto" w:fill="FFFFFF"/>
            <w:tcMar>
              <w:top w:w="15" w:type="dxa"/>
              <w:left w:w="0" w:type="dxa"/>
              <w:bottom w:w="0" w:type="dxa"/>
              <w:right w:w="15" w:type="dxa"/>
            </w:tcMar>
            <w:vAlign w:val="bottom"/>
            <w:hideMark/>
          </w:tcPr>
          <w:p w14:paraId="18052B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968DE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67302BC8" w14:textId="77777777" w:rsidR="00000000" w:rsidRDefault="007125B5">
            <w:pPr>
              <w:pStyle w:val="a3"/>
              <w:spacing w:before="0" w:beforeAutospacing="0" w:after="0" w:afterAutospacing="0"/>
              <w:jc w:val="right"/>
              <w:rPr>
                <w:color w:val="000000"/>
                <w:sz w:val="20"/>
                <w:szCs w:val="20"/>
              </w:rPr>
            </w:pPr>
            <w:r>
              <w:rPr>
                <w:color w:val="000000"/>
                <w:sz w:val="20"/>
                <w:szCs w:val="20"/>
              </w:rPr>
              <w:t>(7,897</w:t>
            </w:r>
          </w:p>
        </w:tc>
        <w:tc>
          <w:tcPr>
            <w:tcW w:w="50" w:type="pct"/>
            <w:shd w:val="clear" w:color="auto" w:fill="FFFFFF"/>
            <w:noWrap/>
            <w:tcMar>
              <w:top w:w="15" w:type="dxa"/>
              <w:left w:w="0" w:type="dxa"/>
              <w:bottom w:w="0" w:type="dxa"/>
              <w:right w:w="15" w:type="dxa"/>
            </w:tcMar>
            <w:vAlign w:val="bottom"/>
            <w:hideMark/>
          </w:tcPr>
          <w:p w14:paraId="3E0C8B3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0244DA7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67D4D1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300320A2" w14:textId="77777777" w:rsidR="00000000" w:rsidRDefault="007125B5">
            <w:pPr>
              <w:pStyle w:val="a3"/>
              <w:spacing w:before="0" w:beforeAutospacing="0" w:after="0" w:afterAutospacing="0"/>
              <w:jc w:val="right"/>
              <w:rPr>
                <w:color w:val="000000"/>
                <w:sz w:val="20"/>
                <w:szCs w:val="20"/>
              </w:rPr>
            </w:pPr>
            <w:r>
              <w:rPr>
                <w:color w:val="000000"/>
                <w:sz w:val="20"/>
                <w:szCs w:val="20"/>
              </w:rPr>
              <w:t>(1,179</w:t>
            </w:r>
          </w:p>
        </w:tc>
        <w:tc>
          <w:tcPr>
            <w:tcW w:w="50" w:type="pct"/>
            <w:shd w:val="clear" w:color="auto" w:fill="FFFFFF"/>
            <w:noWrap/>
            <w:tcMar>
              <w:top w:w="15" w:type="dxa"/>
              <w:left w:w="0" w:type="dxa"/>
              <w:bottom w:w="0" w:type="dxa"/>
              <w:right w:w="15" w:type="dxa"/>
            </w:tcMar>
            <w:vAlign w:val="bottom"/>
            <w:hideMark/>
          </w:tcPr>
          <w:p w14:paraId="0307B6F4"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6D188A0" w14:textId="77777777">
        <w:trPr>
          <w:divId w:val="1802727859"/>
          <w:jc w:val="center"/>
        </w:trPr>
        <w:tc>
          <w:tcPr>
            <w:tcW w:w="3349" w:type="pct"/>
            <w:shd w:val="clear" w:color="auto" w:fill="CFF0FC"/>
            <w:tcMar>
              <w:top w:w="15" w:type="dxa"/>
              <w:left w:w="0" w:type="dxa"/>
              <w:bottom w:w="0" w:type="dxa"/>
              <w:right w:w="15" w:type="dxa"/>
            </w:tcMar>
            <w:hideMark/>
          </w:tcPr>
          <w:p w14:paraId="297ABF10" w14:textId="77777777" w:rsidR="00000000" w:rsidRDefault="007125B5">
            <w:pPr>
              <w:pStyle w:val="a3"/>
              <w:spacing w:before="0" w:beforeAutospacing="0" w:after="0" w:afterAutospacing="0"/>
              <w:rPr>
                <w:color w:val="000000"/>
                <w:sz w:val="20"/>
                <w:szCs w:val="20"/>
              </w:rPr>
            </w:pPr>
            <w:r>
              <w:rPr>
                <w:color w:val="000000"/>
                <w:sz w:val="20"/>
                <w:szCs w:val="20"/>
              </w:rPr>
              <w:t>Interest expense, net</w:t>
            </w:r>
          </w:p>
        </w:tc>
        <w:tc>
          <w:tcPr>
            <w:tcW w:w="81" w:type="pct"/>
            <w:shd w:val="clear" w:color="auto" w:fill="CFF0FC"/>
            <w:tcMar>
              <w:top w:w="15" w:type="dxa"/>
              <w:left w:w="0" w:type="dxa"/>
              <w:bottom w:w="0" w:type="dxa"/>
              <w:right w:w="15" w:type="dxa"/>
            </w:tcMar>
            <w:vAlign w:val="bottom"/>
            <w:hideMark/>
          </w:tcPr>
          <w:p w14:paraId="6500A3B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94F08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0DC5777" w14:textId="77777777" w:rsidR="00000000" w:rsidRDefault="007125B5">
            <w:pPr>
              <w:pStyle w:val="a3"/>
              <w:spacing w:before="0" w:beforeAutospacing="0" w:after="0" w:afterAutospacing="0"/>
              <w:jc w:val="right"/>
              <w:rPr>
                <w:color w:val="000000"/>
                <w:sz w:val="20"/>
                <w:szCs w:val="20"/>
              </w:rPr>
            </w:pPr>
            <w:r>
              <w:rPr>
                <w:color w:val="000000"/>
                <w:sz w:val="20"/>
                <w:szCs w:val="20"/>
              </w:rPr>
              <w:t>(7,853</w:t>
            </w:r>
          </w:p>
        </w:tc>
        <w:tc>
          <w:tcPr>
            <w:tcW w:w="50" w:type="pct"/>
            <w:shd w:val="clear" w:color="auto" w:fill="CFF0FC"/>
            <w:noWrap/>
            <w:tcMar>
              <w:top w:w="15" w:type="dxa"/>
              <w:left w:w="0" w:type="dxa"/>
              <w:bottom w:w="0" w:type="dxa"/>
              <w:right w:w="15" w:type="dxa"/>
            </w:tcMar>
            <w:vAlign w:val="bottom"/>
            <w:hideMark/>
          </w:tcPr>
          <w:p w14:paraId="601443B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047611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07ED6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CF01CB7" w14:textId="77777777" w:rsidR="00000000" w:rsidRDefault="007125B5">
            <w:pPr>
              <w:pStyle w:val="a3"/>
              <w:spacing w:before="0" w:beforeAutospacing="0" w:after="0" w:afterAutospacing="0"/>
              <w:jc w:val="right"/>
              <w:rPr>
                <w:color w:val="000000"/>
                <w:sz w:val="20"/>
                <w:szCs w:val="20"/>
              </w:rPr>
            </w:pPr>
            <w:r>
              <w:rPr>
                <w:color w:val="000000"/>
                <w:sz w:val="20"/>
                <w:szCs w:val="20"/>
              </w:rPr>
              <w:t>(2,460</w:t>
            </w:r>
          </w:p>
        </w:tc>
        <w:tc>
          <w:tcPr>
            <w:tcW w:w="50" w:type="pct"/>
            <w:shd w:val="clear" w:color="auto" w:fill="CFF0FC"/>
            <w:noWrap/>
            <w:tcMar>
              <w:top w:w="15" w:type="dxa"/>
              <w:left w:w="0" w:type="dxa"/>
              <w:bottom w:w="0" w:type="dxa"/>
              <w:right w:w="15" w:type="dxa"/>
            </w:tcMar>
            <w:vAlign w:val="bottom"/>
            <w:hideMark/>
          </w:tcPr>
          <w:p w14:paraId="028A8308"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53759309" w14:textId="77777777">
        <w:trPr>
          <w:divId w:val="1802727859"/>
          <w:jc w:val="center"/>
        </w:trPr>
        <w:tc>
          <w:tcPr>
            <w:tcW w:w="3349" w:type="pct"/>
            <w:shd w:val="clear" w:color="auto" w:fill="FFFFFF"/>
            <w:tcMar>
              <w:top w:w="15" w:type="dxa"/>
              <w:left w:w="0" w:type="dxa"/>
              <w:bottom w:w="0" w:type="dxa"/>
              <w:right w:w="15" w:type="dxa"/>
            </w:tcMar>
            <w:hideMark/>
          </w:tcPr>
          <w:p w14:paraId="7F7316E0" w14:textId="77777777" w:rsidR="00000000" w:rsidRDefault="007125B5">
            <w:pPr>
              <w:pStyle w:val="a3"/>
              <w:spacing w:before="0" w:beforeAutospacing="0" w:after="0" w:afterAutospacing="0"/>
              <w:rPr>
                <w:b/>
                <w:bCs/>
                <w:color w:val="000000"/>
                <w:sz w:val="20"/>
                <w:szCs w:val="20"/>
              </w:rPr>
            </w:pPr>
            <w:r>
              <w:rPr>
                <w:b/>
                <w:bCs/>
                <w:color w:val="000000"/>
                <w:sz w:val="20"/>
                <w:szCs w:val="20"/>
              </w:rPr>
              <w:t>Loss before income taxes</w:t>
            </w:r>
          </w:p>
        </w:tc>
        <w:tc>
          <w:tcPr>
            <w:tcW w:w="81" w:type="pct"/>
            <w:shd w:val="clear" w:color="auto" w:fill="FFFFFF"/>
            <w:tcMar>
              <w:top w:w="15" w:type="dxa"/>
              <w:left w:w="0" w:type="dxa"/>
              <w:bottom w:w="0" w:type="dxa"/>
              <w:right w:w="15" w:type="dxa"/>
            </w:tcMar>
            <w:vAlign w:val="bottom"/>
            <w:hideMark/>
          </w:tcPr>
          <w:p w14:paraId="7D417B6B"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28B560"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38C3074E"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(32,935</w:t>
            </w:r>
          </w:p>
        </w:tc>
        <w:tc>
          <w:tcPr>
            <w:tcW w:w="50" w:type="pct"/>
            <w:shd w:val="clear" w:color="auto" w:fill="FFFFFF"/>
            <w:noWrap/>
            <w:tcMar>
              <w:top w:w="15" w:type="dxa"/>
              <w:left w:w="0" w:type="dxa"/>
              <w:bottom w:w="0" w:type="dxa"/>
              <w:right w:w="15" w:type="dxa"/>
            </w:tcMar>
            <w:vAlign w:val="bottom"/>
            <w:hideMark/>
          </w:tcPr>
          <w:p w14:paraId="2CFC169A"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14:paraId="5DFBCE90"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0304221"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7665C154"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(6,460</w:t>
            </w:r>
          </w:p>
        </w:tc>
        <w:tc>
          <w:tcPr>
            <w:tcW w:w="50" w:type="pct"/>
            <w:shd w:val="clear" w:color="auto" w:fill="FFFFFF"/>
            <w:noWrap/>
            <w:tcMar>
              <w:top w:w="15" w:type="dxa"/>
              <w:left w:w="0" w:type="dxa"/>
              <w:bottom w:w="0" w:type="dxa"/>
              <w:right w:w="15" w:type="dxa"/>
            </w:tcMar>
            <w:vAlign w:val="bottom"/>
            <w:hideMark/>
          </w:tcPr>
          <w:p w14:paraId="38B6AF73"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3CFF4BDF" w14:textId="77777777">
        <w:trPr>
          <w:divId w:val="1802727859"/>
          <w:jc w:val="center"/>
        </w:trPr>
        <w:tc>
          <w:tcPr>
            <w:tcW w:w="3349" w:type="pct"/>
            <w:shd w:val="clear" w:color="auto" w:fill="CFF0FC"/>
            <w:tcMar>
              <w:top w:w="15" w:type="dxa"/>
              <w:left w:w="0" w:type="dxa"/>
              <w:bottom w:w="0" w:type="dxa"/>
              <w:right w:w="15" w:type="dxa"/>
            </w:tcMar>
            <w:hideMark/>
          </w:tcPr>
          <w:p w14:paraId="6096AC51" w14:textId="77777777" w:rsidR="00000000" w:rsidRDefault="007125B5">
            <w:pPr>
              <w:pStyle w:val="a3"/>
              <w:spacing w:before="0" w:beforeAutospacing="0" w:after="0" w:afterAutospacing="0"/>
              <w:rPr>
                <w:color w:val="000000"/>
                <w:sz w:val="20"/>
                <w:szCs w:val="20"/>
              </w:rPr>
            </w:pPr>
            <w:r>
              <w:rPr>
                <w:color w:val="000000"/>
                <w:sz w:val="20"/>
                <w:szCs w:val="20"/>
              </w:rPr>
              <w:t>Income tax benefit</w:t>
            </w:r>
          </w:p>
        </w:tc>
        <w:tc>
          <w:tcPr>
            <w:tcW w:w="81" w:type="pct"/>
            <w:shd w:val="clear" w:color="auto" w:fill="CFF0FC"/>
            <w:tcMar>
              <w:top w:w="15" w:type="dxa"/>
              <w:left w:w="0" w:type="dxa"/>
              <w:bottom w:w="0" w:type="dxa"/>
              <w:right w:w="15" w:type="dxa"/>
            </w:tcMar>
            <w:vAlign w:val="bottom"/>
            <w:hideMark/>
          </w:tcPr>
          <w:p w14:paraId="0F5D766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F94BC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8083F6B" w14:textId="77777777" w:rsidR="00000000" w:rsidRDefault="007125B5">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CFF0FC"/>
            <w:noWrap/>
            <w:tcMar>
              <w:top w:w="15" w:type="dxa"/>
              <w:left w:w="0" w:type="dxa"/>
              <w:bottom w:w="0" w:type="dxa"/>
              <w:right w:w="15" w:type="dxa"/>
            </w:tcMar>
            <w:vAlign w:val="bottom"/>
            <w:hideMark/>
          </w:tcPr>
          <w:p w14:paraId="4F75D23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760EB33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FD3A8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9BA9A05" w14:textId="77777777" w:rsidR="00000000" w:rsidRDefault="007125B5">
            <w:pPr>
              <w:pStyle w:val="a3"/>
              <w:spacing w:before="0" w:beforeAutospacing="0" w:after="0" w:afterAutospacing="0"/>
              <w:jc w:val="right"/>
              <w:rPr>
                <w:color w:val="000000"/>
                <w:sz w:val="20"/>
                <w:szCs w:val="20"/>
              </w:rPr>
            </w:pPr>
            <w:r>
              <w:rPr>
                <w:color w:val="000000"/>
                <w:sz w:val="20"/>
                <w:szCs w:val="20"/>
              </w:rPr>
              <w:t>(896</w:t>
            </w:r>
          </w:p>
        </w:tc>
        <w:tc>
          <w:tcPr>
            <w:tcW w:w="50" w:type="pct"/>
            <w:shd w:val="clear" w:color="auto" w:fill="CFF0FC"/>
            <w:noWrap/>
            <w:tcMar>
              <w:top w:w="15" w:type="dxa"/>
              <w:left w:w="0" w:type="dxa"/>
              <w:bottom w:w="0" w:type="dxa"/>
              <w:right w:w="15" w:type="dxa"/>
            </w:tcMar>
            <w:vAlign w:val="bottom"/>
            <w:hideMark/>
          </w:tcPr>
          <w:p w14:paraId="56B370E8"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6292012A" w14:textId="77777777">
        <w:trPr>
          <w:divId w:val="1802727859"/>
          <w:jc w:val="center"/>
        </w:trPr>
        <w:tc>
          <w:tcPr>
            <w:tcW w:w="3349" w:type="pct"/>
            <w:shd w:val="clear" w:color="auto" w:fill="FFFFFF"/>
            <w:tcMar>
              <w:top w:w="15" w:type="dxa"/>
              <w:left w:w="0" w:type="dxa"/>
              <w:bottom w:w="0" w:type="dxa"/>
              <w:right w:w="15" w:type="dxa"/>
            </w:tcMar>
            <w:hideMark/>
          </w:tcPr>
          <w:p w14:paraId="290E90D1" w14:textId="77777777" w:rsidR="00000000" w:rsidRDefault="007125B5">
            <w:pPr>
              <w:pStyle w:val="a3"/>
              <w:spacing w:before="0" w:beforeAutospacing="0" w:after="0" w:afterAutospacing="0"/>
              <w:rPr>
                <w:b/>
                <w:bCs/>
                <w:color w:val="000000"/>
                <w:sz w:val="20"/>
                <w:szCs w:val="20"/>
              </w:rPr>
            </w:pPr>
            <w:r>
              <w:rPr>
                <w:b/>
                <w:bCs/>
                <w:color w:val="000000"/>
                <w:sz w:val="20"/>
                <w:szCs w:val="20"/>
              </w:rPr>
              <w:t>Net loss</w:t>
            </w:r>
          </w:p>
        </w:tc>
        <w:tc>
          <w:tcPr>
            <w:tcW w:w="81" w:type="pct"/>
            <w:shd w:val="clear" w:color="auto" w:fill="FFFFFF"/>
            <w:tcMar>
              <w:top w:w="15" w:type="dxa"/>
              <w:left w:w="0" w:type="dxa"/>
              <w:bottom w:w="0" w:type="dxa"/>
              <w:right w:w="15" w:type="dxa"/>
            </w:tcMar>
            <w:vAlign w:val="bottom"/>
            <w:hideMark/>
          </w:tcPr>
          <w:p w14:paraId="2ED65D7F"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CD941F"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B851F0"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(28,024</w:t>
            </w:r>
          </w:p>
        </w:tc>
        <w:tc>
          <w:tcPr>
            <w:tcW w:w="50" w:type="pct"/>
            <w:shd w:val="clear" w:color="auto" w:fill="FFFFFF"/>
            <w:noWrap/>
            <w:tcMar>
              <w:top w:w="15" w:type="dxa"/>
              <w:left w:w="0" w:type="dxa"/>
              <w:bottom w:w="0" w:type="dxa"/>
              <w:right w:w="15" w:type="dxa"/>
            </w:tcMar>
            <w:vAlign w:val="bottom"/>
            <w:hideMark/>
          </w:tcPr>
          <w:p w14:paraId="4F2C349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14:paraId="6DEA3482"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ED4D25"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B57043"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(5,564</w:t>
            </w:r>
          </w:p>
        </w:tc>
        <w:tc>
          <w:tcPr>
            <w:tcW w:w="50" w:type="pct"/>
            <w:shd w:val="clear" w:color="auto" w:fill="FFFFFF"/>
            <w:noWrap/>
            <w:tcMar>
              <w:top w:w="15" w:type="dxa"/>
              <w:left w:w="0" w:type="dxa"/>
              <w:bottom w:w="0" w:type="dxa"/>
              <w:right w:w="15" w:type="dxa"/>
            </w:tcMar>
            <w:vAlign w:val="bottom"/>
            <w:hideMark/>
          </w:tcPr>
          <w:p w14:paraId="39A0A2CA"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4E2E78DE" w14:textId="77777777">
        <w:trPr>
          <w:divId w:val="1802727859"/>
          <w:jc w:val="center"/>
        </w:trPr>
        <w:tc>
          <w:tcPr>
            <w:tcW w:w="3349" w:type="pct"/>
            <w:shd w:val="clear" w:color="auto" w:fill="CFF0FC"/>
            <w:tcMar>
              <w:top w:w="15" w:type="dxa"/>
              <w:left w:w="0" w:type="dxa"/>
              <w:bottom w:w="0" w:type="dxa"/>
              <w:right w:w="15" w:type="dxa"/>
            </w:tcMar>
            <w:hideMark/>
          </w:tcPr>
          <w:p w14:paraId="164383AC" w14:textId="77777777" w:rsidR="00000000" w:rsidRDefault="007125B5">
            <w:pPr>
              <w:pStyle w:val="a3"/>
              <w:spacing w:before="0" w:beforeAutospacing="0" w:after="0" w:afterAutospacing="0"/>
              <w:ind w:left="274"/>
              <w:rPr>
                <w:color w:val="000000"/>
                <w:sz w:val="20"/>
                <w:szCs w:val="20"/>
              </w:rPr>
            </w:pPr>
            <w:r>
              <w:rPr>
                <w:color w:val="000000"/>
                <w:sz w:val="20"/>
                <w:szCs w:val="20"/>
              </w:rPr>
              <w:t>Accretion of redeemable preferred stock</w:t>
            </w:r>
          </w:p>
        </w:tc>
        <w:tc>
          <w:tcPr>
            <w:tcW w:w="81" w:type="pct"/>
            <w:shd w:val="clear" w:color="auto" w:fill="CFF0FC"/>
            <w:tcMar>
              <w:top w:w="15" w:type="dxa"/>
              <w:left w:w="0" w:type="dxa"/>
              <w:bottom w:w="0" w:type="dxa"/>
              <w:right w:w="15" w:type="dxa"/>
            </w:tcMar>
            <w:vAlign w:val="bottom"/>
            <w:hideMark/>
          </w:tcPr>
          <w:p w14:paraId="371F280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414FD7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2EFFE259" w14:textId="77777777" w:rsidR="00000000" w:rsidRDefault="007125B5">
            <w:pPr>
              <w:pStyle w:val="a3"/>
              <w:spacing w:before="0" w:beforeAutospacing="0" w:after="0" w:afterAutospacing="0"/>
              <w:jc w:val="right"/>
              <w:rPr>
                <w:color w:val="000000"/>
                <w:sz w:val="20"/>
                <w:szCs w:val="20"/>
              </w:rPr>
            </w:pPr>
            <w:r>
              <w:rPr>
                <w:color w:val="000000"/>
                <w:sz w:val="20"/>
                <w:szCs w:val="20"/>
              </w:rPr>
              <w:t>(11,059</w:t>
            </w:r>
          </w:p>
        </w:tc>
        <w:tc>
          <w:tcPr>
            <w:tcW w:w="50" w:type="pct"/>
            <w:shd w:val="clear" w:color="auto" w:fill="CFF0FC"/>
            <w:noWrap/>
            <w:tcMar>
              <w:top w:w="15" w:type="dxa"/>
              <w:left w:w="0" w:type="dxa"/>
              <w:bottom w:w="0" w:type="dxa"/>
              <w:right w:w="15" w:type="dxa"/>
            </w:tcMar>
            <w:vAlign w:val="bottom"/>
            <w:hideMark/>
          </w:tcPr>
          <w:p w14:paraId="299B3ED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43C73F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4DCFCF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868BFD8" w14:textId="77777777" w:rsidR="00000000" w:rsidRDefault="007125B5">
            <w:pPr>
              <w:pStyle w:val="a3"/>
              <w:spacing w:before="0" w:beforeAutospacing="0" w:after="0" w:afterAutospacing="0"/>
              <w:jc w:val="right"/>
              <w:rPr>
                <w:color w:val="000000"/>
                <w:sz w:val="20"/>
                <w:szCs w:val="20"/>
              </w:rPr>
            </w:pPr>
            <w:r>
              <w:rPr>
                <w:color w:val="000000"/>
                <w:sz w:val="20"/>
                <w:szCs w:val="20"/>
              </w:rPr>
              <w:t>(9,311</w:t>
            </w:r>
          </w:p>
        </w:tc>
        <w:tc>
          <w:tcPr>
            <w:tcW w:w="50" w:type="pct"/>
            <w:shd w:val="clear" w:color="auto" w:fill="CFF0FC"/>
            <w:noWrap/>
            <w:tcMar>
              <w:top w:w="15" w:type="dxa"/>
              <w:left w:w="0" w:type="dxa"/>
              <w:bottom w:w="0" w:type="dxa"/>
              <w:right w:w="15" w:type="dxa"/>
            </w:tcMar>
            <w:vAlign w:val="bottom"/>
            <w:hideMark/>
          </w:tcPr>
          <w:p w14:paraId="259487E7"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E8B2D99" w14:textId="77777777">
        <w:trPr>
          <w:divId w:val="1802727859"/>
          <w:jc w:val="center"/>
        </w:trPr>
        <w:tc>
          <w:tcPr>
            <w:tcW w:w="3349" w:type="pct"/>
            <w:shd w:val="clear" w:color="auto" w:fill="FFFFFF"/>
            <w:tcMar>
              <w:top w:w="15" w:type="dxa"/>
              <w:left w:w="0" w:type="dxa"/>
              <w:bottom w:w="0" w:type="dxa"/>
              <w:right w:w="15" w:type="dxa"/>
            </w:tcMar>
            <w:hideMark/>
          </w:tcPr>
          <w:p w14:paraId="67DFAF38" w14:textId="77777777" w:rsidR="00000000" w:rsidRDefault="007125B5">
            <w:pPr>
              <w:pStyle w:val="a3"/>
              <w:spacing w:before="0" w:beforeAutospacing="0" w:after="0" w:afterAutospacing="0"/>
              <w:rPr>
                <w:b/>
                <w:bCs/>
                <w:color w:val="000000"/>
                <w:sz w:val="20"/>
                <w:szCs w:val="20"/>
              </w:rPr>
            </w:pPr>
            <w:r>
              <w:rPr>
                <w:b/>
                <w:bCs/>
                <w:color w:val="000000"/>
                <w:sz w:val="20"/>
                <w:szCs w:val="20"/>
              </w:rPr>
              <w:t>Net loss attributable to common stockholders</w:t>
            </w:r>
          </w:p>
        </w:tc>
        <w:tc>
          <w:tcPr>
            <w:tcW w:w="81" w:type="pct"/>
            <w:shd w:val="clear" w:color="auto" w:fill="FFFFFF"/>
            <w:tcMar>
              <w:top w:w="15" w:type="dxa"/>
              <w:left w:w="0" w:type="dxa"/>
              <w:bottom w:w="0" w:type="dxa"/>
              <w:right w:w="15" w:type="dxa"/>
            </w:tcMar>
            <w:vAlign w:val="bottom"/>
            <w:hideMark/>
          </w:tcPr>
          <w:p w14:paraId="0B51D7A1"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C9FE9F"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93A1060"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(39,083</w:t>
            </w:r>
          </w:p>
        </w:tc>
        <w:tc>
          <w:tcPr>
            <w:tcW w:w="50" w:type="pct"/>
            <w:shd w:val="clear" w:color="auto" w:fill="FFFFFF"/>
            <w:noWrap/>
            <w:tcMar>
              <w:top w:w="15" w:type="dxa"/>
              <w:left w:w="0" w:type="dxa"/>
              <w:bottom w:w="0" w:type="dxa"/>
              <w:right w:w="15" w:type="dxa"/>
            </w:tcMar>
            <w:vAlign w:val="bottom"/>
            <w:hideMark/>
          </w:tcPr>
          <w:p w14:paraId="3392FAF5"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14:paraId="28B258CE"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059B78"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2A331F"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(14,875</w:t>
            </w:r>
          </w:p>
        </w:tc>
        <w:tc>
          <w:tcPr>
            <w:tcW w:w="50" w:type="pct"/>
            <w:shd w:val="clear" w:color="auto" w:fill="FFFFFF"/>
            <w:noWrap/>
            <w:tcMar>
              <w:top w:w="15" w:type="dxa"/>
              <w:left w:w="0" w:type="dxa"/>
              <w:bottom w:w="0" w:type="dxa"/>
              <w:right w:w="15" w:type="dxa"/>
            </w:tcMar>
            <w:vAlign w:val="bottom"/>
            <w:hideMark/>
          </w:tcPr>
          <w:p w14:paraId="5CF7EEA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1D40039A" w14:textId="77777777">
        <w:trPr>
          <w:divId w:val="1802727859"/>
          <w:jc w:val="center"/>
        </w:trPr>
        <w:tc>
          <w:tcPr>
            <w:tcW w:w="3349" w:type="pct"/>
            <w:shd w:val="clear" w:color="auto" w:fill="CFF0FC"/>
            <w:tcMar>
              <w:top w:w="15" w:type="dxa"/>
              <w:left w:w="0" w:type="dxa"/>
              <w:bottom w:w="0" w:type="dxa"/>
              <w:right w:w="15" w:type="dxa"/>
            </w:tcMar>
            <w:hideMark/>
          </w:tcPr>
          <w:p w14:paraId="2C611183" w14:textId="77777777" w:rsidR="00000000" w:rsidRDefault="007125B5">
            <w:pPr>
              <w:pStyle w:val="a3"/>
              <w:spacing w:before="0" w:beforeAutospacing="0" w:after="0" w:afterAutospacing="0"/>
              <w:rPr>
                <w:color w:val="000000"/>
                <w:sz w:val="20"/>
                <w:szCs w:val="20"/>
              </w:rPr>
            </w:pPr>
            <w:r>
              <w:rPr>
                <w:color w:val="000000"/>
                <w:sz w:val="20"/>
                <w:szCs w:val="20"/>
              </w:rPr>
              <w:t>Loss per share</w:t>
            </w:r>
          </w:p>
        </w:tc>
        <w:tc>
          <w:tcPr>
            <w:tcW w:w="81" w:type="pct"/>
            <w:shd w:val="clear" w:color="auto" w:fill="CFF0FC"/>
            <w:tcMar>
              <w:top w:w="15" w:type="dxa"/>
              <w:left w:w="0" w:type="dxa"/>
              <w:bottom w:w="0" w:type="dxa"/>
              <w:right w:w="15" w:type="dxa"/>
            </w:tcMar>
            <w:vAlign w:val="bottom"/>
            <w:hideMark/>
          </w:tcPr>
          <w:p w14:paraId="22E99A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DE6D6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18E55C" w14:textId="77777777" w:rsidR="00000000" w:rsidRDefault="007125B5">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CFF0FC"/>
            <w:noWrap/>
            <w:tcMar>
              <w:top w:w="15" w:type="dxa"/>
              <w:left w:w="0" w:type="dxa"/>
              <w:bottom w:w="0" w:type="dxa"/>
              <w:right w:w="15" w:type="dxa"/>
            </w:tcMar>
            <w:vAlign w:val="bottom"/>
            <w:hideMark/>
          </w:tcPr>
          <w:p w14:paraId="2C23D08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7503267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E7FDF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060ED9" w14:textId="77777777" w:rsidR="00000000" w:rsidRDefault="007125B5">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CFF0FC"/>
            <w:noWrap/>
            <w:tcMar>
              <w:top w:w="15" w:type="dxa"/>
              <w:left w:w="0" w:type="dxa"/>
              <w:bottom w:w="0" w:type="dxa"/>
              <w:right w:w="15" w:type="dxa"/>
            </w:tcMar>
            <w:vAlign w:val="bottom"/>
            <w:hideMark/>
          </w:tcPr>
          <w:p w14:paraId="3A745DD2"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534B9271" w14:textId="77777777">
        <w:trPr>
          <w:divId w:val="1802727859"/>
          <w:jc w:val="center"/>
        </w:trPr>
        <w:tc>
          <w:tcPr>
            <w:tcW w:w="3349" w:type="pct"/>
            <w:shd w:val="clear" w:color="auto" w:fill="FFFFFF"/>
            <w:tcMar>
              <w:top w:w="15" w:type="dxa"/>
              <w:left w:w="0" w:type="dxa"/>
              <w:bottom w:w="0" w:type="dxa"/>
              <w:right w:w="15" w:type="dxa"/>
            </w:tcMar>
            <w:hideMark/>
          </w:tcPr>
          <w:p w14:paraId="3BD6FB45" w14:textId="77777777" w:rsidR="00000000" w:rsidRDefault="007125B5">
            <w:pPr>
              <w:pStyle w:val="a3"/>
              <w:spacing w:before="0" w:beforeAutospacing="0" w:after="0" w:afterAutospacing="0"/>
              <w:rPr>
                <w:b/>
                <w:bCs/>
                <w:color w:val="000000"/>
                <w:sz w:val="20"/>
                <w:szCs w:val="20"/>
              </w:rPr>
            </w:pPr>
            <w:r>
              <w:rPr>
                <w:b/>
                <w:bCs/>
                <w:color w:val="000000"/>
                <w:sz w:val="20"/>
                <w:szCs w:val="20"/>
              </w:rPr>
              <w:t>Other financial data:</w:t>
            </w:r>
          </w:p>
        </w:tc>
        <w:tc>
          <w:tcPr>
            <w:tcW w:w="81" w:type="pct"/>
            <w:shd w:val="clear" w:color="auto" w:fill="FFFFFF"/>
            <w:tcMar>
              <w:top w:w="15" w:type="dxa"/>
              <w:left w:w="0" w:type="dxa"/>
              <w:bottom w:w="0" w:type="dxa"/>
              <w:right w:w="15" w:type="dxa"/>
            </w:tcMar>
            <w:vAlign w:val="bottom"/>
            <w:hideMark/>
          </w:tcPr>
          <w:p w14:paraId="4172551E"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A382B9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37EC91C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A13DF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9D1CDF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0D77C4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75C6CFA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195E8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EBE5DD1" w14:textId="77777777">
        <w:trPr>
          <w:divId w:val="1802727859"/>
          <w:jc w:val="center"/>
        </w:trPr>
        <w:tc>
          <w:tcPr>
            <w:tcW w:w="3349" w:type="pct"/>
            <w:shd w:val="clear" w:color="auto" w:fill="FFFFFF"/>
            <w:tcMar>
              <w:top w:w="15" w:type="dxa"/>
              <w:left w:w="0" w:type="dxa"/>
              <w:bottom w:w="0" w:type="dxa"/>
              <w:right w:w="15" w:type="dxa"/>
            </w:tcMar>
            <w:hideMark/>
          </w:tcPr>
          <w:p w14:paraId="153DE480" w14:textId="77777777" w:rsidR="00000000" w:rsidRDefault="007125B5">
            <w:pPr>
              <w:pStyle w:val="a3"/>
              <w:spacing w:before="0" w:beforeAutospacing="0" w:after="0" w:afterAutospacing="0"/>
              <w:rPr>
                <w:b/>
                <w:bCs/>
                <w:color w:val="000000"/>
                <w:sz w:val="20"/>
                <w:szCs w:val="20"/>
              </w:rPr>
            </w:pPr>
            <w:r>
              <w:rPr>
                <w:b/>
                <w:bCs/>
                <w:color w:val="000000"/>
                <w:sz w:val="20"/>
                <w:szCs w:val="20"/>
              </w:rPr>
              <w:t>Adjusted EBITDA</w:t>
            </w:r>
            <w:r>
              <w:rPr>
                <w:b/>
                <w:bCs/>
                <w:color w:val="000000"/>
                <w:sz w:val="17"/>
                <w:szCs w:val="17"/>
                <w:vertAlign w:val="superscript"/>
              </w:rPr>
              <w:t>(1)</w:t>
            </w:r>
          </w:p>
        </w:tc>
        <w:tc>
          <w:tcPr>
            <w:tcW w:w="81" w:type="pct"/>
            <w:shd w:val="clear" w:color="auto" w:fill="FFFFFF"/>
            <w:tcMar>
              <w:top w:w="15" w:type="dxa"/>
              <w:left w:w="0" w:type="dxa"/>
              <w:bottom w:w="0" w:type="dxa"/>
              <w:right w:w="15" w:type="dxa"/>
            </w:tcMar>
            <w:vAlign w:val="bottom"/>
            <w:hideMark/>
          </w:tcPr>
          <w:p w14:paraId="0273C81D"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D0AA3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61E19B5" w14:textId="77777777" w:rsidR="00000000" w:rsidRDefault="007125B5">
            <w:pPr>
              <w:pStyle w:val="a3"/>
              <w:spacing w:before="0" w:beforeAutospacing="0" w:after="0" w:afterAutospacing="0"/>
              <w:jc w:val="right"/>
              <w:rPr>
                <w:color w:val="000000"/>
                <w:sz w:val="20"/>
                <w:szCs w:val="20"/>
              </w:rPr>
            </w:pPr>
            <w:r>
              <w:rPr>
                <w:color w:val="000000"/>
                <w:sz w:val="20"/>
                <w:szCs w:val="20"/>
              </w:rPr>
              <w:t>19,448</w:t>
            </w:r>
          </w:p>
        </w:tc>
        <w:tc>
          <w:tcPr>
            <w:tcW w:w="50" w:type="pct"/>
            <w:shd w:val="clear" w:color="auto" w:fill="FFFFFF"/>
            <w:noWrap/>
            <w:tcMar>
              <w:top w:w="15" w:type="dxa"/>
              <w:left w:w="0" w:type="dxa"/>
              <w:bottom w:w="0" w:type="dxa"/>
              <w:right w:w="15" w:type="dxa"/>
            </w:tcMar>
            <w:vAlign w:val="bottom"/>
            <w:hideMark/>
          </w:tcPr>
          <w:p w14:paraId="1BCD01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2C185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27413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7DFEC149" w14:textId="77777777" w:rsidR="00000000" w:rsidRDefault="007125B5">
            <w:pPr>
              <w:pStyle w:val="a3"/>
              <w:spacing w:before="0" w:beforeAutospacing="0" w:after="0" w:afterAutospacing="0"/>
              <w:jc w:val="right"/>
              <w:rPr>
                <w:color w:val="000000"/>
                <w:sz w:val="20"/>
                <w:szCs w:val="20"/>
              </w:rPr>
            </w:pPr>
            <w:r>
              <w:rPr>
                <w:color w:val="000000"/>
                <w:sz w:val="20"/>
                <w:szCs w:val="20"/>
              </w:rPr>
              <w:t>12,653</w:t>
            </w:r>
          </w:p>
        </w:tc>
        <w:tc>
          <w:tcPr>
            <w:tcW w:w="50" w:type="pct"/>
            <w:shd w:val="clear" w:color="auto" w:fill="FFFFFF"/>
            <w:noWrap/>
            <w:tcMar>
              <w:top w:w="15" w:type="dxa"/>
              <w:left w:w="0" w:type="dxa"/>
              <w:bottom w:w="0" w:type="dxa"/>
              <w:right w:w="15" w:type="dxa"/>
            </w:tcMar>
            <w:vAlign w:val="bottom"/>
            <w:hideMark/>
          </w:tcPr>
          <w:p w14:paraId="3149FEB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5DC5054" w14:textId="77777777">
        <w:trPr>
          <w:divId w:val="1802727859"/>
          <w:jc w:val="center"/>
        </w:trPr>
        <w:tc>
          <w:tcPr>
            <w:tcW w:w="3349" w:type="pct"/>
            <w:shd w:val="clear" w:color="auto" w:fill="CFF0FC"/>
            <w:tcMar>
              <w:top w:w="15" w:type="dxa"/>
              <w:left w:w="0" w:type="dxa"/>
              <w:bottom w:w="0" w:type="dxa"/>
              <w:right w:w="15" w:type="dxa"/>
            </w:tcMar>
            <w:hideMark/>
          </w:tcPr>
          <w:p w14:paraId="68220DDD" w14:textId="77777777" w:rsidR="00000000" w:rsidRDefault="007125B5">
            <w:pPr>
              <w:pStyle w:val="a3"/>
              <w:spacing w:before="0" w:beforeAutospacing="0" w:after="0" w:afterAutospacing="0"/>
              <w:rPr>
                <w:color w:val="000000"/>
                <w:sz w:val="20"/>
                <w:szCs w:val="20"/>
              </w:rPr>
            </w:pPr>
            <w:r>
              <w:rPr>
                <w:color w:val="000000"/>
                <w:sz w:val="20"/>
                <w:szCs w:val="20"/>
              </w:rPr>
              <w:t>Adjusted EBITDA margin</w:t>
            </w:r>
            <w:r>
              <w:rPr>
                <w:color w:val="000000"/>
                <w:sz w:val="17"/>
                <w:szCs w:val="17"/>
                <w:vertAlign w:val="superscript"/>
              </w:rPr>
              <w:t>(1)</w:t>
            </w:r>
          </w:p>
        </w:tc>
        <w:tc>
          <w:tcPr>
            <w:tcW w:w="81" w:type="pct"/>
            <w:shd w:val="clear" w:color="auto" w:fill="CFF0FC"/>
            <w:tcMar>
              <w:top w:w="15" w:type="dxa"/>
              <w:left w:w="0" w:type="dxa"/>
              <w:bottom w:w="0" w:type="dxa"/>
              <w:right w:w="15" w:type="dxa"/>
            </w:tcMar>
            <w:vAlign w:val="bottom"/>
            <w:hideMark/>
          </w:tcPr>
          <w:p w14:paraId="7D7AC9B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98BF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105EB4A" w14:textId="77777777" w:rsidR="00000000" w:rsidRDefault="007125B5">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CFF0FC"/>
            <w:noWrap/>
            <w:tcMar>
              <w:top w:w="15" w:type="dxa"/>
              <w:left w:w="0" w:type="dxa"/>
              <w:bottom w:w="0" w:type="dxa"/>
              <w:right w:w="15" w:type="dxa"/>
            </w:tcMar>
            <w:vAlign w:val="bottom"/>
            <w:hideMark/>
          </w:tcPr>
          <w:p w14:paraId="5B20337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7D638E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63D4C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3E8020F" w14:textId="77777777" w:rsidR="00000000" w:rsidRDefault="007125B5">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CFF0FC"/>
            <w:noWrap/>
            <w:tcMar>
              <w:top w:w="15" w:type="dxa"/>
              <w:left w:w="0" w:type="dxa"/>
              <w:bottom w:w="0" w:type="dxa"/>
              <w:right w:w="15" w:type="dxa"/>
            </w:tcMar>
            <w:vAlign w:val="bottom"/>
            <w:hideMark/>
          </w:tcPr>
          <w:p w14:paraId="56A3D2D6" w14:textId="77777777" w:rsidR="00000000" w:rsidRDefault="007125B5">
            <w:pPr>
              <w:pStyle w:val="a3"/>
              <w:spacing w:before="0" w:beforeAutospacing="0" w:after="0" w:afterAutospacing="0"/>
              <w:rPr>
                <w:color w:val="000000"/>
                <w:sz w:val="20"/>
                <w:szCs w:val="20"/>
              </w:rPr>
            </w:pPr>
            <w:r>
              <w:rPr>
                <w:color w:val="000000"/>
                <w:sz w:val="20"/>
                <w:szCs w:val="20"/>
              </w:rPr>
              <w:t>%</w:t>
            </w:r>
          </w:p>
        </w:tc>
      </w:tr>
    </w:tbl>
    <w:p w14:paraId="500298A1" w14:textId="77777777" w:rsidR="00000000" w:rsidRDefault="007125B5">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16175714" w14:textId="77777777">
        <w:tc>
          <w:tcPr>
            <w:tcW w:w="227" w:type="pct"/>
            <w:noWrap/>
            <w:hideMark/>
          </w:tcPr>
          <w:p w14:paraId="0EA64AD5" w14:textId="77777777" w:rsidR="00000000" w:rsidRDefault="007125B5">
            <w:pPr>
              <w:pStyle w:val="a3"/>
              <w:spacing w:before="40" w:beforeAutospacing="0" w:after="0" w:afterAutospacing="0"/>
              <w:rPr>
                <w:sz w:val="20"/>
                <w:szCs w:val="20"/>
              </w:rPr>
            </w:pPr>
            <w:r>
              <w:rPr>
                <w:sz w:val="20"/>
                <w:szCs w:val="20"/>
              </w:rPr>
              <w:t>(1)</w:t>
            </w:r>
          </w:p>
        </w:tc>
        <w:tc>
          <w:tcPr>
            <w:tcW w:w="0" w:type="auto"/>
            <w:hideMark/>
          </w:tcPr>
          <w:p w14:paraId="1C9187E7" w14:textId="77777777" w:rsidR="00000000" w:rsidRDefault="007125B5">
            <w:pPr>
              <w:pStyle w:val="a3"/>
              <w:spacing w:before="40" w:beforeAutospacing="0" w:after="0" w:afterAutospacing="0"/>
              <w:rPr>
                <w:sz w:val="20"/>
                <w:szCs w:val="20"/>
              </w:rPr>
            </w:pPr>
            <w:r>
              <w:rPr>
                <w:sz w:val="20"/>
                <w:szCs w:val="20"/>
              </w:rPr>
              <w:t xml:space="preserve">Non-GAAP measure. See the section entitled “Non-GAAP Financial Information” </w:t>
            </w:r>
            <w:r>
              <w:rPr>
                <w:sz w:val="20"/>
                <w:szCs w:val="20"/>
              </w:rPr>
              <w:t>for a discussion of non-GAAP measures and a reconciliation thereof to the most directly comparable GAAP measure.</w:t>
            </w:r>
          </w:p>
        </w:tc>
      </w:tr>
    </w:tbl>
    <w:p w14:paraId="1874498C" w14:textId="77777777" w:rsidR="00000000" w:rsidRDefault="007125B5">
      <w:pPr>
        <w:pStyle w:val="a3"/>
        <w:spacing w:before="240" w:beforeAutospacing="0" w:after="0" w:afterAutospacing="0"/>
        <w:jc w:val="center"/>
        <w:rPr>
          <w:sz w:val="20"/>
          <w:szCs w:val="20"/>
        </w:rPr>
      </w:pPr>
      <w:r>
        <w:rPr>
          <w:sz w:val="20"/>
          <w:szCs w:val="20"/>
        </w:rPr>
        <w:t>34</w:t>
      </w:r>
    </w:p>
    <w:p w14:paraId="40364AF0" w14:textId="77777777" w:rsidR="00000000" w:rsidRDefault="007125B5">
      <w:pPr>
        <w:rPr>
          <w:rFonts w:eastAsia="Times New Roman"/>
        </w:rPr>
      </w:pPr>
      <w:r>
        <w:rPr>
          <w:rFonts w:eastAsia="Times New Roman"/>
        </w:rPr>
        <w:pict w14:anchorId="12A4F30F">
          <v:rect id="_x0000_i1060" style="width:415.3pt;height:1.5pt" o:hralign="center" o:hrstd="t" o:hr="t" fillcolor="#a0a0a0" stroked="f"/>
        </w:pict>
      </w:r>
    </w:p>
    <w:p w14:paraId="7DE5B32C" w14:textId="77777777" w:rsidR="00000000" w:rsidRDefault="007125B5">
      <w:pPr>
        <w:pStyle w:val="a3"/>
        <w:spacing w:before="0" w:beforeAutospacing="0" w:after="0" w:afterAutospacing="0"/>
        <w:rPr>
          <w:sz w:val="20"/>
          <w:szCs w:val="20"/>
        </w:rPr>
      </w:pPr>
      <w:r>
        <w:rPr>
          <w:sz w:val="20"/>
          <w:szCs w:val="20"/>
        </w:rPr>
        <w:t> </w:t>
      </w:r>
    </w:p>
    <w:p w14:paraId="7017A4F4" w14:textId="77777777" w:rsidR="00000000" w:rsidRDefault="007125B5">
      <w:pPr>
        <w:pStyle w:val="a3"/>
        <w:shd w:val="clear" w:color="auto" w:fill="FFFFFF"/>
        <w:spacing w:before="360" w:beforeAutospacing="0" w:after="0" w:afterAutospacing="0"/>
        <w:ind w:left="476"/>
        <w:rPr>
          <w:i/>
          <w:iCs/>
          <w:color w:val="000000"/>
          <w:sz w:val="20"/>
          <w:szCs w:val="20"/>
        </w:rPr>
      </w:pPr>
      <w:bookmarkStart w:id="56" w:name="_AEIOULastRenderedPageBreakAEIOU37"/>
      <w:bookmarkEnd w:id="56"/>
      <w:r>
        <w:rPr>
          <w:i/>
          <w:iCs/>
          <w:color w:val="000000"/>
          <w:sz w:val="20"/>
          <w:szCs w:val="20"/>
        </w:rPr>
        <w:t>Revenues</w:t>
      </w:r>
    </w:p>
    <w:p w14:paraId="56201C26" w14:textId="77777777" w:rsidR="00000000" w:rsidRDefault="007125B5">
      <w:pPr>
        <w:pStyle w:val="a3"/>
        <w:shd w:val="clear" w:color="auto" w:fill="FFFFFF"/>
        <w:spacing w:before="120" w:beforeAutospacing="0" w:after="0" w:afterAutospacing="0"/>
        <w:ind w:firstLine="556"/>
        <w:rPr>
          <w:color w:val="000000"/>
          <w:sz w:val="20"/>
          <w:szCs w:val="20"/>
        </w:rPr>
      </w:pPr>
      <w:bookmarkStart w:id="57" w:name="_Hlk47040583"/>
      <w:bookmarkEnd w:id="57"/>
      <w:r>
        <w:rPr>
          <w:color w:val="000000"/>
          <w:sz w:val="20"/>
          <w:szCs w:val="20"/>
        </w:rPr>
        <w:t>For the six months ended June 30, 2020, we had revenues of $134.8</w:t>
      </w:r>
      <w:r>
        <w:rPr>
          <w:color w:val="000000"/>
          <w:sz w:val="20"/>
          <w:szCs w:val="20"/>
        </w:rPr>
        <w:t xml:space="preserve"> million, an increase of $26.4 million or 24.4% over the six months ended June 30, 2019. The increase in revenues was driven by acquisitions completed at the end of and subsequent to the second quarter of 2019, which contributed $26.5 million to revenues d</w:t>
      </w:r>
      <w:r>
        <w:rPr>
          <w:color w:val="000000"/>
          <w:sz w:val="20"/>
          <w:szCs w:val="20"/>
        </w:rPr>
        <w:t xml:space="preserve">uring the six months ended June 30, 2020, as well as growth in our Measurement and Analysis and Remediation and Reuse segments. These increases were partially offset by a decline in revenues from Discontinued Service Lines of $7.2 million and by a decline </w:t>
      </w:r>
      <w:r>
        <w:rPr>
          <w:color w:val="000000"/>
          <w:sz w:val="20"/>
          <w:szCs w:val="20"/>
        </w:rPr>
        <w:t>in revenues in our Assessment, Permitting and Response segment. All segments were impacted by COVID-19, primarily in the form of delays in project start dates, beginning in March 2020.</w:t>
      </w:r>
    </w:p>
    <w:p w14:paraId="28E4D338"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During the six months ended June 30, 2020, our Assessment, Permitting a</w:t>
      </w:r>
      <w:r>
        <w:rPr>
          <w:color w:val="000000"/>
          <w:sz w:val="20"/>
          <w:szCs w:val="20"/>
        </w:rPr>
        <w:t>nd Response segment generated $23.2 million, or 17.2% of total revenues, our Measurement and Analysis segment generated $73.5 million, or 54.5% of total revenues, and our Remediation and Reuse segment generated $38.2 million, or 28.3% of total revenues. Fo</w:t>
      </w:r>
      <w:r>
        <w:rPr>
          <w:color w:val="000000"/>
          <w:sz w:val="20"/>
          <w:szCs w:val="20"/>
        </w:rPr>
        <w:t>r the six months ended June 30, 2019, we had revenues of $108.4 million, of which our Assessment, Permitting and Response segment generated $9.6 million, or 8.9% of total revenues, our Measurement and Analysis segment generated $62.9 million, or 58.1% of t</w:t>
      </w:r>
      <w:r>
        <w:rPr>
          <w:color w:val="000000"/>
          <w:sz w:val="20"/>
          <w:szCs w:val="20"/>
        </w:rPr>
        <w:t xml:space="preserve">otal revenues, and our Remediation and Reuse segment generated $35.8 million, or 33.0% of total revenues. Revenue from Discontinued Service Lines contributed $3.8 million and $11.0 million to revenues during the six months ended June 30, 2020 and June 30, </w:t>
      </w:r>
      <w:r>
        <w:rPr>
          <w:color w:val="000000"/>
          <w:sz w:val="20"/>
          <w:szCs w:val="20"/>
        </w:rPr>
        <w:t>2019, respectively, of which $2.5 million and $3.6 million, respectively, was in our Measurement and Analysis segment, and $1.3 million and $7.4 million, respectively, was in our Remediation and Reuse segment.</w:t>
      </w:r>
    </w:p>
    <w:p w14:paraId="6D87D705"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Cost of Revenues</w:t>
      </w:r>
    </w:p>
    <w:p w14:paraId="0F50C631"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For the six months ended June 30, 2020, cost of revenues was $90.3 million or 67.0% of revenues, and was comprised of direct labor of $57.2 million, outside services (including construction, laboratory, shipping and freight and other outside services) of $</w:t>
      </w:r>
      <w:r>
        <w:rPr>
          <w:color w:val="000000"/>
          <w:sz w:val="20"/>
          <w:szCs w:val="20"/>
        </w:rPr>
        <w:t>15.7 million, field supplies, testing supplies and equipment rental of $9.3 million, project-related travel expenses of $3.8 million and other direct costs of $4.3 million. For the six months ended June 30, 2020, cost of revenues as a percentage of revenue</w:t>
      </w:r>
      <w:r>
        <w:rPr>
          <w:color w:val="000000"/>
          <w:sz w:val="20"/>
          <w:szCs w:val="20"/>
        </w:rPr>
        <w:t>s fell 3.5% from the prior year, as a result of lower labor and field supplies as a percentage of revenue, partially offset by higher outside services costs. These drivers were primarily as a result of changes in segment mix, as well as labor-related savin</w:t>
      </w:r>
      <w:r>
        <w:rPr>
          <w:color w:val="000000"/>
          <w:sz w:val="20"/>
          <w:szCs w:val="20"/>
        </w:rPr>
        <w:t>gs from temporary cost mitigation efforts related to COVID-19.</w:t>
      </w:r>
    </w:p>
    <w:p w14:paraId="28D0048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six months ended June 30, 2019, cost of revenues was $76.4 million or 70.5 % of revenues, and was comprised of direct labor of $44.6 million, outside services (including construction, l</w:t>
      </w:r>
      <w:r>
        <w:rPr>
          <w:color w:val="000000"/>
          <w:sz w:val="20"/>
          <w:szCs w:val="20"/>
        </w:rPr>
        <w:t>aboratory, shipping and freight and other outside services) of $16.6 million, field supplies, testing supplies and equipment rental of $8.5 million, project-related travel expenses of $3.8 million and other direct costs of $2.9 million.</w:t>
      </w:r>
    </w:p>
    <w:p w14:paraId="4F4A1711"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Selling, General an</w:t>
      </w:r>
      <w:r>
        <w:rPr>
          <w:i/>
          <w:iCs/>
          <w:color w:val="000000"/>
          <w:sz w:val="20"/>
          <w:szCs w:val="20"/>
        </w:rPr>
        <w:t>d Administrative Expenses</w:t>
      </w:r>
    </w:p>
    <w:p w14:paraId="6863BC38"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For the six months ended June 30, 2020, selling, general and administrative expenses were $44.2 million, an increase of $22.6 million or 104.7% versus the prior year, of which $8.5 million was from selling, general and administrat</w:t>
      </w:r>
      <w:r>
        <w:rPr>
          <w:color w:val="000000"/>
          <w:sz w:val="20"/>
          <w:szCs w:val="20"/>
        </w:rPr>
        <w:t>ive expenses pertaining to companies we acquired at the end of, and subsequent to, the second quarter of 2019. The remaining $14.1 million increase was primarily due to an increase in bad debt of $5.7 million primarily related to the Discontinued Service L</w:t>
      </w:r>
      <w:r>
        <w:rPr>
          <w:color w:val="000000"/>
          <w:sz w:val="20"/>
          <w:szCs w:val="20"/>
        </w:rPr>
        <w:t>ines, an increase in expense related to the fair value adjustment of contingent consideration of $4.9 million, an increase in costs incurred related to acquisitions of $2.7 million, costs related to preparing for our initial public offering of $0.5 million</w:t>
      </w:r>
      <w:r>
        <w:rPr>
          <w:color w:val="000000"/>
          <w:sz w:val="20"/>
          <w:szCs w:val="20"/>
        </w:rPr>
        <w:t xml:space="preserve"> and investment in corporate infrastructure (primarily finance, sales and marketing, safety, IT and human resources).</w:t>
      </w:r>
    </w:p>
    <w:p w14:paraId="55389067"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six months ended June 30, 2020, selling, general and administrative expenses were comprised of indirect labor of $15.0 million, fa</w:t>
      </w:r>
      <w:r>
        <w:rPr>
          <w:color w:val="000000"/>
          <w:sz w:val="20"/>
          <w:szCs w:val="20"/>
        </w:rPr>
        <w:t>cilities costs of $5.8 million, stock-based compensation of $1.5 million, acquisition-related costs of $2.5 million, bad debt expense of $6.3 million, a charge related to a change in the fair value of contingent liabilities of $4.0 million, costs related t</w:t>
      </w:r>
      <w:r>
        <w:rPr>
          <w:color w:val="000000"/>
          <w:sz w:val="20"/>
          <w:szCs w:val="20"/>
        </w:rPr>
        <w:t xml:space="preserve">o preparing for our initial public offering of $0.5 million and other costs (including software, travel, insurance, legal, consulting and audit services) of $8.6 million. </w:t>
      </w:r>
    </w:p>
    <w:p w14:paraId="7608940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six months ended June 30, 2019, selling, general and administrative expenses</w:t>
      </w:r>
      <w:r>
        <w:rPr>
          <w:color w:val="000000"/>
          <w:sz w:val="20"/>
          <w:szCs w:val="20"/>
        </w:rPr>
        <w:t xml:space="preserve"> of $21.6 million, were comprised of indirect labor of $8.3 million, facilities costs of $5.2 million, stock-based compensation of $1.8 million, acquisition-related costs of $1.1 million, bad debt expense of $0.5 million and other costs (including software</w:t>
      </w:r>
      <w:r>
        <w:rPr>
          <w:color w:val="000000"/>
          <w:sz w:val="20"/>
          <w:szCs w:val="20"/>
        </w:rPr>
        <w:t>, travel, insurance, legal, consulting and audit services) of $5.6 million. These costs were partially offset by a credit recorded as a result of a decrease in the fair value of contingent consideration of $0.9 million.</w:t>
      </w:r>
    </w:p>
    <w:p w14:paraId="422313B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We expect our general and administra</w:t>
      </w:r>
      <w:r>
        <w:rPr>
          <w:color w:val="000000"/>
          <w:sz w:val="20"/>
          <w:szCs w:val="20"/>
        </w:rPr>
        <w:t>tive expenses to increase as a result of additional insurance, legal, accounting, investor relations and other costs associated with becoming a public company.</w:t>
      </w:r>
    </w:p>
    <w:p w14:paraId="56B7A759" w14:textId="77777777" w:rsidR="00000000" w:rsidRDefault="007125B5">
      <w:pPr>
        <w:pStyle w:val="a3"/>
        <w:spacing w:before="240" w:beforeAutospacing="0" w:after="0" w:afterAutospacing="0"/>
        <w:jc w:val="center"/>
        <w:rPr>
          <w:sz w:val="20"/>
          <w:szCs w:val="20"/>
        </w:rPr>
      </w:pPr>
      <w:r>
        <w:rPr>
          <w:sz w:val="20"/>
          <w:szCs w:val="20"/>
        </w:rPr>
        <w:t>35</w:t>
      </w:r>
    </w:p>
    <w:p w14:paraId="5E9BDBB2" w14:textId="77777777" w:rsidR="00000000" w:rsidRDefault="007125B5">
      <w:pPr>
        <w:rPr>
          <w:rFonts w:eastAsia="Times New Roman"/>
        </w:rPr>
      </w:pPr>
      <w:r>
        <w:rPr>
          <w:rFonts w:eastAsia="Times New Roman"/>
        </w:rPr>
        <w:pict w14:anchorId="5D0D361A">
          <v:rect id="_x0000_i1061" style="width:415.3pt;height:1.5pt" o:hralign="center" o:hrstd="t" o:hr="t" fillcolor="#a0a0a0" stroked="f"/>
        </w:pict>
      </w:r>
    </w:p>
    <w:p w14:paraId="1C4817C1" w14:textId="77777777" w:rsidR="00000000" w:rsidRDefault="007125B5">
      <w:pPr>
        <w:pStyle w:val="a3"/>
        <w:spacing w:before="0" w:beforeAutospacing="0" w:after="0" w:afterAutospacing="0"/>
        <w:rPr>
          <w:sz w:val="20"/>
          <w:szCs w:val="20"/>
        </w:rPr>
      </w:pPr>
      <w:r>
        <w:rPr>
          <w:sz w:val="20"/>
          <w:szCs w:val="20"/>
        </w:rPr>
        <w:t> </w:t>
      </w:r>
    </w:p>
    <w:p w14:paraId="14C403A9" w14:textId="77777777" w:rsidR="00000000" w:rsidRDefault="007125B5">
      <w:pPr>
        <w:pStyle w:val="a3"/>
        <w:shd w:val="clear" w:color="auto" w:fill="FFFFFF"/>
        <w:spacing w:before="360" w:beforeAutospacing="0" w:after="0" w:afterAutospacing="0"/>
        <w:ind w:left="476"/>
        <w:rPr>
          <w:i/>
          <w:iCs/>
          <w:color w:val="000000"/>
          <w:sz w:val="20"/>
          <w:szCs w:val="20"/>
        </w:rPr>
      </w:pPr>
      <w:bookmarkStart w:id="58" w:name="_AEIOULastRenderedPageBreakAEIOU38"/>
      <w:bookmarkEnd w:id="58"/>
      <w:r>
        <w:rPr>
          <w:i/>
          <w:iCs/>
          <w:color w:val="000000"/>
          <w:sz w:val="20"/>
          <w:szCs w:val="20"/>
        </w:rPr>
        <w:t>Related Party Expense</w:t>
      </w:r>
    </w:p>
    <w:p w14:paraId="3ECD14E1"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Related party expense for the six months ended June </w:t>
      </w:r>
      <w:r>
        <w:rPr>
          <w:color w:val="000000"/>
          <w:sz w:val="20"/>
          <w:szCs w:val="20"/>
        </w:rPr>
        <w:t>30, 2020 and June 30, 2019, of $0.1 million and $0.3 million, respectively, represented fees paid to a related party for acquisition-related diligence support. See Note 21 to our unaudited condensed consolidated financial statements.</w:t>
      </w:r>
    </w:p>
    <w:p w14:paraId="5CA6D534"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Depreciation and Amort</w:t>
      </w:r>
      <w:r>
        <w:rPr>
          <w:i/>
          <w:iCs/>
          <w:color w:val="000000"/>
          <w:sz w:val="20"/>
          <w:szCs w:val="20"/>
        </w:rPr>
        <w:t>ization</w:t>
      </w:r>
    </w:p>
    <w:p w14:paraId="074E0116"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Depreciation and amortization expense for the six months ended June 30, 2020, was $17.3 million and was comprised of amortization of finite lived intangibles of $13.3 million, arising as a result of our acquisition activity, and depreciation of pro</w:t>
      </w:r>
      <w:r>
        <w:rPr>
          <w:color w:val="000000"/>
          <w:sz w:val="20"/>
          <w:szCs w:val="20"/>
        </w:rPr>
        <w:t>perty and equipment of $4.0 million. Depreciation and amortization expense for the six months ended June 30, 2019, was $12.9 million and was comprised of amortization of finite lived intangibles of $9.1 million and depreciation of property and equipment of</w:t>
      </w:r>
      <w:r>
        <w:rPr>
          <w:color w:val="000000"/>
          <w:sz w:val="20"/>
          <w:szCs w:val="20"/>
        </w:rPr>
        <w:t xml:space="preserve"> $3.8 million. The increase in both depreciation and amortization for the six months ended June 30, 2020 versus the six months ended June 30, 2019 is primarily a result of acquisitions.</w:t>
      </w:r>
    </w:p>
    <w:p w14:paraId="568C709F"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Other Expense</w:t>
      </w:r>
    </w:p>
    <w:p w14:paraId="64C9767A"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Other expense for the six months ended June 30, 2020 of </w:t>
      </w:r>
      <w:r>
        <w:rPr>
          <w:color w:val="000000"/>
          <w:sz w:val="20"/>
          <w:szCs w:val="20"/>
        </w:rPr>
        <w:t xml:space="preserve">$7.9 million was driven primarily by fair value adjustments related to the Series A-1 preferred stock contingent put option. Other expense for the six months ended June 30, 2019 of $1.2 million related primarily to fair value adjustments to the Series A-1 </w:t>
      </w:r>
      <w:r>
        <w:rPr>
          <w:color w:val="000000"/>
          <w:sz w:val="20"/>
          <w:szCs w:val="20"/>
        </w:rPr>
        <w:t>warrant option. See Notes 12 and 16 to our unaudited condensed consolidated financial statements.</w:t>
      </w:r>
    </w:p>
    <w:p w14:paraId="1FD303AF"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Interest Expense, Net</w:t>
      </w:r>
    </w:p>
    <w:p w14:paraId="7D41107C"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Interest expense, net incurred during the six months ended June 30, 2020 was $7.9 million, compared to $2.5 million for the six months e</w:t>
      </w:r>
      <w:r>
        <w:rPr>
          <w:color w:val="000000"/>
          <w:sz w:val="20"/>
          <w:szCs w:val="20"/>
        </w:rPr>
        <w:t xml:space="preserve">nded June 30, 2019. The increase in interest expense was driven by higher outstanding debt balances and higher borrowings under an equipment line of credit, as well as higher average interest rates, as a result of the repayment of our prior senior secured </w:t>
      </w:r>
      <w:r>
        <w:rPr>
          <w:color w:val="000000"/>
          <w:sz w:val="20"/>
          <w:szCs w:val="20"/>
        </w:rPr>
        <w:t>credit facility in April, 2020, using proceeds from the Unitranche Credit facility, which carries a higher rate of interest. Interest expense in the six months ended June 30, 2020 also includes $1.4 million from both payments made and the write off of defe</w:t>
      </w:r>
      <w:r>
        <w:rPr>
          <w:color w:val="000000"/>
          <w:sz w:val="20"/>
          <w:szCs w:val="20"/>
        </w:rPr>
        <w:t>rred debt issuance costs, related to the repayment of our prior senior secured credit facility. See Note 13 to our unaudited condensed consolidated financial statements.</w:t>
      </w:r>
    </w:p>
    <w:p w14:paraId="442262ED"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Income taxes benefit</w:t>
      </w:r>
    </w:p>
    <w:p w14:paraId="7639FDEE"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 xml:space="preserve">Income tax benefit was $4.9 million and $0.9 million for the six </w:t>
      </w:r>
      <w:r>
        <w:rPr>
          <w:color w:val="000000"/>
          <w:sz w:val="20"/>
          <w:szCs w:val="20"/>
        </w:rPr>
        <w:t>months ended June 30, 2020 and June 30, 2019, respectively.</w:t>
      </w:r>
      <w:r>
        <w:rPr>
          <w:color w:val="000000"/>
        </w:rPr>
        <w:t xml:space="preserve"> </w:t>
      </w:r>
      <w:r>
        <w:rPr>
          <w:color w:val="000000"/>
          <w:sz w:val="20"/>
          <w:szCs w:val="20"/>
        </w:rPr>
        <w:t>The increase in tax benefit is primarily attributable to the increase in our loss before income tax, partially offset by an increase in permanently disallowed tax deductions for U.S. federal incom</w:t>
      </w:r>
      <w:r>
        <w:rPr>
          <w:color w:val="000000"/>
          <w:sz w:val="20"/>
          <w:szCs w:val="20"/>
        </w:rPr>
        <w:t>e tax purposes, state and foreign income tax provisions and Global Intangible Low Taxed Income.</w:t>
      </w:r>
    </w:p>
    <w:p w14:paraId="29CF7984"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Segment Results of Operations </w:t>
      </w:r>
    </w:p>
    <w:p w14:paraId="17757FB8" w14:textId="77777777" w:rsidR="00000000" w:rsidRDefault="007125B5">
      <w:pPr>
        <w:pStyle w:val="a3"/>
        <w:shd w:val="clear" w:color="auto" w:fill="FFFFFF"/>
        <w:spacing w:before="120" w:beforeAutospacing="0" w:after="0" w:afterAutospacing="0"/>
        <w:rPr>
          <w:b/>
          <w:bCs/>
          <w:i/>
          <w:iCs/>
          <w:color w:val="000000"/>
          <w:sz w:val="20"/>
          <w:szCs w:val="20"/>
        </w:rPr>
      </w:pPr>
      <w:r>
        <w:rPr>
          <w:b/>
          <w:bCs/>
          <w:i/>
          <w:iCs/>
          <w:color w:val="000000"/>
          <w:sz w:val="20"/>
          <w:szCs w:val="20"/>
        </w:rPr>
        <w:t>Three Months Ended June 30, 2020 Compared to the Three Months Ended June 30, 2019</w:t>
      </w:r>
    </w:p>
    <w:p w14:paraId="11B16341"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983"/>
        <w:gridCol w:w="65"/>
        <w:gridCol w:w="115"/>
        <w:gridCol w:w="565"/>
        <w:gridCol w:w="65"/>
        <w:gridCol w:w="65"/>
        <w:gridCol w:w="116"/>
        <w:gridCol w:w="641"/>
        <w:gridCol w:w="82"/>
        <w:gridCol w:w="65"/>
        <w:gridCol w:w="80"/>
        <w:gridCol w:w="558"/>
        <w:gridCol w:w="182"/>
        <w:gridCol w:w="65"/>
        <w:gridCol w:w="115"/>
        <w:gridCol w:w="565"/>
        <w:gridCol w:w="65"/>
        <w:gridCol w:w="65"/>
        <w:gridCol w:w="116"/>
        <w:gridCol w:w="733"/>
        <w:gridCol w:w="82"/>
        <w:gridCol w:w="65"/>
        <w:gridCol w:w="80"/>
        <w:gridCol w:w="558"/>
        <w:gridCol w:w="215"/>
      </w:tblGrid>
      <w:tr w:rsidR="00000000" w14:paraId="0756625F" w14:textId="77777777">
        <w:trPr>
          <w:divId w:val="266356963"/>
          <w:jc w:val="center"/>
        </w:trPr>
        <w:tc>
          <w:tcPr>
            <w:tcW w:w="2017" w:type="pct"/>
            <w:shd w:val="clear" w:color="auto" w:fill="FFFFFF"/>
            <w:tcMar>
              <w:top w:w="15" w:type="dxa"/>
              <w:left w:w="0" w:type="dxa"/>
              <w:bottom w:w="0" w:type="dxa"/>
              <w:right w:w="15" w:type="dxa"/>
            </w:tcMar>
            <w:vAlign w:val="bottom"/>
            <w:hideMark/>
          </w:tcPr>
          <w:p w14:paraId="5D396AEF" w14:textId="77777777" w:rsidR="00000000" w:rsidRDefault="007125B5">
            <w:pPr>
              <w:pStyle w:val="a3"/>
              <w:spacing w:before="0" w:beforeAutospacing="0" w:after="0" w:afterAutospacing="0"/>
              <w:jc w:val="center"/>
              <w:rPr>
                <w:sz w:val="20"/>
                <w:szCs w:val="20"/>
              </w:rPr>
            </w:pPr>
            <w:r>
              <w:rPr>
                <w:sz w:val="20"/>
                <w:szCs w:val="20"/>
              </w:rPr>
              <w:t> </w:t>
            </w:r>
          </w:p>
        </w:tc>
        <w:tc>
          <w:tcPr>
            <w:tcW w:w="48" w:type="pct"/>
            <w:shd w:val="clear" w:color="auto" w:fill="FFFFFF"/>
            <w:tcMar>
              <w:top w:w="15" w:type="dxa"/>
              <w:left w:w="0" w:type="dxa"/>
              <w:bottom w:w="0" w:type="dxa"/>
              <w:right w:w="15" w:type="dxa"/>
            </w:tcMar>
            <w:vAlign w:val="bottom"/>
            <w:hideMark/>
          </w:tcPr>
          <w:p w14:paraId="7EC8471C"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2883" w:type="pct"/>
            <w:gridSpan w:val="22"/>
            <w:tcBorders>
              <w:bottom w:val="single" w:sz="6" w:space="0" w:color="000000"/>
            </w:tcBorders>
            <w:shd w:val="clear" w:color="auto" w:fill="FFFFFF"/>
            <w:tcMar>
              <w:top w:w="15" w:type="dxa"/>
              <w:left w:w="0" w:type="dxa"/>
              <w:bottom w:w="0" w:type="dxa"/>
              <w:right w:w="15" w:type="dxa"/>
            </w:tcMar>
            <w:vAlign w:val="bottom"/>
            <w:hideMark/>
          </w:tcPr>
          <w:p w14:paraId="645CF9C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5DE723D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6847378" w14:textId="77777777">
        <w:trPr>
          <w:divId w:val="266356963"/>
          <w:jc w:val="center"/>
        </w:trPr>
        <w:tc>
          <w:tcPr>
            <w:tcW w:w="2017" w:type="pct"/>
            <w:shd w:val="clear" w:color="auto" w:fill="FFFFFF"/>
            <w:tcMar>
              <w:top w:w="15" w:type="dxa"/>
              <w:left w:w="0" w:type="dxa"/>
              <w:bottom w:w="0" w:type="dxa"/>
              <w:right w:w="15" w:type="dxa"/>
            </w:tcMar>
            <w:vAlign w:val="bottom"/>
            <w:hideMark/>
          </w:tcPr>
          <w:p w14:paraId="18088EA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14:paraId="1B54B89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39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3952B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E28021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3FE5EA2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39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53B46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03D9B8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125DDD2" w14:textId="77777777">
        <w:trPr>
          <w:divId w:val="266356963"/>
          <w:jc w:val="center"/>
        </w:trPr>
        <w:tc>
          <w:tcPr>
            <w:tcW w:w="2017" w:type="pct"/>
            <w:tcBorders>
              <w:bottom w:val="single" w:sz="6" w:space="0" w:color="000000"/>
            </w:tcBorders>
            <w:shd w:val="clear" w:color="auto" w:fill="FFFFFF"/>
            <w:tcMar>
              <w:top w:w="15" w:type="dxa"/>
              <w:left w:w="0" w:type="dxa"/>
              <w:bottom w:w="0" w:type="dxa"/>
              <w:right w:w="15" w:type="dxa"/>
            </w:tcMar>
            <w:vAlign w:val="bottom"/>
            <w:hideMark/>
          </w:tcPr>
          <w:p w14:paraId="424E8BE0" w14:textId="77777777" w:rsidR="00000000" w:rsidRDefault="007125B5">
            <w:pPr>
              <w:pStyle w:val="a3"/>
              <w:spacing w:before="0" w:beforeAutospacing="0" w:after="0" w:afterAutospacing="0"/>
              <w:rPr>
                <w:b/>
                <w:bCs/>
                <w:color w:val="000000"/>
                <w:sz w:val="16"/>
                <w:szCs w:val="16"/>
              </w:rPr>
            </w:pPr>
            <w:r>
              <w:rPr>
                <w:b/>
                <w:bCs/>
                <w:color w:val="000000"/>
                <w:sz w:val="16"/>
                <w:szCs w:val="16"/>
              </w:rPr>
              <w:t>(in thousands)</w:t>
            </w:r>
          </w:p>
        </w:tc>
        <w:tc>
          <w:tcPr>
            <w:tcW w:w="48" w:type="pct"/>
            <w:shd w:val="clear" w:color="auto" w:fill="FFFFFF"/>
            <w:tcMar>
              <w:top w:w="15" w:type="dxa"/>
              <w:left w:w="0" w:type="dxa"/>
              <w:bottom w:w="0" w:type="dxa"/>
              <w:right w:w="15" w:type="dxa"/>
            </w:tcMar>
            <w:vAlign w:val="bottom"/>
            <w:hideMark/>
          </w:tcPr>
          <w:p w14:paraId="5A58DC9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12E93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5688C4F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57F8C1C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2E897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7D5B9CF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14:paraId="3EA0FB82"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40DD6CF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AAF9A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7F3964E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p w14:paraId="57E0997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14:paraId="5E6CD9ED"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8" w:type="pct"/>
            <w:shd w:val="clear" w:color="auto" w:fill="FFFFFF"/>
            <w:tcMar>
              <w:top w:w="15" w:type="dxa"/>
              <w:left w:w="0" w:type="dxa"/>
              <w:bottom w:w="0" w:type="dxa"/>
              <w:right w:w="15" w:type="dxa"/>
            </w:tcMar>
            <w:vAlign w:val="bottom"/>
            <w:hideMark/>
          </w:tcPr>
          <w:p w14:paraId="10F1359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0A08E5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7A81357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49EDB16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BAE6A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232E62C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r>
              <w:rPr>
                <w:b/>
                <w:bCs/>
                <w:color w:val="000000"/>
                <w:sz w:val="14"/>
                <w:szCs w:val="14"/>
                <w:vertAlign w:val="superscript"/>
              </w:rPr>
              <w:t>(1)(3)</w:t>
            </w:r>
          </w:p>
        </w:tc>
        <w:tc>
          <w:tcPr>
            <w:tcW w:w="50" w:type="pct"/>
            <w:shd w:val="clear" w:color="auto" w:fill="FFFFFF"/>
            <w:noWrap/>
            <w:tcMar>
              <w:top w:w="15" w:type="dxa"/>
              <w:left w:w="0" w:type="dxa"/>
              <w:bottom w:w="0" w:type="dxa"/>
              <w:right w:w="15" w:type="dxa"/>
            </w:tcMar>
            <w:vAlign w:val="bottom"/>
            <w:hideMark/>
          </w:tcPr>
          <w:p w14:paraId="4590B0FB"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5AE25F9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7A8FA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2DE5EB69"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p w14:paraId="6884EAA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14:paraId="4E2A8B11"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5D10205A" w14:textId="77777777">
        <w:trPr>
          <w:divId w:val="266356963"/>
          <w:jc w:val="center"/>
        </w:trPr>
        <w:tc>
          <w:tcPr>
            <w:tcW w:w="2017" w:type="pct"/>
            <w:tcBorders>
              <w:top w:val="single" w:sz="6" w:space="0" w:color="000000"/>
            </w:tcBorders>
            <w:shd w:val="clear" w:color="auto" w:fill="CFF0FC"/>
            <w:tcMar>
              <w:top w:w="15" w:type="dxa"/>
              <w:left w:w="0" w:type="dxa"/>
              <w:bottom w:w="0" w:type="dxa"/>
              <w:right w:w="15" w:type="dxa"/>
            </w:tcMar>
            <w:hideMark/>
          </w:tcPr>
          <w:p w14:paraId="34BBA88B" w14:textId="77777777" w:rsidR="00000000" w:rsidRDefault="007125B5">
            <w:pPr>
              <w:pStyle w:val="a3"/>
              <w:spacing w:before="0" w:beforeAutospacing="0" w:after="0" w:afterAutospacing="0"/>
              <w:rPr>
                <w:color w:val="000000"/>
                <w:sz w:val="20"/>
                <w:szCs w:val="20"/>
              </w:rPr>
            </w:pPr>
            <w:r>
              <w:rPr>
                <w:color w:val="000000"/>
                <w:sz w:val="20"/>
                <w:szCs w:val="20"/>
              </w:rPr>
              <w:t>Assessment, Permitting and Response</w:t>
            </w:r>
          </w:p>
        </w:tc>
        <w:tc>
          <w:tcPr>
            <w:tcW w:w="48" w:type="pct"/>
            <w:shd w:val="clear" w:color="auto" w:fill="CFF0FC"/>
            <w:tcMar>
              <w:top w:w="15" w:type="dxa"/>
              <w:left w:w="0" w:type="dxa"/>
              <w:bottom w:w="0" w:type="dxa"/>
              <w:right w:w="15" w:type="dxa"/>
            </w:tcMar>
            <w:vAlign w:val="bottom"/>
            <w:hideMark/>
          </w:tcPr>
          <w:p w14:paraId="1E3D9B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83C137"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25981F8B" w14:textId="77777777" w:rsidR="00000000" w:rsidRDefault="007125B5">
            <w:pPr>
              <w:pStyle w:val="a3"/>
              <w:spacing w:before="0" w:beforeAutospacing="0" w:after="0" w:afterAutospacing="0"/>
              <w:jc w:val="right"/>
              <w:rPr>
                <w:color w:val="000000"/>
                <w:sz w:val="20"/>
                <w:szCs w:val="20"/>
              </w:rPr>
            </w:pPr>
            <w:r>
              <w:rPr>
                <w:color w:val="000000"/>
                <w:sz w:val="20"/>
                <w:szCs w:val="20"/>
              </w:rPr>
              <w:t>18,631</w:t>
            </w:r>
          </w:p>
        </w:tc>
        <w:tc>
          <w:tcPr>
            <w:tcW w:w="50" w:type="pct"/>
            <w:shd w:val="clear" w:color="auto" w:fill="CFF0FC"/>
            <w:noWrap/>
            <w:tcMar>
              <w:top w:w="15" w:type="dxa"/>
              <w:left w:w="0" w:type="dxa"/>
              <w:bottom w:w="0" w:type="dxa"/>
              <w:right w:w="15" w:type="dxa"/>
            </w:tcMar>
            <w:vAlign w:val="bottom"/>
            <w:hideMark/>
          </w:tcPr>
          <w:p w14:paraId="57FED2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65E596C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D75A1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67A8FF59" w14:textId="77777777" w:rsidR="00000000" w:rsidRDefault="007125B5">
            <w:pPr>
              <w:pStyle w:val="a3"/>
              <w:spacing w:before="0" w:beforeAutospacing="0" w:after="0" w:afterAutospacing="0"/>
              <w:jc w:val="right"/>
              <w:rPr>
                <w:color w:val="000000"/>
                <w:sz w:val="20"/>
                <w:szCs w:val="20"/>
              </w:rPr>
            </w:pPr>
            <w:r>
              <w:rPr>
                <w:color w:val="000000"/>
                <w:sz w:val="20"/>
                <w:szCs w:val="20"/>
              </w:rPr>
              <w:t>4,989</w:t>
            </w:r>
          </w:p>
        </w:tc>
        <w:tc>
          <w:tcPr>
            <w:tcW w:w="50" w:type="pct"/>
            <w:shd w:val="clear" w:color="auto" w:fill="CFF0FC"/>
            <w:noWrap/>
            <w:tcMar>
              <w:top w:w="15" w:type="dxa"/>
              <w:left w:w="0" w:type="dxa"/>
              <w:bottom w:w="0" w:type="dxa"/>
              <w:right w:w="15" w:type="dxa"/>
            </w:tcMar>
            <w:vAlign w:val="bottom"/>
            <w:hideMark/>
          </w:tcPr>
          <w:p w14:paraId="5958D9F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40AFA4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557A7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43483DE9" w14:textId="77777777" w:rsidR="00000000" w:rsidRDefault="007125B5">
            <w:pPr>
              <w:pStyle w:val="a3"/>
              <w:spacing w:before="0" w:beforeAutospacing="0" w:after="0" w:afterAutospacing="0"/>
              <w:jc w:val="right"/>
              <w:rPr>
                <w:color w:val="000000"/>
                <w:sz w:val="20"/>
                <w:szCs w:val="20"/>
              </w:rPr>
            </w:pPr>
            <w:r>
              <w:rPr>
                <w:color w:val="000000"/>
                <w:sz w:val="20"/>
                <w:szCs w:val="20"/>
              </w:rPr>
              <w:t>26.8</w:t>
            </w:r>
          </w:p>
        </w:tc>
        <w:tc>
          <w:tcPr>
            <w:tcW w:w="50" w:type="pct"/>
            <w:shd w:val="clear" w:color="auto" w:fill="CFF0FC"/>
            <w:noWrap/>
            <w:tcMar>
              <w:top w:w="15" w:type="dxa"/>
              <w:left w:w="0" w:type="dxa"/>
              <w:bottom w:w="0" w:type="dxa"/>
              <w:right w:w="15" w:type="dxa"/>
            </w:tcMar>
            <w:vAlign w:val="bottom"/>
            <w:hideMark/>
          </w:tcPr>
          <w:p w14:paraId="457BF833"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3FED8D3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4FB59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67F68C04" w14:textId="77777777" w:rsidR="00000000" w:rsidRDefault="007125B5">
            <w:pPr>
              <w:pStyle w:val="a3"/>
              <w:spacing w:before="0" w:beforeAutospacing="0" w:after="0" w:afterAutospacing="0"/>
              <w:jc w:val="right"/>
              <w:rPr>
                <w:color w:val="000000"/>
                <w:sz w:val="20"/>
                <w:szCs w:val="20"/>
              </w:rPr>
            </w:pPr>
            <w:r>
              <w:rPr>
                <w:color w:val="000000"/>
                <w:sz w:val="20"/>
                <w:szCs w:val="20"/>
              </w:rPr>
              <w:t>5,028</w:t>
            </w:r>
          </w:p>
        </w:tc>
        <w:tc>
          <w:tcPr>
            <w:tcW w:w="50" w:type="pct"/>
            <w:shd w:val="clear" w:color="auto" w:fill="CFF0FC"/>
            <w:noWrap/>
            <w:tcMar>
              <w:top w:w="15" w:type="dxa"/>
              <w:left w:w="0" w:type="dxa"/>
              <w:bottom w:w="0" w:type="dxa"/>
              <w:right w:w="15" w:type="dxa"/>
            </w:tcMar>
            <w:vAlign w:val="bottom"/>
            <w:hideMark/>
          </w:tcPr>
          <w:p w14:paraId="786662B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0AE540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E54F8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53286474" w14:textId="77777777" w:rsidR="00000000" w:rsidRDefault="007125B5">
            <w:pPr>
              <w:pStyle w:val="a3"/>
              <w:spacing w:before="0" w:beforeAutospacing="0" w:after="0" w:afterAutospacing="0"/>
              <w:jc w:val="right"/>
              <w:rPr>
                <w:color w:val="000000"/>
                <w:sz w:val="20"/>
                <w:szCs w:val="20"/>
              </w:rPr>
            </w:pPr>
            <w:r>
              <w:rPr>
                <w:color w:val="000000"/>
                <w:sz w:val="20"/>
                <w:szCs w:val="20"/>
              </w:rPr>
              <w:t>2,002</w:t>
            </w:r>
          </w:p>
        </w:tc>
        <w:tc>
          <w:tcPr>
            <w:tcW w:w="50" w:type="pct"/>
            <w:shd w:val="clear" w:color="auto" w:fill="CFF0FC"/>
            <w:noWrap/>
            <w:tcMar>
              <w:top w:w="15" w:type="dxa"/>
              <w:left w:w="0" w:type="dxa"/>
              <w:bottom w:w="0" w:type="dxa"/>
              <w:right w:w="15" w:type="dxa"/>
            </w:tcMar>
            <w:vAlign w:val="bottom"/>
            <w:hideMark/>
          </w:tcPr>
          <w:p w14:paraId="4FA286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290A726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D3F5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2E8F098D" w14:textId="77777777" w:rsidR="00000000" w:rsidRDefault="007125B5">
            <w:pPr>
              <w:pStyle w:val="a3"/>
              <w:spacing w:before="0" w:beforeAutospacing="0" w:after="0" w:afterAutospacing="0"/>
              <w:jc w:val="right"/>
              <w:rPr>
                <w:color w:val="000000"/>
                <w:sz w:val="20"/>
                <w:szCs w:val="20"/>
              </w:rPr>
            </w:pPr>
            <w:r>
              <w:rPr>
                <w:color w:val="000000"/>
                <w:sz w:val="20"/>
                <w:szCs w:val="20"/>
              </w:rPr>
              <w:t>39.8</w:t>
            </w:r>
          </w:p>
        </w:tc>
        <w:tc>
          <w:tcPr>
            <w:tcW w:w="50" w:type="pct"/>
            <w:shd w:val="clear" w:color="auto" w:fill="CFF0FC"/>
            <w:noWrap/>
            <w:tcMar>
              <w:top w:w="15" w:type="dxa"/>
              <w:left w:w="0" w:type="dxa"/>
              <w:bottom w:w="0" w:type="dxa"/>
              <w:right w:w="15" w:type="dxa"/>
            </w:tcMar>
            <w:vAlign w:val="bottom"/>
            <w:hideMark/>
          </w:tcPr>
          <w:p w14:paraId="406E2862"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4A6D2E61" w14:textId="77777777">
        <w:trPr>
          <w:divId w:val="266356963"/>
          <w:jc w:val="center"/>
        </w:trPr>
        <w:tc>
          <w:tcPr>
            <w:tcW w:w="2017" w:type="pct"/>
            <w:shd w:val="clear" w:color="auto" w:fill="FFFFFF"/>
            <w:tcMar>
              <w:top w:w="15" w:type="dxa"/>
              <w:left w:w="0" w:type="dxa"/>
              <w:bottom w:w="0" w:type="dxa"/>
              <w:right w:w="15" w:type="dxa"/>
            </w:tcMar>
            <w:hideMark/>
          </w:tcPr>
          <w:p w14:paraId="4EB5F3FC" w14:textId="77777777" w:rsidR="00000000" w:rsidRDefault="007125B5">
            <w:pPr>
              <w:pStyle w:val="a3"/>
              <w:spacing w:before="0" w:beforeAutospacing="0" w:after="0" w:afterAutospacing="0"/>
              <w:rPr>
                <w:color w:val="000000"/>
                <w:sz w:val="20"/>
                <w:szCs w:val="20"/>
              </w:rPr>
            </w:pPr>
            <w:r>
              <w:rPr>
                <w:color w:val="000000"/>
                <w:sz w:val="20"/>
                <w:szCs w:val="20"/>
              </w:rPr>
              <w:t>Measurements &amp; Analysis</w:t>
            </w:r>
          </w:p>
        </w:tc>
        <w:tc>
          <w:tcPr>
            <w:tcW w:w="48" w:type="pct"/>
            <w:shd w:val="clear" w:color="auto" w:fill="FFFFFF"/>
            <w:tcMar>
              <w:top w:w="15" w:type="dxa"/>
              <w:left w:w="0" w:type="dxa"/>
              <w:bottom w:w="0" w:type="dxa"/>
              <w:right w:w="15" w:type="dxa"/>
            </w:tcMar>
            <w:vAlign w:val="bottom"/>
            <w:hideMark/>
          </w:tcPr>
          <w:p w14:paraId="355DFBD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9333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371E6D62" w14:textId="77777777" w:rsidR="00000000" w:rsidRDefault="007125B5">
            <w:pPr>
              <w:pStyle w:val="a3"/>
              <w:spacing w:before="0" w:beforeAutospacing="0" w:after="0" w:afterAutospacing="0"/>
              <w:jc w:val="right"/>
              <w:rPr>
                <w:color w:val="000000"/>
                <w:sz w:val="20"/>
                <w:szCs w:val="20"/>
              </w:rPr>
            </w:pPr>
            <w:r>
              <w:rPr>
                <w:color w:val="000000"/>
                <w:sz w:val="20"/>
                <w:szCs w:val="20"/>
              </w:rPr>
              <w:t>37,036</w:t>
            </w:r>
          </w:p>
        </w:tc>
        <w:tc>
          <w:tcPr>
            <w:tcW w:w="50" w:type="pct"/>
            <w:shd w:val="clear" w:color="auto" w:fill="FFFFFF"/>
            <w:noWrap/>
            <w:tcMar>
              <w:top w:w="15" w:type="dxa"/>
              <w:left w:w="0" w:type="dxa"/>
              <w:bottom w:w="0" w:type="dxa"/>
              <w:right w:w="15" w:type="dxa"/>
            </w:tcMar>
            <w:vAlign w:val="bottom"/>
            <w:hideMark/>
          </w:tcPr>
          <w:p w14:paraId="255719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196CAAC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DFBA2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39F556AA" w14:textId="77777777" w:rsidR="00000000" w:rsidRDefault="007125B5">
            <w:pPr>
              <w:pStyle w:val="a3"/>
              <w:spacing w:before="0" w:beforeAutospacing="0" w:after="0" w:afterAutospacing="0"/>
              <w:jc w:val="right"/>
              <w:rPr>
                <w:color w:val="000000"/>
                <w:sz w:val="20"/>
                <w:szCs w:val="20"/>
              </w:rPr>
            </w:pPr>
            <w:r>
              <w:rPr>
                <w:color w:val="000000"/>
                <w:sz w:val="20"/>
                <w:szCs w:val="20"/>
              </w:rPr>
              <w:t>11,615</w:t>
            </w:r>
          </w:p>
        </w:tc>
        <w:tc>
          <w:tcPr>
            <w:tcW w:w="50" w:type="pct"/>
            <w:shd w:val="clear" w:color="auto" w:fill="FFFFFF"/>
            <w:noWrap/>
            <w:tcMar>
              <w:top w:w="15" w:type="dxa"/>
              <w:left w:w="0" w:type="dxa"/>
              <w:bottom w:w="0" w:type="dxa"/>
              <w:right w:w="15" w:type="dxa"/>
            </w:tcMar>
            <w:vAlign w:val="bottom"/>
            <w:hideMark/>
          </w:tcPr>
          <w:p w14:paraId="140A923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74976B3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F9222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439F1D49" w14:textId="77777777" w:rsidR="00000000" w:rsidRDefault="007125B5">
            <w:pPr>
              <w:pStyle w:val="a3"/>
              <w:spacing w:before="0" w:beforeAutospacing="0" w:after="0" w:afterAutospacing="0"/>
              <w:jc w:val="right"/>
              <w:rPr>
                <w:color w:val="000000"/>
                <w:sz w:val="20"/>
                <w:szCs w:val="20"/>
              </w:rPr>
            </w:pPr>
            <w:r>
              <w:rPr>
                <w:color w:val="000000"/>
                <w:sz w:val="20"/>
                <w:szCs w:val="20"/>
              </w:rPr>
              <w:t>31.4</w:t>
            </w:r>
          </w:p>
        </w:tc>
        <w:tc>
          <w:tcPr>
            <w:tcW w:w="50" w:type="pct"/>
            <w:shd w:val="clear" w:color="auto" w:fill="FFFFFF"/>
            <w:noWrap/>
            <w:tcMar>
              <w:top w:w="15" w:type="dxa"/>
              <w:left w:w="0" w:type="dxa"/>
              <w:bottom w:w="0" w:type="dxa"/>
              <w:right w:w="15" w:type="dxa"/>
            </w:tcMar>
            <w:vAlign w:val="bottom"/>
            <w:hideMark/>
          </w:tcPr>
          <w:p w14:paraId="4A33568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14:paraId="2E8A7C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DD4B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71A6E4E9" w14:textId="77777777" w:rsidR="00000000" w:rsidRDefault="007125B5">
            <w:pPr>
              <w:pStyle w:val="a3"/>
              <w:spacing w:before="0" w:beforeAutospacing="0" w:after="0" w:afterAutospacing="0"/>
              <w:jc w:val="right"/>
              <w:rPr>
                <w:color w:val="000000"/>
                <w:sz w:val="20"/>
                <w:szCs w:val="20"/>
              </w:rPr>
            </w:pPr>
            <w:r>
              <w:rPr>
                <w:color w:val="000000"/>
                <w:sz w:val="20"/>
                <w:szCs w:val="20"/>
              </w:rPr>
              <w:t>34,617</w:t>
            </w:r>
          </w:p>
        </w:tc>
        <w:tc>
          <w:tcPr>
            <w:tcW w:w="50" w:type="pct"/>
            <w:shd w:val="clear" w:color="auto" w:fill="FFFFFF"/>
            <w:noWrap/>
            <w:tcMar>
              <w:top w:w="15" w:type="dxa"/>
              <w:left w:w="0" w:type="dxa"/>
              <w:bottom w:w="0" w:type="dxa"/>
              <w:right w:w="15" w:type="dxa"/>
            </w:tcMar>
            <w:vAlign w:val="bottom"/>
            <w:hideMark/>
          </w:tcPr>
          <w:p w14:paraId="2AA8B6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2566AB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C7529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6FB8309C" w14:textId="77777777" w:rsidR="00000000" w:rsidRDefault="007125B5">
            <w:pPr>
              <w:pStyle w:val="a3"/>
              <w:spacing w:before="0" w:beforeAutospacing="0" w:after="0" w:afterAutospacing="0"/>
              <w:jc w:val="right"/>
              <w:rPr>
                <w:color w:val="000000"/>
                <w:sz w:val="20"/>
                <w:szCs w:val="20"/>
              </w:rPr>
            </w:pPr>
            <w:r>
              <w:rPr>
                <w:color w:val="000000"/>
                <w:sz w:val="20"/>
                <w:szCs w:val="20"/>
              </w:rPr>
              <w:t>7,979</w:t>
            </w:r>
          </w:p>
        </w:tc>
        <w:tc>
          <w:tcPr>
            <w:tcW w:w="50" w:type="pct"/>
            <w:shd w:val="clear" w:color="auto" w:fill="FFFFFF"/>
            <w:noWrap/>
            <w:tcMar>
              <w:top w:w="15" w:type="dxa"/>
              <w:left w:w="0" w:type="dxa"/>
              <w:bottom w:w="0" w:type="dxa"/>
              <w:right w:w="15" w:type="dxa"/>
            </w:tcMar>
            <w:vAlign w:val="bottom"/>
            <w:hideMark/>
          </w:tcPr>
          <w:p w14:paraId="082DD5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6153EB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8CF67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19D94539" w14:textId="77777777" w:rsidR="00000000" w:rsidRDefault="007125B5">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FFFFFF"/>
            <w:noWrap/>
            <w:tcMar>
              <w:top w:w="15" w:type="dxa"/>
              <w:left w:w="0" w:type="dxa"/>
              <w:bottom w:w="0" w:type="dxa"/>
              <w:right w:w="15" w:type="dxa"/>
            </w:tcMar>
            <w:vAlign w:val="bottom"/>
            <w:hideMark/>
          </w:tcPr>
          <w:p w14:paraId="3F416284"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9AA249C" w14:textId="77777777">
        <w:trPr>
          <w:divId w:val="266356963"/>
          <w:jc w:val="center"/>
        </w:trPr>
        <w:tc>
          <w:tcPr>
            <w:tcW w:w="2017" w:type="pct"/>
            <w:shd w:val="clear" w:color="auto" w:fill="CFF0FC"/>
            <w:tcMar>
              <w:top w:w="15" w:type="dxa"/>
              <w:left w:w="0" w:type="dxa"/>
              <w:bottom w:w="0" w:type="dxa"/>
              <w:right w:w="15" w:type="dxa"/>
            </w:tcMar>
            <w:hideMark/>
          </w:tcPr>
          <w:p w14:paraId="59992391" w14:textId="77777777" w:rsidR="00000000" w:rsidRDefault="007125B5">
            <w:pPr>
              <w:pStyle w:val="a3"/>
              <w:spacing w:before="0" w:beforeAutospacing="0" w:after="0" w:afterAutospacing="0"/>
              <w:rPr>
                <w:color w:val="000000"/>
                <w:sz w:val="20"/>
                <w:szCs w:val="20"/>
              </w:rPr>
            </w:pPr>
            <w:r>
              <w:rPr>
                <w:color w:val="000000"/>
                <w:sz w:val="20"/>
                <w:szCs w:val="20"/>
              </w:rPr>
              <w:t>Remediation &amp; Reuse</w:t>
            </w:r>
          </w:p>
        </w:tc>
        <w:tc>
          <w:tcPr>
            <w:tcW w:w="48" w:type="pct"/>
            <w:shd w:val="clear" w:color="auto" w:fill="CFF0FC"/>
            <w:tcMar>
              <w:top w:w="15" w:type="dxa"/>
              <w:left w:w="0" w:type="dxa"/>
              <w:bottom w:w="0" w:type="dxa"/>
              <w:right w:w="15" w:type="dxa"/>
            </w:tcMar>
            <w:vAlign w:val="bottom"/>
            <w:hideMark/>
          </w:tcPr>
          <w:p w14:paraId="62F653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FAEA4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1AFA3561" w14:textId="77777777" w:rsidR="00000000" w:rsidRDefault="007125B5">
            <w:pPr>
              <w:pStyle w:val="a3"/>
              <w:spacing w:before="0" w:beforeAutospacing="0" w:after="0" w:afterAutospacing="0"/>
              <w:jc w:val="right"/>
              <w:rPr>
                <w:color w:val="000000"/>
                <w:sz w:val="20"/>
                <w:szCs w:val="20"/>
              </w:rPr>
            </w:pPr>
            <w:r>
              <w:rPr>
                <w:color w:val="000000"/>
                <w:sz w:val="20"/>
                <w:szCs w:val="20"/>
              </w:rPr>
              <w:t>18,099</w:t>
            </w:r>
          </w:p>
        </w:tc>
        <w:tc>
          <w:tcPr>
            <w:tcW w:w="50" w:type="pct"/>
            <w:shd w:val="clear" w:color="auto" w:fill="CFF0FC"/>
            <w:noWrap/>
            <w:tcMar>
              <w:top w:w="15" w:type="dxa"/>
              <w:left w:w="0" w:type="dxa"/>
              <w:bottom w:w="0" w:type="dxa"/>
              <w:right w:w="15" w:type="dxa"/>
            </w:tcMar>
            <w:vAlign w:val="bottom"/>
            <w:hideMark/>
          </w:tcPr>
          <w:p w14:paraId="0BDE9B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7607736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E3D0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3CCEF95B" w14:textId="77777777" w:rsidR="00000000" w:rsidRDefault="007125B5">
            <w:pPr>
              <w:pStyle w:val="a3"/>
              <w:spacing w:before="0" w:beforeAutospacing="0" w:after="0" w:afterAutospacing="0"/>
              <w:jc w:val="right"/>
              <w:rPr>
                <w:color w:val="000000"/>
                <w:sz w:val="20"/>
                <w:szCs w:val="20"/>
              </w:rPr>
            </w:pPr>
            <w:r>
              <w:rPr>
                <w:color w:val="000000"/>
                <w:sz w:val="20"/>
                <w:szCs w:val="20"/>
              </w:rPr>
              <w:t>2,375</w:t>
            </w:r>
          </w:p>
        </w:tc>
        <w:tc>
          <w:tcPr>
            <w:tcW w:w="50" w:type="pct"/>
            <w:shd w:val="clear" w:color="auto" w:fill="CFF0FC"/>
            <w:noWrap/>
            <w:tcMar>
              <w:top w:w="15" w:type="dxa"/>
              <w:left w:w="0" w:type="dxa"/>
              <w:bottom w:w="0" w:type="dxa"/>
              <w:right w:w="15" w:type="dxa"/>
            </w:tcMar>
            <w:vAlign w:val="bottom"/>
            <w:hideMark/>
          </w:tcPr>
          <w:p w14:paraId="6B40F59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3619AF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27D8D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759DDEE5" w14:textId="77777777" w:rsidR="00000000" w:rsidRDefault="007125B5">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CFF0FC"/>
            <w:noWrap/>
            <w:tcMar>
              <w:top w:w="15" w:type="dxa"/>
              <w:left w:w="0" w:type="dxa"/>
              <w:bottom w:w="0" w:type="dxa"/>
              <w:right w:w="15" w:type="dxa"/>
            </w:tcMar>
            <w:vAlign w:val="bottom"/>
            <w:hideMark/>
          </w:tcPr>
          <w:p w14:paraId="447CF87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0953ED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3D0068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0E96C54E" w14:textId="77777777" w:rsidR="00000000" w:rsidRDefault="007125B5">
            <w:pPr>
              <w:pStyle w:val="a3"/>
              <w:spacing w:before="0" w:beforeAutospacing="0" w:after="0" w:afterAutospacing="0"/>
              <w:jc w:val="right"/>
              <w:rPr>
                <w:color w:val="000000"/>
                <w:sz w:val="20"/>
                <w:szCs w:val="20"/>
              </w:rPr>
            </w:pPr>
            <w:r>
              <w:rPr>
                <w:color w:val="000000"/>
                <w:sz w:val="20"/>
                <w:szCs w:val="20"/>
              </w:rPr>
              <w:t>17,756</w:t>
            </w:r>
          </w:p>
        </w:tc>
        <w:tc>
          <w:tcPr>
            <w:tcW w:w="50" w:type="pct"/>
            <w:shd w:val="clear" w:color="auto" w:fill="CFF0FC"/>
            <w:noWrap/>
            <w:tcMar>
              <w:top w:w="15" w:type="dxa"/>
              <w:left w:w="0" w:type="dxa"/>
              <w:bottom w:w="0" w:type="dxa"/>
              <w:right w:w="15" w:type="dxa"/>
            </w:tcMar>
            <w:vAlign w:val="bottom"/>
            <w:hideMark/>
          </w:tcPr>
          <w:p w14:paraId="491C02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529C89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51701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014528FA" w14:textId="77777777" w:rsidR="00000000" w:rsidRDefault="007125B5">
            <w:pPr>
              <w:pStyle w:val="a3"/>
              <w:spacing w:before="0" w:beforeAutospacing="0" w:after="0" w:afterAutospacing="0"/>
              <w:jc w:val="right"/>
              <w:rPr>
                <w:color w:val="000000"/>
                <w:sz w:val="20"/>
                <w:szCs w:val="20"/>
              </w:rPr>
            </w:pPr>
            <w:r>
              <w:rPr>
                <w:color w:val="000000"/>
                <w:sz w:val="20"/>
                <w:szCs w:val="20"/>
              </w:rPr>
              <w:t>2,399</w:t>
            </w:r>
          </w:p>
        </w:tc>
        <w:tc>
          <w:tcPr>
            <w:tcW w:w="50" w:type="pct"/>
            <w:shd w:val="clear" w:color="auto" w:fill="CFF0FC"/>
            <w:noWrap/>
            <w:tcMar>
              <w:top w:w="15" w:type="dxa"/>
              <w:left w:w="0" w:type="dxa"/>
              <w:bottom w:w="0" w:type="dxa"/>
              <w:right w:w="15" w:type="dxa"/>
            </w:tcMar>
            <w:vAlign w:val="bottom"/>
            <w:hideMark/>
          </w:tcPr>
          <w:p w14:paraId="5541A86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52E6705A" w14:textId="77777777" w:rsidR="00000000" w:rsidRDefault="007125B5">
            <w:pPr>
              <w:pStyle w:val="a3"/>
              <w:spacing w:before="0" w:beforeAutospacing="0" w:after="0" w:afterAutospacing="0"/>
              <w:rPr>
                <w:color w:val="000000"/>
                <w:sz w:val="16"/>
                <w:szCs w:val="16"/>
              </w:rPr>
            </w:pPr>
            <w:r>
              <w:rPr>
                <w:color w:val="000000"/>
                <w:sz w:val="14"/>
                <w:szCs w:val="14"/>
                <w:vertAlign w:val="superscript"/>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71187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26C38889" w14:textId="77777777" w:rsidR="00000000" w:rsidRDefault="007125B5">
            <w:pPr>
              <w:pStyle w:val="a3"/>
              <w:spacing w:before="0" w:beforeAutospacing="0" w:after="0" w:afterAutospacing="0"/>
              <w:jc w:val="right"/>
              <w:rPr>
                <w:color w:val="000000"/>
                <w:sz w:val="20"/>
                <w:szCs w:val="20"/>
              </w:rPr>
            </w:pPr>
            <w:r>
              <w:rPr>
                <w:color w:val="000000"/>
                <w:sz w:val="20"/>
                <w:szCs w:val="20"/>
              </w:rPr>
              <w:t>13.5</w:t>
            </w:r>
          </w:p>
        </w:tc>
        <w:tc>
          <w:tcPr>
            <w:tcW w:w="50" w:type="pct"/>
            <w:shd w:val="clear" w:color="auto" w:fill="CFF0FC"/>
            <w:noWrap/>
            <w:tcMar>
              <w:top w:w="15" w:type="dxa"/>
              <w:left w:w="0" w:type="dxa"/>
              <w:bottom w:w="0" w:type="dxa"/>
              <w:right w:w="15" w:type="dxa"/>
            </w:tcMar>
            <w:vAlign w:val="bottom"/>
            <w:hideMark/>
          </w:tcPr>
          <w:p w14:paraId="3659AF62"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4A8A515" w14:textId="77777777">
        <w:trPr>
          <w:divId w:val="266356963"/>
          <w:jc w:val="center"/>
        </w:trPr>
        <w:tc>
          <w:tcPr>
            <w:tcW w:w="2017" w:type="pct"/>
            <w:shd w:val="clear" w:color="auto" w:fill="FFFFFF"/>
            <w:tcMar>
              <w:top w:w="15" w:type="dxa"/>
              <w:left w:w="0" w:type="dxa"/>
              <w:bottom w:w="0" w:type="dxa"/>
              <w:right w:w="15" w:type="dxa"/>
            </w:tcMar>
            <w:hideMark/>
          </w:tcPr>
          <w:p w14:paraId="7F4B3E9F" w14:textId="77777777" w:rsidR="00000000" w:rsidRDefault="007125B5">
            <w:pPr>
              <w:pStyle w:val="a3"/>
              <w:spacing w:before="0" w:beforeAutospacing="0" w:after="0" w:afterAutospacing="0"/>
              <w:rPr>
                <w:b/>
                <w:bCs/>
                <w:color w:val="000000"/>
                <w:sz w:val="20"/>
                <w:szCs w:val="20"/>
              </w:rPr>
            </w:pPr>
            <w:r>
              <w:rPr>
                <w:b/>
                <w:bCs/>
                <w:color w:val="000000"/>
                <w:sz w:val="20"/>
                <w:szCs w:val="20"/>
              </w:rPr>
              <w:t>Total Operating Segments</w:t>
            </w:r>
          </w:p>
        </w:tc>
        <w:tc>
          <w:tcPr>
            <w:tcW w:w="48" w:type="pct"/>
            <w:shd w:val="clear" w:color="auto" w:fill="FFFFFF"/>
            <w:tcMar>
              <w:top w:w="15" w:type="dxa"/>
              <w:left w:w="0" w:type="dxa"/>
              <w:bottom w:w="0" w:type="dxa"/>
              <w:right w:w="15" w:type="dxa"/>
            </w:tcMar>
            <w:vAlign w:val="bottom"/>
            <w:hideMark/>
          </w:tcPr>
          <w:p w14:paraId="04AE64A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59380F"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C870EA"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73,766</w:t>
            </w:r>
          </w:p>
        </w:tc>
        <w:tc>
          <w:tcPr>
            <w:tcW w:w="50" w:type="pct"/>
            <w:shd w:val="clear" w:color="auto" w:fill="FFFFFF"/>
            <w:noWrap/>
            <w:tcMar>
              <w:top w:w="15" w:type="dxa"/>
              <w:left w:w="0" w:type="dxa"/>
              <w:bottom w:w="0" w:type="dxa"/>
              <w:right w:w="15" w:type="dxa"/>
            </w:tcMar>
            <w:vAlign w:val="bottom"/>
            <w:hideMark/>
          </w:tcPr>
          <w:p w14:paraId="12A09634"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35AF108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19B109"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A95D45"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18,979</w:t>
            </w:r>
          </w:p>
        </w:tc>
        <w:tc>
          <w:tcPr>
            <w:tcW w:w="50" w:type="pct"/>
            <w:shd w:val="clear" w:color="auto" w:fill="FFFFFF"/>
            <w:noWrap/>
            <w:tcMar>
              <w:top w:w="15" w:type="dxa"/>
              <w:left w:w="0" w:type="dxa"/>
              <w:bottom w:w="0" w:type="dxa"/>
              <w:right w:w="15" w:type="dxa"/>
            </w:tcMar>
            <w:vAlign w:val="bottom"/>
            <w:hideMark/>
          </w:tcPr>
          <w:p w14:paraId="786BDFFA"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5D7C77B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08ED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99F6F9" w14:textId="77777777" w:rsidR="00000000" w:rsidRDefault="007125B5">
            <w:pPr>
              <w:pStyle w:val="a3"/>
              <w:spacing w:before="0" w:beforeAutospacing="0" w:after="0" w:afterAutospacing="0"/>
              <w:jc w:val="right"/>
              <w:rPr>
                <w:color w:val="000000"/>
                <w:sz w:val="20"/>
                <w:szCs w:val="20"/>
              </w:rPr>
            </w:pPr>
            <w:r>
              <w:rPr>
                <w:color w:val="000000"/>
                <w:sz w:val="20"/>
                <w:szCs w:val="20"/>
              </w:rPr>
              <w:t>25.7</w:t>
            </w:r>
          </w:p>
        </w:tc>
        <w:tc>
          <w:tcPr>
            <w:tcW w:w="50" w:type="pct"/>
            <w:shd w:val="clear" w:color="auto" w:fill="FFFFFF"/>
            <w:noWrap/>
            <w:tcMar>
              <w:top w:w="15" w:type="dxa"/>
              <w:left w:w="0" w:type="dxa"/>
              <w:bottom w:w="0" w:type="dxa"/>
              <w:right w:w="15" w:type="dxa"/>
            </w:tcMar>
            <w:vAlign w:val="bottom"/>
            <w:hideMark/>
          </w:tcPr>
          <w:p w14:paraId="5DA4976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14:paraId="0E52433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EA1A5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00F7F0"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57,401</w:t>
            </w:r>
          </w:p>
        </w:tc>
        <w:tc>
          <w:tcPr>
            <w:tcW w:w="50" w:type="pct"/>
            <w:shd w:val="clear" w:color="auto" w:fill="FFFFFF"/>
            <w:noWrap/>
            <w:tcMar>
              <w:top w:w="15" w:type="dxa"/>
              <w:left w:w="0" w:type="dxa"/>
              <w:bottom w:w="0" w:type="dxa"/>
              <w:right w:w="15" w:type="dxa"/>
            </w:tcMar>
            <w:vAlign w:val="bottom"/>
            <w:hideMark/>
          </w:tcPr>
          <w:p w14:paraId="5434697C"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79BF95D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E3F9C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F20243"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12,380</w:t>
            </w:r>
          </w:p>
        </w:tc>
        <w:tc>
          <w:tcPr>
            <w:tcW w:w="50" w:type="pct"/>
            <w:shd w:val="clear" w:color="auto" w:fill="FFFFFF"/>
            <w:noWrap/>
            <w:tcMar>
              <w:top w:w="15" w:type="dxa"/>
              <w:left w:w="0" w:type="dxa"/>
              <w:bottom w:w="0" w:type="dxa"/>
              <w:right w:w="15" w:type="dxa"/>
            </w:tcMar>
            <w:vAlign w:val="bottom"/>
            <w:hideMark/>
          </w:tcPr>
          <w:p w14:paraId="404D9C4E"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7C723F9D" w14:textId="77777777" w:rsidR="00000000" w:rsidRDefault="007125B5">
            <w:pPr>
              <w:pStyle w:val="a3"/>
              <w:spacing w:before="0" w:beforeAutospacing="0" w:after="0" w:afterAutospacing="0"/>
              <w:rPr>
                <w:color w:val="000000"/>
                <w:sz w:val="16"/>
                <w:szCs w:val="16"/>
              </w:rPr>
            </w:pPr>
            <w:r>
              <w:rPr>
                <w:color w:val="000000"/>
                <w:sz w:val="14"/>
                <w:szCs w:val="14"/>
                <w:vertAlign w:val="superscript"/>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FF5DB9"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BB6D6D"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21.6</w:t>
            </w:r>
          </w:p>
        </w:tc>
        <w:tc>
          <w:tcPr>
            <w:tcW w:w="50" w:type="pct"/>
            <w:shd w:val="clear" w:color="auto" w:fill="FFFFFF"/>
            <w:noWrap/>
            <w:tcMar>
              <w:top w:w="15" w:type="dxa"/>
              <w:left w:w="0" w:type="dxa"/>
              <w:bottom w:w="0" w:type="dxa"/>
              <w:right w:w="15" w:type="dxa"/>
            </w:tcMar>
            <w:vAlign w:val="bottom"/>
            <w:hideMark/>
          </w:tcPr>
          <w:p w14:paraId="6161EC07"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5B046718" w14:textId="77777777">
        <w:trPr>
          <w:divId w:val="266356963"/>
          <w:jc w:val="center"/>
        </w:trPr>
        <w:tc>
          <w:tcPr>
            <w:tcW w:w="2017" w:type="pct"/>
            <w:shd w:val="clear" w:color="auto" w:fill="CFF0FC"/>
            <w:tcMar>
              <w:top w:w="15" w:type="dxa"/>
              <w:left w:w="0" w:type="dxa"/>
              <w:bottom w:w="0" w:type="dxa"/>
              <w:right w:w="15" w:type="dxa"/>
            </w:tcMar>
            <w:hideMark/>
          </w:tcPr>
          <w:p w14:paraId="54D1D69E" w14:textId="77777777" w:rsidR="00000000" w:rsidRDefault="007125B5">
            <w:pPr>
              <w:pStyle w:val="a3"/>
              <w:spacing w:before="0" w:beforeAutospacing="0" w:after="0" w:afterAutospacing="0"/>
              <w:rPr>
                <w:color w:val="000000"/>
                <w:sz w:val="20"/>
                <w:szCs w:val="20"/>
              </w:rPr>
            </w:pPr>
            <w:r>
              <w:rPr>
                <w:color w:val="000000"/>
                <w:sz w:val="20"/>
                <w:szCs w:val="20"/>
              </w:rPr>
              <w:t>Corporate and Other</w:t>
            </w:r>
          </w:p>
        </w:tc>
        <w:tc>
          <w:tcPr>
            <w:tcW w:w="48" w:type="pct"/>
            <w:shd w:val="clear" w:color="auto" w:fill="CFF0FC"/>
            <w:tcMar>
              <w:top w:w="15" w:type="dxa"/>
              <w:left w:w="0" w:type="dxa"/>
              <w:bottom w:w="0" w:type="dxa"/>
              <w:right w:w="15" w:type="dxa"/>
            </w:tcMar>
            <w:vAlign w:val="bottom"/>
            <w:hideMark/>
          </w:tcPr>
          <w:p w14:paraId="112349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1D63ED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633497F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B7AA5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680F89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7160E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6440C4A6" w14:textId="77777777" w:rsidR="00000000" w:rsidRDefault="007125B5">
            <w:pPr>
              <w:pStyle w:val="a3"/>
              <w:spacing w:before="0" w:beforeAutospacing="0" w:after="0" w:afterAutospacing="0"/>
              <w:jc w:val="right"/>
              <w:rPr>
                <w:color w:val="000000"/>
                <w:sz w:val="20"/>
                <w:szCs w:val="20"/>
              </w:rPr>
            </w:pPr>
            <w:r>
              <w:rPr>
                <w:color w:val="000000"/>
                <w:sz w:val="20"/>
                <w:szCs w:val="20"/>
              </w:rPr>
              <w:t>(5,084</w:t>
            </w:r>
          </w:p>
        </w:tc>
        <w:tc>
          <w:tcPr>
            <w:tcW w:w="50" w:type="pct"/>
            <w:shd w:val="clear" w:color="auto" w:fill="CFF0FC"/>
            <w:noWrap/>
            <w:tcMar>
              <w:top w:w="15" w:type="dxa"/>
              <w:left w:w="0" w:type="dxa"/>
              <w:bottom w:w="0" w:type="dxa"/>
              <w:right w:w="15" w:type="dxa"/>
            </w:tcMar>
            <w:vAlign w:val="bottom"/>
            <w:hideMark/>
          </w:tcPr>
          <w:p w14:paraId="23C4F989"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56A5BF7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14:paraId="2FAEB84F" w14:textId="77777777" w:rsidR="00000000" w:rsidRDefault="007125B5">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14:paraId="5CE1692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4E8B7D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86D53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7517715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63CDC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52D932F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184FD0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15EAEFF3" w14:textId="77777777" w:rsidR="00000000" w:rsidRDefault="007125B5">
            <w:pPr>
              <w:pStyle w:val="a3"/>
              <w:spacing w:before="0" w:beforeAutospacing="0" w:after="0" w:afterAutospacing="0"/>
              <w:jc w:val="right"/>
              <w:rPr>
                <w:color w:val="000000"/>
                <w:sz w:val="20"/>
                <w:szCs w:val="20"/>
              </w:rPr>
            </w:pPr>
            <w:r>
              <w:rPr>
                <w:color w:val="000000"/>
                <w:sz w:val="20"/>
                <w:szCs w:val="20"/>
              </w:rPr>
              <w:t>(3,842</w:t>
            </w:r>
          </w:p>
        </w:tc>
        <w:tc>
          <w:tcPr>
            <w:tcW w:w="50" w:type="pct"/>
            <w:shd w:val="clear" w:color="auto" w:fill="CFF0FC"/>
            <w:noWrap/>
            <w:tcMar>
              <w:top w:w="15" w:type="dxa"/>
              <w:left w:w="0" w:type="dxa"/>
              <w:bottom w:w="0" w:type="dxa"/>
              <w:right w:w="15" w:type="dxa"/>
            </w:tcMar>
            <w:vAlign w:val="bottom"/>
            <w:hideMark/>
          </w:tcPr>
          <w:p w14:paraId="7103F5F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400124B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14:paraId="06EB05C2" w14:textId="77777777" w:rsidR="00000000" w:rsidRDefault="007125B5">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14:paraId="0148A591"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52F3DF22" w14:textId="77777777" w:rsidR="00000000" w:rsidRDefault="007125B5">
      <w:pPr>
        <w:pStyle w:val="a3"/>
        <w:pBdr>
          <w:bottom w:val="single" w:sz="6" w:space="0" w:color="000000"/>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783D24FF" w14:textId="77777777">
        <w:tc>
          <w:tcPr>
            <w:tcW w:w="227" w:type="pct"/>
            <w:noWrap/>
            <w:hideMark/>
          </w:tcPr>
          <w:p w14:paraId="70C3F15E" w14:textId="77777777" w:rsidR="00000000" w:rsidRDefault="007125B5">
            <w:pPr>
              <w:pStyle w:val="a3"/>
              <w:spacing w:before="40" w:beforeAutospacing="0" w:after="0" w:afterAutospacing="0"/>
              <w:rPr>
                <w:sz w:val="20"/>
                <w:szCs w:val="20"/>
              </w:rPr>
            </w:pPr>
            <w:r>
              <w:rPr>
                <w:sz w:val="20"/>
                <w:szCs w:val="20"/>
              </w:rPr>
              <w:t>(1)</w:t>
            </w:r>
          </w:p>
        </w:tc>
        <w:tc>
          <w:tcPr>
            <w:tcW w:w="0" w:type="auto"/>
            <w:hideMark/>
          </w:tcPr>
          <w:p w14:paraId="280F9112" w14:textId="77777777" w:rsidR="00000000" w:rsidRDefault="007125B5">
            <w:pPr>
              <w:pStyle w:val="a3"/>
              <w:spacing w:before="40" w:beforeAutospacing="0" w:after="0" w:afterAutospacing="0"/>
              <w:rPr>
                <w:sz w:val="20"/>
                <w:szCs w:val="20"/>
              </w:rPr>
            </w:pPr>
            <w:r>
              <w:rPr>
                <w:sz w:val="20"/>
                <w:szCs w:val="20"/>
              </w:rPr>
              <w:t>For purposes of evaluating segment profit</w:t>
            </w:r>
            <w:r>
              <w:rPr>
                <w:sz w:val="20"/>
                <w:szCs w:val="20"/>
              </w:rPr>
              <w:t>, the Company’s chief operating decision maker reviews Adjusted EBITDA as a basis for making the decisions to allocate resources and assess performance. See Note 20 to our unaudited condensed consolidated financial statements.</w:t>
            </w:r>
          </w:p>
        </w:tc>
      </w:tr>
    </w:tbl>
    <w:p w14:paraId="5CC13316"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32AE2D74" w14:textId="77777777">
        <w:tc>
          <w:tcPr>
            <w:tcW w:w="227" w:type="pct"/>
            <w:noWrap/>
            <w:hideMark/>
          </w:tcPr>
          <w:p w14:paraId="7AD1B4EC" w14:textId="77777777" w:rsidR="00000000" w:rsidRDefault="007125B5">
            <w:pPr>
              <w:pStyle w:val="a3"/>
              <w:spacing w:before="0" w:beforeAutospacing="0" w:after="0" w:afterAutospacing="0"/>
              <w:rPr>
                <w:sz w:val="20"/>
                <w:szCs w:val="20"/>
              </w:rPr>
            </w:pPr>
            <w:r>
              <w:rPr>
                <w:sz w:val="20"/>
                <w:szCs w:val="20"/>
              </w:rPr>
              <w:t>(2)</w:t>
            </w:r>
          </w:p>
        </w:tc>
        <w:tc>
          <w:tcPr>
            <w:tcW w:w="0" w:type="auto"/>
            <w:hideMark/>
          </w:tcPr>
          <w:p w14:paraId="5A16AB15" w14:textId="77777777" w:rsidR="00000000" w:rsidRDefault="007125B5">
            <w:pPr>
              <w:pStyle w:val="a3"/>
              <w:spacing w:before="0" w:beforeAutospacing="0" w:after="0" w:afterAutospacing="0"/>
              <w:rPr>
                <w:sz w:val="20"/>
                <w:szCs w:val="20"/>
              </w:rPr>
            </w:pPr>
            <w:r>
              <w:rPr>
                <w:sz w:val="20"/>
                <w:szCs w:val="20"/>
              </w:rPr>
              <w:t>Represents Adjusted EBITDA as a percentage of revenues.</w:t>
            </w:r>
          </w:p>
        </w:tc>
      </w:tr>
    </w:tbl>
    <w:p w14:paraId="5F129966" w14:textId="77777777" w:rsidR="00000000" w:rsidRDefault="007125B5">
      <w:pPr>
        <w:pStyle w:val="a3"/>
        <w:spacing w:before="240" w:beforeAutospacing="0" w:after="0" w:afterAutospacing="0"/>
        <w:jc w:val="center"/>
        <w:rPr>
          <w:sz w:val="20"/>
          <w:szCs w:val="20"/>
        </w:rPr>
      </w:pPr>
      <w:r>
        <w:rPr>
          <w:sz w:val="20"/>
          <w:szCs w:val="20"/>
        </w:rPr>
        <w:t>36</w:t>
      </w:r>
    </w:p>
    <w:p w14:paraId="6793CB39" w14:textId="77777777" w:rsidR="00000000" w:rsidRDefault="007125B5">
      <w:pPr>
        <w:rPr>
          <w:rFonts w:eastAsia="Times New Roman"/>
        </w:rPr>
      </w:pPr>
      <w:r>
        <w:rPr>
          <w:rFonts w:eastAsia="Times New Roman"/>
        </w:rPr>
        <w:pict w14:anchorId="5EE1715D">
          <v:rect id="_x0000_i1062" style="width:415.3pt;height:1.5pt" o:hralign="center" o:hrstd="t" o:hr="t" fillcolor="#a0a0a0" stroked="f"/>
        </w:pict>
      </w:r>
    </w:p>
    <w:p w14:paraId="2BE83C80" w14:textId="77777777" w:rsidR="00000000" w:rsidRDefault="007125B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3423A0DB" w14:textId="77777777">
        <w:tc>
          <w:tcPr>
            <w:tcW w:w="227" w:type="pct"/>
            <w:noWrap/>
            <w:hideMark/>
          </w:tcPr>
          <w:p w14:paraId="0765B878" w14:textId="77777777" w:rsidR="00000000" w:rsidRDefault="007125B5">
            <w:pPr>
              <w:pStyle w:val="a3"/>
              <w:spacing w:before="0" w:beforeAutospacing="0" w:after="0" w:afterAutospacing="0"/>
              <w:rPr>
                <w:sz w:val="20"/>
                <w:szCs w:val="20"/>
              </w:rPr>
            </w:pPr>
            <w:r>
              <w:rPr>
                <w:sz w:val="20"/>
                <w:szCs w:val="20"/>
              </w:rPr>
              <w:t>(3)</w:t>
            </w:r>
          </w:p>
        </w:tc>
        <w:tc>
          <w:tcPr>
            <w:tcW w:w="0" w:type="auto"/>
            <w:hideMark/>
          </w:tcPr>
          <w:p w14:paraId="64628F62" w14:textId="77777777" w:rsidR="00000000" w:rsidRDefault="007125B5">
            <w:pPr>
              <w:pStyle w:val="a3"/>
              <w:spacing w:before="0" w:beforeAutospacing="0" w:after="0" w:afterAutospacing="0"/>
              <w:rPr>
                <w:sz w:val="20"/>
                <w:szCs w:val="20"/>
              </w:rPr>
            </w:pPr>
            <w:bookmarkStart w:id="59" w:name="_AEIOULastRenderedPageBreakAEIOU39"/>
            <w:bookmarkEnd w:id="59"/>
            <w:r>
              <w:rPr>
                <w:sz w:val="20"/>
                <w:szCs w:val="20"/>
              </w:rPr>
              <w:t xml:space="preserve">Aggregate amount does not foot to consolidated amount disclosed elsewhere in this filing due to an adjustment at the consolidated level to exclude earnings related to the Discontinued Service Lines.  See “Non-GAAP </w:t>
            </w:r>
            <w:r>
              <w:rPr>
                <w:sz w:val="20"/>
                <w:szCs w:val="20"/>
              </w:rPr>
              <w:t>Financial Information” and Note 20 to our unaudited condensed consolidated financial statements.</w:t>
            </w:r>
          </w:p>
        </w:tc>
      </w:tr>
    </w:tbl>
    <w:p w14:paraId="55DECDDF"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Revenues</w:t>
      </w:r>
    </w:p>
    <w:p w14:paraId="5F8CB575"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revenues for the three months ended June 30, 2020 were $18.6 million, compared to $5.0 million for the th</w:t>
      </w:r>
      <w:r>
        <w:rPr>
          <w:color w:val="000000"/>
          <w:sz w:val="20"/>
          <w:szCs w:val="20"/>
        </w:rPr>
        <w:t>ree months ended June 30, 2019. The increase was driven by the acquisition of CTEH in the second quarter of 2020, which expanded our product portfolio and our scientific and technical advisory services footprint.</w:t>
      </w:r>
    </w:p>
    <w:p w14:paraId="341A345A"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Measurement and Analysis segment revenues f</w:t>
      </w:r>
      <w:r>
        <w:rPr>
          <w:color w:val="000000"/>
          <w:sz w:val="20"/>
          <w:szCs w:val="20"/>
        </w:rPr>
        <w:t>or the three months ended June 30, 2020 were $37.0 million, an increase of $2.4 million or 7.0% compared to revenues for the three months ended June 30, 2019 of $34.6 million. The increase was primarily driven by acquisitions completed at the end of, and s</w:t>
      </w:r>
      <w:r>
        <w:rPr>
          <w:color w:val="000000"/>
          <w:sz w:val="20"/>
          <w:szCs w:val="20"/>
        </w:rPr>
        <w:t>ubsequent to, the second quarter of 2019 which contributed $2.1 million to revenues in the second quarter of 2020, as well as organic growth excluding the impact of the Discontinued Services Lines. The increase was partially offset by a $1.0 million declin</w:t>
      </w:r>
      <w:r>
        <w:rPr>
          <w:color w:val="000000"/>
          <w:sz w:val="20"/>
          <w:szCs w:val="20"/>
        </w:rPr>
        <w:t>e in revenues from Discontinued Service Lines. Revenues from Discontinued Service Lines in the Measurement and Analysis segment were $0.9 million and $1.9 million in the three months ended June 30, 2020 and June 30, 2019, respectively.</w:t>
      </w:r>
    </w:p>
    <w:p w14:paraId="6C573B48"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Remediation and Reus</w:t>
      </w:r>
      <w:r>
        <w:rPr>
          <w:color w:val="000000"/>
          <w:sz w:val="20"/>
          <w:szCs w:val="20"/>
        </w:rPr>
        <w:t>e segment revenues for the three months ended June 30, 2020 were $18.1 million, an increase of $0.3 million or 1.9% compared to revenues for the three months ended June 30, 2019 of $17.8 million. The increase was driven by acquisitions subsequent to the se</w:t>
      </w:r>
      <w:r>
        <w:rPr>
          <w:color w:val="000000"/>
          <w:sz w:val="20"/>
          <w:szCs w:val="20"/>
        </w:rPr>
        <w:t>cond quarter of 2019, which contributed $3.7 million to revenues in the second quarter of 2020, partially offset by a $3.5 million decline in revenues from Discontinued Service Lines. Revenues from Discontinued Service Lines were $0.4 million and $3.9 mill</w:t>
      </w:r>
      <w:r>
        <w:rPr>
          <w:color w:val="000000"/>
          <w:sz w:val="20"/>
          <w:szCs w:val="20"/>
        </w:rPr>
        <w:t>ion in the three months ended June 30, 2020 and June 30, 2019, respectively.</w:t>
      </w:r>
    </w:p>
    <w:p w14:paraId="698A2A25"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Adjusted EBITDA</w:t>
      </w:r>
    </w:p>
    <w:p w14:paraId="747FCA58"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Adjusted EBITDA was $5.0 </w:t>
      </w:r>
      <w:r>
        <w:rPr>
          <w:color w:val="000000"/>
          <w:sz w:val="20"/>
          <w:szCs w:val="20"/>
        </w:rPr>
        <w:t>million for the three months ended June 30, 2020, compared to $2.0 million for the three months ended June 30, 2019. For the three months ended June 30, 2020 and June 30, 2019, Adjusted EBITDA margin was 26.8% and 39.8%, respectively. The increase in Adjus</w:t>
      </w:r>
      <w:r>
        <w:rPr>
          <w:color w:val="000000"/>
          <w:sz w:val="20"/>
          <w:szCs w:val="20"/>
        </w:rPr>
        <w:t>ted EBITDA and the lower Adjusted EBITDA margin was primarily a result of the acquisition of CTEH in the second quarter of 2020, which typically operates at lower margins than our legacy segment business.</w:t>
      </w:r>
    </w:p>
    <w:p w14:paraId="65828A4D"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Measurement and Analysis segment Adjusted EBITDA fo</w:t>
      </w:r>
      <w:r>
        <w:rPr>
          <w:color w:val="000000"/>
          <w:sz w:val="20"/>
          <w:szCs w:val="20"/>
        </w:rPr>
        <w:t>r the three months ended June 30, 2020 was $11.6 million, an increase of $3.6 million compared to Adjusted EBITDA for the three months ended June 30, 2019 of $8.0 million. For the three months ended June 30, 2020 Adjusted EBITDA margin was 31.4% compared t</w:t>
      </w:r>
      <w:r>
        <w:rPr>
          <w:color w:val="000000"/>
          <w:sz w:val="20"/>
          <w:szCs w:val="20"/>
        </w:rPr>
        <w:t>o 23.0% in the prior year. The improvement in Adjusted EBITDA and Adjusted EBITDA margin was primarily as a result of higher revenues, favorable business mix and temporary cost mitigation initiatives taken in the second quarter of 2020 in response to COVID</w:t>
      </w:r>
      <w:r>
        <w:rPr>
          <w:color w:val="000000"/>
          <w:sz w:val="20"/>
          <w:szCs w:val="20"/>
        </w:rPr>
        <w:t>-19.</w:t>
      </w:r>
    </w:p>
    <w:p w14:paraId="5C00A16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Remediation and Reuse Adjusted EBITDA was relatively flat at $2.4 million for the three months ended June 30, 2020 and June 30, 2019. For the three months ended June 30, 2020 Adjusted EBITDA margin was 13.1% compared to 13.5% during the six months end</w:t>
      </w:r>
      <w:r>
        <w:rPr>
          <w:color w:val="000000"/>
          <w:sz w:val="20"/>
          <w:szCs w:val="20"/>
        </w:rPr>
        <w:t>ed June 30, 2019. The decrease in Adjusted EBITDA margin was a result of higher fixed costs in anticipation of growth and geographic expansion, as well as earnings from Discontinued Service Lines in the prior year of $0.5 million.</w:t>
      </w:r>
    </w:p>
    <w:p w14:paraId="1F3C1EA5"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Corporate and other costs</w:t>
      </w:r>
      <w:r>
        <w:rPr>
          <w:color w:val="000000"/>
          <w:sz w:val="20"/>
          <w:szCs w:val="20"/>
        </w:rPr>
        <w:t xml:space="preserve"> were $5.1 million, or 6.9% of revenues, for the three months ended June 30, 2020 compared to $3.8 million, or 6.7% of revenues, for the three months ended June 30, 2019. The cost increase was driven by head count additions in sales and marketing, human re</w:t>
      </w:r>
      <w:r>
        <w:rPr>
          <w:color w:val="000000"/>
          <w:sz w:val="20"/>
          <w:szCs w:val="20"/>
        </w:rPr>
        <w:t xml:space="preserve">sources, information technology, safety and finance made in 2019 subsequent to the second quarter to support higher anticipated revenues. </w:t>
      </w:r>
    </w:p>
    <w:p w14:paraId="607064F3" w14:textId="77777777" w:rsidR="00000000" w:rsidRDefault="007125B5">
      <w:pPr>
        <w:pStyle w:val="a3"/>
        <w:spacing w:before="240" w:beforeAutospacing="0" w:after="0" w:afterAutospacing="0"/>
        <w:jc w:val="center"/>
        <w:rPr>
          <w:sz w:val="20"/>
          <w:szCs w:val="20"/>
        </w:rPr>
      </w:pPr>
      <w:r>
        <w:rPr>
          <w:sz w:val="20"/>
          <w:szCs w:val="20"/>
        </w:rPr>
        <w:t>37</w:t>
      </w:r>
    </w:p>
    <w:p w14:paraId="52DDA348" w14:textId="77777777" w:rsidR="00000000" w:rsidRDefault="007125B5">
      <w:pPr>
        <w:rPr>
          <w:rFonts w:eastAsia="Times New Roman"/>
        </w:rPr>
      </w:pPr>
      <w:r>
        <w:rPr>
          <w:rFonts w:eastAsia="Times New Roman"/>
        </w:rPr>
        <w:pict w14:anchorId="09C6E889">
          <v:rect id="_x0000_i1063" style="width:415.3pt;height:1.5pt" o:hralign="center" o:hrstd="t" o:hr="t" fillcolor="#a0a0a0" stroked="f"/>
        </w:pict>
      </w:r>
    </w:p>
    <w:p w14:paraId="1BCDD54E" w14:textId="77777777" w:rsidR="00000000" w:rsidRDefault="007125B5">
      <w:pPr>
        <w:pStyle w:val="a3"/>
        <w:spacing w:before="0" w:beforeAutospacing="0" w:after="0" w:afterAutospacing="0"/>
        <w:rPr>
          <w:sz w:val="20"/>
          <w:szCs w:val="20"/>
        </w:rPr>
      </w:pPr>
      <w:r>
        <w:rPr>
          <w:sz w:val="20"/>
          <w:szCs w:val="20"/>
        </w:rPr>
        <w:t> </w:t>
      </w:r>
    </w:p>
    <w:p w14:paraId="427CC423" w14:textId="77777777" w:rsidR="00000000" w:rsidRDefault="007125B5">
      <w:pPr>
        <w:pStyle w:val="a3"/>
        <w:shd w:val="clear" w:color="auto" w:fill="FFFFFF"/>
        <w:spacing w:before="360" w:beforeAutospacing="0" w:after="0" w:afterAutospacing="0"/>
        <w:rPr>
          <w:b/>
          <w:bCs/>
          <w:i/>
          <w:iCs/>
          <w:color w:val="000000"/>
          <w:sz w:val="20"/>
          <w:szCs w:val="20"/>
        </w:rPr>
      </w:pPr>
      <w:bookmarkStart w:id="60" w:name="_AEIOULastRenderedPageBreakAEIOU40"/>
      <w:bookmarkEnd w:id="60"/>
      <w:r>
        <w:rPr>
          <w:b/>
          <w:bCs/>
          <w:i/>
          <w:iCs/>
          <w:color w:val="000000"/>
          <w:sz w:val="20"/>
          <w:szCs w:val="20"/>
        </w:rPr>
        <w:t>Six Months Ended June 30, 2020 Compared to the Six Months Ended June 30, 2019</w:t>
      </w:r>
    </w:p>
    <w:p w14:paraId="477D5266"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760"/>
        <w:gridCol w:w="65"/>
        <w:gridCol w:w="115"/>
        <w:gridCol w:w="665"/>
        <w:gridCol w:w="65"/>
        <w:gridCol w:w="65"/>
        <w:gridCol w:w="115"/>
        <w:gridCol w:w="632"/>
        <w:gridCol w:w="82"/>
        <w:gridCol w:w="65"/>
        <w:gridCol w:w="80"/>
        <w:gridCol w:w="558"/>
        <w:gridCol w:w="215"/>
        <w:gridCol w:w="65"/>
        <w:gridCol w:w="115"/>
        <w:gridCol w:w="665"/>
        <w:gridCol w:w="65"/>
        <w:gridCol w:w="65"/>
        <w:gridCol w:w="116"/>
        <w:gridCol w:w="733"/>
        <w:gridCol w:w="82"/>
        <w:gridCol w:w="65"/>
        <w:gridCol w:w="80"/>
        <w:gridCol w:w="558"/>
        <w:gridCol w:w="215"/>
      </w:tblGrid>
      <w:tr w:rsidR="00000000" w14:paraId="36463EE9" w14:textId="77777777">
        <w:trPr>
          <w:divId w:val="2088382381"/>
          <w:jc w:val="center"/>
        </w:trPr>
        <w:tc>
          <w:tcPr>
            <w:tcW w:w="2017" w:type="pct"/>
            <w:shd w:val="clear" w:color="auto" w:fill="FFFFFF"/>
            <w:tcMar>
              <w:top w:w="15" w:type="dxa"/>
              <w:left w:w="0" w:type="dxa"/>
              <w:bottom w:w="0" w:type="dxa"/>
              <w:right w:w="15" w:type="dxa"/>
            </w:tcMar>
            <w:vAlign w:val="bottom"/>
            <w:hideMark/>
          </w:tcPr>
          <w:p w14:paraId="2DCEEB2C" w14:textId="77777777" w:rsidR="00000000" w:rsidRDefault="007125B5">
            <w:pPr>
              <w:pStyle w:val="a3"/>
              <w:spacing w:before="0" w:beforeAutospacing="0" w:after="0" w:afterAutospacing="0"/>
              <w:jc w:val="center"/>
              <w:rPr>
                <w:sz w:val="20"/>
                <w:szCs w:val="20"/>
              </w:rPr>
            </w:pPr>
            <w:r>
              <w:rPr>
                <w:sz w:val="20"/>
                <w:szCs w:val="20"/>
              </w:rPr>
              <w:t> </w:t>
            </w:r>
          </w:p>
        </w:tc>
        <w:tc>
          <w:tcPr>
            <w:tcW w:w="48" w:type="pct"/>
            <w:shd w:val="clear" w:color="auto" w:fill="FFFFFF"/>
            <w:tcMar>
              <w:top w:w="15" w:type="dxa"/>
              <w:left w:w="0" w:type="dxa"/>
              <w:bottom w:w="0" w:type="dxa"/>
              <w:right w:w="15" w:type="dxa"/>
            </w:tcMar>
            <w:vAlign w:val="bottom"/>
            <w:hideMark/>
          </w:tcPr>
          <w:p w14:paraId="7620C1D6"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2883" w:type="pct"/>
            <w:gridSpan w:val="22"/>
            <w:tcBorders>
              <w:bottom w:val="single" w:sz="6" w:space="0" w:color="000000"/>
            </w:tcBorders>
            <w:shd w:val="clear" w:color="auto" w:fill="FFFFFF"/>
            <w:tcMar>
              <w:top w:w="15" w:type="dxa"/>
              <w:left w:w="0" w:type="dxa"/>
              <w:bottom w:w="0" w:type="dxa"/>
              <w:right w:w="15" w:type="dxa"/>
            </w:tcMar>
            <w:vAlign w:val="bottom"/>
            <w:hideMark/>
          </w:tcPr>
          <w:p w14:paraId="61B91A3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152E8F90"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73FF8C6A" w14:textId="77777777">
        <w:trPr>
          <w:divId w:val="2088382381"/>
          <w:jc w:val="center"/>
        </w:trPr>
        <w:tc>
          <w:tcPr>
            <w:tcW w:w="2017" w:type="pct"/>
            <w:shd w:val="clear" w:color="auto" w:fill="FFFFFF"/>
            <w:tcMar>
              <w:top w:w="15" w:type="dxa"/>
              <w:left w:w="0" w:type="dxa"/>
              <w:bottom w:w="0" w:type="dxa"/>
              <w:right w:w="15" w:type="dxa"/>
            </w:tcMar>
            <w:vAlign w:val="bottom"/>
            <w:hideMark/>
          </w:tcPr>
          <w:p w14:paraId="3FE841F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14:paraId="4C369776"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139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5D6CB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C1FD8E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7CD119DD"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139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DA2E7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9357CB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49A1227C" w14:textId="77777777">
        <w:trPr>
          <w:divId w:val="2088382381"/>
          <w:jc w:val="center"/>
        </w:trPr>
        <w:tc>
          <w:tcPr>
            <w:tcW w:w="2017" w:type="pct"/>
            <w:tcBorders>
              <w:bottom w:val="single" w:sz="6" w:space="0" w:color="000000"/>
            </w:tcBorders>
            <w:shd w:val="clear" w:color="auto" w:fill="FFFFFF"/>
            <w:tcMar>
              <w:top w:w="15" w:type="dxa"/>
              <w:left w:w="0" w:type="dxa"/>
              <w:bottom w:w="0" w:type="dxa"/>
              <w:right w:w="15" w:type="dxa"/>
            </w:tcMar>
            <w:vAlign w:val="bottom"/>
            <w:hideMark/>
          </w:tcPr>
          <w:p w14:paraId="2DBAC754" w14:textId="77777777" w:rsidR="00000000" w:rsidRDefault="007125B5">
            <w:pPr>
              <w:pStyle w:val="a3"/>
              <w:spacing w:before="0" w:beforeAutospacing="0" w:after="0" w:afterAutospacing="0"/>
              <w:rPr>
                <w:b/>
                <w:bCs/>
                <w:color w:val="000000"/>
                <w:sz w:val="16"/>
                <w:szCs w:val="16"/>
              </w:rPr>
            </w:pPr>
            <w:r>
              <w:rPr>
                <w:b/>
                <w:bCs/>
                <w:color w:val="000000"/>
                <w:sz w:val="16"/>
                <w:szCs w:val="16"/>
              </w:rPr>
              <w:t>(in thousands)</w:t>
            </w:r>
          </w:p>
        </w:tc>
        <w:tc>
          <w:tcPr>
            <w:tcW w:w="48" w:type="pct"/>
            <w:shd w:val="clear" w:color="auto" w:fill="FFFFFF"/>
            <w:tcMar>
              <w:top w:w="15" w:type="dxa"/>
              <w:left w:w="0" w:type="dxa"/>
              <w:bottom w:w="0" w:type="dxa"/>
              <w:right w:w="15" w:type="dxa"/>
            </w:tcMar>
            <w:vAlign w:val="bottom"/>
            <w:hideMark/>
          </w:tcPr>
          <w:p w14:paraId="717DAF10"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B1F8F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2FA8006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5B245AF0"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C19C2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4A8F69E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14:paraId="7ADE29B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37F436AA"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E1ED1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2C51D40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p w14:paraId="5A3F619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14:paraId="4C8EAF6C"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8" w:type="pct"/>
            <w:shd w:val="clear" w:color="auto" w:fill="FFFFFF"/>
            <w:tcMar>
              <w:top w:w="15" w:type="dxa"/>
              <w:left w:w="0" w:type="dxa"/>
              <w:bottom w:w="0" w:type="dxa"/>
              <w:right w:w="15" w:type="dxa"/>
            </w:tcMar>
            <w:vAlign w:val="bottom"/>
            <w:hideMark/>
          </w:tcPr>
          <w:p w14:paraId="18ECA179"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FB4D4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14:paraId="6BCFE6EB"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21DAAE93"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67F1C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77B337DB"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r>
              <w:rPr>
                <w:b/>
                <w:bCs/>
                <w:color w:val="000000"/>
                <w:sz w:val="14"/>
                <w:szCs w:val="14"/>
                <w:vertAlign w:val="superscript"/>
              </w:rPr>
              <w:t>(1)(3)</w:t>
            </w:r>
          </w:p>
        </w:tc>
        <w:tc>
          <w:tcPr>
            <w:tcW w:w="50" w:type="pct"/>
            <w:shd w:val="clear" w:color="auto" w:fill="FFFFFF"/>
            <w:noWrap/>
            <w:tcMar>
              <w:top w:w="15" w:type="dxa"/>
              <w:left w:w="0" w:type="dxa"/>
              <w:bottom w:w="0" w:type="dxa"/>
              <w:right w:w="15" w:type="dxa"/>
            </w:tcMar>
            <w:vAlign w:val="bottom"/>
            <w:hideMark/>
          </w:tcPr>
          <w:p w14:paraId="3172C139"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1A6B7A81"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4775B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Adjusted</w:t>
            </w:r>
          </w:p>
          <w:p w14:paraId="587ABE12"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EBITDA</w:t>
            </w:r>
          </w:p>
          <w:p w14:paraId="77DAB04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14:paraId="1BA95150" w14:textId="77777777" w:rsidR="00000000" w:rsidRDefault="007125B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01AEC35A" w14:textId="77777777">
        <w:trPr>
          <w:divId w:val="2088382381"/>
          <w:jc w:val="center"/>
        </w:trPr>
        <w:tc>
          <w:tcPr>
            <w:tcW w:w="2017" w:type="pct"/>
            <w:tcBorders>
              <w:top w:val="single" w:sz="6" w:space="0" w:color="000000"/>
            </w:tcBorders>
            <w:shd w:val="clear" w:color="auto" w:fill="CFF0FC"/>
            <w:tcMar>
              <w:top w:w="15" w:type="dxa"/>
              <w:left w:w="0" w:type="dxa"/>
              <w:bottom w:w="0" w:type="dxa"/>
              <w:right w:w="15" w:type="dxa"/>
            </w:tcMar>
            <w:hideMark/>
          </w:tcPr>
          <w:p w14:paraId="45B4C045" w14:textId="77777777" w:rsidR="00000000" w:rsidRDefault="007125B5">
            <w:pPr>
              <w:pStyle w:val="a3"/>
              <w:spacing w:before="0" w:beforeAutospacing="0" w:after="0" w:afterAutospacing="0"/>
              <w:rPr>
                <w:color w:val="000000"/>
                <w:sz w:val="20"/>
                <w:szCs w:val="20"/>
              </w:rPr>
            </w:pPr>
            <w:r>
              <w:rPr>
                <w:color w:val="000000"/>
                <w:sz w:val="20"/>
                <w:szCs w:val="20"/>
              </w:rPr>
              <w:t>Assessment, Permitting and Response</w:t>
            </w:r>
          </w:p>
        </w:tc>
        <w:tc>
          <w:tcPr>
            <w:tcW w:w="48" w:type="pct"/>
            <w:shd w:val="clear" w:color="auto" w:fill="CFF0FC"/>
            <w:tcMar>
              <w:top w:w="15" w:type="dxa"/>
              <w:left w:w="0" w:type="dxa"/>
              <w:bottom w:w="0" w:type="dxa"/>
              <w:right w:w="15" w:type="dxa"/>
            </w:tcMar>
            <w:vAlign w:val="bottom"/>
            <w:hideMark/>
          </w:tcPr>
          <w:p w14:paraId="4240ED0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D14CA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2B7778B8" w14:textId="77777777" w:rsidR="00000000" w:rsidRDefault="007125B5">
            <w:pPr>
              <w:pStyle w:val="a3"/>
              <w:spacing w:before="0" w:beforeAutospacing="0" w:after="0" w:afterAutospacing="0"/>
              <w:jc w:val="right"/>
              <w:rPr>
                <w:color w:val="000000"/>
                <w:sz w:val="20"/>
                <w:szCs w:val="20"/>
              </w:rPr>
            </w:pPr>
            <w:r>
              <w:rPr>
                <w:color w:val="000000"/>
                <w:sz w:val="20"/>
                <w:szCs w:val="20"/>
              </w:rPr>
              <w:t>23,161</w:t>
            </w:r>
          </w:p>
        </w:tc>
        <w:tc>
          <w:tcPr>
            <w:tcW w:w="50" w:type="pct"/>
            <w:shd w:val="clear" w:color="auto" w:fill="CFF0FC"/>
            <w:noWrap/>
            <w:tcMar>
              <w:top w:w="15" w:type="dxa"/>
              <w:left w:w="0" w:type="dxa"/>
              <w:bottom w:w="0" w:type="dxa"/>
              <w:right w:w="15" w:type="dxa"/>
            </w:tcMar>
            <w:vAlign w:val="bottom"/>
            <w:hideMark/>
          </w:tcPr>
          <w:p w14:paraId="215EE59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509A94E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4FC4A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703806DE" w14:textId="77777777" w:rsidR="00000000" w:rsidRDefault="007125B5">
            <w:pPr>
              <w:pStyle w:val="a3"/>
              <w:spacing w:before="0" w:beforeAutospacing="0" w:after="0" w:afterAutospacing="0"/>
              <w:jc w:val="right"/>
              <w:rPr>
                <w:color w:val="000000"/>
                <w:sz w:val="20"/>
                <w:szCs w:val="20"/>
              </w:rPr>
            </w:pPr>
            <w:r>
              <w:rPr>
                <w:color w:val="000000"/>
                <w:sz w:val="20"/>
                <w:szCs w:val="20"/>
              </w:rPr>
              <w:t>6,431</w:t>
            </w:r>
          </w:p>
        </w:tc>
        <w:tc>
          <w:tcPr>
            <w:tcW w:w="50" w:type="pct"/>
            <w:shd w:val="clear" w:color="auto" w:fill="CFF0FC"/>
            <w:noWrap/>
            <w:tcMar>
              <w:top w:w="15" w:type="dxa"/>
              <w:left w:w="0" w:type="dxa"/>
              <w:bottom w:w="0" w:type="dxa"/>
              <w:right w:w="15" w:type="dxa"/>
            </w:tcMar>
            <w:vAlign w:val="bottom"/>
            <w:hideMark/>
          </w:tcPr>
          <w:p w14:paraId="306C687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49EF58D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302D3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19443DAD" w14:textId="77777777" w:rsidR="00000000" w:rsidRDefault="007125B5">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CFF0FC"/>
            <w:noWrap/>
            <w:tcMar>
              <w:top w:w="15" w:type="dxa"/>
              <w:left w:w="0" w:type="dxa"/>
              <w:bottom w:w="0" w:type="dxa"/>
              <w:right w:w="15" w:type="dxa"/>
            </w:tcMar>
            <w:vAlign w:val="bottom"/>
            <w:hideMark/>
          </w:tcPr>
          <w:p w14:paraId="69FED87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70C2ECB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FF73F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63104B41" w14:textId="77777777" w:rsidR="00000000" w:rsidRDefault="007125B5">
            <w:pPr>
              <w:pStyle w:val="a3"/>
              <w:spacing w:before="0" w:beforeAutospacing="0" w:after="0" w:afterAutospacing="0"/>
              <w:jc w:val="right"/>
              <w:rPr>
                <w:color w:val="000000"/>
                <w:sz w:val="20"/>
                <w:szCs w:val="20"/>
              </w:rPr>
            </w:pPr>
            <w:r>
              <w:rPr>
                <w:color w:val="000000"/>
                <w:sz w:val="20"/>
                <w:szCs w:val="20"/>
              </w:rPr>
              <w:t>9,603</w:t>
            </w:r>
          </w:p>
        </w:tc>
        <w:tc>
          <w:tcPr>
            <w:tcW w:w="50" w:type="pct"/>
            <w:shd w:val="clear" w:color="auto" w:fill="CFF0FC"/>
            <w:noWrap/>
            <w:tcMar>
              <w:top w:w="15" w:type="dxa"/>
              <w:left w:w="0" w:type="dxa"/>
              <w:bottom w:w="0" w:type="dxa"/>
              <w:right w:w="15" w:type="dxa"/>
            </w:tcMar>
            <w:vAlign w:val="bottom"/>
            <w:hideMark/>
          </w:tcPr>
          <w:p w14:paraId="0323E0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12768B4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CADCF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498BF853" w14:textId="77777777" w:rsidR="00000000" w:rsidRDefault="007125B5">
            <w:pPr>
              <w:pStyle w:val="a3"/>
              <w:spacing w:before="0" w:beforeAutospacing="0" w:after="0" w:afterAutospacing="0"/>
              <w:jc w:val="right"/>
              <w:rPr>
                <w:color w:val="000000"/>
                <w:sz w:val="20"/>
                <w:szCs w:val="20"/>
              </w:rPr>
            </w:pPr>
            <w:r>
              <w:rPr>
                <w:color w:val="000000"/>
                <w:sz w:val="20"/>
                <w:szCs w:val="20"/>
              </w:rPr>
              <w:t>3,996</w:t>
            </w:r>
          </w:p>
        </w:tc>
        <w:tc>
          <w:tcPr>
            <w:tcW w:w="50" w:type="pct"/>
            <w:shd w:val="clear" w:color="auto" w:fill="CFF0FC"/>
            <w:noWrap/>
            <w:tcMar>
              <w:top w:w="15" w:type="dxa"/>
              <w:left w:w="0" w:type="dxa"/>
              <w:bottom w:w="0" w:type="dxa"/>
              <w:right w:w="15" w:type="dxa"/>
            </w:tcMar>
            <w:vAlign w:val="bottom"/>
            <w:hideMark/>
          </w:tcPr>
          <w:p w14:paraId="19C2670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51F6B64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BBB9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14:paraId="3CDA9326" w14:textId="77777777" w:rsidR="00000000" w:rsidRDefault="007125B5">
            <w:pPr>
              <w:pStyle w:val="a3"/>
              <w:spacing w:before="0" w:beforeAutospacing="0" w:after="0" w:afterAutospacing="0"/>
              <w:jc w:val="right"/>
              <w:rPr>
                <w:color w:val="000000"/>
                <w:sz w:val="20"/>
                <w:szCs w:val="20"/>
              </w:rPr>
            </w:pPr>
            <w:r>
              <w:rPr>
                <w:color w:val="000000"/>
                <w:sz w:val="20"/>
                <w:szCs w:val="20"/>
              </w:rPr>
              <w:t>41.6</w:t>
            </w:r>
          </w:p>
        </w:tc>
        <w:tc>
          <w:tcPr>
            <w:tcW w:w="50" w:type="pct"/>
            <w:shd w:val="clear" w:color="auto" w:fill="CFF0FC"/>
            <w:noWrap/>
            <w:tcMar>
              <w:top w:w="15" w:type="dxa"/>
              <w:left w:w="0" w:type="dxa"/>
              <w:bottom w:w="0" w:type="dxa"/>
              <w:right w:w="15" w:type="dxa"/>
            </w:tcMar>
            <w:vAlign w:val="bottom"/>
            <w:hideMark/>
          </w:tcPr>
          <w:p w14:paraId="284BDECA"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56851BDC" w14:textId="77777777">
        <w:trPr>
          <w:divId w:val="2088382381"/>
          <w:jc w:val="center"/>
        </w:trPr>
        <w:tc>
          <w:tcPr>
            <w:tcW w:w="2017" w:type="pct"/>
            <w:shd w:val="clear" w:color="auto" w:fill="FFFFFF"/>
            <w:tcMar>
              <w:top w:w="15" w:type="dxa"/>
              <w:left w:w="0" w:type="dxa"/>
              <w:bottom w:w="0" w:type="dxa"/>
              <w:right w:w="15" w:type="dxa"/>
            </w:tcMar>
            <w:hideMark/>
          </w:tcPr>
          <w:p w14:paraId="2889109D" w14:textId="77777777" w:rsidR="00000000" w:rsidRDefault="007125B5">
            <w:pPr>
              <w:pStyle w:val="a3"/>
              <w:spacing w:before="0" w:beforeAutospacing="0" w:after="0" w:afterAutospacing="0"/>
              <w:rPr>
                <w:color w:val="000000"/>
                <w:sz w:val="20"/>
                <w:szCs w:val="20"/>
              </w:rPr>
            </w:pPr>
            <w:r>
              <w:rPr>
                <w:color w:val="000000"/>
                <w:sz w:val="20"/>
                <w:szCs w:val="20"/>
              </w:rPr>
              <w:t>Measurements &amp; Analysis</w:t>
            </w:r>
          </w:p>
        </w:tc>
        <w:tc>
          <w:tcPr>
            <w:tcW w:w="48" w:type="pct"/>
            <w:shd w:val="clear" w:color="auto" w:fill="FFFFFF"/>
            <w:tcMar>
              <w:top w:w="15" w:type="dxa"/>
              <w:left w:w="0" w:type="dxa"/>
              <w:bottom w:w="0" w:type="dxa"/>
              <w:right w:w="15" w:type="dxa"/>
            </w:tcMar>
            <w:vAlign w:val="bottom"/>
            <w:hideMark/>
          </w:tcPr>
          <w:p w14:paraId="2D4F245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32DFA6"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shd w:val="clear" w:color="auto" w:fill="FFFFFF"/>
            <w:noWrap/>
            <w:tcMar>
              <w:top w:w="15" w:type="dxa"/>
              <w:left w:w="0" w:type="dxa"/>
              <w:bottom w:w="0" w:type="dxa"/>
              <w:right w:w="15" w:type="dxa"/>
            </w:tcMar>
            <w:vAlign w:val="bottom"/>
            <w:hideMark/>
          </w:tcPr>
          <w:p w14:paraId="4ABAB14E" w14:textId="77777777" w:rsidR="00000000" w:rsidRDefault="007125B5">
            <w:pPr>
              <w:pStyle w:val="a3"/>
              <w:spacing w:before="0" w:beforeAutospacing="0" w:after="0" w:afterAutospacing="0"/>
              <w:jc w:val="right"/>
              <w:rPr>
                <w:color w:val="000000"/>
                <w:sz w:val="20"/>
                <w:szCs w:val="20"/>
              </w:rPr>
            </w:pPr>
            <w:r>
              <w:rPr>
                <w:color w:val="000000"/>
                <w:sz w:val="20"/>
                <w:szCs w:val="20"/>
              </w:rPr>
              <w:t>73,476</w:t>
            </w:r>
          </w:p>
        </w:tc>
        <w:tc>
          <w:tcPr>
            <w:tcW w:w="50" w:type="pct"/>
            <w:shd w:val="clear" w:color="auto" w:fill="FFFFFF"/>
            <w:noWrap/>
            <w:tcMar>
              <w:top w:w="15" w:type="dxa"/>
              <w:left w:w="0" w:type="dxa"/>
              <w:bottom w:w="0" w:type="dxa"/>
              <w:right w:w="15" w:type="dxa"/>
            </w:tcMar>
            <w:vAlign w:val="bottom"/>
            <w:hideMark/>
          </w:tcPr>
          <w:p w14:paraId="7730DA8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283D053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FD555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5CC09079" w14:textId="77777777" w:rsidR="00000000" w:rsidRDefault="007125B5">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FFFFFF"/>
            <w:noWrap/>
            <w:tcMar>
              <w:top w:w="15" w:type="dxa"/>
              <w:left w:w="0" w:type="dxa"/>
              <w:bottom w:w="0" w:type="dxa"/>
              <w:right w:w="15" w:type="dxa"/>
            </w:tcMar>
            <w:vAlign w:val="bottom"/>
            <w:hideMark/>
          </w:tcPr>
          <w:p w14:paraId="62735A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7E7448A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1439F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79005F9D" w14:textId="77777777" w:rsidR="00000000" w:rsidRDefault="007125B5">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FFFFFF"/>
            <w:noWrap/>
            <w:tcMar>
              <w:top w:w="15" w:type="dxa"/>
              <w:left w:w="0" w:type="dxa"/>
              <w:bottom w:w="0" w:type="dxa"/>
              <w:right w:w="15" w:type="dxa"/>
            </w:tcMar>
            <w:vAlign w:val="bottom"/>
            <w:hideMark/>
          </w:tcPr>
          <w:p w14:paraId="1E6114A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14:paraId="0D62260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58DE5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315576C2" w14:textId="77777777" w:rsidR="00000000" w:rsidRDefault="007125B5">
            <w:pPr>
              <w:pStyle w:val="a3"/>
              <w:spacing w:before="0" w:beforeAutospacing="0" w:after="0" w:afterAutospacing="0"/>
              <w:jc w:val="right"/>
              <w:rPr>
                <w:color w:val="000000"/>
                <w:sz w:val="20"/>
                <w:szCs w:val="20"/>
              </w:rPr>
            </w:pPr>
            <w:r>
              <w:rPr>
                <w:color w:val="000000"/>
                <w:sz w:val="20"/>
                <w:szCs w:val="20"/>
              </w:rPr>
              <w:t>62,948</w:t>
            </w:r>
          </w:p>
        </w:tc>
        <w:tc>
          <w:tcPr>
            <w:tcW w:w="50" w:type="pct"/>
            <w:shd w:val="clear" w:color="auto" w:fill="FFFFFF"/>
            <w:noWrap/>
            <w:tcMar>
              <w:top w:w="15" w:type="dxa"/>
              <w:left w:w="0" w:type="dxa"/>
              <w:bottom w:w="0" w:type="dxa"/>
              <w:right w:w="15" w:type="dxa"/>
            </w:tcMar>
            <w:vAlign w:val="bottom"/>
            <w:hideMark/>
          </w:tcPr>
          <w:p w14:paraId="36B9C63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0FF53E3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6073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653B3C07" w14:textId="77777777" w:rsidR="00000000" w:rsidRDefault="007125B5">
            <w:pPr>
              <w:pStyle w:val="a3"/>
              <w:spacing w:before="0" w:beforeAutospacing="0" w:after="0" w:afterAutospacing="0"/>
              <w:jc w:val="right"/>
              <w:rPr>
                <w:color w:val="000000"/>
                <w:sz w:val="20"/>
                <w:szCs w:val="20"/>
              </w:rPr>
            </w:pPr>
            <w:r>
              <w:rPr>
                <w:color w:val="000000"/>
                <w:sz w:val="20"/>
                <w:szCs w:val="20"/>
              </w:rPr>
              <w:t>12,112</w:t>
            </w:r>
          </w:p>
        </w:tc>
        <w:tc>
          <w:tcPr>
            <w:tcW w:w="50" w:type="pct"/>
            <w:shd w:val="clear" w:color="auto" w:fill="FFFFFF"/>
            <w:noWrap/>
            <w:tcMar>
              <w:top w:w="15" w:type="dxa"/>
              <w:left w:w="0" w:type="dxa"/>
              <w:bottom w:w="0" w:type="dxa"/>
              <w:right w:w="15" w:type="dxa"/>
            </w:tcMar>
            <w:vAlign w:val="bottom"/>
            <w:hideMark/>
          </w:tcPr>
          <w:p w14:paraId="2C7ACC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14:paraId="7E055E2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F951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14:paraId="2DBE9E6E" w14:textId="77777777" w:rsidR="00000000" w:rsidRDefault="007125B5">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FFFFFF"/>
            <w:noWrap/>
            <w:tcMar>
              <w:top w:w="15" w:type="dxa"/>
              <w:left w:w="0" w:type="dxa"/>
              <w:bottom w:w="0" w:type="dxa"/>
              <w:right w:w="15" w:type="dxa"/>
            </w:tcMar>
            <w:vAlign w:val="bottom"/>
            <w:hideMark/>
          </w:tcPr>
          <w:p w14:paraId="04D0BA3B"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3BA569A1" w14:textId="77777777">
        <w:trPr>
          <w:divId w:val="2088382381"/>
          <w:jc w:val="center"/>
        </w:trPr>
        <w:tc>
          <w:tcPr>
            <w:tcW w:w="2017" w:type="pct"/>
            <w:shd w:val="clear" w:color="auto" w:fill="CFF0FC"/>
            <w:tcMar>
              <w:top w:w="15" w:type="dxa"/>
              <w:left w:w="0" w:type="dxa"/>
              <w:bottom w:w="0" w:type="dxa"/>
              <w:right w:w="15" w:type="dxa"/>
            </w:tcMar>
            <w:hideMark/>
          </w:tcPr>
          <w:p w14:paraId="4B8AAA20" w14:textId="77777777" w:rsidR="00000000" w:rsidRDefault="007125B5">
            <w:pPr>
              <w:pStyle w:val="a3"/>
              <w:spacing w:before="0" w:beforeAutospacing="0" w:after="0" w:afterAutospacing="0"/>
              <w:rPr>
                <w:color w:val="000000"/>
                <w:sz w:val="20"/>
                <w:szCs w:val="20"/>
              </w:rPr>
            </w:pPr>
            <w:r>
              <w:rPr>
                <w:color w:val="000000"/>
                <w:sz w:val="20"/>
                <w:szCs w:val="20"/>
              </w:rPr>
              <w:t>Remediation &amp; Reuse</w:t>
            </w:r>
          </w:p>
        </w:tc>
        <w:tc>
          <w:tcPr>
            <w:tcW w:w="48" w:type="pct"/>
            <w:shd w:val="clear" w:color="auto" w:fill="CFF0FC"/>
            <w:tcMar>
              <w:top w:w="15" w:type="dxa"/>
              <w:left w:w="0" w:type="dxa"/>
              <w:bottom w:w="0" w:type="dxa"/>
              <w:right w:w="15" w:type="dxa"/>
            </w:tcMar>
            <w:vAlign w:val="bottom"/>
            <w:hideMark/>
          </w:tcPr>
          <w:p w14:paraId="21AD7A5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3B715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5E76E0C1" w14:textId="77777777" w:rsidR="00000000" w:rsidRDefault="007125B5">
            <w:pPr>
              <w:pStyle w:val="a3"/>
              <w:spacing w:before="0" w:beforeAutospacing="0" w:after="0" w:afterAutospacing="0"/>
              <w:jc w:val="right"/>
              <w:rPr>
                <w:color w:val="000000"/>
                <w:sz w:val="20"/>
                <w:szCs w:val="20"/>
              </w:rPr>
            </w:pPr>
            <w:r>
              <w:rPr>
                <w:color w:val="000000"/>
                <w:sz w:val="20"/>
                <w:szCs w:val="20"/>
              </w:rPr>
              <w:t>38,160</w:t>
            </w:r>
          </w:p>
        </w:tc>
        <w:tc>
          <w:tcPr>
            <w:tcW w:w="50" w:type="pct"/>
            <w:shd w:val="clear" w:color="auto" w:fill="CFF0FC"/>
            <w:noWrap/>
            <w:tcMar>
              <w:top w:w="15" w:type="dxa"/>
              <w:left w:w="0" w:type="dxa"/>
              <w:bottom w:w="0" w:type="dxa"/>
              <w:right w:w="15" w:type="dxa"/>
            </w:tcMar>
            <w:vAlign w:val="bottom"/>
            <w:hideMark/>
          </w:tcPr>
          <w:p w14:paraId="11992C0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3C3AA8D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6BFE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1712F9CB" w14:textId="77777777" w:rsidR="00000000" w:rsidRDefault="007125B5">
            <w:pPr>
              <w:pStyle w:val="a3"/>
              <w:spacing w:before="0" w:beforeAutospacing="0" w:after="0" w:afterAutospacing="0"/>
              <w:jc w:val="right"/>
              <w:rPr>
                <w:color w:val="000000"/>
                <w:sz w:val="20"/>
                <w:szCs w:val="20"/>
              </w:rPr>
            </w:pPr>
            <w:r>
              <w:rPr>
                <w:color w:val="000000"/>
                <w:sz w:val="20"/>
                <w:szCs w:val="20"/>
              </w:rPr>
              <w:t>4,481</w:t>
            </w:r>
          </w:p>
        </w:tc>
        <w:tc>
          <w:tcPr>
            <w:tcW w:w="50" w:type="pct"/>
            <w:shd w:val="clear" w:color="auto" w:fill="CFF0FC"/>
            <w:noWrap/>
            <w:tcMar>
              <w:top w:w="15" w:type="dxa"/>
              <w:left w:w="0" w:type="dxa"/>
              <w:bottom w:w="0" w:type="dxa"/>
              <w:right w:w="15" w:type="dxa"/>
            </w:tcMar>
            <w:vAlign w:val="bottom"/>
            <w:hideMark/>
          </w:tcPr>
          <w:p w14:paraId="4E059BC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4836735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BF2C9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5C2C4D31" w14:textId="77777777" w:rsidR="00000000" w:rsidRDefault="007125B5">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CFF0FC"/>
            <w:noWrap/>
            <w:tcMar>
              <w:top w:w="15" w:type="dxa"/>
              <w:left w:w="0" w:type="dxa"/>
              <w:bottom w:w="0" w:type="dxa"/>
              <w:right w:w="15" w:type="dxa"/>
            </w:tcMar>
            <w:vAlign w:val="bottom"/>
            <w:hideMark/>
          </w:tcPr>
          <w:p w14:paraId="2A9A389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79794F3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E00B4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571E7697" w14:textId="77777777" w:rsidR="00000000" w:rsidRDefault="007125B5">
            <w:pPr>
              <w:pStyle w:val="a3"/>
              <w:spacing w:before="0" w:beforeAutospacing="0" w:after="0" w:afterAutospacing="0"/>
              <w:jc w:val="right"/>
              <w:rPr>
                <w:color w:val="000000"/>
                <w:sz w:val="20"/>
                <w:szCs w:val="20"/>
              </w:rPr>
            </w:pPr>
            <w:r>
              <w:rPr>
                <w:color w:val="000000"/>
                <w:sz w:val="20"/>
                <w:szCs w:val="20"/>
              </w:rPr>
              <w:t>35,804</w:t>
            </w:r>
          </w:p>
        </w:tc>
        <w:tc>
          <w:tcPr>
            <w:tcW w:w="50" w:type="pct"/>
            <w:shd w:val="clear" w:color="auto" w:fill="CFF0FC"/>
            <w:noWrap/>
            <w:tcMar>
              <w:top w:w="15" w:type="dxa"/>
              <w:left w:w="0" w:type="dxa"/>
              <w:bottom w:w="0" w:type="dxa"/>
              <w:right w:w="15" w:type="dxa"/>
            </w:tcMar>
            <w:vAlign w:val="bottom"/>
            <w:hideMark/>
          </w:tcPr>
          <w:p w14:paraId="46B8751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2D70E55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F1A5F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11C2C3EE" w14:textId="77777777" w:rsidR="00000000" w:rsidRDefault="007125B5">
            <w:pPr>
              <w:pStyle w:val="a3"/>
              <w:spacing w:before="0" w:beforeAutospacing="0" w:after="0" w:afterAutospacing="0"/>
              <w:jc w:val="right"/>
              <w:rPr>
                <w:color w:val="000000"/>
                <w:sz w:val="20"/>
                <w:szCs w:val="20"/>
              </w:rPr>
            </w:pPr>
            <w:r>
              <w:rPr>
                <w:color w:val="000000"/>
                <w:sz w:val="20"/>
                <w:szCs w:val="20"/>
              </w:rPr>
              <w:t>4,875</w:t>
            </w:r>
          </w:p>
        </w:tc>
        <w:tc>
          <w:tcPr>
            <w:tcW w:w="50" w:type="pct"/>
            <w:shd w:val="clear" w:color="auto" w:fill="CFF0FC"/>
            <w:noWrap/>
            <w:tcMar>
              <w:top w:w="15" w:type="dxa"/>
              <w:left w:w="0" w:type="dxa"/>
              <w:bottom w:w="0" w:type="dxa"/>
              <w:right w:w="15" w:type="dxa"/>
            </w:tcMar>
            <w:vAlign w:val="bottom"/>
            <w:hideMark/>
          </w:tcPr>
          <w:p w14:paraId="77E32E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6189D75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016CC3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14:paraId="05A643BD" w14:textId="77777777" w:rsidR="00000000" w:rsidRDefault="007125B5">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CFF0FC"/>
            <w:noWrap/>
            <w:tcMar>
              <w:top w:w="15" w:type="dxa"/>
              <w:left w:w="0" w:type="dxa"/>
              <w:bottom w:w="0" w:type="dxa"/>
              <w:right w:w="15" w:type="dxa"/>
            </w:tcMar>
            <w:vAlign w:val="bottom"/>
            <w:hideMark/>
          </w:tcPr>
          <w:p w14:paraId="56815BA3"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6554391" w14:textId="77777777">
        <w:trPr>
          <w:divId w:val="2088382381"/>
          <w:jc w:val="center"/>
        </w:trPr>
        <w:tc>
          <w:tcPr>
            <w:tcW w:w="2017" w:type="pct"/>
            <w:shd w:val="clear" w:color="auto" w:fill="FFFFFF"/>
            <w:tcMar>
              <w:top w:w="15" w:type="dxa"/>
              <w:left w:w="0" w:type="dxa"/>
              <w:bottom w:w="0" w:type="dxa"/>
              <w:right w:w="15" w:type="dxa"/>
            </w:tcMar>
            <w:hideMark/>
          </w:tcPr>
          <w:p w14:paraId="53D21EF4" w14:textId="77777777" w:rsidR="00000000" w:rsidRDefault="007125B5">
            <w:pPr>
              <w:pStyle w:val="a3"/>
              <w:spacing w:before="0" w:beforeAutospacing="0" w:after="0" w:afterAutospacing="0"/>
              <w:rPr>
                <w:b/>
                <w:bCs/>
                <w:color w:val="000000"/>
                <w:sz w:val="20"/>
                <w:szCs w:val="20"/>
              </w:rPr>
            </w:pPr>
            <w:r>
              <w:rPr>
                <w:b/>
                <w:bCs/>
                <w:color w:val="000000"/>
                <w:sz w:val="20"/>
                <w:szCs w:val="20"/>
              </w:rPr>
              <w:t>Total Operating Segments</w:t>
            </w:r>
          </w:p>
        </w:tc>
        <w:tc>
          <w:tcPr>
            <w:tcW w:w="48" w:type="pct"/>
            <w:shd w:val="clear" w:color="auto" w:fill="FFFFFF"/>
            <w:tcMar>
              <w:top w:w="15" w:type="dxa"/>
              <w:left w:w="0" w:type="dxa"/>
              <w:bottom w:w="0" w:type="dxa"/>
              <w:right w:w="15" w:type="dxa"/>
            </w:tcMar>
            <w:vAlign w:val="bottom"/>
            <w:hideMark/>
          </w:tcPr>
          <w:p w14:paraId="3EFA4BD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3C1860"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7FE73A"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134,797</w:t>
            </w:r>
          </w:p>
        </w:tc>
        <w:tc>
          <w:tcPr>
            <w:tcW w:w="50" w:type="pct"/>
            <w:shd w:val="clear" w:color="auto" w:fill="FFFFFF"/>
            <w:noWrap/>
            <w:tcMar>
              <w:top w:w="15" w:type="dxa"/>
              <w:left w:w="0" w:type="dxa"/>
              <w:bottom w:w="0" w:type="dxa"/>
              <w:right w:w="15" w:type="dxa"/>
            </w:tcMar>
            <w:vAlign w:val="bottom"/>
            <w:hideMark/>
          </w:tcPr>
          <w:p w14:paraId="6CD6796E"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7AFD573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0896C0"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8C2AA1"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30,088</w:t>
            </w:r>
          </w:p>
        </w:tc>
        <w:tc>
          <w:tcPr>
            <w:tcW w:w="50" w:type="pct"/>
            <w:shd w:val="clear" w:color="auto" w:fill="FFFFFF"/>
            <w:noWrap/>
            <w:tcMar>
              <w:top w:w="15" w:type="dxa"/>
              <w:left w:w="0" w:type="dxa"/>
              <w:bottom w:w="0" w:type="dxa"/>
              <w:right w:w="15" w:type="dxa"/>
            </w:tcMar>
            <w:vAlign w:val="bottom"/>
            <w:hideMark/>
          </w:tcPr>
          <w:p w14:paraId="744C2506"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28353C6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5B4AE8"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557A0D"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22.3</w:t>
            </w:r>
          </w:p>
        </w:tc>
        <w:tc>
          <w:tcPr>
            <w:tcW w:w="50" w:type="pct"/>
            <w:shd w:val="clear" w:color="auto" w:fill="FFFFFF"/>
            <w:noWrap/>
            <w:tcMar>
              <w:top w:w="15" w:type="dxa"/>
              <w:left w:w="0" w:type="dxa"/>
              <w:bottom w:w="0" w:type="dxa"/>
              <w:right w:w="15" w:type="dxa"/>
            </w:tcMar>
            <w:vAlign w:val="bottom"/>
            <w:hideMark/>
          </w:tcPr>
          <w:p w14:paraId="34382169"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8" w:type="pct"/>
            <w:shd w:val="clear" w:color="auto" w:fill="FFFFFF"/>
            <w:tcMar>
              <w:top w:w="15" w:type="dxa"/>
              <w:left w:w="0" w:type="dxa"/>
              <w:bottom w:w="0" w:type="dxa"/>
              <w:right w:w="15" w:type="dxa"/>
            </w:tcMar>
            <w:vAlign w:val="bottom"/>
            <w:hideMark/>
          </w:tcPr>
          <w:p w14:paraId="6866871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5893C8"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2A3C1F"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108,355</w:t>
            </w:r>
          </w:p>
        </w:tc>
        <w:tc>
          <w:tcPr>
            <w:tcW w:w="50" w:type="pct"/>
            <w:shd w:val="clear" w:color="auto" w:fill="FFFFFF"/>
            <w:noWrap/>
            <w:tcMar>
              <w:top w:w="15" w:type="dxa"/>
              <w:left w:w="0" w:type="dxa"/>
              <w:bottom w:w="0" w:type="dxa"/>
              <w:right w:w="15" w:type="dxa"/>
            </w:tcMar>
            <w:vAlign w:val="bottom"/>
            <w:hideMark/>
          </w:tcPr>
          <w:p w14:paraId="6C512A48"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00CFEEC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078A2D"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4CCA4B"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20,983</w:t>
            </w:r>
          </w:p>
        </w:tc>
        <w:tc>
          <w:tcPr>
            <w:tcW w:w="50" w:type="pct"/>
            <w:shd w:val="clear" w:color="auto" w:fill="FFFFFF"/>
            <w:noWrap/>
            <w:tcMar>
              <w:top w:w="15" w:type="dxa"/>
              <w:left w:w="0" w:type="dxa"/>
              <w:bottom w:w="0" w:type="dxa"/>
              <w:right w:w="15" w:type="dxa"/>
            </w:tcMar>
            <w:vAlign w:val="bottom"/>
            <w:hideMark/>
          </w:tcPr>
          <w:p w14:paraId="4CF9A4C5"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48" w:type="pct"/>
            <w:shd w:val="clear" w:color="auto" w:fill="FFFFFF"/>
            <w:tcMar>
              <w:top w:w="15" w:type="dxa"/>
              <w:left w:w="0" w:type="dxa"/>
              <w:bottom w:w="0" w:type="dxa"/>
              <w:right w:w="15" w:type="dxa"/>
            </w:tcMar>
            <w:vAlign w:val="bottom"/>
            <w:hideMark/>
          </w:tcPr>
          <w:p w14:paraId="2032E76B" w14:textId="77777777" w:rsidR="00000000" w:rsidRDefault="007125B5">
            <w:pPr>
              <w:pStyle w:val="a3"/>
              <w:spacing w:before="0" w:beforeAutospacing="0" w:after="0" w:afterAutospacing="0"/>
              <w:rPr>
                <w:color w:val="000000"/>
                <w:sz w:val="16"/>
                <w:szCs w:val="16"/>
              </w:rPr>
            </w:pPr>
            <w:r>
              <w:rPr>
                <w:color w:val="000000"/>
                <w:sz w:val="14"/>
                <w:szCs w:val="14"/>
                <w:vertAlign w:val="superscript"/>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E4C325"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1F4305"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19.4</w:t>
            </w:r>
          </w:p>
        </w:tc>
        <w:tc>
          <w:tcPr>
            <w:tcW w:w="50" w:type="pct"/>
            <w:shd w:val="clear" w:color="auto" w:fill="FFFFFF"/>
            <w:noWrap/>
            <w:tcMar>
              <w:top w:w="15" w:type="dxa"/>
              <w:left w:w="0" w:type="dxa"/>
              <w:bottom w:w="0" w:type="dxa"/>
              <w:right w:w="15" w:type="dxa"/>
            </w:tcMar>
            <w:vAlign w:val="bottom"/>
            <w:hideMark/>
          </w:tcPr>
          <w:p w14:paraId="345B1C31"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r>
      <w:tr w:rsidR="00000000" w14:paraId="6F38DADC" w14:textId="77777777">
        <w:trPr>
          <w:divId w:val="2088382381"/>
          <w:jc w:val="center"/>
        </w:trPr>
        <w:tc>
          <w:tcPr>
            <w:tcW w:w="2017" w:type="pct"/>
            <w:shd w:val="clear" w:color="auto" w:fill="CFF0FC"/>
            <w:tcMar>
              <w:top w:w="15" w:type="dxa"/>
              <w:left w:w="0" w:type="dxa"/>
              <w:bottom w:w="0" w:type="dxa"/>
              <w:right w:w="15" w:type="dxa"/>
            </w:tcMar>
            <w:hideMark/>
          </w:tcPr>
          <w:p w14:paraId="300DDB42" w14:textId="77777777" w:rsidR="00000000" w:rsidRDefault="007125B5">
            <w:pPr>
              <w:pStyle w:val="a3"/>
              <w:spacing w:before="0" w:beforeAutospacing="0" w:after="0" w:afterAutospacing="0"/>
              <w:rPr>
                <w:color w:val="000000"/>
                <w:sz w:val="20"/>
                <w:szCs w:val="20"/>
              </w:rPr>
            </w:pPr>
            <w:r>
              <w:rPr>
                <w:color w:val="000000"/>
                <w:sz w:val="20"/>
                <w:szCs w:val="20"/>
              </w:rPr>
              <w:t>Corporate and Other</w:t>
            </w:r>
          </w:p>
        </w:tc>
        <w:tc>
          <w:tcPr>
            <w:tcW w:w="48" w:type="pct"/>
            <w:shd w:val="clear" w:color="auto" w:fill="CFF0FC"/>
            <w:tcMar>
              <w:top w:w="15" w:type="dxa"/>
              <w:left w:w="0" w:type="dxa"/>
              <w:bottom w:w="0" w:type="dxa"/>
              <w:right w:w="15" w:type="dxa"/>
            </w:tcMar>
            <w:vAlign w:val="bottom"/>
            <w:hideMark/>
          </w:tcPr>
          <w:p w14:paraId="1EA134B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96F29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288DF92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9D22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4C3D378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387669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5C78A6EB" w14:textId="77777777" w:rsidR="00000000" w:rsidRDefault="007125B5">
            <w:pPr>
              <w:pStyle w:val="a3"/>
              <w:spacing w:before="0" w:beforeAutospacing="0" w:after="0" w:afterAutospacing="0"/>
              <w:jc w:val="right"/>
              <w:rPr>
                <w:color w:val="000000"/>
                <w:sz w:val="20"/>
                <w:szCs w:val="20"/>
              </w:rPr>
            </w:pPr>
            <w:r>
              <w:rPr>
                <w:color w:val="000000"/>
                <w:sz w:val="20"/>
                <w:szCs w:val="20"/>
              </w:rPr>
              <w:t>(10,640</w:t>
            </w:r>
          </w:p>
        </w:tc>
        <w:tc>
          <w:tcPr>
            <w:tcW w:w="50" w:type="pct"/>
            <w:shd w:val="clear" w:color="auto" w:fill="CFF0FC"/>
            <w:noWrap/>
            <w:tcMar>
              <w:top w:w="15" w:type="dxa"/>
              <w:left w:w="0" w:type="dxa"/>
              <w:bottom w:w="0" w:type="dxa"/>
              <w:right w:w="15" w:type="dxa"/>
            </w:tcMar>
            <w:vAlign w:val="bottom"/>
            <w:hideMark/>
          </w:tcPr>
          <w:p w14:paraId="1BA8785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291C60F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14:paraId="40C0BDA5" w14:textId="77777777" w:rsidR="00000000" w:rsidRDefault="007125B5">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14:paraId="3D383B9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3152986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8AD4F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3BD5A843"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A4F0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14:paraId="689AEBA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A4F754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14:paraId="7554130A" w14:textId="77777777" w:rsidR="00000000" w:rsidRDefault="007125B5">
            <w:pPr>
              <w:pStyle w:val="a3"/>
              <w:spacing w:before="0" w:beforeAutospacing="0" w:after="0" w:afterAutospacing="0"/>
              <w:jc w:val="right"/>
              <w:rPr>
                <w:color w:val="000000"/>
                <w:sz w:val="20"/>
                <w:szCs w:val="20"/>
              </w:rPr>
            </w:pPr>
            <w:r>
              <w:rPr>
                <w:color w:val="000000"/>
                <w:sz w:val="20"/>
                <w:szCs w:val="20"/>
              </w:rPr>
              <w:t>(7,373</w:t>
            </w:r>
          </w:p>
        </w:tc>
        <w:tc>
          <w:tcPr>
            <w:tcW w:w="50" w:type="pct"/>
            <w:shd w:val="clear" w:color="auto" w:fill="CFF0FC"/>
            <w:noWrap/>
            <w:tcMar>
              <w:top w:w="15" w:type="dxa"/>
              <w:left w:w="0" w:type="dxa"/>
              <w:bottom w:w="0" w:type="dxa"/>
              <w:right w:w="15" w:type="dxa"/>
            </w:tcMar>
            <w:vAlign w:val="bottom"/>
            <w:hideMark/>
          </w:tcPr>
          <w:p w14:paraId="356B617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14:paraId="7385FAC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14:paraId="75F360A3" w14:textId="77777777" w:rsidR="00000000" w:rsidRDefault="007125B5">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14:paraId="14CF4939"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73310AE0" w14:textId="77777777" w:rsidR="00000000" w:rsidRDefault="007125B5">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34AD1D53" w14:textId="77777777">
        <w:tc>
          <w:tcPr>
            <w:tcW w:w="227" w:type="pct"/>
            <w:noWrap/>
            <w:hideMark/>
          </w:tcPr>
          <w:p w14:paraId="3B7B3560" w14:textId="77777777" w:rsidR="00000000" w:rsidRDefault="007125B5">
            <w:pPr>
              <w:pStyle w:val="a3"/>
              <w:spacing w:before="40" w:beforeAutospacing="0" w:after="0" w:afterAutospacing="0"/>
              <w:rPr>
                <w:sz w:val="20"/>
                <w:szCs w:val="20"/>
              </w:rPr>
            </w:pPr>
            <w:r>
              <w:rPr>
                <w:sz w:val="20"/>
                <w:szCs w:val="20"/>
              </w:rPr>
              <w:t>(1)</w:t>
            </w:r>
          </w:p>
        </w:tc>
        <w:tc>
          <w:tcPr>
            <w:tcW w:w="0" w:type="auto"/>
            <w:hideMark/>
          </w:tcPr>
          <w:p w14:paraId="00BB836A" w14:textId="77777777" w:rsidR="00000000" w:rsidRDefault="007125B5">
            <w:pPr>
              <w:pStyle w:val="a3"/>
              <w:spacing w:before="40" w:beforeAutospacing="0" w:after="0" w:afterAutospacing="0"/>
              <w:rPr>
                <w:sz w:val="20"/>
                <w:szCs w:val="20"/>
              </w:rPr>
            </w:pPr>
            <w:r>
              <w:rPr>
                <w:sz w:val="20"/>
                <w:szCs w:val="20"/>
              </w:rPr>
              <w:t>For purposes of evaluating segment profit</w:t>
            </w:r>
            <w:r>
              <w:rPr>
                <w:sz w:val="20"/>
                <w:szCs w:val="20"/>
              </w:rPr>
              <w:t xml:space="preserve">, the Company’s chief operating decision maker reviews Segment Adjusted EBITDA as a basis for making the decisions to allocate resources and assess performance. See Note 20 to our unaudited condensed consolidated financial statements included elsewhere in </w:t>
            </w:r>
            <w:r>
              <w:rPr>
                <w:sz w:val="20"/>
                <w:szCs w:val="20"/>
              </w:rPr>
              <w:t>this filing.</w:t>
            </w:r>
          </w:p>
        </w:tc>
      </w:tr>
    </w:tbl>
    <w:p w14:paraId="704ACC3F"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42398677" w14:textId="77777777">
        <w:tc>
          <w:tcPr>
            <w:tcW w:w="227" w:type="pct"/>
            <w:noWrap/>
            <w:hideMark/>
          </w:tcPr>
          <w:p w14:paraId="008A8317" w14:textId="77777777" w:rsidR="00000000" w:rsidRDefault="007125B5">
            <w:pPr>
              <w:pStyle w:val="a3"/>
              <w:spacing w:before="0" w:beforeAutospacing="0" w:after="0" w:afterAutospacing="0"/>
              <w:rPr>
                <w:sz w:val="20"/>
                <w:szCs w:val="20"/>
              </w:rPr>
            </w:pPr>
            <w:r>
              <w:rPr>
                <w:sz w:val="20"/>
                <w:szCs w:val="20"/>
              </w:rPr>
              <w:t>(2)</w:t>
            </w:r>
          </w:p>
        </w:tc>
        <w:tc>
          <w:tcPr>
            <w:tcW w:w="0" w:type="auto"/>
            <w:hideMark/>
          </w:tcPr>
          <w:p w14:paraId="5CD3BE54" w14:textId="77777777" w:rsidR="00000000" w:rsidRDefault="007125B5">
            <w:pPr>
              <w:pStyle w:val="a3"/>
              <w:spacing w:before="0" w:beforeAutospacing="0" w:after="0" w:afterAutospacing="0"/>
              <w:rPr>
                <w:sz w:val="20"/>
                <w:szCs w:val="20"/>
              </w:rPr>
            </w:pPr>
            <w:r>
              <w:rPr>
                <w:sz w:val="20"/>
                <w:szCs w:val="20"/>
              </w:rPr>
              <w:t>Represents Adjusted EBITDA as a percentage of revenues.</w:t>
            </w:r>
          </w:p>
        </w:tc>
      </w:tr>
    </w:tbl>
    <w:p w14:paraId="33E86264"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5A6D5B59" w14:textId="77777777">
        <w:tc>
          <w:tcPr>
            <w:tcW w:w="227" w:type="pct"/>
            <w:noWrap/>
            <w:hideMark/>
          </w:tcPr>
          <w:p w14:paraId="75136407" w14:textId="77777777" w:rsidR="00000000" w:rsidRDefault="007125B5">
            <w:pPr>
              <w:pStyle w:val="a3"/>
              <w:spacing w:before="0" w:beforeAutospacing="0" w:after="0" w:afterAutospacing="0"/>
              <w:rPr>
                <w:sz w:val="20"/>
                <w:szCs w:val="20"/>
              </w:rPr>
            </w:pPr>
            <w:r>
              <w:rPr>
                <w:sz w:val="20"/>
                <w:szCs w:val="20"/>
              </w:rPr>
              <w:t>(3)</w:t>
            </w:r>
          </w:p>
        </w:tc>
        <w:tc>
          <w:tcPr>
            <w:tcW w:w="0" w:type="auto"/>
            <w:hideMark/>
          </w:tcPr>
          <w:p w14:paraId="03F1483F" w14:textId="77777777" w:rsidR="00000000" w:rsidRDefault="007125B5">
            <w:pPr>
              <w:pStyle w:val="a3"/>
              <w:spacing w:before="0" w:beforeAutospacing="0" w:after="0" w:afterAutospacing="0"/>
              <w:rPr>
                <w:sz w:val="20"/>
                <w:szCs w:val="20"/>
              </w:rPr>
            </w:pPr>
            <w:r>
              <w:rPr>
                <w:sz w:val="20"/>
                <w:szCs w:val="20"/>
              </w:rPr>
              <w:t xml:space="preserve">Aggregate amount does not foot to consolidated amount disclosed elsewhere in this filing due to an adjustment at the consolidated level to exclude earnings related to the Discontinued Service Lines.  See “Non-GAAP Financial Information” and Note 20 to our </w:t>
            </w:r>
            <w:r>
              <w:rPr>
                <w:sz w:val="20"/>
                <w:szCs w:val="20"/>
              </w:rPr>
              <w:t>unaudited condensed consolidated financial statements.</w:t>
            </w:r>
          </w:p>
        </w:tc>
      </w:tr>
    </w:tbl>
    <w:p w14:paraId="30564398"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Revenues</w:t>
      </w:r>
    </w:p>
    <w:p w14:paraId="786BE506"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revenues for the six months ended June 30, 2020 were $23.2 million, compared to $9.6 million for the six months ended June 30, 2019. The 141.2% inc</w:t>
      </w:r>
      <w:r>
        <w:rPr>
          <w:color w:val="000000"/>
          <w:sz w:val="20"/>
          <w:szCs w:val="20"/>
        </w:rPr>
        <w:t>rease was due to the acquisition of CTEH business in the second quarter of 2020.</w:t>
      </w:r>
    </w:p>
    <w:p w14:paraId="5E3E09F8"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Measurement and Analysis segment revenues for the six months ended June 30, 2020 were $73.5 million, an increase of $10.6 million or 16.7% compared to revenues for the six mon</w:t>
      </w:r>
      <w:r>
        <w:rPr>
          <w:color w:val="000000"/>
          <w:sz w:val="20"/>
          <w:szCs w:val="20"/>
        </w:rPr>
        <w:t xml:space="preserve">ths ended June 30, 2019 of $62.9 million. The increase was driven by organic growth excluding the impact of the Discontinued Services Lines, in our continuing businesses, and by acquisitions completed at the end of, or subsequent to, the second quarter of </w:t>
      </w:r>
      <w:r>
        <w:rPr>
          <w:color w:val="000000"/>
          <w:sz w:val="20"/>
          <w:szCs w:val="20"/>
        </w:rPr>
        <w:t>2019, which contributed $4.2 million to 2020 revenues. The increase was partially offset by a $1.1 million decline in revenues from Discontinued Service Lines. Revenues from Discontinued Service Lines in the Measurement and Analysis segment were $2.5 milli</w:t>
      </w:r>
      <w:r>
        <w:rPr>
          <w:color w:val="000000"/>
          <w:sz w:val="20"/>
          <w:szCs w:val="20"/>
        </w:rPr>
        <w:t>on and $3.6 million in the six months ended June 30, 2020 and June 30, 2019, respectively.</w:t>
      </w:r>
    </w:p>
    <w:p w14:paraId="0D11536D"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Remediation and Reuse segment revenues for the six months ended June 30, 2020 were $38.2 million, an increase of $2.4 million or 6.6% compared to revenues for the si</w:t>
      </w:r>
      <w:r>
        <w:rPr>
          <w:color w:val="000000"/>
          <w:sz w:val="20"/>
          <w:szCs w:val="20"/>
        </w:rPr>
        <w:t>x months ended June 30, 2019 of $35.8 million. The increase was driven by acquisitions completed subsequent to the second quarter of 2019, which contributed $7.7 million to 2020 revenues, partially offset by a $6.1 million decline in revenues from Disconti</w:t>
      </w:r>
      <w:r>
        <w:rPr>
          <w:color w:val="000000"/>
          <w:sz w:val="20"/>
          <w:szCs w:val="20"/>
        </w:rPr>
        <w:t>nued Service Lines. Revenues from the Discontinued Service Lines were $1.3 million and $7.4 million for the six months ended June 30, 2020 and June 30, 2019, respectively.</w:t>
      </w:r>
    </w:p>
    <w:p w14:paraId="6CBA3863"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Adjusted EBITDA</w:t>
      </w:r>
    </w:p>
    <w:p w14:paraId="3F122C38"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Adjusted EBITDA was $6.4</w:t>
      </w:r>
      <w:r>
        <w:rPr>
          <w:color w:val="000000"/>
          <w:sz w:val="20"/>
          <w:szCs w:val="20"/>
        </w:rPr>
        <w:t xml:space="preserve"> million for the six months ended June 30, 2020, compared to $4.0 million for the six months ended June 30, 2019 driven by the increase in revenues. For the six months ended June 30, 2020 and June 30, 2019, Adjusted EBITDA margin was 27.8% and 41.6%, respe</w:t>
      </w:r>
      <w:r>
        <w:rPr>
          <w:color w:val="000000"/>
          <w:sz w:val="20"/>
          <w:szCs w:val="20"/>
        </w:rPr>
        <w:t>ctively. The decrease in Adjusted EBITDA margin was driven primarily by the increase in one-time costs associated with the acquisition of CTEH in the second quarter of 2020 and the fact CTEH typically operates at lower margins than our legacy segment busin</w:t>
      </w:r>
      <w:r>
        <w:rPr>
          <w:color w:val="000000"/>
          <w:sz w:val="20"/>
          <w:szCs w:val="20"/>
        </w:rPr>
        <w:t>ess.</w:t>
      </w:r>
    </w:p>
    <w:p w14:paraId="37373CBB"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Measurement and Analysis segment Adjusted EBITDA for the six months ended June 30, 2020 was $19.2 million, an increase of $7.1 million compared to Adjusted EBITDA for the six months ended June 30, 2019 of $12.1 million. For the six months ended June 3</w:t>
      </w:r>
      <w:r>
        <w:rPr>
          <w:color w:val="000000"/>
          <w:sz w:val="20"/>
          <w:szCs w:val="20"/>
        </w:rPr>
        <w:t>0, 2020 Adjusted EBITDA margin was 26.1% compared to 19.2% in the prior year. The improvement in Adjusted EBITDA and Adjusted EBITDA margin was as a result of revenue growth, favorable business mix and temporary cost mitigation initiatives taken in the sec</w:t>
      </w:r>
      <w:r>
        <w:rPr>
          <w:color w:val="000000"/>
          <w:sz w:val="20"/>
          <w:szCs w:val="20"/>
        </w:rPr>
        <w:t>ond quarter of 2020 in response to COVID-19.</w:t>
      </w:r>
    </w:p>
    <w:p w14:paraId="5D21AA59"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Remediation and Reuse segment Adjusted EBITDA for the six months ended June 30 2020 was $4.5 million, a decrease of $0.4 million compared to Adjusted EBITDA for the six months ended June 30, 2019 of $4.9 million</w:t>
      </w:r>
      <w:r>
        <w:rPr>
          <w:color w:val="000000"/>
          <w:sz w:val="20"/>
          <w:szCs w:val="20"/>
        </w:rPr>
        <w:t>. For the six months ended June 30, 2020 Adjusted EBITDA margin was 11.7% compared to 13.6% during the six months ended June 30, 2019. The decrease in Adjusted EBITDA and Adjusted EBITDA margin was attributable to higher fixed costs in anticipation of addi</w:t>
      </w:r>
      <w:r>
        <w:rPr>
          <w:color w:val="000000"/>
          <w:sz w:val="20"/>
          <w:szCs w:val="20"/>
        </w:rPr>
        <w:t>tional growth and geographic expansion, as well as earnings from Discontinued Service Lines in the prior year of $0.7 million, partially offset by revenue growth.</w:t>
      </w:r>
    </w:p>
    <w:p w14:paraId="6F90FF0E" w14:textId="77777777" w:rsidR="00000000" w:rsidRDefault="007125B5">
      <w:pPr>
        <w:pStyle w:val="a3"/>
        <w:spacing w:before="240" w:beforeAutospacing="0" w:after="0" w:afterAutospacing="0"/>
        <w:jc w:val="center"/>
        <w:rPr>
          <w:sz w:val="20"/>
          <w:szCs w:val="20"/>
        </w:rPr>
      </w:pPr>
      <w:r>
        <w:rPr>
          <w:sz w:val="20"/>
          <w:szCs w:val="20"/>
        </w:rPr>
        <w:t>38</w:t>
      </w:r>
    </w:p>
    <w:p w14:paraId="2895BD6A" w14:textId="77777777" w:rsidR="00000000" w:rsidRDefault="007125B5">
      <w:pPr>
        <w:rPr>
          <w:rFonts w:eastAsia="Times New Roman"/>
        </w:rPr>
      </w:pPr>
      <w:r>
        <w:rPr>
          <w:rFonts w:eastAsia="Times New Roman"/>
        </w:rPr>
        <w:pict w14:anchorId="2ED38AE4">
          <v:rect id="_x0000_i1064" style="width:415.3pt;height:1.5pt" o:hralign="center" o:hrstd="t" o:hr="t" fillcolor="#a0a0a0" stroked="f"/>
        </w:pict>
      </w:r>
    </w:p>
    <w:p w14:paraId="139052C5" w14:textId="77777777" w:rsidR="00000000" w:rsidRDefault="007125B5">
      <w:pPr>
        <w:pStyle w:val="a3"/>
        <w:spacing w:before="0" w:beforeAutospacing="0" w:after="0" w:afterAutospacing="0"/>
        <w:rPr>
          <w:sz w:val="20"/>
          <w:szCs w:val="20"/>
        </w:rPr>
      </w:pPr>
      <w:r>
        <w:rPr>
          <w:sz w:val="20"/>
          <w:szCs w:val="20"/>
        </w:rPr>
        <w:t> </w:t>
      </w:r>
    </w:p>
    <w:p w14:paraId="22C3F914" w14:textId="77777777" w:rsidR="00000000" w:rsidRDefault="007125B5">
      <w:pPr>
        <w:pStyle w:val="a3"/>
        <w:shd w:val="clear" w:color="auto" w:fill="FFFFFF"/>
        <w:spacing w:before="240" w:beforeAutospacing="0" w:after="0" w:afterAutospacing="0"/>
        <w:ind w:firstLine="556"/>
        <w:rPr>
          <w:color w:val="000000"/>
          <w:sz w:val="20"/>
          <w:szCs w:val="20"/>
        </w:rPr>
      </w:pPr>
      <w:bookmarkStart w:id="61" w:name="_AEIOULastRenderedPageBreakAEIOU41"/>
      <w:bookmarkEnd w:id="61"/>
      <w:r>
        <w:rPr>
          <w:color w:val="000000"/>
          <w:sz w:val="20"/>
          <w:szCs w:val="20"/>
        </w:rPr>
        <w:t>Corporate and other costs were $10.6 million, or 7.9% of revenues, for the six months ended June 30, 2020 compared to $7.4 million, or 6.8% of rev</w:t>
      </w:r>
      <w:r>
        <w:rPr>
          <w:color w:val="000000"/>
          <w:sz w:val="20"/>
          <w:szCs w:val="20"/>
        </w:rPr>
        <w:t>enues, for the six months ended June 30, 2019. The increase was driven by higher labor costs in sales and marketing, human resources, information technology, safety and finance, as well as an increase in software, insurance, marketing and non-capitalizable</w:t>
      </w:r>
      <w:r>
        <w:rPr>
          <w:color w:val="000000"/>
          <w:sz w:val="20"/>
          <w:szCs w:val="20"/>
        </w:rPr>
        <w:t xml:space="preserve"> IPO related costs, which were made in 2019 in support of anticipated acquisitions and revenue growth.</w:t>
      </w:r>
    </w:p>
    <w:p w14:paraId="53373FDE"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Liquidity and Capital Resources</w:t>
      </w:r>
    </w:p>
    <w:p w14:paraId="099A0C0E"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Liquidity describes the ability of a company to generate sufficient cash flows to meet the cash requirements of its busin</w:t>
      </w:r>
      <w:r>
        <w:rPr>
          <w:color w:val="000000"/>
          <w:sz w:val="20"/>
          <w:szCs w:val="20"/>
        </w:rPr>
        <w:t>ess operations, including working capital needs, debt service, acquisitions, other commitments and contractual obligations. We consider liquidity in terms of cash flows from operations and other sources, including availability under our credit facility, an</w:t>
      </w:r>
      <w:r>
        <w:rPr>
          <w:color w:val="000000"/>
          <w:sz w:val="20"/>
          <w:szCs w:val="20"/>
        </w:rPr>
        <w:t>d their sufficiency to fund our operating and investing activities.</w:t>
      </w:r>
    </w:p>
    <w:p w14:paraId="75CD37D8"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Our principal sources of liquidity have been borrowings under our credit facility, prior senior secured credit facility and other borrowing arrangements and cash generated by operating act</w:t>
      </w:r>
      <w:r>
        <w:rPr>
          <w:color w:val="000000"/>
          <w:sz w:val="20"/>
          <w:szCs w:val="20"/>
        </w:rPr>
        <w:t>ivities. Historically, we have financed our operations and acquisitions from a combination of cash generated from operations, periodic borrowings under our credit facility, prior senior secured credit facility and other prior secured and unsecured borrowin</w:t>
      </w:r>
      <w:r>
        <w:rPr>
          <w:color w:val="000000"/>
          <w:sz w:val="20"/>
          <w:szCs w:val="20"/>
        </w:rPr>
        <w:t xml:space="preserve">gs and proceeds from the issuance of common and preferred stock. Our primary cash needs are for day to day operations, to fund working capital requirements, to fund our acquisition strategy, to pay interest and principal on our indebtedness and Series A-2 </w:t>
      </w:r>
      <w:r>
        <w:rPr>
          <w:color w:val="000000"/>
          <w:sz w:val="20"/>
          <w:szCs w:val="20"/>
        </w:rPr>
        <w:t>preferred stock and to make capital expenditures. Additionally, the CTEH acquisition agreement includes an earn-out provision that provides for the payment of contingent consideration based on CTEH’s 2020 and 2021 results in an aggregate amount not to exce</w:t>
      </w:r>
      <w:r>
        <w:rPr>
          <w:color w:val="000000"/>
          <w:sz w:val="20"/>
          <w:szCs w:val="20"/>
        </w:rPr>
        <w:t>ed $80.0 million, with each payment equal to a specified multiple of CTEH’s EBITDA for the relevant year in excess of specified targets. Any earn-out to be paid in respect of fiscal years 2020 and 2021 will be capped at $50.0 million and $30.0 million, res</w:t>
      </w:r>
      <w:r>
        <w:rPr>
          <w:color w:val="000000"/>
          <w:sz w:val="20"/>
          <w:szCs w:val="20"/>
        </w:rPr>
        <w:t>pectively, with any payment in respect of 2020 payable, at our discretion, entirely in common stock or 50% in cash and 50% in common stock, and any payment in respect of 2021 payable in cash. See Note 6 to our unaudited condensed consolidated financial sta</w:t>
      </w:r>
      <w:r>
        <w:rPr>
          <w:color w:val="000000"/>
          <w:sz w:val="20"/>
          <w:szCs w:val="20"/>
        </w:rPr>
        <w:t>tements.  </w:t>
      </w:r>
    </w:p>
    <w:p w14:paraId="5CE4539A"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We expect to continue to finance our liquidity requirements, including any cash earn-out payments that may be required in connection with the acquisition of CTEH, through cash generated from operations and borrowings under our credit facility. W</w:t>
      </w:r>
      <w:r>
        <w:rPr>
          <w:color w:val="000000"/>
          <w:sz w:val="20"/>
          <w:szCs w:val="20"/>
        </w:rPr>
        <w:t>e believe these sources will be sufficient to fund our cash needs for the next twelve months. See “COVID-19” above for a discussion of the impact of the pandemic on our liquidity.</w:t>
      </w:r>
    </w:p>
    <w:p w14:paraId="3E6817C8"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Cash Flows</w:t>
      </w:r>
    </w:p>
    <w:p w14:paraId="3A652F85"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The following table summarizes our cash flows for the periods pre</w:t>
      </w:r>
      <w:r>
        <w:rPr>
          <w:color w:val="000000"/>
          <w:sz w:val="20"/>
          <w:szCs w:val="20"/>
        </w:rPr>
        <w:t>sented:</w:t>
      </w:r>
    </w:p>
    <w:p w14:paraId="56DCCF51"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71"/>
        <w:gridCol w:w="72"/>
        <w:gridCol w:w="65"/>
        <w:gridCol w:w="732"/>
        <w:gridCol w:w="82"/>
        <w:gridCol w:w="67"/>
        <w:gridCol w:w="115"/>
        <w:gridCol w:w="728"/>
        <w:gridCol w:w="82"/>
      </w:tblGrid>
      <w:tr w:rsidR="00000000" w14:paraId="61BAA6F3" w14:textId="77777777">
        <w:trPr>
          <w:divId w:val="577792532"/>
          <w:jc w:val="center"/>
        </w:trPr>
        <w:tc>
          <w:tcPr>
            <w:tcW w:w="3347" w:type="pct"/>
            <w:shd w:val="clear" w:color="auto" w:fill="FFFFFF"/>
            <w:tcMar>
              <w:top w:w="15" w:type="dxa"/>
              <w:left w:w="0" w:type="dxa"/>
              <w:bottom w:w="0" w:type="dxa"/>
              <w:right w:w="15" w:type="dxa"/>
            </w:tcMar>
            <w:vAlign w:val="bottom"/>
            <w:hideMark/>
          </w:tcPr>
          <w:p w14:paraId="700A33A2" w14:textId="77777777" w:rsidR="00000000" w:rsidRDefault="007125B5">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526BCC8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1520" w:type="pct"/>
            <w:gridSpan w:val="6"/>
            <w:tcBorders>
              <w:bottom w:val="single" w:sz="6" w:space="0" w:color="000000"/>
            </w:tcBorders>
            <w:shd w:val="clear" w:color="auto" w:fill="FFFFFF"/>
            <w:tcMar>
              <w:top w:w="15" w:type="dxa"/>
              <w:left w:w="0" w:type="dxa"/>
              <w:bottom w:w="0" w:type="dxa"/>
              <w:right w:w="15" w:type="dxa"/>
            </w:tcMar>
            <w:vAlign w:val="bottom"/>
            <w:hideMark/>
          </w:tcPr>
          <w:p w14:paraId="0C93436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Six Months Ended</w:t>
            </w:r>
          </w:p>
          <w:p w14:paraId="088E45E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551D57B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21C8CE87" w14:textId="77777777">
        <w:trPr>
          <w:divId w:val="577792532"/>
          <w:jc w:val="center"/>
        </w:trPr>
        <w:tc>
          <w:tcPr>
            <w:tcW w:w="3347" w:type="pct"/>
            <w:shd w:val="clear" w:color="auto" w:fill="FFFFFF"/>
            <w:tcMar>
              <w:top w:w="15" w:type="dxa"/>
              <w:left w:w="0" w:type="dxa"/>
              <w:bottom w:w="0" w:type="dxa"/>
              <w:right w:w="15" w:type="dxa"/>
            </w:tcMar>
            <w:vAlign w:val="bottom"/>
            <w:hideMark/>
          </w:tcPr>
          <w:p w14:paraId="50A39D34" w14:textId="77777777" w:rsidR="00000000" w:rsidRDefault="007125B5">
            <w:pPr>
              <w:pStyle w:val="a3"/>
              <w:spacing w:before="0" w:beforeAutospacing="0" w:after="0" w:afterAutospacing="0"/>
              <w:rPr>
                <w:b/>
                <w:bCs/>
                <w:color w:val="000000"/>
                <w:sz w:val="16"/>
                <w:szCs w:val="16"/>
              </w:rPr>
            </w:pPr>
            <w:r>
              <w:rPr>
                <w:b/>
                <w:bCs/>
                <w:color w:val="000000"/>
                <w:sz w:val="16"/>
                <w:szCs w:val="16"/>
              </w:rPr>
              <w:t>(in thousands)</w:t>
            </w:r>
          </w:p>
        </w:tc>
        <w:tc>
          <w:tcPr>
            <w:tcW w:w="81" w:type="pct"/>
            <w:shd w:val="clear" w:color="auto" w:fill="FFFFFF"/>
            <w:tcMar>
              <w:top w:w="15" w:type="dxa"/>
              <w:left w:w="0" w:type="dxa"/>
              <w:bottom w:w="0" w:type="dxa"/>
              <w:right w:w="15" w:type="dxa"/>
            </w:tcMar>
            <w:vAlign w:val="bottom"/>
            <w:hideMark/>
          </w:tcPr>
          <w:p w14:paraId="2FD2C76E"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39A43F"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25EE431"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3D652DC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9AF10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C1CA3E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3E84F5E4" w14:textId="77777777">
        <w:trPr>
          <w:divId w:val="577792532"/>
          <w:jc w:val="center"/>
        </w:trPr>
        <w:tc>
          <w:tcPr>
            <w:tcW w:w="3347" w:type="pct"/>
            <w:shd w:val="clear" w:color="auto" w:fill="CFF0FC"/>
            <w:tcMar>
              <w:top w:w="15" w:type="dxa"/>
              <w:left w:w="0" w:type="dxa"/>
              <w:bottom w:w="0" w:type="dxa"/>
              <w:right w:w="15" w:type="dxa"/>
            </w:tcMar>
            <w:hideMark/>
          </w:tcPr>
          <w:p w14:paraId="2FA7E364" w14:textId="77777777" w:rsidR="00000000" w:rsidRDefault="007125B5">
            <w:pPr>
              <w:pStyle w:val="a3"/>
              <w:spacing w:before="0" w:beforeAutospacing="0" w:after="0" w:afterAutospacing="0"/>
              <w:rPr>
                <w:b/>
                <w:bCs/>
                <w:color w:val="000000"/>
                <w:sz w:val="20"/>
                <w:szCs w:val="20"/>
              </w:rPr>
            </w:pPr>
            <w:r>
              <w:rPr>
                <w:b/>
                <w:bCs/>
                <w:color w:val="000000"/>
                <w:sz w:val="20"/>
                <w:szCs w:val="20"/>
              </w:rPr>
              <w:t>Consolidated Statement of Cash flows data:</w:t>
            </w:r>
          </w:p>
        </w:tc>
        <w:tc>
          <w:tcPr>
            <w:tcW w:w="81" w:type="pct"/>
            <w:shd w:val="clear" w:color="auto" w:fill="CFF0FC"/>
            <w:tcMar>
              <w:top w:w="15" w:type="dxa"/>
              <w:left w:w="0" w:type="dxa"/>
              <w:bottom w:w="0" w:type="dxa"/>
              <w:right w:w="15" w:type="dxa"/>
            </w:tcMar>
            <w:vAlign w:val="bottom"/>
            <w:hideMark/>
          </w:tcPr>
          <w:p w14:paraId="56CB3EB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31754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A6C0DBC"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57DE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BF83D9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5F890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518636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A93C8D"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328BA984" w14:textId="77777777">
        <w:trPr>
          <w:divId w:val="577792532"/>
          <w:jc w:val="center"/>
        </w:trPr>
        <w:tc>
          <w:tcPr>
            <w:tcW w:w="3347" w:type="pct"/>
            <w:shd w:val="clear" w:color="auto" w:fill="FFFFFF"/>
            <w:tcMar>
              <w:top w:w="15" w:type="dxa"/>
              <w:left w:w="0" w:type="dxa"/>
              <w:bottom w:w="0" w:type="dxa"/>
              <w:right w:w="15" w:type="dxa"/>
            </w:tcMar>
            <w:hideMark/>
          </w:tcPr>
          <w:p w14:paraId="0DDA11A9" w14:textId="77777777" w:rsidR="00000000" w:rsidRDefault="007125B5">
            <w:pPr>
              <w:pStyle w:val="a3"/>
              <w:spacing w:before="0" w:beforeAutospacing="0" w:after="0" w:afterAutospacing="0"/>
              <w:rPr>
                <w:color w:val="000000"/>
                <w:sz w:val="20"/>
                <w:szCs w:val="20"/>
              </w:rPr>
            </w:pPr>
            <w:r>
              <w:rPr>
                <w:color w:val="000000"/>
                <w:sz w:val="20"/>
                <w:szCs w:val="20"/>
              </w:rPr>
              <w:t>Net cash (used in) provided by operating activities</w:t>
            </w:r>
          </w:p>
        </w:tc>
        <w:tc>
          <w:tcPr>
            <w:tcW w:w="81" w:type="pct"/>
            <w:shd w:val="clear" w:color="auto" w:fill="FFFFFF"/>
            <w:tcMar>
              <w:top w:w="15" w:type="dxa"/>
              <w:left w:w="0" w:type="dxa"/>
              <w:bottom w:w="0" w:type="dxa"/>
              <w:right w:w="15" w:type="dxa"/>
            </w:tcMar>
            <w:vAlign w:val="bottom"/>
            <w:hideMark/>
          </w:tcPr>
          <w:p w14:paraId="01E42E1B"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C96D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F801063" w14:textId="77777777" w:rsidR="00000000" w:rsidRDefault="007125B5">
            <w:pPr>
              <w:pStyle w:val="a3"/>
              <w:spacing w:before="0" w:beforeAutospacing="0" w:after="0" w:afterAutospacing="0"/>
              <w:jc w:val="right"/>
              <w:rPr>
                <w:color w:val="000000"/>
                <w:sz w:val="20"/>
                <w:szCs w:val="20"/>
              </w:rPr>
            </w:pPr>
            <w:r>
              <w:rPr>
                <w:color w:val="000000"/>
                <w:sz w:val="20"/>
                <w:szCs w:val="20"/>
              </w:rPr>
              <w:t>(1,584</w:t>
            </w:r>
          </w:p>
        </w:tc>
        <w:tc>
          <w:tcPr>
            <w:tcW w:w="50" w:type="pct"/>
            <w:shd w:val="clear" w:color="auto" w:fill="FFFFFF"/>
            <w:noWrap/>
            <w:tcMar>
              <w:top w:w="15" w:type="dxa"/>
              <w:left w:w="0" w:type="dxa"/>
              <w:bottom w:w="0" w:type="dxa"/>
              <w:right w:w="15" w:type="dxa"/>
            </w:tcMar>
            <w:vAlign w:val="bottom"/>
            <w:hideMark/>
          </w:tcPr>
          <w:p w14:paraId="5F016E5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4F311A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F89B1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5B62AB61" w14:textId="77777777" w:rsidR="00000000" w:rsidRDefault="007125B5">
            <w:pPr>
              <w:pStyle w:val="a3"/>
              <w:spacing w:before="0" w:beforeAutospacing="0" w:after="0" w:afterAutospacing="0"/>
              <w:jc w:val="right"/>
              <w:rPr>
                <w:color w:val="000000"/>
                <w:sz w:val="20"/>
                <w:szCs w:val="20"/>
              </w:rPr>
            </w:pPr>
            <w:r>
              <w:rPr>
                <w:color w:val="000000"/>
                <w:sz w:val="20"/>
                <w:szCs w:val="20"/>
              </w:rPr>
              <w:t>4,391</w:t>
            </w:r>
          </w:p>
        </w:tc>
        <w:tc>
          <w:tcPr>
            <w:tcW w:w="50" w:type="pct"/>
            <w:shd w:val="clear" w:color="auto" w:fill="FFFFFF"/>
            <w:noWrap/>
            <w:tcMar>
              <w:top w:w="15" w:type="dxa"/>
              <w:left w:w="0" w:type="dxa"/>
              <w:bottom w:w="0" w:type="dxa"/>
              <w:right w:w="15" w:type="dxa"/>
            </w:tcMar>
            <w:vAlign w:val="bottom"/>
            <w:hideMark/>
          </w:tcPr>
          <w:p w14:paraId="735582E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4EC5119" w14:textId="77777777">
        <w:trPr>
          <w:divId w:val="577792532"/>
          <w:jc w:val="center"/>
        </w:trPr>
        <w:tc>
          <w:tcPr>
            <w:tcW w:w="3347" w:type="pct"/>
            <w:shd w:val="clear" w:color="auto" w:fill="CFF0FC"/>
            <w:tcMar>
              <w:top w:w="15" w:type="dxa"/>
              <w:left w:w="0" w:type="dxa"/>
              <w:bottom w:w="0" w:type="dxa"/>
              <w:right w:w="15" w:type="dxa"/>
            </w:tcMar>
            <w:hideMark/>
          </w:tcPr>
          <w:p w14:paraId="32F2FF73" w14:textId="77777777" w:rsidR="00000000" w:rsidRDefault="007125B5">
            <w:pPr>
              <w:pStyle w:val="a3"/>
              <w:spacing w:before="0" w:beforeAutospacing="0" w:after="0" w:afterAutospacing="0"/>
              <w:rPr>
                <w:color w:val="000000"/>
                <w:sz w:val="20"/>
                <w:szCs w:val="20"/>
              </w:rPr>
            </w:pPr>
            <w:r>
              <w:rPr>
                <w:color w:val="000000"/>
                <w:sz w:val="20"/>
                <w:szCs w:val="20"/>
              </w:rPr>
              <w:t>Net cash used in investing activities</w:t>
            </w:r>
          </w:p>
        </w:tc>
        <w:tc>
          <w:tcPr>
            <w:tcW w:w="81" w:type="pct"/>
            <w:shd w:val="clear" w:color="auto" w:fill="CFF0FC"/>
            <w:tcMar>
              <w:top w:w="15" w:type="dxa"/>
              <w:left w:w="0" w:type="dxa"/>
              <w:bottom w:w="0" w:type="dxa"/>
              <w:right w:w="15" w:type="dxa"/>
            </w:tcMar>
            <w:vAlign w:val="bottom"/>
            <w:hideMark/>
          </w:tcPr>
          <w:p w14:paraId="2F3EB81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2937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C5541B3" w14:textId="77777777" w:rsidR="00000000" w:rsidRDefault="007125B5">
            <w:pPr>
              <w:pStyle w:val="a3"/>
              <w:spacing w:before="0" w:beforeAutospacing="0" w:after="0" w:afterAutospacing="0"/>
              <w:jc w:val="right"/>
              <w:rPr>
                <w:color w:val="000000"/>
                <w:sz w:val="20"/>
                <w:szCs w:val="20"/>
              </w:rPr>
            </w:pPr>
            <w:r>
              <w:rPr>
                <w:color w:val="000000"/>
                <w:sz w:val="20"/>
                <w:szCs w:val="20"/>
              </w:rPr>
              <w:t>(173,969</w:t>
            </w:r>
          </w:p>
        </w:tc>
        <w:tc>
          <w:tcPr>
            <w:tcW w:w="50" w:type="pct"/>
            <w:shd w:val="clear" w:color="auto" w:fill="CFF0FC"/>
            <w:noWrap/>
            <w:tcMar>
              <w:top w:w="15" w:type="dxa"/>
              <w:left w:w="0" w:type="dxa"/>
              <w:bottom w:w="0" w:type="dxa"/>
              <w:right w:w="15" w:type="dxa"/>
            </w:tcMar>
            <w:vAlign w:val="bottom"/>
            <w:hideMark/>
          </w:tcPr>
          <w:p w14:paraId="3DC61544"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732AB61B"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9912E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3782EAC" w14:textId="77777777" w:rsidR="00000000" w:rsidRDefault="007125B5">
            <w:pPr>
              <w:pStyle w:val="a3"/>
              <w:spacing w:before="0" w:beforeAutospacing="0" w:after="0" w:afterAutospacing="0"/>
              <w:jc w:val="right"/>
              <w:rPr>
                <w:color w:val="000000"/>
                <w:sz w:val="20"/>
                <w:szCs w:val="20"/>
              </w:rPr>
            </w:pPr>
            <w:r>
              <w:rPr>
                <w:color w:val="000000"/>
                <w:sz w:val="20"/>
                <w:szCs w:val="20"/>
              </w:rPr>
              <w:t>(27,941</w:t>
            </w:r>
          </w:p>
        </w:tc>
        <w:tc>
          <w:tcPr>
            <w:tcW w:w="50" w:type="pct"/>
            <w:shd w:val="clear" w:color="auto" w:fill="CFF0FC"/>
            <w:noWrap/>
            <w:tcMar>
              <w:top w:w="15" w:type="dxa"/>
              <w:left w:w="0" w:type="dxa"/>
              <w:bottom w:w="0" w:type="dxa"/>
              <w:right w:w="15" w:type="dxa"/>
            </w:tcMar>
            <w:vAlign w:val="bottom"/>
            <w:hideMark/>
          </w:tcPr>
          <w:p w14:paraId="24A339C7"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18C73C9E" w14:textId="77777777">
        <w:trPr>
          <w:divId w:val="577792532"/>
          <w:jc w:val="center"/>
        </w:trPr>
        <w:tc>
          <w:tcPr>
            <w:tcW w:w="3347" w:type="pct"/>
            <w:shd w:val="clear" w:color="auto" w:fill="FFFFFF"/>
            <w:tcMar>
              <w:top w:w="15" w:type="dxa"/>
              <w:left w:w="0" w:type="dxa"/>
              <w:bottom w:w="0" w:type="dxa"/>
              <w:right w:w="15" w:type="dxa"/>
            </w:tcMar>
            <w:hideMark/>
          </w:tcPr>
          <w:p w14:paraId="18F002B4" w14:textId="77777777" w:rsidR="00000000" w:rsidRDefault="007125B5">
            <w:pPr>
              <w:pStyle w:val="a3"/>
              <w:spacing w:before="0" w:beforeAutospacing="0" w:after="0" w:afterAutospacing="0"/>
              <w:rPr>
                <w:color w:val="000000"/>
                <w:sz w:val="20"/>
                <w:szCs w:val="20"/>
              </w:rPr>
            </w:pPr>
            <w:r>
              <w:rPr>
                <w:color w:val="000000"/>
                <w:sz w:val="20"/>
                <w:szCs w:val="20"/>
              </w:rPr>
              <w:t>Net cash provided by financing activities</w:t>
            </w:r>
          </w:p>
        </w:tc>
        <w:tc>
          <w:tcPr>
            <w:tcW w:w="81" w:type="pct"/>
            <w:shd w:val="clear" w:color="auto" w:fill="FFFFFF"/>
            <w:tcMar>
              <w:top w:w="15" w:type="dxa"/>
              <w:left w:w="0" w:type="dxa"/>
              <w:bottom w:w="0" w:type="dxa"/>
              <w:right w:w="15" w:type="dxa"/>
            </w:tcMar>
            <w:vAlign w:val="bottom"/>
            <w:hideMark/>
          </w:tcPr>
          <w:p w14:paraId="4AA465F8"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E8A5E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B30407E" w14:textId="77777777" w:rsidR="00000000" w:rsidRDefault="007125B5">
            <w:pPr>
              <w:pStyle w:val="a3"/>
              <w:spacing w:before="0" w:beforeAutospacing="0" w:after="0" w:afterAutospacing="0"/>
              <w:jc w:val="right"/>
              <w:rPr>
                <w:color w:val="000000"/>
                <w:sz w:val="20"/>
                <w:szCs w:val="20"/>
              </w:rPr>
            </w:pPr>
            <w:r>
              <w:rPr>
                <w:color w:val="000000"/>
                <w:sz w:val="20"/>
                <w:szCs w:val="20"/>
              </w:rPr>
              <w:t>213,412</w:t>
            </w:r>
          </w:p>
        </w:tc>
        <w:tc>
          <w:tcPr>
            <w:tcW w:w="50" w:type="pct"/>
            <w:shd w:val="clear" w:color="auto" w:fill="FFFFFF"/>
            <w:noWrap/>
            <w:tcMar>
              <w:top w:w="15" w:type="dxa"/>
              <w:left w:w="0" w:type="dxa"/>
              <w:bottom w:w="0" w:type="dxa"/>
              <w:right w:w="15" w:type="dxa"/>
            </w:tcMar>
            <w:vAlign w:val="bottom"/>
            <w:hideMark/>
          </w:tcPr>
          <w:p w14:paraId="4526EB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1258384"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3315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1DD27213" w14:textId="77777777" w:rsidR="00000000" w:rsidRDefault="007125B5">
            <w:pPr>
              <w:pStyle w:val="a3"/>
              <w:spacing w:before="0" w:beforeAutospacing="0" w:after="0" w:afterAutospacing="0"/>
              <w:jc w:val="right"/>
              <w:rPr>
                <w:color w:val="000000"/>
                <w:sz w:val="20"/>
                <w:szCs w:val="20"/>
              </w:rPr>
            </w:pPr>
            <w:r>
              <w:rPr>
                <w:color w:val="000000"/>
                <w:sz w:val="20"/>
                <w:szCs w:val="20"/>
              </w:rPr>
              <w:t>22,742</w:t>
            </w:r>
          </w:p>
        </w:tc>
        <w:tc>
          <w:tcPr>
            <w:tcW w:w="50" w:type="pct"/>
            <w:shd w:val="clear" w:color="auto" w:fill="FFFFFF"/>
            <w:noWrap/>
            <w:tcMar>
              <w:top w:w="15" w:type="dxa"/>
              <w:left w:w="0" w:type="dxa"/>
              <w:bottom w:w="0" w:type="dxa"/>
              <w:right w:w="15" w:type="dxa"/>
            </w:tcMar>
            <w:vAlign w:val="bottom"/>
            <w:hideMark/>
          </w:tcPr>
          <w:p w14:paraId="2D6F100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57B9EFC" w14:textId="77777777">
        <w:trPr>
          <w:divId w:val="577792532"/>
          <w:jc w:val="center"/>
        </w:trPr>
        <w:tc>
          <w:tcPr>
            <w:tcW w:w="3347" w:type="pct"/>
            <w:shd w:val="clear" w:color="auto" w:fill="CFF0FC"/>
            <w:tcMar>
              <w:top w:w="15" w:type="dxa"/>
              <w:left w:w="0" w:type="dxa"/>
              <w:bottom w:w="0" w:type="dxa"/>
              <w:right w:w="15" w:type="dxa"/>
            </w:tcMar>
            <w:hideMark/>
          </w:tcPr>
          <w:p w14:paraId="2E6D4796" w14:textId="77777777" w:rsidR="00000000" w:rsidRDefault="007125B5">
            <w:pPr>
              <w:pStyle w:val="a3"/>
              <w:spacing w:before="0" w:beforeAutospacing="0" w:after="0" w:afterAutospacing="0"/>
              <w:rPr>
                <w:b/>
                <w:bCs/>
                <w:color w:val="000000"/>
                <w:sz w:val="20"/>
                <w:szCs w:val="20"/>
              </w:rPr>
            </w:pPr>
            <w:r>
              <w:rPr>
                <w:b/>
                <w:bCs/>
                <w:color w:val="000000"/>
                <w:sz w:val="20"/>
                <w:szCs w:val="20"/>
              </w:rPr>
              <w:t>Change in cash, cash equivalents and restricted cash</w:t>
            </w:r>
          </w:p>
        </w:tc>
        <w:tc>
          <w:tcPr>
            <w:tcW w:w="81" w:type="pct"/>
            <w:shd w:val="clear" w:color="auto" w:fill="CFF0FC"/>
            <w:tcMar>
              <w:top w:w="15" w:type="dxa"/>
              <w:left w:w="0" w:type="dxa"/>
              <w:bottom w:w="0" w:type="dxa"/>
              <w:right w:w="15" w:type="dxa"/>
            </w:tcMar>
            <w:vAlign w:val="bottom"/>
            <w:hideMark/>
          </w:tcPr>
          <w:p w14:paraId="316020F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DC9EC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DC3CC43" w14:textId="77777777" w:rsidR="00000000" w:rsidRDefault="007125B5">
            <w:pPr>
              <w:pStyle w:val="a3"/>
              <w:spacing w:before="0" w:beforeAutospacing="0" w:after="0" w:afterAutospacing="0"/>
              <w:jc w:val="right"/>
              <w:rPr>
                <w:color w:val="000000"/>
                <w:sz w:val="20"/>
                <w:szCs w:val="20"/>
              </w:rPr>
            </w:pPr>
            <w:r>
              <w:rPr>
                <w:color w:val="000000"/>
                <w:sz w:val="20"/>
                <w:szCs w:val="20"/>
              </w:rPr>
              <w:t>37,859</w:t>
            </w:r>
          </w:p>
        </w:tc>
        <w:tc>
          <w:tcPr>
            <w:tcW w:w="50" w:type="pct"/>
            <w:shd w:val="clear" w:color="auto" w:fill="CFF0FC"/>
            <w:noWrap/>
            <w:tcMar>
              <w:top w:w="15" w:type="dxa"/>
              <w:left w:w="0" w:type="dxa"/>
              <w:bottom w:w="0" w:type="dxa"/>
              <w:right w:w="15" w:type="dxa"/>
            </w:tcMar>
            <w:vAlign w:val="bottom"/>
            <w:hideMark/>
          </w:tcPr>
          <w:p w14:paraId="3B7FFC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80C9C7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DB3621"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B872F8" w14:textId="77777777" w:rsidR="00000000" w:rsidRDefault="007125B5">
            <w:pPr>
              <w:pStyle w:val="a3"/>
              <w:spacing w:before="0" w:beforeAutospacing="0" w:after="0" w:afterAutospacing="0"/>
              <w:jc w:val="right"/>
              <w:rPr>
                <w:color w:val="000000"/>
                <w:sz w:val="20"/>
                <w:szCs w:val="20"/>
              </w:rPr>
            </w:pPr>
            <w:r>
              <w:rPr>
                <w:color w:val="000000"/>
                <w:sz w:val="20"/>
                <w:szCs w:val="20"/>
              </w:rPr>
              <w:t>(808</w:t>
            </w:r>
          </w:p>
        </w:tc>
        <w:tc>
          <w:tcPr>
            <w:tcW w:w="50" w:type="pct"/>
            <w:shd w:val="clear" w:color="auto" w:fill="CFF0FC"/>
            <w:noWrap/>
            <w:tcMar>
              <w:top w:w="15" w:type="dxa"/>
              <w:left w:w="0" w:type="dxa"/>
              <w:bottom w:w="0" w:type="dxa"/>
              <w:right w:w="15" w:type="dxa"/>
            </w:tcMar>
            <w:vAlign w:val="bottom"/>
            <w:hideMark/>
          </w:tcPr>
          <w:p w14:paraId="691F6BE8" w14:textId="77777777" w:rsidR="00000000" w:rsidRDefault="007125B5">
            <w:pPr>
              <w:pStyle w:val="a3"/>
              <w:spacing w:before="0" w:beforeAutospacing="0" w:after="0" w:afterAutospacing="0"/>
              <w:rPr>
                <w:color w:val="000000"/>
                <w:sz w:val="20"/>
                <w:szCs w:val="20"/>
              </w:rPr>
            </w:pPr>
            <w:r>
              <w:rPr>
                <w:color w:val="000000"/>
                <w:sz w:val="20"/>
                <w:szCs w:val="20"/>
              </w:rPr>
              <w:t>)</w:t>
            </w:r>
          </w:p>
        </w:tc>
      </w:tr>
    </w:tbl>
    <w:p w14:paraId="228F257B" w14:textId="77777777" w:rsidR="00000000" w:rsidRDefault="007125B5">
      <w:pPr>
        <w:pStyle w:val="a3"/>
        <w:shd w:val="clear" w:color="auto" w:fill="FFFFFF"/>
        <w:spacing w:before="0" w:beforeAutospacing="0" w:after="0" w:afterAutospacing="0"/>
        <w:rPr>
          <w:sz w:val="20"/>
          <w:szCs w:val="20"/>
        </w:rPr>
      </w:pPr>
      <w:r>
        <w:rPr>
          <w:sz w:val="20"/>
          <w:szCs w:val="20"/>
        </w:rPr>
        <w:t> </w:t>
      </w:r>
    </w:p>
    <w:p w14:paraId="689DA3F1" w14:textId="77777777" w:rsidR="00000000" w:rsidRDefault="007125B5">
      <w:pPr>
        <w:pStyle w:val="a3"/>
        <w:shd w:val="clear" w:color="auto" w:fill="FFFFFF"/>
        <w:spacing w:before="160" w:beforeAutospacing="0" w:after="0" w:afterAutospacing="0"/>
        <w:ind w:left="476"/>
        <w:rPr>
          <w:i/>
          <w:iCs/>
          <w:color w:val="000000"/>
          <w:sz w:val="20"/>
          <w:szCs w:val="20"/>
        </w:rPr>
      </w:pPr>
      <w:bookmarkStart w:id="62" w:name="_Hlk49520393"/>
      <w:bookmarkEnd w:id="62"/>
      <w:r>
        <w:rPr>
          <w:i/>
          <w:iCs/>
          <w:color w:val="000000"/>
          <w:sz w:val="20"/>
          <w:szCs w:val="20"/>
        </w:rPr>
        <w:t>Operating Activities</w:t>
      </w:r>
    </w:p>
    <w:p w14:paraId="02A7409A"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Cash flows from operating activities can fluctuate from period-to-period as earnings, working capital needs and the timing of payments for contingent consideration, taxes, bonus payments and other operating items impact reported cash f</w:t>
      </w:r>
      <w:r>
        <w:rPr>
          <w:color w:val="000000"/>
          <w:sz w:val="20"/>
          <w:szCs w:val="20"/>
        </w:rPr>
        <w:t>lows. For the six months ended June 30, 2020, net cash used in operating activities was $1.6 million, a decrease of $6.0 million, when compared to net cash provided by operating activities of $4.4 million for the six months ended June 30, 2019. This decrea</w:t>
      </w:r>
      <w:r>
        <w:rPr>
          <w:color w:val="000000"/>
          <w:sz w:val="20"/>
          <w:szCs w:val="20"/>
        </w:rPr>
        <w:t>se in cash flows from operating activities in the six months ended June 30, 2020 primarily reflects higher contingent consideration payments of $6.2 million, higher interest payments of $4.5 million, higher acquisition-related costs of $2.7 million, and hi</w:t>
      </w:r>
      <w:r>
        <w:rPr>
          <w:color w:val="000000"/>
          <w:sz w:val="20"/>
          <w:szCs w:val="20"/>
        </w:rPr>
        <w:t>gher cloud computing costs of $1.3 million (related to the implementation of new ERP (Enterprise Resource Planning) and CRM (Customer Relationship Management) systems), when compared to the prior year. These higher payments were partially offset by a decre</w:t>
      </w:r>
      <w:r>
        <w:rPr>
          <w:color w:val="000000"/>
          <w:sz w:val="20"/>
          <w:szCs w:val="20"/>
        </w:rPr>
        <w:t>ase in working capital of $6.6 million, as a result of lower accounts receivable, partially offset by a decrease in accounts payable, due to the timing of vendor payments, and higher bonus payments when compared to the six months ended June 30, 2019, as we</w:t>
      </w:r>
      <w:r>
        <w:rPr>
          <w:color w:val="000000"/>
          <w:sz w:val="20"/>
          <w:szCs w:val="20"/>
        </w:rPr>
        <w:t>ll as lower taxes paid of $0.9 million.</w:t>
      </w:r>
    </w:p>
    <w:p w14:paraId="65660492" w14:textId="77777777" w:rsidR="00000000" w:rsidRDefault="007125B5">
      <w:pPr>
        <w:pStyle w:val="a3"/>
        <w:spacing w:before="240" w:beforeAutospacing="0" w:after="0" w:afterAutospacing="0"/>
        <w:jc w:val="center"/>
        <w:rPr>
          <w:sz w:val="20"/>
          <w:szCs w:val="20"/>
        </w:rPr>
      </w:pPr>
      <w:r>
        <w:rPr>
          <w:sz w:val="20"/>
          <w:szCs w:val="20"/>
        </w:rPr>
        <w:t>39</w:t>
      </w:r>
    </w:p>
    <w:p w14:paraId="15CA50D3" w14:textId="77777777" w:rsidR="00000000" w:rsidRDefault="007125B5">
      <w:pPr>
        <w:rPr>
          <w:rFonts w:eastAsia="Times New Roman"/>
        </w:rPr>
      </w:pPr>
      <w:r>
        <w:rPr>
          <w:rFonts w:eastAsia="Times New Roman"/>
        </w:rPr>
        <w:pict w14:anchorId="04840C5F">
          <v:rect id="_x0000_i1065" style="width:415.3pt;height:1.5pt" o:hralign="center" o:hrstd="t" o:hr="t" fillcolor="#a0a0a0" stroked="f"/>
        </w:pict>
      </w:r>
    </w:p>
    <w:p w14:paraId="0D8B7BD5" w14:textId="77777777" w:rsidR="00000000" w:rsidRDefault="007125B5">
      <w:pPr>
        <w:pStyle w:val="a3"/>
        <w:spacing w:before="0" w:beforeAutospacing="0" w:after="0" w:afterAutospacing="0"/>
        <w:rPr>
          <w:sz w:val="20"/>
          <w:szCs w:val="20"/>
        </w:rPr>
      </w:pPr>
      <w:r>
        <w:rPr>
          <w:sz w:val="20"/>
          <w:szCs w:val="20"/>
        </w:rPr>
        <w:t> </w:t>
      </w:r>
    </w:p>
    <w:p w14:paraId="3B1A514D" w14:textId="77777777" w:rsidR="00000000" w:rsidRDefault="007125B5">
      <w:pPr>
        <w:pStyle w:val="a3"/>
        <w:shd w:val="clear" w:color="auto" w:fill="FFFFFF"/>
        <w:spacing w:before="360" w:beforeAutospacing="0" w:after="0" w:afterAutospacing="0"/>
        <w:ind w:left="476"/>
        <w:rPr>
          <w:i/>
          <w:iCs/>
          <w:color w:val="000000"/>
          <w:sz w:val="20"/>
          <w:szCs w:val="20"/>
        </w:rPr>
      </w:pPr>
      <w:bookmarkStart w:id="63" w:name="_AEIOULastRenderedPageBreakAEIOU42"/>
      <w:bookmarkEnd w:id="63"/>
      <w:r>
        <w:rPr>
          <w:i/>
          <w:iCs/>
          <w:color w:val="000000"/>
          <w:sz w:val="20"/>
          <w:szCs w:val="20"/>
        </w:rPr>
        <w:t>Investing Activities</w:t>
      </w:r>
    </w:p>
    <w:p w14:paraId="7BADD647"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For the six months ended June 30, 2020, net cash used in investing activities was $174.0 million, primarily driven by cash paid for the acquisition of CTEH, net of cash acquired, of $170.7 million, as well as purchases of property and equipment for cash co</w:t>
      </w:r>
      <w:r>
        <w:rPr>
          <w:color w:val="000000"/>
          <w:sz w:val="20"/>
          <w:szCs w:val="20"/>
        </w:rPr>
        <w:t>nsideration of $3.2 million.</w:t>
      </w:r>
    </w:p>
    <w:p w14:paraId="570263CB"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six months ended June 30, 2019, net cash used in investing activities was $27.9 million, primarily driven by cash paid for acquisitions, net of cash acquired, of $26.7 million, as well as purchases of property and equip</w:t>
      </w:r>
      <w:r>
        <w:rPr>
          <w:color w:val="000000"/>
          <w:sz w:val="20"/>
          <w:szCs w:val="20"/>
        </w:rPr>
        <w:t>ment for cash consideration of $1.2 million.</w:t>
      </w:r>
    </w:p>
    <w:p w14:paraId="11BB4248" w14:textId="77777777" w:rsidR="00000000" w:rsidRDefault="007125B5">
      <w:pPr>
        <w:pStyle w:val="a3"/>
        <w:shd w:val="clear" w:color="auto" w:fill="FFFFFF"/>
        <w:spacing w:before="360" w:beforeAutospacing="0" w:after="0" w:afterAutospacing="0"/>
        <w:ind w:left="476"/>
        <w:rPr>
          <w:i/>
          <w:iCs/>
          <w:color w:val="000000"/>
          <w:sz w:val="20"/>
          <w:szCs w:val="20"/>
        </w:rPr>
      </w:pPr>
      <w:r>
        <w:rPr>
          <w:i/>
          <w:iCs/>
          <w:color w:val="000000"/>
          <w:sz w:val="20"/>
          <w:szCs w:val="20"/>
        </w:rPr>
        <w:t>Financing Activities</w:t>
      </w:r>
    </w:p>
    <w:p w14:paraId="57EA8E56"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For the six months ended June 30, 2020, net cash provided by financing activities was $213.4 million. Cash provided by financing activities was driven by borrowings under the Unitranche Cred</w:t>
      </w:r>
      <w:r>
        <w:rPr>
          <w:color w:val="000000"/>
          <w:sz w:val="20"/>
          <w:szCs w:val="20"/>
        </w:rPr>
        <w:t>it Facility, consisting of $175.0 million under the term loan and $25.0 million under the revolver, as well as net proceeds of $173.7 million from the issuance of the Series A-2 preferred stock. Proceeds from the Unitranche Credit Facility were used primar</w:t>
      </w:r>
      <w:r>
        <w:rPr>
          <w:color w:val="000000"/>
          <w:sz w:val="20"/>
          <w:szCs w:val="20"/>
        </w:rPr>
        <w:t>ily to repay the $177.5 million outstanding under the prior senior credit facility, whereas proceeds from the issuance of the Series A-2 preferred stock were used to finance a portion of the acquisition of CTEH. Cash from financing activities was also used</w:t>
      </w:r>
      <w:r>
        <w:rPr>
          <w:color w:val="000000"/>
          <w:sz w:val="20"/>
          <w:szCs w:val="20"/>
        </w:rPr>
        <w:t xml:space="preserve"> to make payments of acquisition-related contingent consideration of $6.0 million, amortization payments of $1.3 million related to our term loan under our prior senior secured credit facility, the repayment of capital leases of $1.2 million, and the payme</w:t>
      </w:r>
      <w:r>
        <w:rPr>
          <w:color w:val="000000"/>
          <w:sz w:val="20"/>
          <w:szCs w:val="20"/>
        </w:rPr>
        <w:t>nt of debt issuance and debt extinguishment costs of $6.7 million.</w:t>
      </w:r>
    </w:p>
    <w:p w14:paraId="5C634C56"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For the six months ended June 30, 2019, net cash provided by financing activities was $22.7 million. Cash provided by financing activities was driven by a $24.0 million increase in net borr</w:t>
      </w:r>
      <w:r>
        <w:rPr>
          <w:color w:val="000000"/>
          <w:sz w:val="20"/>
          <w:szCs w:val="20"/>
        </w:rPr>
        <w:t>owings under our prior senior secured credit facility, partially offset by the payment of acquisition-related contingent consideration of $0.5 million and the repayment of capital leases of $0.8 million.</w:t>
      </w:r>
    </w:p>
    <w:p w14:paraId="687469F0"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Credit Facility</w:t>
      </w:r>
    </w:p>
    <w:p w14:paraId="55110F34"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On April 13, 2020, we entered into a</w:t>
      </w:r>
      <w:r>
        <w:rPr>
          <w:color w:val="000000"/>
          <w:sz w:val="20"/>
          <w:szCs w:val="20"/>
        </w:rPr>
        <w:t xml:space="preserve"> Unitranche Credit Agreement providing for a new $225.0 million credit facility comprised of a $175.0 million term loan and a $50.0 million revolving credit facility and used a portion of the proceeds from the new credit facility to repay all amounts outst</w:t>
      </w:r>
      <w:r>
        <w:rPr>
          <w:color w:val="000000"/>
          <w:sz w:val="20"/>
          <w:szCs w:val="20"/>
        </w:rPr>
        <w:t xml:space="preserve">anding under the prior senior secured credit facility. The credit facility matures on the earliest of (a) April 13, 2025, (b) so long as our Series A-1 preferred stock has not been redeemed in full or otherwise not converted into common stock of Montrose, </w:t>
      </w:r>
      <w:r>
        <w:rPr>
          <w:color w:val="000000"/>
          <w:sz w:val="20"/>
          <w:szCs w:val="20"/>
        </w:rPr>
        <w:t>the date that is 180 days before the Series A-1 preferred equity mandatory redemption date, unless prior to such date, the Series A-1 preferred equity mandatory redemption date has been extended to a date not earlier than one hundred eighty (180) days afte</w:t>
      </w:r>
      <w:r>
        <w:rPr>
          <w:color w:val="000000"/>
          <w:sz w:val="20"/>
          <w:szCs w:val="20"/>
        </w:rPr>
        <w:t>r April 13, 2025 and (c) so long as our Series A-2 preferred stock has not been redeemed in full or otherwise not converted into common stock of Montrose, the date that is 180 days before the Series A-2 preferred equity mandatory redemption date, unless pr</w:t>
      </w:r>
      <w:r>
        <w:rPr>
          <w:color w:val="000000"/>
          <w:sz w:val="20"/>
          <w:szCs w:val="20"/>
        </w:rPr>
        <w:t>ior to such date, the Series A-2 preferred equity mandatory redemption date has been extended to a date not earlier than one hundred eighty (180) days after April 13, 2025. The term loan bears interest at a rate of LIBOR plus 5.0% (subject to a 1% LIBOR fl</w:t>
      </w:r>
      <w:r>
        <w:rPr>
          <w:color w:val="000000"/>
          <w:sz w:val="20"/>
          <w:szCs w:val="20"/>
        </w:rPr>
        <w:t>oor) or the base rate plus 4.0%. The revolver bears interest at a rate of LIBOR plus 3.5% or the base rate plus 2.5%. The revolver is also subject to an unused commitment fee of 0.35%. The term loan begins amortizing quarterly with fiscal quarter ending Se</w:t>
      </w:r>
      <w:r>
        <w:rPr>
          <w:color w:val="000000"/>
          <w:sz w:val="20"/>
          <w:szCs w:val="20"/>
        </w:rPr>
        <w:t>ptember 30, 2020, with a required repayment of (a) $0.5 million for fiscal quarter ending September 30, 2020 and each other fiscal quarter through and including June 30, 2021, (b) $1.1 million for fiscal quarter ending September 30, 2021 and each other fis</w:t>
      </w:r>
      <w:r>
        <w:rPr>
          <w:color w:val="000000"/>
          <w:sz w:val="20"/>
          <w:szCs w:val="20"/>
        </w:rPr>
        <w:t>cal quarter through and including June 30, 2021, and (c) $1.6 million for each fiscal quarter ending thereafter. We have the option to borrow incremental term loans up to an aggregate principal amount of $100.0 million subject to the satisfaction of certai</w:t>
      </w:r>
      <w:r>
        <w:rPr>
          <w:color w:val="000000"/>
          <w:sz w:val="20"/>
          <w:szCs w:val="20"/>
        </w:rPr>
        <w:t>n conditions, including the borrower’s pro forma compliance with the financial covenants under the credit facility. Immediately after giving effect to the incurrence of any such incremental term loans, the unitranche lenders must collectively hold at least</w:t>
      </w:r>
      <w:r>
        <w:rPr>
          <w:color w:val="000000"/>
          <w:sz w:val="20"/>
          <w:szCs w:val="20"/>
        </w:rPr>
        <w:t xml:space="preserve"> 70% of all pari passu debt of all lenders under the credit facility. The existing lenders are not obligated to participate in any incremental term loan facility.</w:t>
      </w:r>
    </w:p>
    <w:p w14:paraId="0A8110C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Our obligations under the new credit facility are guaranteed by certain of our existing and f</w:t>
      </w:r>
      <w:r>
        <w:rPr>
          <w:color w:val="000000"/>
          <w:sz w:val="20"/>
          <w:szCs w:val="20"/>
        </w:rPr>
        <w:t>uture direct and indirect subsidiaries, and such obligations are secured by substantially all of our assets. The credit facility includes a number of covenants imposing certain restrictions on our business, including, among other things, restrictions on ou</w:t>
      </w:r>
      <w:r>
        <w:rPr>
          <w:color w:val="000000"/>
          <w:sz w:val="20"/>
          <w:szCs w:val="20"/>
        </w:rPr>
        <w:t>r ability to incur indebtedness, prepay or amend other indebtedness, create liens, make certain fundamental changes including mergers or dissolutions, pay dividends and make other payments in respect of capital stock, make certain investments, sell assets,</w:t>
      </w:r>
      <w:r>
        <w:rPr>
          <w:color w:val="000000"/>
          <w:sz w:val="20"/>
          <w:szCs w:val="20"/>
        </w:rPr>
        <w:t xml:space="preserve"> change our lines of business, enter into transactions with affiliates and other corporate actions. The credit facility also contains financial covenants requiring us to remain below a maximum consolidated total leverage ratio of 4.25 times, which steps do</w:t>
      </w:r>
      <w:r>
        <w:rPr>
          <w:color w:val="000000"/>
          <w:sz w:val="20"/>
          <w:szCs w:val="20"/>
        </w:rPr>
        <w:t>wn to 4.00 times beginning December 31, 2021 and then to 3.75 times beginning December 31, 2022, and a minimum consolidated fixed charge coverage ratio of 1.25 times.</w:t>
      </w:r>
    </w:p>
    <w:p w14:paraId="146CDEA3" w14:textId="77777777" w:rsidR="00000000" w:rsidRDefault="007125B5">
      <w:pPr>
        <w:pStyle w:val="a3"/>
        <w:shd w:val="clear" w:color="auto" w:fill="FFFFFF"/>
        <w:spacing w:before="240" w:beforeAutospacing="0" w:after="0" w:afterAutospacing="0"/>
        <w:ind w:firstLine="556"/>
        <w:rPr>
          <w:color w:val="000000"/>
          <w:sz w:val="20"/>
          <w:szCs w:val="20"/>
        </w:rPr>
      </w:pPr>
      <w:bookmarkStart w:id="64" w:name="_AEIOULastRenderedPageBreakAEIOU43"/>
      <w:bookmarkEnd w:id="64"/>
      <w:r>
        <w:rPr>
          <w:color w:val="000000"/>
          <w:sz w:val="20"/>
          <w:szCs w:val="20"/>
        </w:rPr>
        <w:t>The new credit facility contains mandatory prepayment feature upon a number of events, in</w:t>
      </w:r>
      <w:r>
        <w:rPr>
          <w:color w:val="000000"/>
          <w:sz w:val="20"/>
          <w:szCs w:val="20"/>
        </w:rPr>
        <w:t xml:space="preserve">cluding with the proceeds of certain asset sales, proceeds from the issuance of any debt and proceeds of the capital contribution amounts contributed to cure a financial covenant default. The credit facility also includes mandatory prepayments of 50.0% of </w:t>
      </w:r>
      <w:r>
        <w:rPr>
          <w:color w:val="000000"/>
          <w:sz w:val="20"/>
          <w:szCs w:val="20"/>
        </w:rPr>
        <w:t xml:space="preserve">excess cash flow minus voluntary prepayments of the term loan and, solely to the extent accompanied by a permanent reduction in the revolving commitment, the revolving loan, if </w:t>
      </w:r>
    </w:p>
    <w:p w14:paraId="2FA5C5DE" w14:textId="77777777" w:rsidR="00000000" w:rsidRDefault="007125B5">
      <w:pPr>
        <w:pStyle w:val="a3"/>
        <w:spacing w:before="240" w:beforeAutospacing="0" w:after="0" w:afterAutospacing="0"/>
        <w:jc w:val="center"/>
        <w:rPr>
          <w:sz w:val="20"/>
          <w:szCs w:val="20"/>
        </w:rPr>
      </w:pPr>
      <w:r>
        <w:rPr>
          <w:sz w:val="20"/>
          <w:szCs w:val="20"/>
        </w:rPr>
        <w:t>40</w:t>
      </w:r>
    </w:p>
    <w:p w14:paraId="05A4A766" w14:textId="77777777" w:rsidR="00000000" w:rsidRDefault="007125B5">
      <w:pPr>
        <w:rPr>
          <w:rFonts w:eastAsia="Times New Roman"/>
        </w:rPr>
      </w:pPr>
      <w:r>
        <w:rPr>
          <w:rFonts w:eastAsia="Times New Roman"/>
        </w:rPr>
        <w:pict w14:anchorId="58DB4D2F">
          <v:rect id="_x0000_i1066" style="width:415.3pt;height:1.5pt" o:hralign="center" o:hrstd="t" o:hr="t" fillcolor="#a0a0a0" stroked="f"/>
        </w:pict>
      </w:r>
    </w:p>
    <w:p w14:paraId="18B6AE0D" w14:textId="77777777" w:rsidR="00000000" w:rsidRDefault="007125B5">
      <w:pPr>
        <w:pStyle w:val="a3"/>
        <w:spacing w:before="0" w:beforeAutospacing="0" w:after="0" w:afterAutospacing="0"/>
        <w:rPr>
          <w:sz w:val="20"/>
          <w:szCs w:val="20"/>
        </w:rPr>
      </w:pPr>
      <w:r>
        <w:rPr>
          <w:sz w:val="20"/>
          <w:szCs w:val="20"/>
        </w:rPr>
        <w:t> </w:t>
      </w:r>
    </w:p>
    <w:p w14:paraId="333FF2D4" w14:textId="77777777" w:rsidR="00000000" w:rsidRDefault="007125B5">
      <w:pPr>
        <w:pStyle w:val="a3"/>
        <w:shd w:val="clear" w:color="auto" w:fill="FFFFFF"/>
        <w:spacing w:before="240" w:beforeAutospacing="0" w:after="0" w:afterAutospacing="0"/>
        <w:rPr>
          <w:color w:val="000000"/>
          <w:sz w:val="20"/>
          <w:szCs w:val="20"/>
        </w:rPr>
      </w:pPr>
      <w:r>
        <w:rPr>
          <w:color w:val="000000"/>
          <w:sz w:val="20"/>
          <w:szCs w:val="20"/>
        </w:rPr>
        <w:t>our consolidated total leverage ratio for the year ending December 31, 2020 is greater than or equal to 3.25 times and, for any year thereafter, the</w:t>
      </w:r>
      <w:r>
        <w:rPr>
          <w:color w:val="000000"/>
          <w:sz w:val="20"/>
          <w:szCs w:val="20"/>
        </w:rPr>
        <w:t xml:space="preserve"> amount of any such mandatory prepayment shall be reduced to 25.0% of excess cash flow if the leverage ratio is less than 3.00 times. As of June 30, 2020, the Company’s leverage ratio under the new credit facility was 2.73 times. The weighted average inter</w:t>
      </w:r>
      <w:r>
        <w:rPr>
          <w:color w:val="000000"/>
          <w:sz w:val="20"/>
          <w:szCs w:val="20"/>
        </w:rPr>
        <w:t>est rate on the new credit facility as of June 30, 2020 was 5.71%.</w:t>
      </w:r>
    </w:p>
    <w:p w14:paraId="37537B25"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Our prior senior secured credit facility consisted of a $50.0 million term loan and a $130.0 million revolving credit facility.</w:t>
      </w:r>
    </w:p>
    <w:p w14:paraId="18A802E6"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Borrowings under the prior senior secured credit facility bore interest at either (i) LIBOR plus the applicable margin or (ii) a base rate (equal to the highest of (a) the federal funds rate plus 0.5%, (b) Bank of America, N.A.’s prime rate and (c) the Eur</w:t>
      </w:r>
      <w:r>
        <w:rPr>
          <w:color w:val="000000"/>
          <w:sz w:val="20"/>
          <w:szCs w:val="20"/>
        </w:rPr>
        <w:t>ocurrency Rate, which is based on LIBOR, (using a one-month period plus 1.0%), plus the applicable margin, as we elect). The applicable margin means a percentage per annum determined in accordance with the following table:</w:t>
      </w:r>
    </w:p>
    <w:p w14:paraId="0083FDD6"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119"/>
        <w:gridCol w:w="67"/>
        <w:gridCol w:w="1816"/>
        <w:gridCol w:w="68"/>
        <w:gridCol w:w="89"/>
        <w:gridCol w:w="833"/>
        <w:gridCol w:w="182"/>
        <w:gridCol w:w="68"/>
        <w:gridCol w:w="75"/>
        <w:gridCol w:w="719"/>
        <w:gridCol w:w="182"/>
        <w:gridCol w:w="68"/>
        <w:gridCol w:w="66"/>
        <w:gridCol w:w="728"/>
        <w:gridCol w:w="182"/>
        <w:gridCol w:w="68"/>
        <w:gridCol w:w="65"/>
        <w:gridCol w:w="729"/>
        <w:gridCol w:w="182"/>
      </w:tblGrid>
      <w:tr w:rsidR="00000000" w14:paraId="50A44E73" w14:textId="77777777">
        <w:trPr>
          <w:divId w:val="316344827"/>
          <w:jc w:val="center"/>
        </w:trPr>
        <w:tc>
          <w:tcPr>
            <w:tcW w:w="1295" w:type="pct"/>
            <w:tcBorders>
              <w:bottom w:val="single" w:sz="6" w:space="0" w:color="000000"/>
            </w:tcBorders>
            <w:shd w:val="clear" w:color="auto" w:fill="FFFFFF"/>
            <w:tcMar>
              <w:top w:w="15" w:type="dxa"/>
              <w:left w:w="0" w:type="dxa"/>
              <w:bottom w:w="0" w:type="dxa"/>
              <w:right w:w="15" w:type="dxa"/>
            </w:tcMar>
            <w:vAlign w:val="bottom"/>
            <w:hideMark/>
          </w:tcPr>
          <w:p w14:paraId="62ADAAC5" w14:textId="77777777" w:rsidR="00000000" w:rsidRDefault="007125B5">
            <w:pPr>
              <w:pStyle w:val="a3"/>
              <w:spacing w:before="0" w:beforeAutospacing="0" w:after="0" w:afterAutospacing="0"/>
              <w:rPr>
                <w:b/>
                <w:bCs/>
                <w:color w:val="000000"/>
                <w:sz w:val="16"/>
                <w:szCs w:val="16"/>
              </w:rPr>
            </w:pPr>
            <w:r>
              <w:rPr>
                <w:b/>
                <w:bCs/>
                <w:color w:val="000000"/>
                <w:sz w:val="16"/>
                <w:szCs w:val="16"/>
              </w:rPr>
              <w:t>Pricing Tier</w:t>
            </w:r>
          </w:p>
        </w:tc>
        <w:tc>
          <w:tcPr>
            <w:tcW w:w="62" w:type="pct"/>
            <w:shd w:val="clear" w:color="auto" w:fill="FFFFFF"/>
            <w:tcMar>
              <w:top w:w="15" w:type="dxa"/>
              <w:left w:w="0" w:type="dxa"/>
              <w:bottom w:w="0" w:type="dxa"/>
              <w:right w:w="15" w:type="dxa"/>
            </w:tcMar>
            <w:vAlign w:val="bottom"/>
            <w:hideMark/>
          </w:tcPr>
          <w:p w14:paraId="3B7D31F7"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1113" w:type="pct"/>
            <w:tcBorders>
              <w:bottom w:val="single" w:sz="6" w:space="0" w:color="000000"/>
            </w:tcBorders>
            <w:shd w:val="clear" w:color="auto" w:fill="FFFFFF"/>
            <w:tcMar>
              <w:top w:w="15" w:type="dxa"/>
              <w:left w:w="0" w:type="dxa"/>
              <w:bottom w:w="0" w:type="dxa"/>
              <w:right w:w="15" w:type="dxa"/>
            </w:tcMar>
            <w:vAlign w:val="bottom"/>
            <w:hideMark/>
          </w:tcPr>
          <w:p w14:paraId="4CF2B35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Consolidated</w:t>
            </w:r>
          </w:p>
          <w:p w14:paraId="15D6C59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Lev</w:t>
            </w:r>
            <w:r>
              <w:rPr>
                <w:b/>
                <w:bCs/>
                <w:color w:val="000000"/>
                <w:sz w:val="16"/>
                <w:szCs w:val="16"/>
              </w:rPr>
              <w:t>erage Ratio</w:t>
            </w:r>
          </w:p>
        </w:tc>
        <w:tc>
          <w:tcPr>
            <w:tcW w:w="62" w:type="pct"/>
            <w:shd w:val="clear" w:color="auto" w:fill="FFFFFF"/>
            <w:tcMar>
              <w:top w:w="15" w:type="dxa"/>
              <w:left w:w="0" w:type="dxa"/>
              <w:bottom w:w="0" w:type="dxa"/>
              <w:right w:w="15" w:type="dxa"/>
            </w:tcMar>
            <w:vAlign w:val="bottom"/>
            <w:hideMark/>
          </w:tcPr>
          <w:p w14:paraId="6B66A8B6"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5C63482D"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Commitment</w:t>
            </w:r>
          </w:p>
          <w:p w14:paraId="67D4BC2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Fee</w:t>
            </w:r>
          </w:p>
        </w:tc>
        <w:tc>
          <w:tcPr>
            <w:tcW w:w="50" w:type="pct"/>
            <w:shd w:val="clear" w:color="auto" w:fill="FFFFFF"/>
            <w:noWrap/>
            <w:tcMar>
              <w:top w:w="15" w:type="dxa"/>
              <w:left w:w="0" w:type="dxa"/>
              <w:bottom w:w="0" w:type="dxa"/>
              <w:right w:w="15" w:type="dxa"/>
            </w:tcMar>
            <w:vAlign w:val="bottom"/>
            <w:hideMark/>
          </w:tcPr>
          <w:p w14:paraId="67428A1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7EB88C76"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08F1919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Eurodollar</w:t>
            </w:r>
          </w:p>
          <w:p w14:paraId="366B181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Rate Loans</w:t>
            </w:r>
          </w:p>
          <w:p w14:paraId="4588C43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and LIBOR</w:t>
            </w:r>
          </w:p>
          <w:p w14:paraId="2ADD186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Letter of</w:t>
            </w:r>
          </w:p>
          <w:p w14:paraId="7EFCE7E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Credit Fee</w:t>
            </w:r>
          </w:p>
        </w:tc>
        <w:tc>
          <w:tcPr>
            <w:tcW w:w="50" w:type="pct"/>
            <w:shd w:val="clear" w:color="auto" w:fill="FFFFFF"/>
            <w:noWrap/>
            <w:tcMar>
              <w:top w:w="15" w:type="dxa"/>
              <w:left w:w="0" w:type="dxa"/>
              <w:bottom w:w="0" w:type="dxa"/>
              <w:right w:w="15" w:type="dxa"/>
            </w:tcMar>
            <w:vAlign w:val="bottom"/>
            <w:hideMark/>
          </w:tcPr>
          <w:p w14:paraId="47595844"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499C1054"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032B4860"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Daily</w:t>
            </w:r>
          </w:p>
          <w:p w14:paraId="2E8446E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Floating</w:t>
            </w:r>
          </w:p>
          <w:p w14:paraId="23A085A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Rate Loans</w:t>
            </w:r>
          </w:p>
        </w:tc>
        <w:tc>
          <w:tcPr>
            <w:tcW w:w="50" w:type="pct"/>
            <w:shd w:val="clear" w:color="auto" w:fill="FFFFFF"/>
            <w:noWrap/>
            <w:tcMar>
              <w:top w:w="15" w:type="dxa"/>
              <w:left w:w="0" w:type="dxa"/>
              <w:bottom w:w="0" w:type="dxa"/>
              <w:right w:w="15" w:type="dxa"/>
            </w:tcMar>
            <w:vAlign w:val="bottom"/>
            <w:hideMark/>
          </w:tcPr>
          <w:p w14:paraId="60333213"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2714F2C6" w14:textId="77777777" w:rsidR="00000000" w:rsidRDefault="007125B5">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69B250A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Rate</w:t>
            </w:r>
          </w:p>
          <w:p w14:paraId="78CDBFE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Loans</w:t>
            </w:r>
          </w:p>
        </w:tc>
        <w:tc>
          <w:tcPr>
            <w:tcW w:w="50" w:type="pct"/>
            <w:shd w:val="clear" w:color="auto" w:fill="FFFFFF"/>
            <w:noWrap/>
            <w:tcMar>
              <w:top w:w="15" w:type="dxa"/>
              <w:left w:w="0" w:type="dxa"/>
              <w:bottom w:w="0" w:type="dxa"/>
              <w:right w:w="15" w:type="dxa"/>
            </w:tcMar>
            <w:vAlign w:val="bottom"/>
            <w:hideMark/>
          </w:tcPr>
          <w:p w14:paraId="084816EE"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7F4C92C7" w14:textId="77777777">
        <w:trPr>
          <w:divId w:val="316344827"/>
          <w:jc w:val="center"/>
        </w:trPr>
        <w:tc>
          <w:tcPr>
            <w:tcW w:w="1295" w:type="pct"/>
            <w:tcBorders>
              <w:top w:val="single" w:sz="6" w:space="0" w:color="000000"/>
            </w:tcBorders>
            <w:shd w:val="clear" w:color="auto" w:fill="CFF0FC"/>
            <w:tcMar>
              <w:top w:w="15" w:type="dxa"/>
              <w:left w:w="0" w:type="dxa"/>
              <w:bottom w:w="0" w:type="dxa"/>
              <w:right w:w="15" w:type="dxa"/>
            </w:tcMar>
            <w:hideMark/>
          </w:tcPr>
          <w:p w14:paraId="4A626F23" w14:textId="77777777" w:rsidR="00000000" w:rsidRDefault="007125B5">
            <w:pPr>
              <w:pStyle w:val="a3"/>
              <w:spacing w:before="0" w:beforeAutospacing="0" w:after="0" w:afterAutospacing="0"/>
              <w:rPr>
                <w:color w:val="000000"/>
                <w:sz w:val="20"/>
                <w:szCs w:val="20"/>
              </w:rPr>
            </w:pPr>
            <w:r>
              <w:rPr>
                <w:color w:val="000000"/>
                <w:sz w:val="20"/>
                <w:szCs w:val="20"/>
              </w:rPr>
              <w:t>1</w:t>
            </w:r>
          </w:p>
        </w:tc>
        <w:tc>
          <w:tcPr>
            <w:tcW w:w="62" w:type="pct"/>
            <w:shd w:val="clear" w:color="auto" w:fill="CFF0FC"/>
            <w:tcMar>
              <w:top w:w="15" w:type="dxa"/>
              <w:left w:w="0" w:type="dxa"/>
              <w:bottom w:w="0" w:type="dxa"/>
              <w:right w:w="15" w:type="dxa"/>
            </w:tcMar>
            <w:vAlign w:val="bottom"/>
            <w:hideMark/>
          </w:tcPr>
          <w:p w14:paraId="3D4E77F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tcBorders>
              <w:top w:val="single" w:sz="6" w:space="0" w:color="000000"/>
            </w:tcBorders>
            <w:shd w:val="clear" w:color="auto" w:fill="CFF0FC"/>
            <w:tcMar>
              <w:top w:w="15" w:type="dxa"/>
              <w:left w:w="0" w:type="dxa"/>
              <w:bottom w:w="0" w:type="dxa"/>
              <w:right w:w="15" w:type="dxa"/>
            </w:tcMar>
            <w:vAlign w:val="bottom"/>
            <w:hideMark/>
          </w:tcPr>
          <w:p w14:paraId="065E22CB" w14:textId="77777777" w:rsidR="00000000" w:rsidRDefault="007125B5">
            <w:pPr>
              <w:pStyle w:val="a3"/>
              <w:spacing w:before="0" w:beforeAutospacing="0" w:after="0" w:afterAutospacing="0"/>
              <w:jc w:val="center"/>
              <w:rPr>
                <w:color w:val="000000"/>
                <w:sz w:val="20"/>
                <w:szCs w:val="20"/>
              </w:rPr>
            </w:pPr>
            <w:r>
              <w:rPr>
                <w:color w:val="000000"/>
                <w:sz w:val="20"/>
                <w:szCs w:val="20"/>
              </w:rPr>
              <w:t>&gt; 3.75 to 1.0</w:t>
            </w:r>
          </w:p>
        </w:tc>
        <w:tc>
          <w:tcPr>
            <w:tcW w:w="62" w:type="pct"/>
            <w:shd w:val="clear" w:color="auto" w:fill="CFF0FC"/>
            <w:tcMar>
              <w:top w:w="15" w:type="dxa"/>
              <w:left w:w="0" w:type="dxa"/>
              <w:bottom w:w="0" w:type="dxa"/>
              <w:right w:w="15" w:type="dxa"/>
            </w:tcMar>
            <w:vAlign w:val="bottom"/>
            <w:hideMark/>
          </w:tcPr>
          <w:p w14:paraId="64697F3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4247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0FABE6E2" w14:textId="77777777" w:rsidR="00000000" w:rsidRDefault="007125B5">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CFF0FC"/>
            <w:noWrap/>
            <w:tcMar>
              <w:top w:w="15" w:type="dxa"/>
              <w:left w:w="0" w:type="dxa"/>
              <w:bottom w:w="0" w:type="dxa"/>
              <w:right w:w="15" w:type="dxa"/>
            </w:tcMar>
            <w:vAlign w:val="bottom"/>
            <w:hideMark/>
          </w:tcPr>
          <w:p w14:paraId="50C531E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381982C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B9F34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09B73B2C" w14:textId="77777777" w:rsidR="00000000" w:rsidRDefault="007125B5">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14:paraId="5565BFE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3B80E91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7B43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22DAEEB5" w14:textId="77777777" w:rsidR="00000000" w:rsidRDefault="007125B5">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14:paraId="44046CF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78D5506A"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7AE90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484B329F" w14:textId="77777777" w:rsidR="00000000" w:rsidRDefault="007125B5">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07E1DF9F"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477C970B" w14:textId="77777777">
        <w:trPr>
          <w:divId w:val="316344827"/>
          <w:jc w:val="center"/>
        </w:trPr>
        <w:tc>
          <w:tcPr>
            <w:tcW w:w="1295" w:type="pct"/>
            <w:shd w:val="clear" w:color="auto" w:fill="FFFFFF"/>
            <w:tcMar>
              <w:top w:w="15" w:type="dxa"/>
              <w:left w:w="0" w:type="dxa"/>
              <w:bottom w:w="0" w:type="dxa"/>
              <w:right w:w="15" w:type="dxa"/>
            </w:tcMar>
            <w:hideMark/>
          </w:tcPr>
          <w:p w14:paraId="37A7C917" w14:textId="77777777" w:rsidR="00000000" w:rsidRDefault="007125B5">
            <w:pPr>
              <w:pStyle w:val="a3"/>
              <w:spacing w:before="0" w:beforeAutospacing="0" w:after="0" w:afterAutospacing="0"/>
              <w:rPr>
                <w:color w:val="000000"/>
                <w:sz w:val="20"/>
                <w:szCs w:val="20"/>
              </w:rPr>
            </w:pPr>
            <w:r>
              <w:rPr>
                <w:color w:val="000000"/>
                <w:sz w:val="20"/>
                <w:szCs w:val="20"/>
              </w:rPr>
              <w:t>2</w:t>
            </w:r>
          </w:p>
        </w:tc>
        <w:tc>
          <w:tcPr>
            <w:tcW w:w="62" w:type="pct"/>
            <w:shd w:val="clear" w:color="auto" w:fill="FFFFFF"/>
            <w:tcMar>
              <w:top w:w="15" w:type="dxa"/>
              <w:left w:w="0" w:type="dxa"/>
              <w:bottom w:w="0" w:type="dxa"/>
              <w:right w:w="15" w:type="dxa"/>
            </w:tcMar>
            <w:vAlign w:val="bottom"/>
            <w:hideMark/>
          </w:tcPr>
          <w:p w14:paraId="3ADA474E"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14:paraId="62EE4DE8" w14:textId="77777777" w:rsidR="00000000" w:rsidRDefault="007125B5">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w:t>
            </w:r>
            <w:r>
              <w:rPr>
                <w:rFonts w:ascii="Calibri" w:hAnsi="Calibri" w:cs="Calibri"/>
                <w:color w:val="000000"/>
                <w:sz w:val="20"/>
                <w:szCs w:val="20"/>
              </w:rPr>
              <w:t xml:space="preserve"> </w:t>
            </w:r>
            <w:r>
              <w:rPr>
                <w:color w:val="000000"/>
                <w:sz w:val="20"/>
                <w:szCs w:val="20"/>
              </w:rPr>
              <w:t>3.75 to 1.0 but &gt; 3.00 to 1.0</w:t>
            </w:r>
          </w:p>
        </w:tc>
        <w:tc>
          <w:tcPr>
            <w:tcW w:w="62" w:type="pct"/>
            <w:shd w:val="clear" w:color="auto" w:fill="FFFFFF"/>
            <w:tcMar>
              <w:top w:w="15" w:type="dxa"/>
              <w:left w:w="0" w:type="dxa"/>
              <w:bottom w:w="0" w:type="dxa"/>
              <w:right w:w="15" w:type="dxa"/>
            </w:tcMar>
            <w:vAlign w:val="bottom"/>
            <w:hideMark/>
          </w:tcPr>
          <w:p w14:paraId="6B2F9D90"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BC86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078CA9D1" w14:textId="77777777" w:rsidR="00000000" w:rsidRDefault="007125B5">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FFFFFF"/>
            <w:noWrap/>
            <w:tcMar>
              <w:top w:w="15" w:type="dxa"/>
              <w:left w:w="0" w:type="dxa"/>
              <w:bottom w:w="0" w:type="dxa"/>
              <w:right w:w="15" w:type="dxa"/>
            </w:tcMar>
            <w:vAlign w:val="bottom"/>
            <w:hideMark/>
          </w:tcPr>
          <w:p w14:paraId="3A5B58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5D6481BD"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D21AA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5E55878E" w14:textId="77777777" w:rsidR="00000000" w:rsidRDefault="007125B5">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14:paraId="123E3B6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787A096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C7A19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118EEA5C" w14:textId="77777777" w:rsidR="00000000" w:rsidRDefault="007125B5">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14:paraId="32C190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46CEB0F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67C7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626BB58A" w14:textId="77777777" w:rsidR="00000000" w:rsidRDefault="007125B5">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14:paraId="59204ED1"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AAE4CCF" w14:textId="77777777">
        <w:trPr>
          <w:divId w:val="316344827"/>
          <w:jc w:val="center"/>
        </w:trPr>
        <w:tc>
          <w:tcPr>
            <w:tcW w:w="1295" w:type="pct"/>
            <w:shd w:val="clear" w:color="auto" w:fill="CFF0FC"/>
            <w:tcMar>
              <w:top w:w="15" w:type="dxa"/>
              <w:left w:w="0" w:type="dxa"/>
              <w:bottom w:w="0" w:type="dxa"/>
              <w:right w:w="15" w:type="dxa"/>
            </w:tcMar>
            <w:hideMark/>
          </w:tcPr>
          <w:p w14:paraId="11BB6926" w14:textId="77777777" w:rsidR="00000000" w:rsidRDefault="007125B5">
            <w:pPr>
              <w:pStyle w:val="a3"/>
              <w:spacing w:before="0" w:beforeAutospacing="0" w:after="0" w:afterAutospacing="0"/>
              <w:rPr>
                <w:color w:val="000000"/>
                <w:sz w:val="20"/>
                <w:szCs w:val="20"/>
              </w:rPr>
            </w:pPr>
            <w:r>
              <w:rPr>
                <w:color w:val="000000"/>
                <w:sz w:val="20"/>
                <w:szCs w:val="20"/>
              </w:rPr>
              <w:t>3</w:t>
            </w:r>
          </w:p>
        </w:tc>
        <w:tc>
          <w:tcPr>
            <w:tcW w:w="62" w:type="pct"/>
            <w:shd w:val="clear" w:color="auto" w:fill="CFF0FC"/>
            <w:tcMar>
              <w:top w:w="15" w:type="dxa"/>
              <w:left w:w="0" w:type="dxa"/>
              <w:bottom w:w="0" w:type="dxa"/>
              <w:right w:w="15" w:type="dxa"/>
            </w:tcMar>
            <w:vAlign w:val="bottom"/>
            <w:hideMark/>
          </w:tcPr>
          <w:p w14:paraId="5DBD9CB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CFF0FC"/>
            <w:tcMar>
              <w:top w:w="15" w:type="dxa"/>
              <w:left w:w="0" w:type="dxa"/>
              <w:bottom w:w="0" w:type="dxa"/>
              <w:right w:w="15" w:type="dxa"/>
            </w:tcMar>
            <w:vAlign w:val="bottom"/>
            <w:hideMark/>
          </w:tcPr>
          <w:p w14:paraId="4E31DE03" w14:textId="77777777" w:rsidR="00000000" w:rsidRDefault="007125B5">
            <w:pPr>
              <w:pStyle w:val="a3"/>
              <w:spacing w:before="0" w:beforeAutospacing="0" w:after="0" w:afterAutospacing="0"/>
              <w:jc w:val="center"/>
              <w:rPr>
                <w:color w:val="000000"/>
                <w:sz w:val="20"/>
                <w:szCs w:val="20"/>
              </w:rPr>
            </w:pPr>
            <w:r>
              <w:rPr>
                <w:color w:val="000000"/>
                <w:sz w:val="20"/>
                <w:szCs w:val="20"/>
              </w:rPr>
              <w:t>≤</w:t>
            </w:r>
            <w:r>
              <w:rPr>
                <w:color w:val="000000"/>
                <w:sz w:val="20"/>
                <w:szCs w:val="20"/>
              </w:rPr>
              <w:t xml:space="preserve"> 3.00 to 1.0 but &gt; 2.25 to 1.0</w:t>
            </w:r>
          </w:p>
        </w:tc>
        <w:tc>
          <w:tcPr>
            <w:tcW w:w="62" w:type="pct"/>
            <w:shd w:val="clear" w:color="auto" w:fill="CFF0FC"/>
            <w:tcMar>
              <w:top w:w="15" w:type="dxa"/>
              <w:left w:w="0" w:type="dxa"/>
              <w:bottom w:w="0" w:type="dxa"/>
              <w:right w:w="15" w:type="dxa"/>
            </w:tcMar>
            <w:vAlign w:val="bottom"/>
            <w:hideMark/>
          </w:tcPr>
          <w:p w14:paraId="6A1F088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9640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76442040" w14:textId="77777777" w:rsidR="00000000" w:rsidRDefault="007125B5">
            <w:pPr>
              <w:pStyle w:val="a3"/>
              <w:spacing w:before="0" w:beforeAutospacing="0" w:after="0" w:afterAutospacing="0"/>
              <w:jc w:val="right"/>
              <w:rPr>
                <w:color w:val="000000"/>
                <w:sz w:val="20"/>
                <w:szCs w:val="20"/>
              </w:rPr>
            </w:pPr>
            <w:r>
              <w:rPr>
                <w:color w:val="000000"/>
                <w:sz w:val="20"/>
                <w:szCs w:val="20"/>
              </w:rPr>
              <w:t>0.40</w:t>
            </w:r>
          </w:p>
        </w:tc>
        <w:tc>
          <w:tcPr>
            <w:tcW w:w="50" w:type="pct"/>
            <w:shd w:val="clear" w:color="auto" w:fill="CFF0FC"/>
            <w:noWrap/>
            <w:tcMar>
              <w:top w:w="15" w:type="dxa"/>
              <w:left w:w="0" w:type="dxa"/>
              <w:bottom w:w="0" w:type="dxa"/>
              <w:right w:w="15" w:type="dxa"/>
            </w:tcMar>
            <w:vAlign w:val="bottom"/>
            <w:hideMark/>
          </w:tcPr>
          <w:p w14:paraId="2E9624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5108AF4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38E86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03384DFA" w14:textId="77777777" w:rsidR="00000000" w:rsidRDefault="007125B5">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221416C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77BAE1E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7862C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40737298" w14:textId="77777777" w:rsidR="00000000" w:rsidRDefault="007125B5">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2800116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25A96521"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9977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14:paraId="1084CC22" w14:textId="77777777" w:rsidR="00000000" w:rsidRDefault="007125B5">
            <w:pPr>
              <w:pStyle w:val="a3"/>
              <w:spacing w:before="0" w:beforeAutospacing="0" w:after="0" w:afterAutospacing="0"/>
              <w:jc w:val="right"/>
              <w:rPr>
                <w:color w:val="000000"/>
                <w:sz w:val="20"/>
                <w:szCs w:val="20"/>
              </w:rPr>
            </w:pPr>
            <w:r>
              <w:rPr>
                <w:color w:val="000000"/>
                <w:sz w:val="20"/>
                <w:szCs w:val="20"/>
              </w:rPr>
              <w:t>2.00</w:t>
            </w:r>
          </w:p>
        </w:tc>
        <w:tc>
          <w:tcPr>
            <w:tcW w:w="50" w:type="pct"/>
            <w:shd w:val="clear" w:color="auto" w:fill="CFF0FC"/>
            <w:noWrap/>
            <w:tcMar>
              <w:top w:w="15" w:type="dxa"/>
              <w:left w:w="0" w:type="dxa"/>
              <w:bottom w:w="0" w:type="dxa"/>
              <w:right w:w="15" w:type="dxa"/>
            </w:tcMar>
            <w:vAlign w:val="bottom"/>
            <w:hideMark/>
          </w:tcPr>
          <w:p w14:paraId="5197E162"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79C20A9" w14:textId="77777777">
        <w:trPr>
          <w:divId w:val="316344827"/>
          <w:jc w:val="center"/>
        </w:trPr>
        <w:tc>
          <w:tcPr>
            <w:tcW w:w="1295" w:type="pct"/>
            <w:shd w:val="clear" w:color="auto" w:fill="FFFFFF"/>
            <w:tcMar>
              <w:top w:w="15" w:type="dxa"/>
              <w:left w:w="0" w:type="dxa"/>
              <w:bottom w:w="0" w:type="dxa"/>
              <w:right w:w="15" w:type="dxa"/>
            </w:tcMar>
            <w:hideMark/>
          </w:tcPr>
          <w:p w14:paraId="1BC583BC" w14:textId="77777777" w:rsidR="00000000" w:rsidRDefault="007125B5">
            <w:pPr>
              <w:pStyle w:val="a3"/>
              <w:spacing w:before="0" w:beforeAutospacing="0" w:after="0" w:afterAutospacing="0"/>
              <w:rPr>
                <w:color w:val="000000"/>
                <w:sz w:val="20"/>
                <w:szCs w:val="20"/>
              </w:rPr>
            </w:pPr>
            <w:r>
              <w:rPr>
                <w:color w:val="000000"/>
                <w:sz w:val="20"/>
                <w:szCs w:val="20"/>
              </w:rPr>
              <w:t>4</w:t>
            </w:r>
          </w:p>
        </w:tc>
        <w:tc>
          <w:tcPr>
            <w:tcW w:w="62" w:type="pct"/>
            <w:shd w:val="clear" w:color="auto" w:fill="FFFFFF"/>
            <w:tcMar>
              <w:top w:w="15" w:type="dxa"/>
              <w:left w:w="0" w:type="dxa"/>
              <w:bottom w:w="0" w:type="dxa"/>
              <w:right w:w="15" w:type="dxa"/>
            </w:tcMar>
            <w:vAlign w:val="bottom"/>
            <w:hideMark/>
          </w:tcPr>
          <w:p w14:paraId="035B714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14:paraId="6616850A" w14:textId="77777777" w:rsidR="00000000" w:rsidRDefault="007125B5">
            <w:pPr>
              <w:pStyle w:val="a3"/>
              <w:spacing w:before="0" w:beforeAutospacing="0" w:after="0" w:afterAutospacing="0"/>
              <w:jc w:val="center"/>
              <w:rPr>
                <w:color w:val="000000"/>
                <w:sz w:val="20"/>
                <w:szCs w:val="20"/>
              </w:rPr>
            </w:pPr>
            <w:r>
              <w:rPr>
                <w:color w:val="000000"/>
                <w:sz w:val="20"/>
                <w:szCs w:val="20"/>
              </w:rPr>
              <w:t>&lt; 2.25 to 1.0</w:t>
            </w:r>
          </w:p>
        </w:tc>
        <w:tc>
          <w:tcPr>
            <w:tcW w:w="62" w:type="pct"/>
            <w:shd w:val="clear" w:color="auto" w:fill="FFFFFF"/>
            <w:tcMar>
              <w:top w:w="15" w:type="dxa"/>
              <w:left w:w="0" w:type="dxa"/>
              <w:bottom w:w="0" w:type="dxa"/>
              <w:right w:w="15" w:type="dxa"/>
            </w:tcMar>
            <w:vAlign w:val="bottom"/>
            <w:hideMark/>
          </w:tcPr>
          <w:p w14:paraId="08FACA52"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305EA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12AC866A" w14:textId="77777777" w:rsidR="00000000" w:rsidRDefault="007125B5">
            <w:pPr>
              <w:pStyle w:val="a3"/>
              <w:spacing w:before="0" w:beforeAutospacing="0" w:after="0" w:afterAutospacing="0"/>
              <w:jc w:val="right"/>
              <w:rPr>
                <w:color w:val="000000"/>
                <w:sz w:val="20"/>
                <w:szCs w:val="20"/>
              </w:rPr>
            </w:pPr>
            <w:r>
              <w:rPr>
                <w:color w:val="000000"/>
                <w:sz w:val="20"/>
                <w:szCs w:val="20"/>
              </w:rPr>
              <w:t>0.30</w:t>
            </w:r>
          </w:p>
        </w:tc>
        <w:tc>
          <w:tcPr>
            <w:tcW w:w="50" w:type="pct"/>
            <w:shd w:val="clear" w:color="auto" w:fill="FFFFFF"/>
            <w:noWrap/>
            <w:tcMar>
              <w:top w:w="15" w:type="dxa"/>
              <w:left w:w="0" w:type="dxa"/>
              <w:bottom w:w="0" w:type="dxa"/>
              <w:right w:w="15" w:type="dxa"/>
            </w:tcMar>
            <w:vAlign w:val="bottom"/>
            <w:hideMark/>
          </w:tcPr>
          <w:p w14:paraId="7FAD3E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3435B64F"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9FB64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091FFFB6" w14:textId="77777777" w:rsidR="00000000" w:rsidRDefault="007125B5">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14:paraId="2BA194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70D09299"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94DF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465AD527" w14:textId="77777777" w:rsidR="00000000" w:rsidRDefault="007125B5">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14:paraId="25B0018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6C384387"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8392E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14:paraId="63A82B65" w14:textId="77777777" w:rsidR="00000000" w:rsidRDefault="007125B5">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14:paraId="45959C5B" w14:textId="77777777" w:rsidR="00000000" w:rsidRDefault="007125B5">
            <w:pPr>
              <w:pStyle w:val="a3"/>
              <w:spacing w:before="0" w:beforeAutospacing="0" w:after="0" w:afterAutospacing="0"/>
              <w:rPr>
                <w:color w:val="000000"/>
                <w:sz w:val="2"/>
                <w:szCs w:val="2"/>
              </w:rPr>
            </w:pPr>
            <w:r>
              <w:rPr>
                <w:color w:val="000000"/>
                <w:sz w:val="2"/>
                <w:szCs w:val="2"/>
              </w:rPr>
              <w:t> </w:t>
            </w:r>
          </w:p>
        </w:tc>
      </w:tr>
    </w:tbl>
    <w:p w14:paraId="5B9D9F73" w14:textId="77777777" w:rsidR="00000000" w:rsidRDefault="007125B5">
      <w:pPr>
        <w:pStyle w:val="a3"/>
        <w:shd w:val="clear" w:color="auto" w:fill="FFFFFF"/>
        <w:spacing w:before="0" w:beforeAutospacing="0" w:after="0" w:afterAutospacing="0"/>
        <w:rPr>
          <w:sz w:val="20"/>
          <w:szCs w:val="20"/>
        </w:rPr>
      </w:pPr>
      <w:r>
        <w:rPr>
          <w:sz w:val="20"/>
          <w:szCs w:val="20"/>
        </w:rPr>
        <w:t> </w:t>
      </w:r>
    </w:p>
    <w:p w14:paraId="48FAF77D"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The weighted average interest rate on the prior senior secured credit facility as of March 31, 2020 was 4.95%. All amounts outstanding under the prior senior secured credit facility were repaid on April 13, 2020.</w:t>
      </w:r>
    </w:p>
    <w:p w14:paraId="5EF541C9" w14:textId="77777777" w:rsidR="00000000" w:rsidRDefault="007125B5">
      <w:pPr>
        <w:pStyle w:val="a3"/>
        <w:shd w:val="clear" w:color="auto" w:fill="FFFFFF"/>
        <w:spacing w:before="40" w:beforeAutospacing="0" w:after="0" w:afterAutospacing="0"/>
        <w:ind w:firstLine="556"/>
        <w:rPr>
          <w:sz w:val="20"/>
          <w:szCs w:val="20"/>
        </w:rPr>
      </w:pPr>
      <w:r>
        <w:rPr>
          <w:sz w:val="20"/>
          <w:szCs w:val="20"/>
        </w:rPr>
        <w:t> </w:t>
      </w:r>
    </w:p>
    <w:p w14:paraId="01E9B1E3" w14:textId="77777777" w:rsidR="00000000" w:rsidRDefault="007125B5">
      <w:pPr>
        <w:pStyle w:val="a3"/>
        <w:shd w:val="clear" w:color="auto" w:fill="FFFFFF"/>
        <w:spacing w:before="40" w:beforeAutospacing="0" w:after="0" w:afterAutospacing="0"/>
        <w:ind w:firstLine="556"/>
        <w:rPr>
          <w:color w:val="000000"/>
          <w:sz w:val="20"/>
          <w:szCs w:val="20"/>
        </w:rPr>
      </w:pPr>
      <w:r>
        <w:rPr>
          <w:color w:val="000000"/>
          <w:sz w:val="20"/>
          <w:szCs w:val="20"/>
        </w:rPr>
        <w:t>See Note 13 to our unaudi</w:t>
      </w:r>
      <w:r>
        <w:rPr>
          <w:color w:val="000000"/>
          <w:sz w:val="20"/>
          <w:szCs w:val="20"/>
        </w:rPr>
        <w:t>ted condensed consolidated financial statements.</w:t>
      </w:r>
    </w:p>
    <w:p w14:paraId="7D59FA39"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Series A-1 Preferred Stock</w:t>
      </w:r>
    </w:p>
    <w:p w14:paraId="7FE155B7"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On October 19, 2018, we issued 12,000 shares of our Series A-1 preferred stock. The Series A-1 preferred stock accrues dividends quarterly at an annual rate of 15.0% with respect t</w:t>
      </w:r>
      <w:r>
        <w:rPr>
          <w:color w:val="000000"/>
          <w:sz w:val="20"/>
          <w:szCs w:val="20"/>
        </w:rPr>
        <w:t>o any dividends paid in cash and at an annual rate of 14.2%, compounded quarterly with respect to dividends that are accrued. In the event of a redemption, a holder is guaranteed a minimum of either two or three years of dividends depending on the nature o</w:t>
      </w:r>
      <w:r>
        <w:rPr>
          <w:color w:val="000000"/>
          <w:sz w:val="20"/>
          <w:szCs w:val="20"/>
        </w:rPr>
        <w:t>f the redemption. Total accrued and unpaid dividends as of March 31, 2020, December 31, 2019 and December 31, 2018 were $27.0 million, $21.9 million and $3.4 million, respectively. The Series A-1 preferred stock is redeemable at our option at any time and,</w:t>
      </w:r>
      <w:r>
        <w:rPr>
          <w:color w:val="000000"/>
          <w:sz w:val="20"/>
          <w:szCs w:val="20"/>
        </w:rPr>
        <w:t xml:space="preserve"> under certain circumstances, including an initial public offering, at the option of the holders of a majority of the Series A-1 preferred stock outstanding. The Series A-1 preferred stock also contains certain restrictive covenants. As of March 31, 2020, </w:t>
      </w:r>
      <w:r>
        <w:rPr>
          <w:color w:val="000000"/>
          <w:sz w:val="20"/>
          <w:szCs w:val="20"/>
        </w:rPr>
        <w:t>December 31, 2019 and December 31, 2018, we were subject to a maximum consolidated total leverage ratio, including the outstanding principal and accrued dividend on the Series A-1 preferred stock, of 10.0 times as of the end of any fiscal quarter until mat</w:t>
      </w:r>
      <w:r>
        <w:rPr>
          <w:color w:val="000000"/>
          <w:sz w:val="20"/>
          <w:szCs w:val="20"/>
        </w:rPr>
        <w:t>urity. We were in compliance with the covenants as of March 31, 2020, December 31, 2019 and December 31, 2018. We redeemed all issued and outstanding shares of Series A-1 preferred stock with a portion of the proceeds from the Company’s initial public offe</w:t>
      </w:r>
      <w:r>
        <w:rPr>
          <w:color w:val="000000"/>
          <w:sz w:val="20"/>
          <w:szCs w:val="20"/>
        </w:rPr>
        <w:t>ring and the issuance of shares of common stock on July 27, 2020.</w:t>
      </w:r>
    </w:p>
    <w:p w14:paraId="02A24BBD"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See Note 16 to our unaudited June 30, 2020 condensed consolidated financial statements.</w:t>
      </w:r>
    </w:p>
    <w:p w14:paraId="274047AF"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Series A-2 Preferred Stock</w:t>
      </w:r>
    </w:p>
    <w:p w14:paraId="680ADCFD" w14:textId="77777777" w:rsidR="00000000" w:rsidRDefault="007125B5">
      <w:pPr>
        <w:pStyle w:val="a3"/>
        <w:shd w:val="clear" w:color="auto" w:fill="FFFFFF"/>
        <w:spacing w:before="120" w:beforeAutospacing="0" w:after="0" w:afterAutospacing="0"/>
        <w:ind w:firstLine="556"/>
        <w:rPr>
          <w:color w:val="000000"/>
          <w:sz w:val="20"/>
          <w:szCs w:val="20"/>
        </w:rPr>
      </w:pPr>
      <w:bookmarkStart w:id="65" w:name="_AEIOULastRenderedPageBreakAEIOU44"/>
      <w:bookmarkEnd w:id="65"/>
      <w:r>
        <w:rPr>
          <w:color w:val="000000"/>
          <w:sz w:val="20"/>
          <w:szCs w:val="20"/>
        </w:rPr>
        <w:t>On April 13, 2020, the Company issued 17,500 shares of the Series A-2 preferred stock with a par value of $0.0001 per share and a warrant to purchase common stock, in exchange for $175.0 million. Prior to the effectiveness of the Company’s initial public o</w:t>
      </w:r>
      <w:r>
        <w:rPr>
          <w:color w:val="000000"/>
          <w:sz w:val="20"/>
          <w:szCs w:val="20"/>
        </w:rPr>
        <w:t>ffering, each share of Series A-2 preferred stock accrued dividends at the rate of 15.0% per annum with respect to dividends that are paid in cash, and 14.2% per annum, with respect to dividends that accrue and compound before a private offering (in certai</w:t>
      </w:r>
      <w:r>
        <w:rPr>
          <w:color w:val="000000"/>
          <w:sz w:val="20"/>
          <w:szCs w:val="20"/>
        </w:rPr>
        <w:t>n circumstances), resulting in an annual dividend rate of 15.0%, and 9.0% per annum after an initial public offering or private offering (in certain circumstances). Following the completion of the Company’s initial public offering, the Series A-2 preferred</w:t>
      </w:r>
      <w:r>
        <w:rPr>
          <w:color w:val="000000"/>
          <w:sz w:val="20"/>
          <w:szCs w:val="20"/>
        </w:rPr>
        <w:t xml:space="preserve"> stock does not mature or have a cash repayment obligation; however, it is redeemable at the Company’s option. The Series A-2 preferred stock becomes convertible into our common stock beginning on the four-year anniversary of the Series A-2 preferred stock</w:t>
      </w:r>
      <w:r>
        <w:rPr>
          <w:color w:val="000000"/>
          <w:sz w:val="20"/>
          <w:szCs w:val="20"/>
        </w:rPr>
        <w:t xml:space="preserve"> issuance. Upon the four-year anniversary of the issuance, holders of Series A-2 preferred stock may convert up to $60.0 million of such shares into our common stock at a conversion rate discounted to 85.0% of the volume weighted average trading value, wit</w:t>
      </w:r>
      <w:r>
        <w:rPr>
          <w:color w:val="000000"/>
          <w:sz w:val="20"/>
          <w:szCs w:val="20"/>
        </w:rPr>
        <w:t>h the permitted amount of Series A-2 preferred stock to be converted increasing at each subsequent anniversary of the issuance until the sixth anniversary, after which all of the Series A-2 preferred stock may be converted at the holder’s option. Following</w:t>
      </w:r>
      <w:r>
        <w:rPr>
          <w:color w:val="000000"/>
          <w:sz w:val="20"/>
          <w:szCs w:val="20"/>
        </w:rPr>
        <w:t xml:space="preserve"> the completion of the Company’s </w:t>
      </w:r>
    </w:p>
    <w:p w14:paraId="03CCD3A5" w14:textId="77777777" w:rsidR="00000000" w:rsidRDefault="007125B5">
      <w:pPr>
        <w:pStyle w:val="a3"/>
        <w:spacing w:before="240" w:beforeAutospacing="0" w:after="0" w:afterAutospacing="0"/>
        <w:jc w:val="center"/>
        <w:rPr>
          <w:sz w:val="20"/>
          <w:szCs w:val="20"/>
        </w:rPr>
      </w:pPr>
      <w:r>
        <w:rPr>
          <w:sz w:val="20"/>
          <w:szCs w:val="20"/>
        </w:rPr>
        <w:t>41</w:t>
      </w:r>
    </w:p>
    <w:p w14:paraId="63E00C79" w14:textId="77777777" w:rsidR="00000000" w:rsidRDefault="007125B5">
      <w:pPr>
        <w:rPr>
          <w:rFonts w:eastAsia="Times New Roman"/>
        </w:rPr>
      </w:pPr>
      <w:r>
        <w:rPr>
          <w:rFonts w:eastAsia="Times New Roman"/>
        </w:rPr>
        <w:pict w14:anchorId="702CF883">
          <v:rect id="_x0000_i1067" style="width:415.3pt;height:1.5pt" o:hralign="center" o:hrstd="t" o:hr="t" fillcolor="#a0a0a0" stroked="f"/>
        </w:pict>
      </w:r>
    </w:p>
    <w:p w14:paraId="254B6C41" w14:textId="77777777" w:rsidR="00000000" w:rsidRDefault="007125B5">
      <w:pPr>
        <w:pStyle w:val="a3"/>
        <w:spacing w:before="0" w:beforeAutospacing="0" w:after="0" w:afterAutospacing="0"/>
        <w:rPr>
          <w:sz w:val="20"/>
          <w:szCs w:val="20"/>
        </w:rPr>
      </w:pPr>
      <w:r>
        <w:rPr>
          <w:sz w:val="20"/>
          <w:szCs w:val="20"/>
        </w:rPr>
        <w:t> </w:t>
      </w:r>
    </w:p>
    <w:p w14:paraId="5984BB79" w14:textId="77777777" w:rsidR="00000000" w:rsidRDefault="007125B5">
      <w:pPr>
        <w:pStyle w:val="a3"/>
        <w:shd w:val="clear" w:color="auto" w:fill="FFFFFF"/>
        <w:spacing w:before="120" w:beforeAutospacing="0" w:after="0" w:afterAutospacing="0"/>
        <w:rPr>
          <w:color w:val="000000"/>
          <w:sz w:val="20"/>
          <w:szCs w:val="20"/>
        </w:rPr>
      </w:pPr>
      <w:r>
        <w:rPr>
          <w:color w:val="000000"/>
          <w:sz w:val="20"/>
          <w:szCs w:val="20"/>
        </w:rPr>
        <w:t>initial public offering and redemption of the Series A-1 preferred stock o</w:t>
      </w:r>
      <w:r>
        <w:rPr>
          <w:color w:val="000000"/>
          <w:sz w:val="20"/>
          <w:szCs w:val="20"/>
        </w:rPr>
        <w:t>n July 27, 2020, the Series A-2 preferred stock dividend rate changed to 9.0% per annum, with such dividends accruing daily and compounding quarterly. If permitted under our existing debt facilities, we must pay the Series A-2 preferred stock dividend in c</w:t>
      </w:r>
      <w:r>
        <w:rPr>
          <w:color w:val="000000"/>
          <w:sz w:val="20"/>
          <w:szCs w:val="20"/>
        </w:rPr>
        <w:t>ash each quarter.</w:t>
      </w:r>
    </w:p>
    <w:p w14:paraId="54190432"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With respect to any redemption of any share of the Series A-2 preferred stock prior to April 13, 2023, the Company is subject to a make whole penalty in which the holder is guaranteed at least three years of dividend payments on the redee</w:t>
      </w:r>
      <w:r>
        <w:rPr>
          <w:color w:val="000000"/>
          <w:sz w:val="20"/>
          <w:szCs w:val="20"/>
        </w:rPr>
        <w:t>med amount.</w:t>
      </w:r>
    </w:p>
    <w:p w14:paraId="5EC2D9F0"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See Note 17 to our unaudited condensed consolidated financial statements.</w:t>
      </w:r>
    </w:p>
    <w:p w14:paraId="742FBBFA"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Off-Balance Sheet Arrangements</w:t>
      </w:r>
    </w:p>
    <w:p w14:paraId="664B6652"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We did not have during the period presented, and we do not currently have, any off-balance sheet financing arrangements or any relationship</w:t>
      </w:r>
      <w:r>
        <w:rPr>
          <w:color w:val="000000"/>
          <w:sz w:val="20"/>
          <w:szCs w:val="20"/>
        </w:rPr>
        <w:t>s with unconsolidated entities or financial partnerships, including entities sometimes referred to as structured finance or special purpose entities, that were established for the purpose of facilitating off-balance sheet arrangements or other contractuall</w:t>
      </w:r>
      <w:r>
        <w:rPr>
          <w:color w:val="000000"/>
          <w:sz w:val="20"/>
          <w:szCs w:val="20"/>
        </w:rPr>
        <w:t>y narrow or limited purposes.</w:t>
      </w:r>
    </w:p>
    <w:p w14:paraId="75A14568"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Critical Accounting Policies and Estimates</w:t>
      </w:r>
    </w:p>
    <w:p w14:paraId="46F09D05"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Our Final Prospectus filed with the SEC on July 22, 2020 includes a summary of the critical accounting policies we believe are the most important to aid in understanding our financial</w:t>
      </w:r>
      <w:r>
        <w:rPr>
          <w:color w:val="000000"/>
          <w:sz w:val="20"/>
          <w:szCs w:val="20"/>
        </w:rPr>
        <w:t xml:space="preserve"> results. There have been no material changes to those critical accounting policies as disclosed therein. </w:t>
      </w:r>
    </w:p>
    <w:p w14:paraId="17C49492"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JOBS Act Accounting Election</w:t>
      </w:r>
    </w:p>
    <w:p w14:paraId="6B847104"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We are an emerging growth company, as defined in the JOBS Act. Under the JOBS Act, emerging growth companies can delay a</w:t>
      </w:r>
      <w:r>
        <w:rPr>
          <w:color w:val="000000"/>
          <w:sz w:val="20"/>
          <w:szCs w:val="20"/>
        </w:rPr>
        <w:t>dopting new or revised accounting standards issued subsequent to the enactment of the JOBS Act until such time as those standards apply to private companies. We have elected to use this extended transition period for complying with new or revised accountin</w:t>
      </w:r>
      <w:r>
        <w:rPr>
          <w:color w:val="000000"/>
          <w:sz w:val="20"/>
          <w:szCs w:val="20"/>
        </w:rPr>
        <w:t>g standards that have different effective dates for public and private companies until the earlier of the date we (1) are no longer an emerging growth company or (2) affirmatively and irrevocably opt out of the extended transition period provided in the JO</w:t>
      </w:r>
      <w:r>
        <w:rPr>
          <w:color w:val="000000"/>
          <w:sz w:val="20"/>
          <w:szCs w:val="20"/>
        </w:rPr>
        <w:t>BS Act. As a result, our financial statements may not be comparable to companies that comply with new or revised accounting pronouncements as of public company effective dates.</w:t>
      </w:r>
    </w:p>
    <w:p w14:paraId="52F08756"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NON-GAAP Financial Information</w:t>
      </w:r>
    </w:p>
    <w:p w14:paraId="7084C2D5"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In addition to our results under GAAP, managemen</w:t>
      </w:r>
      <w:r>
        <w:rPr>
          <w:color w:val="000000"/>
          <w:sz w:val="20"/>
          <w:szCs w:val="20"/>
        </w:rPr>
        <w:t>t uses other supplemental financial measures of financial performance that are not required by, or presented in accordance with, GAAP, including Adjusted EBITDA and Adjusted EBITDA margin. We calculate Adjusted EBITDA as net income (loss) before interest e</w:t>
      </w:r>
      <w:r>
        <w:rPr>
          <w:color w:val="000000"/>
          <w:sz w:val="20"/>
          <w:szCs w:val="20"/>
        </w:rPr>
        <w:t>xpense, income tax expense (benefit) and depreciation and amortization, adjusted for the impact of certain other items, including stock-based compensation expense and acquisition-related costs, as set forth in greater detail in the table below. Adjusted EB</w:t>
      </w:r>
      <w:r>
        <w:rPr>
          <w:color w:val="000000"/>
          <w:sz w:val="20"/>
          <w:szCs w:val="20"/>
        </w:rPr>
        <w:t>ITDA margin represents Adjusted EBITDA as a percentage of revenues for a given period.</w:t>
      </w:r>
    </w:p>
    <w:p w14:paraId="3033685B"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Adjusted EBITDA and Adjusted EBITDA margin are two of the primary metrics used by management to evaluate our financial performance and compare it to that of our peers, e</w:t>
      </w:r>
      <w:r>
        <w:rPr>
          <w:color w:val="000000"/>
          <w:sz w:val="20"/>
          <w:szCs w:val="20"/>
        </w:rPr>
        <w:t>valuate the effectiveness of our business strategies, make budgeting and capital allocation decisions and in connection with our executive incentive compensation. These measures are also frequently used by analysts, investors and other interested parties t</w:t>
      </w:r>
      <w:r>
        <w:rPr>
          <w:color w:val="000000"/>
          <w:sz w:val="20"/>
          <w:szCs w:val="20"/>
        </w:rPr>
        <w:t>o evaluate companies in our industry. Further, we believe they are helpful in highlighting trends in our operating results because they allow for more consistent comparisons of financial performance between periods by excluding gains and losses that are no</w:t>
      </w:r>
      <w:r>
        <w:rPr>
          <w:color w:val="000000"/>
          <w:sz w:val="20"/>
          <w:szCs w:val="20"/>
        </w:rPr>
        <w:t>n-operational in nature or outside the control of management, as well as items that may differ significantly depending on long-term strategic decisions regarding capital structure, the tax jurisdictions in which we operate and capital investments.</w:t>
      </w:r>
    </w:p>
    <w:p w14:paraId="3F373204" w14:textId="77777777" w:rsidR="00000000" w:rsidRDefault="007125B5">
      <w:pPr>
        <w:pStyle w:val="a3"/>
        <w:shd w:val="clear" w:color="auto" w:fill="FFFFFF"/>
        <w:spacing w:before="240" w:beforeAutospacing="0" w:after="0" w:afterAutospacing="0"/>
        <w:ind w:firstLine="556"/>
        <w:rPr>
          <w:color w:val="000000"/>
          <w:sz w:val="20"/>
          <w:szCs w:val="20"/>
        </w:rPr>
      </w:pPr>
      <w:r>
        <w:rPr>
          <w:color w:val="000000"/>
          <w:sz w:val="20"/>
          <w:szCs w:val="20"/>
        </w:rPr>
        <w:t>These non-GAAP measures do, however, have certain limitations and should not be considered as an alternative to net income or any other performance measure derived in accordance with GAAP. Our presentation of Adjusted EBITDA and Adjusted EBITDA margin shou</w:t>
      </w:r>
      <w:r>
        <w:rPr>
          <w:color w:val="000000"/>
          <w:sz w:val="20"/>
          <w:szCs w:val="20"/>
        </w:rPr>
        <w:t>ld not be construed as an inference that our future results will be unaffected by unusual or non-recurring items for which we may make adjustments. In addition, Adjusted EBITDA and Adjusted EBITDA margin may not be comparable to similarly titled measures u</w:t>
      </w:r>
      <w:r>
        <w:rPr>
          <w:color w:val="000000"/>
          <w:sz w:val="20"/>
          <w:szCs w:val="20"/>
        </w:rPr>
        <w:t xml:space="preserve">sed by other companies in our industry or across different industries, and other companies may not present these or similar measures. Management compensates for these limitations by using these measures as supplemental financial metrics and in conjunction </w:t>
      </w:r>
      <w:r>
        <w:rPr>
          <w:color w:val="000000"/>
          <w:sz w:val="20"/>
          <w:szCs w:val="20"/>
        </w:rPr>
        <w:t>with our results prepared in accordance with GAAP. We encourage investors and others to review our financial information in its entirety, not to rely on any single measure and to view Adjusted EBITDA and Adjusted EBITDA margin in conjunction with the relat</w:t>
      </w:r>
      <w:r>
        <w:rPr>
          <w:color w:val="000000"/>
          <w:sz w:val="20"/>
          <w:szCs w:val="20"/>
        </w:rPr>
        <w:t>ed GAAP measures.</w:t>
      </w:r>
    </w:p>
    <w:p w14:paraId="43869DD1" w14:textId="77777777" w:rsidR="00000000" w:rsidRDefault="007125B5">
      <w:pPr>
        <w:pStyle w:val="a3"/>
        <w:spacing w:before="240" w:beforeAutospacing="0" w:after="0" w:afterAutospacing="0"/>
        <w:jc w:val="center"/>
        <w:rPr>
          <w:sz w:val="20"/>
          <w:szCs w:val="20"/>
        </w:rPr>
      </w:pPr>
      <w:r>
        <w:rPr>
          <w:sz w:val="20"/>
          <w:szCs w:val="20"/>
        </w:rPr>
        <w:t>42</w:t>
      </w:r>
    </w:p>
    <w:p w14:paraId="1E613704" w14:textId="77777777" w:rsidR="00000000" w:rsidRDefault="007125B5">
      <w:pPr>
        <w:rPr>
          <w:rFonts w:eastAsia="Times New Roman"/>
        </w:rPr>
      </w:pPr>
      <w:r>
        <w:rPr>
          <w:rFonts w:eastAsia="Times New Roman"/>
        </w:rPr>
        <w:pict w14:anchorId="08469DC6">
          <v:rect id="_x0000_i1068" style="width:415.3pt;height:1.5pt" o:hralign="center" o:hrstd="t" o:hr="t" fillcolor="#a0a0a0" stroked="f"/>
        </w:pict>
      </w:r>
    </w:p>
    <w:p w14:paraId="12885100" w14:textId="77777777" w:rsidR="00000000" w:rsidRDefault="007125B5">
      <w:pPr>
        <w:pStyle w:val="a3"/>
        <w:spacing w:before="0" w:beforeAutospacing="0" w:after="0" w:afterAutospacing="0"/>
        <w:rPr>
          <w:sz w:val="20"/>
          <w:szCs w:val="20"/>
        </w:rPr>
      </w:pPr>
      <w:r>
        <w:rPr>
          <w:sz w:val="20"/>
          <w:szCs w:val="20"/>
        </w:rPr>
        <w:t> </w:t>
      </w:r>
    </w:p>
    <w:p w14:paraId="1298177D" w14:textId="77777777" w:rsidR="00000000" w:rsidRDefault="007125B5">
      <w:pPr>
        <w:pStyle w:val="a3"/>
        <w:shd w:val="clear" w:color="auto" w:fill="FFFFFF"/>
        <w:spacing w:before="240" w:beforeAutospacing="0" w:after="0" w:afterAutospacing="0"/>
        <w:ind w:firstLine="556"/>
        <w:rPr>
          <w:color w:val="000000"/>
          <w:sz w:val="20"/>
          <w:szCs w:val="20"/>
        </w:rPr>
      </w:pPr>
      <w:bookmarkStart w:id="66" w:name="_AEIOULastRenderedPageBreakAEIOU45"/>
      <w:bookmarkEnd w:id="66"/>
      <w:r>
        <w:rPr>
          <w:color w:val="000000"/>
          <w:sz w:val="20"/>
          <w:szCs w:val="20"/>
        </w:rPr>
        <w:t xml:space="preserve">The following is a reconciliation of our net income </w:t>
      </w:r>
      <w:r>
        <w:rPr>
          <w:color w:val="000000"/>
          <w:sz w:val="20"/>
          <w:szCs w:val="20"/>
        </w:rPr>
        <w:t>(loss) to Adjusted EBITDA:</w:t>
      </w:r>
    </w:p>
    <w:p w14:paraId="6FC9C982" w14:textId="77777777" w:rsidR="00000000" w:rsidRDefault="007125B5">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14:paraId="5856AA5F" w14:textId="77777777">
        <w:trPr>
          <w:divId w:val="1213345099"/>
          <w:jc w:val="center"/>
        </w:trPr>
        <w:tc>
          <w:tcPr>
            <w:tcW w:w="2517" w:type="pct"/>
            <w:shd w:val="clear" w:color="auto" w:fill="FFFFFF"/>
            <w:tcMar>
              <w:top w:w="15" w:type="dxa"/>
              <w:left w:w="0" w:type="dxa"/>
              <w:bottom w:w="0" w:type="dxa"/>
              <w:right w:w="15" w:type="dxa"/>
            </w:tcMar>
            <w:vAlign w:val="bottom"/>
            <w:hideMark/>
          </w:tcPr>
          <w:p w14:paraId="2B447BC9" w14:textId="77777777" w:rsidR="00000000" w:rsidRDefault="007125B5">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7D4D95B9"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2475D3E5"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For the Three Months</w:t>
            </w:r>
          </w:p>
          <w:p w14:paraId="574EAB1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000591D5"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0B8460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6862AC51"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For the Six Months</w:t>
            </w:r>
          </w:p>
          <w:p w14:paraId="2C79954A"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4F610702"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DE2BA65" w14:textId="77777777">
        <w:trPr>
          <w:divId w:val="1213345099"/>
          <w:jc w:val="center"/>
        </w:trPr>
        <w:tc>
          <w:tcPr>
            <w:tcW w:w="2517" w:type="pct"/>
            <w:shd w:val="clear" w:color="auto" w:fill="FFFFFF"/>
            <w:tcMar>
              <w:top w:w="15" w:type="dxa"/>
              <w:left w:w="0" w:type="dxa"/>
              <w:bottom w:w="0" w:type="dxa"/>
              <w:right w:w="15" w:type="dxa"/>
            </w:tcMar>
            <w:vAlign w:val="bottom"/>
            <w:hideMark/>
          </w:tcPr>
          <w:p w14:paraId="0FD2E5C4" w14:textId="77777777" w:rsidR="00000000" w:rsidRDefault="007125B5">
            <w:pPr>
              <w:pStyle w:val="a3"/>
              <w:spacing w:before="0" w:beforeAutospacing="0" w:after="0" w:afterAutospacing="0"/>
              <w:rPr>
                <w:b/>
                <w:bCs/>
                <w:color w:val="000000"/>
                <w:sz w:val="16"/>
                <w:szCs w:val="16"/>
              </w:rPr>
            </w:pPr>
            <w:r>
              <w:rPr>
                <w:b/>
                <w:bCs/>
                <w:color w:val="000000"/>
                <w:sz w:val="16"/>
                <w:szCs w:val="16"/>
              </w:rPr>
              <w:t>(in thousands)</w:t>
            </w:r>
          </w:p>
        </w:tc>
        <w:tc>
          <w:tcPr>
            <w:tcW w:w="61" w:type="pct"/>
            <w:shd w:val="clear" w:color="auto" w:fill="FFFFFF"/>
            <w:tcMar>
              <w:top w:w="15" w:type="dxa"/>
              <w:left w:w="0" w:type="dxa"/>
              <w:bottom w:w="0" w:type="dxa"/>
              <w:right w:w="15" w:type="dxa"/>
            </w:tcMar>
            <w:vAlign w:val="bottom"/>
            <w:hideMark/>
          </w:tcPr>
          <w:p w14:paraId="28C54F3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7CE7F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36DBD9A7"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B39BD3A"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1D2093"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577A4A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9F59C06"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6F72D6"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49561B8"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1D2B1ED"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00A204"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2547A3F" w14:textId="77777777" w:rsidR="00000000" w:rsidRDefault="007125B5">
            <w:pPr>
              <w:pStyle w:val="a3"/>
              <w:spacing w:before="0" w:beforeAutospacing="0" w:after="0" w:afterAutospacing="0"/>
              <w:rPr>
                <w:b/>
                <w:bCs/>
                <w:color w:val="000000"/>
                <w:sz w:val="16"/>
                <w:szCs w:val="16"/>
              </w:rPr>
            </w:pPr>
            <w:r>
              <w:rPr>
                <w:b/>
                <w:bCs/>
                <w:color w:val="000000"/>
                <w:sz w:val="16"/>
                <w:szCs w:val="16"/>
              </w:rPr>
              <w:t> </w:t>
            </w:r>
          </w:p>
        </w:tc>
      </w:tr>
      <w:tr w:rsidR="00000000" w14:paraId="5553C3B5" w14:textId="77777777">
        <w:trPr>
          <w:divId w:val="1213345099"/>
          <w:jc w:val="center"/>
        </w:trPr>
        <w:tc>
          <w:tcPr>
            <w:tcW w:w="2517" w:type="pct"/>
            <w:shd w:val="clear" w:color="auto" w:fill="CFF0FC"/>
            <w:tcMar>
              <w:top w:w="15" w:type="dxa"/>
              <w:left w:w="0" w:type="dxa"/>
              <w:bottom w:w="0" w:type="dxa"/>
              <w:right w:w="15" w:type="dxa"/>
            </w:tcMar>
            <w:hideMark/>
          </w:tcPr>
          <w:p w14:paraId="5E15AA07" w14:textId="77777777" w:rsidR="00000000" w:rsidRDefault="007125B5">
            <w:pPr>
              <w:pStyle w:val="a3"/>
              <w:spacing w:before="0" w:beforeAutospacing="0" w:after="0" w:afterAutospacing="0"/>
              <w:rPr>
                <w:color w:val="000000"/>
                <w:sz w:val="20"/>
                <w:szCs w:val="20"/>
              </w:rPr>
            </w:pPr>
            <w:r>
              <w:rPr>
                <w:color w:val="000000"/>
                <w:sz w:val="20"/>
                <w:szCs w:val="20"/>
              </w:rPr>
              <w:t>Net income (loss)</w:t>
            </w:r>
          </w:p>
        </w:tc>
        <w:tc>
          <w:tcPr>
            <w:tcW w:w="61" w:type="pct"/>
            <w:shd w:val="clear" w:color="auto" w:fill="CFF0FC"/>
            <w:tcMar>
              <w:top w:w="15" w:type="dxa"/>
              <w:left w:w="0" w:type="dxa"/>
              <w:bottom w:w="0" w:type="dxa"/>
              <w:right w:w="15" w:type="dxa"/>
            </w:tcMar>
            <w:vAlign w:val="bottom"/>
            <w:hideMark/>
          </w:tcPr>
          <w:p w14:paraId="0028B99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65AB88"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8723EAD" w14:textId="77777777" w:rsidR="00000000" w:rsidRDefault="007125B5">
            <w:pPr>
              <w:pStyle w:val="a3"/>
              <w:spacing w:before="0" w:beforeAutospacing="0" w:after="0" w:afterAutospacing="0"/>
              <w:jc w:val="right"/>
              <w:rPr>
                <w:color w:val="000000"/>
                <w:sz w:val="20"/>
                <w:szCs w:val="20"/>
              </w:rPr>
            </w:pPr>
            <w:r>
              <w:rPr>
                <w:color w:val="000000"/>
                <w:sz w:val="20"/>
                <w:szCs w:val="20"/>
              </w:rPr>
              <w:t>13,224</w:t>
            </w:r>
          </w:p>
        </w:tc>
        <w:tc>
          <w:tcPr>
            <w:tcW w:w="50" w:type="pct"/>
            <w:shd w:val="clear" w:color="auto" w:fill="CFF0FC"/>
            <w:noWrap/>
            <w:tcMar>
              <w:top w:w="15" w:type="dxa"/>
              <w:left w:w="0" w:type="dxa"/>
              <w:bottom w:w="0" w:type="dxa"/>
              <w:right w:w="15" w:type="dxa"/>
            </w:tcMar>
            <w:vAlign w:val="bottom"/>
            <w:hideMark/>
          </w:tcPr>
          <w:p w14:paraId="71DB328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12E9AC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F3574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968C425" w14:textId="77777777" w:rsidR="00000000" w:rsidRDefault="007125B5">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14:paraId="2339940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2F0F9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AF1A10"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5878BE3" w14:textId="77777777" w:rsidR="00000000" w:rsidRDefault="007125B5">
            <w:pPr>
              <w:pStyle w:val="a3"/>
              <w:spacing w:before="0" w:beforeAutospacing="0" w:after="0" w:afterAutospacing="0"/>
              <w:jc w:val="right"/>
              <w:rPr>
                <w:color w:val="000000"/>
                <w:sz w:val="20"/>
                <w:szCs w:val="20"/>
              </w:rPr>
            </w:pPr>
            <w:r>
              <w:rPr>
                <w:color w:val="000000"/>
                <w:sz w:val="20"/>
                <w:szCs w:val="20"/>
              </w:rPr>
              <w:t>(28,024</w:t>
            </w:r>
          </w:p>
        </w:tc>
        <w:tc>
          <w:tcPr>
            <w:tcW w:w="50" w:type="pct"/>
            <w:shd w:val="clear" w:color="auto" w:fill="CFF0FC"/>
            <w:noWrap/>
            <w:tcMar>
              <w:top w:w="15" w:type="dxa"/>
              <w:left w:w="0" w:type="dxa"/>
              <w:bottom w:w="0" w:type="dxa"/>
              <w:right w:w="15" w:type="dxa"/>
            </w:tcMar>
            <w:vAlign w:val="bottom"/>
            <w:hideMark/>
          </w:tcPr>
          <w:p w14:paraId="4C0E6685"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F7FDB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0545AB"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04E8711" w14:textId="77777777" w:rsidR="00000000" w:rsidRDefault="007125B5">
            <w:pPr>
              <w:pStyle w:val="a3"/>
              <w:spacing w:before="0" w:beforeAutospacing="0" w:after="0" w:afterAutospacing="0"/>
              <w:jc w:val="right"/>
              <w:rPr>
                <w:color w:val="000000"/>
                <w:sz w:val="20"/>
                <w:szCs w:val="20"/>
              </w:rPr>
            </w:pPr>
            <w:r>
              <w:rPr>
                <w:color w:val="000000"/>
                <w:sz w:val="20"/>
                <w:szCs w:val="20"/>
              </w:rPr>
              <w:t>(5,564</w:t>
            </w:r>
          </w:p>
        </w:tc>
        <w:tc>
          <w:tcPr>
            <w:tcW w:w="50" w:type="pct"/>
            <w:shd w:val="clear" w:color="auto" w:fill="CFF0FC"/>
            <w:noWrap/>
            <w:tcMar>
              <w:top w:w="15" w:type="dxa"/>
              <w:left w:w="0" w:type="dxa"/>
              <w:bottom w:w="0" w:type="dxa"/>
              <w:right w:w="15" w:type="dxa"/>
            </w:tcMar>
            <w:vAlign w:val="bottom"/>
            <w:hideMark/>
          </w:tcPr>
          <w:p w14:paraId="4FA057C3"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05C04EB8" w14:textId="77777777">
        <w:trPr>
          <w:divId w:val="1213345099"/>
          <w:jc w:val="center"/>
        </w:trPr>
        <w:tc>
          <w:tcPr>
            <w:tcW w:w="2517" w:type="pct"/>
            <w:shd w:val="clear" w:color="auto" w:fill="FFFFFF"/>
            <w:tcMar>
              <w:top w:w="15" w:type="dxa"/>
              <w:left w:w="0" w:type="dxa"/>
              <w:bottom w:w="0" w:type="dxa"/>
              <w:right w:w="15" w:type="dxa"/>
            </w:tcMar>
            <w:hideMark/>
          </w:tcPr>
          <w:p w14:paraId="0987D7DD" w14:textId="77777777" w:rsidR="00000000" w:rsidRDefault="007125B5">
            <w:pPr>
              <w:pStyle w:val="a3"/>
              <w:spacing w:before="0" w:beforeAutospacing="0" w:after="0" w:afterAutospacing="0"/>
              <w:rPr>
                <w:color w:val="000000"/>
                <w:sz w:val="20"/>
                <w:szCs w:val="20"/>
              </w:rPr>
            </w:pPr>
            <w:r>
              <w:rPr>
                <w:color w:val="000000"/>
                <w:sz w:val="20"/>
                <w:szCs w:val="20"/>
              </w:rPr>
              <w:t>Interest expense</w:t>
            </w:r>
          </w:p>
        </w:tc>
        <w:tc>
          <w:tcPr>
            <w:tcW w:w="61" w:type="pct"/>
            <w:shd w:val="clear" w:color="auto" w:fill="FFFFFF"/>
            <w:tcMar>
              <w:top w:w="15" w:type="dxa"/>
              <w:left w:w="0" w:type="dxa"/>
              <w:bottom w:w="0" w:type="dxa"/>
              <w:right w:w="15" w:type="dxa"/>
            </w:tcMar>
            <w:vAlign w:val="bottom"/>
            <w:hideMark/>
          </w:tcPr>
          <w:p w14:paraId="3B70FC5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8DAB9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DFD723C" w14:textId="77777777" w:rsidR="00000000" w:rsidRDefault="007125B5">
            <w:pPr>
              <w:pStyle w:val="a3"/>
              <w:spacing w:before="0" w:beforeAutospacing="0" w:after="0" w:afterAutospacing="0"/>
              <w:jc w:val="right"/>
              <w:rPr>
                <w:color w:val="000000"/>
                <w:sz w:val="20"/>
                <w:szCs w:val="20"/>
              </w:rPr>
            </w:pPr>
            <w:r>
              <w:rPr>
                <w:color w:val="000000"/>
                <w:sz w:val="20"/>
                <w:szCs w:val="20"/>
              </w:rPr>
              <w:t>5,260</w:t>
            </w:r>
          </w:p>
        </w:tc>
        <w:tc>
          <w:tcPr>
            <w:tcW w:w="50" w:type="pct"/>
            <w:shd w:val="clear" w:color="auto" w:fill="FFFFFF"/>
            <w:noWrap/>
            <w:tcMar>
              <w:top w:w="15" w:type="dxa"/>
              <w:left w:w="0" w:type="dxa"/>
              <w:bottom w:w="0" w:type="dxa"/>
              <w:right w:w="15" w:type="dxa"/>
            </w:tcMar>
            <w:vAlign w:val="bottom"/>
            <w:hideMark/>
          </w:tcPr>
          <w:p w14:paraId="2F145D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B59EB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AFFF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1F67183" w14:textId="77777777" w:rsidR="00000000" w:rsidRDefault="007125B5">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366D6D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F21034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87DD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7563E2D" w14:textId="77777777" w:rsidR="00000000" w:rsidRDefault="007125B5">
            <w:pPr>
              <w:pStyle w:val="a3"/>
              <w:spacing w:before="0" w:beforeAutospacing="0" w:after="0" w:afterAutospacing="0"/>
              <w:jc w:val="right"/>
              <w:rPr>
                <w:color w:val="000000"/>
                <w:sz w:val="20"/>
                <w:szCs w:val="20"/>
              </w:rPr>
            </w:pPr>
            <w:r>
              <w:rPr>
                <w:color w:val="000000"/>
                <w:sz w:val="20"/>
                <w:szCs w:val="20"/>
              </w:rPr>
              <w:t>7,853</w:t>
            </w:r>
          </w:p>
        </w:tc>
        <w:tc>
          <w:tcPr>
            <w:tcW w:w="50" w:type="pct"/>
            <w:shd w:val="clear" w:color="auto" w:fill="FFFFFF"/>
            <w:noWrap/>
            <w:tcMar>
              <w:top w:w="15" w:type="dxa"/>
              <w:left w:w="0" w:type="dxa"/>
              <w:bottom w:w="0" w:type="dxa"/>
              <w:right w:w="15" w:type="dxa"/>
            </w:tcMar>
            <w:vAlign w:val="bottom"/>
            <w:hideMark/>
          </w:tcPr>
          <w:p w14:paraId="129BF94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4B5C8D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E7C4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268DE92" w14:textId="77777777" w:rsidR="00000000" w:rsidRDefault="007125B5">
            <w:pPr>
              <w:pStyle w:val="a3"/>
              <w:spacing w:before="0" w:beforeAutospacing="0" w:after="0" w:afterAutospacing="0"/>
              <w:jc w:val="right"/>
              <w:rPr>
                <w:color w:val="000000"/>
                <w:sz w:val="20"/>
                <w:szCs w:val="20"/>
              </w:rPr>
            </w:pPr>
            <w:r>
              <w:rPr>
                <w:color w:val="000000"/>
                <w:sz w:val="20"/>
                <w:szCs w:val="20"/>
              </w:rPr>
              <w:t>2,460</w:t>
            </w:r>
          </w:p>
        </w:tc>
        <w:tc>
          <w:tcPr>
            <w:tcW w:w="50" w:type="pct"/>
            <w:shd w:val="clear" w:color="auto" w:fill="FFFFFF"/>
            <w:noWrap/>
            <w:tcMar>
              <w:top w:w="15" w:type="dxa"/>
              <w:left w:w="0" w:type="dxa"/>
              <w:bottom w:w="0" w:type="dxa"/>
              <w:right w:w="15" w:type="dxa"/>
            </w:tcMar>
            <w:vAlign w:val="bottom"/>
            <w:hideMark/>
          </w:tcPr>
          <w:p w14:paraId="3C2F82F9"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BE507FD" w14:textId="77777777">
        <w:trPr>
          <w:divId w:val="1213345099"/>
          <w:jc w:val="center"/>
        </w:trPr>
        <w:tc>
          <w:tcPr>
            <w:tcW w:w="2517" w:type="pct"/>
            <w:shd w:val="clear" w:color="auto" w:fill="CFF0FC"/>
            <w:tcMar>
              <w:top w:w="15" w:type="dxa"/>
              <w:left w:w="0" w:type="dxa"/>
              <w:bottom w:w="0" w:type="dxa"/>
              <w:right w:w="15" w:type="dxa"/>
            </w:tcMar>
            <w:hideMark/>
          </w:tcPr>
          <w:p w14:paraId="3D98AE87" w14:textId="77777777" w:rsidR="00000000" w:rsidRDefault="007125B5">
            <w:pPr>
              <w:pStyle w:val="a3"/>
              <w:spacing w:before="0" w:beforeAutospacing="0" w:after="0" w:afterAutospacing="0"/>
              <w:rPr>
                <w:color w:val="000000"/>
                <w:sz w:val="20"/>
                <w:szCs w:val="20"/>
              </w:rPr>
            </w:pPr>
            <w:r>
              <w:rPr>
                <w:color w:val="000000"/>
                <w:sz w:val="20"/>
                <w:szCs w:val="20"/>
              </w:rPr>
              <w:t>Income tax benefit</w:t>
            </w:r>
          </w:p>
        </w:tc>
        <w:tc>
          <w:tcPr>
            <w:tcW w:w="61" w:type="pct"/>
            <w:shd w:val="clear" w:color="auto" w:fill="CFF0FC"/>
            <w:tcMar>
              <w:top w:w="15" w:type="dxa"/>
              <w:left w:w="0" w:type="dxa"/>
              <w:bottom w:w="0" w:type="dxa"/>
              <w:right w:w="15" w:type="dxa"/>
            </w:tcMar>
            <w:vAlign w:val="bottom"/>
            <w:hideMark/>
          </w:tcPr>
          <w:p w14:paraId="256C480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1456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54E7A7A" w14:textId="77777777" w:rsidR="00000000" w:rsidRDefault="007125B5">
            <w:pPr>
              <w:pStyle w:val="a3"/>
              <w:spacing w:before="0" w:beforeAutospacing="0" w:after="0" w:afterAutospacing="0"/>
              <w:jc w:val="right"/>
              <w:rPr>
                <w:color w:val="000000"/>
                <w:sz w:val="20"/>
                <w:szCs w:val="20"/>
              </w:rPr>
            </w:pPr>
            <w:r>
              <w:rPr>
                <w:color w:val="000000"/>
                <w:sz w:val="20"/>
                <w:szCs w:val="20"/>
              </w:rPr>
              <w:t>(1,759</w:t>
            </w:r>
          </w:p>
        </w:tc>
        <w:tc>
          <w:tcPr>
            <w:tcW w:w="50" w:type="pct"/>
            <w:shd w:val="clear" w:color="auto" w:fill="CFF0FC"/>
            <w:noWrap/>
            <w:tcMar>
              <w:top w:w="15" w:type="dxa"/>
              <w:left w:w="0" w:type="dxa"/>
              <w:bottom w:w="0" w:type="dxa"/>
              <w:right w:w="15" w:type="dxa"/>
            </w:tcMar>
            <w:vAlign w:val="bottom"/>
            <w:hideMark/>
          </w:tcPr>
          <w:p w14:paraId="7EBD5A4E"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13E67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0951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A965252" w14:textId="77777777" w:rsidR="00000000" w:rsidRDefault="007125B5">
            <w:pPr>
              <w:pStyle w:val="a3"/>
              <w:spacing w:before="0" w:beforeAutospacing="0" w:after="0" w:afterAutospacing="0"/>
              <w:jc w:val="right"/>
              <w:rPr>
                <w:color w:val="000000"/>
                <w:sz w:val="20"/>
                <w:szCs w:val="20"/>
              </w:rPr>
            </w:pPr>
            <w:r>
              <w:rPr>
                <w:color w:val="000000"/>
                <w:sz w:val="20"/>
                <w:szCs w:val="20"/>
              </w:rPr>
              <w:t>(1,712</w:t>
            </w:r>
          </w:p>
        </w:tc>
        <w:tc>
          <w:tcPr>
            <w:tcW w:w="50" w:type="pct"/>
            <w:shd w:val="clear" w:color="auto" w:fill="CFF0FC"/>
            <w:noWrap/>
            <w:tcMar>
              <w:top w:w="15" w:type="dxa"/>
              <w:left w:w="0" w:type="dxa"/>
              <w:bottom w:w="0" w:type="dxa"/>
              <w:right w:w="15" w:type="dxa"/>
            </w:tcMar>
            <w:vAlign w:val="bottom"/>
            <w:hideMark/>
          </w:tcPr>
          <w:p w14:paraId="43E0CEC2"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268C07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AB92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C199434" w14:textId="77777777" w:rsidR="00000000" w:rsidRDefault="007125B5">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CFF0FC"/>
            <w:noWrap/>
            <w:tcMar>
              <w:top w:w="15" w:type="dxa"/>
              <w:left w:w="0" w:type="dxa"/>
              <w:bottom w:w="0" w:type="dxa"/>
              <w:right w:w="15" w:type="dxa"/>
            </w:tcMar>
            <w:vAlign w:val="bottom"/>
            <w:hideMark/>
          </w:tcPr>
          <w:p w14:paraId="7C577A1C"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2F481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1FAD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F47580F" w14:textId="77777777" w:rsidR="00000000" w:rsidRDefault="007125B5">
            <w:pPr>
              <w:pStyle w:val="a3"/>
              <w:spacing w:before="0" w:beforeAutospacing="0" w:after="0" w:afterAutospacing="0"/>
              <w:jc w:val="right"/>
              <w:rPr>
                <w:color w:val="000000"/>
                <w:sz w:val="20"/>
                <w:szCs w:val="20"/>
              </w:rPr>
            </w:pPr>
            <w:r>
              <w:rPr>
                <w:color w:val="000000"/>
                <w:sz w:val="20"/>
                <w:szCs w:val="20"/>
              </w:rPr>
              <w:t>(896</w:t>
            </w:r>
          </w:p>
        </w:tc>
        <w:tc>
          <w:tcPr>
            <w:tcW w:w="50" w:type="pct"/>
            <w:shd w:val="clear" w:color="auto" w:fill="CFF0FC"/>
            <w:noWrap/>
            <w:tcMar>
              <w:top w:w="15" w:type="dxa"/>
              <w:left w:w="0" w:type="dxa"/>
              <w:bottom w:w="0" w:type="dxa"/>
              <w:right w:w="15" w:type="dxa"/>
            </w:tcMar>
            <w:vAlign w:val="bottom"/>
            <w:hideMark/>
          </w:tcPr>
          <w:p w14:paraId="3F09F411"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724A72C" w14:textId="77777777">
        <w:trPr>
          <w:divId w:val="1213345099"/>
          <w:jc w:val="center"/>
        </w:trPr>
        <w:tc>
          <w:tcPr>
            <w:tcW w:w="2517" w:type="pct"/>
            <w:shd w:val="clear" w:color="auto" w:fill="FFFFFF"/>
            <w:tcMar>
              <w:top w:w="15" w:type="dxa"/>
              <w:left w:w="0" w:type="dxa"/>
              <w:bottom w:w="0" w:type="dxa"/>
              <w:right w:w="15" w:type="dxa"/>
            </w:tcMar>
            <w:hideMark/>
          </w:tcPr>
          <w:p w14:paraId="1C70709F" w14:textId="77777777" w:rsidR="00000000" w:rsidRDefault="007125B5">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FFFFFF"/>
            <w:tcMar>
              <w:top w:w="15" w:type="dxa"/>
              <w:left w:w="0" w:type="dxa"/>
              <w:bottom w:w="0" w:type="dxa"/>
              <w:right w:w="15" w:type="dxa"/>
            </w:tcMar>
            <w:vAlign w:val="bottom"/>
            <w:hideMark/>
          </w:tcPr>
          <w:p w14:paraId="209D330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BBF8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B28CAE4" w14:textId="77777777" w:rsidR="00000000" w:rsidRDefault="007125B5">
            <w:pPr>
              <w:pStyle w:val="a3"/>
              <w:spacing w:before="0" w:beforeAutospacing="0" w:after="0" w:afterAutospacing="0"/>
              <w:jc w:val="right"/>
              <w:rPr>
                <w:color w:val="000000"/>
                <w:sz w:val="20"/>
                <w:szCs w:val="20"/>
              </w:rPr>
            </w:pPr>
            <w:r>
              <w:rPr>
                <w:color w:val="000000"/>
                <w:sz w:val="20"/>
                <w:szCs w:val="20"/>
              </w:rPr>
              <w:t>9,784</w:t>
            </w:r>
          </w:p>
        </w:tc>
        <w:tc>
          <w:tcPr>
            <w:tcW w:w="50" w:type="pct"/>
            <w:shd w:val="clear" w:color="auto" w:fill="FFFFFF"/>
            <w:noWrap/>
            <w:tcMar>
              <w:top w:w="15" w:type="dxa"/>
              <w:left w:w="0" w:type="dxa"/>
              <w:bottom w:w="0" w:type="dxa"/>
              <w:right w:w="15" w:type="dxa"/>
            </w:tcMar>
            <w:vAlign w:val="bottom"/>
            <w:hideMark/>
          </w:tcPr>
          <w:p w14:paraId="76FC6C6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D8D5D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9041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A38D46C" w14:textId="77777777" w:rsidR="00000000" w:rsidRDefault="007125B5">
            <w:pPr>
              <w:pStyle w:val="a3"/>
              <w:spacing w:before="0" w:beforeAutospacing="0" w:after="0" w:afterAutospacing="0"/>
              <w:jc w:val="right"/>
              <w:rPr>
                <w:color w:val="000000"/>
                <w:sz w:val="20"/>
                <w:szCs w:val="20"/>
              </w:rPr>
            </w:pPr>
            <w:r>
              <w:rPr>
                <w:color w:val="000000"/>
                <w:sz w:val="20"/>
                <w:szCs w:val="20"/>
              </w:rPr>
              <w:t>6,401</w:t>
            </w:r>
          </w:p>
        </w:tc>
        <w:tc>
          <w:tcPr>
            <w:tcW w:w="50" w:type="pct"/>
            <w:shd w:val="clear" w:color="auto" w:fill="FFFFFF"/>
            <w:noWrap/>
            <w:tcMar>
              <w:top w:w="15" w:type="dxa"/>
              <w:left w:w="0" w:type="dxa"/>
              <w:bottom w:w="0" w:type="dxa"/>
              <w:right w:w="15" w:type="dxa"/>
            </w:tcMar>
            <w:vAlign w:val="bottom"/>
            <w:hideMark/>
          </w:tcPr>
          <w:p w14:paraId="713A1E9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DB505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9C82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339EE2F" w14:textId="77777777" w:rsidR="00000000" w:rsidRDefault="007125B5">
            <w:pPr>
              <w:pStyle w:val="a3"/>
              <w:spacing w:before="0" w:beforeAutospacing="0" w:after="0" w:afterAutospacing="0"/>
              <w:jc w:val="right"/>
              <w:rPr>
                <w:color w:val="000000"/>
                <w:sz w:val="20"/>
                <w:szCs w:val="20"/>
              </w:rPr>
            </w:pPr>
            <w:r>
              <w:rPr>
                <w:color w:val="000000"/>
                <w:sz w:val="20"/>
                <w:szCs w:val="20"/>
              </w:rPr>
              <w:t>17,344</w:t>
            </w:r>
          </w:p>
        </w:tc>
        <w:tc>
          <w:tcPr>
            <w:tcW w:w="50" w:type="pct"/>
            <w:shd w:val="clear" w:color="auto" w:fill="FFFFFF"/>
            <w:noWrap/>
            <w:tcMar>
              <w:top w:w="15" w:type="dxa"/>
              <w:left w:w="0" w:type="dxa"/>
              <w:bottom w:w="0" w:type="dxa"/>
              <w:right w:w="15" w:type="dxa"/>
            </w:tcMar>
            <w:vAlign w:val="bottom"/>
            <w:hideMark/>
          </w:tcPr>
          <w:p w14:paraId="607336A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F0453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3FB948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57DA855" w14:textId="77777777" w:rsidR="00000000" w:rsidRDefault="007125B5">
            <w:pPr>
              <w:pStyle w:val="a3"/>
              <w:spacing w:before="0" w:beforeAutospacing="0" w:after="0" w:afterAutospacing="0"/>
              <w:jc w:val="right"/>
              <w:rPr>
                <w:color w:val="000000"/>
                <w:sz w:val="20"/>
                <w:szCs w:val="20"/>
              </w:rPr>
            </w:pPr>
            <w:r>
              <w:rPr>
                <w:color w:val="000000"/>
                <w:sz w:val="20"/>
                <w:szCs w:val="20"/>
              </w:rPr>
              <w:t>12,850</w:t>
            </w:r>
          </w:p>
        </w:tc>
        <w:tc>
          <w:tcPr>
            <w:tcW w:w="50" w:type="pct"/>
            <w:shd w:val="clear" w:color="auto" w:fill="FFFFFF"/>
            <w:noWrap/>
            <w:tcMar>
              <w:top w:w="15" w:type="dxa"/>
              <w:left w:w="0" w:type="dxa"/>
              <w:bottom w:w="0" w:type="dxa"/>
              <w:right w:w="15" w:type="dxa"/>
            </w:tcMar>
            <w:vAlign w:val="bottom"/>
            <w:hideMark/>
          </w:tcPr>
          <w:p w14:paraId="40AF7B9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2EAA771" w14:textId="77777777">
        <w:trPr>
          <w:divId w:val="1213345099"/>
          <w:jc w:val="center"/>
        </w:trPr>
        <w:tc>
          <w:tcPr>
            <w:tcW w:w="2517" w:type="pct"/>
            <w:shd w:val="clear" w:color="auto" w:fill="CFF0FC"/>
            <w:tcMar>
              <w:top w:w="15" w:type="dxa"/>
              <w:left w:w="0" w:type="dxa"/>
              <w:bottom w:w="0" w:type="dxa"/>
              <w:right w:w="15" w:type="dxa"/>
            </w:tcMar>
            <w:hideMark/>
          </w:tcPr>
          <w:p w14:paraId="442E049F" w14:textId="77777777" w:rsidR="00000000" w:rsidRDefault="007125B5">
            <w:pPr>
              <w:pStyle w:val="a3"/>
              <w:spacing w:before="0" w:beforeAutospacing="0" w:after="0" w:afterAutospacing="0"/>
              <w:rPr>
                <w:b/>
                <w:bCs/>
                <w:color w:val="000000"/>
                <w:sz w:val="20"/>
                <w:szCs w:val="20"/>
              </w:rPr>
            </w:pPr>
            <w:r>
              <w:rPr>
                <w:b/>
                <w:bCs/>
                <w:color w:val="000000"/>
                <w:sz w:val="20"/>
                <w:szCs w:val="20"/>
              </w:rPr>
              <w:t>EBITDA</w:t>
            </w:r>
          </w:p>
        </w:tc>
        <w:tc>
          <w:tcPr>
            <w:tcW w:w="61" w:type="pct"/>
            <w:shd w:val="clear" w:color="auto" w:fill="CFF0FC"/>
            <w:tcMar>
              <w:top w:w="15" w:type="dxa"/>
              <w:left w:w="0" w:type="dxa"/>
              <w:bottom w:w="0" w:type="dxa"/>
              <w:right w:w="15" w:type="dxa"/>
            </w:tcMar>
            <w:vAlign w:val="bottom"/>
            <w:hideMark/>
          </w:tcPr>
          <w:p w14:paraId="3474261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E65ADB"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E38723B"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26,509</w:t>
            </w:r>
          </w:p>
        </w:tc>
        <w:tc>
          <w:tcPr>
            <w:tcW w:w="50" w:type="pct"/>
            <w:shd w:val="clear" w:color="auto" w:fill="CFF0FC"/>
            <w:noWrap/>
            <w:tcMar>
              <w:top w:w="15" w:type="dxa"/>
              <w:left w:w="0" w:type="dxa"/>
              <w:bottom w:w="0" w:type="dxa"/>
              <w:right w:w="15" w:type="dxa"/>
            </w:tcMar>
            <w:vAlign w:val="bottom"/>
            <w:hideMark/>
          </w:tcPr>
          <w:p w14:paraId="4682FFC6"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14:paraId="2A9B2D91"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2FD6F7"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C56798E"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5,548</w:t>
            </w:r>
          </w:p>
        </w:tc>
        <w:tc>
          <w:tcPr>
            <w:tcW w:w="50" w:type="pct"/>
            <w:shd w:val="clear" w:color="auto" w:fill="CFF0FC"/>
            <w:noWrap/>
            <w:tcMar>
              <w:top w:w="15" w:type="dxa"/>
              <w:left w:w="0" w:type="dxa"/>
              <w:bottom w:w="0" w:type="dxa"/>
              <w:right w:w="15" w:type="dxa"/>
            </w:tcMar>
            <w:vAlign w:val="bottom"/>
            <w:hideMark/>
          </w:tcPr>
          <w:p w14:paraId="0C81FC6E"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14:paraId="71BDB225"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68196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5A31D85"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(7,738</w:t>
            </w:r>
          </w:p>
        </w:tc>
        <w:tc>
          <w:tcPr>
            <w:tcW w:w="50" w:type="pct"/>
            <w:shd w:val="clear" w:color="auto" w:fill="CFF0FC"/>
            <w:noWrap/>
            <w:tcMar>
              <w:top w:w="15" w:type="dxa"/>
              <w:left w:w="0" w:type="dxa"/>
              <w:bottom w:w="0" w:type="dxa"/>
              <w:right w:w="15" w:type="dxa"/>
            </w:tcMar>
            <w:vAlign w:val="bottom"/>
            <w:hideMark/>
          </w:tcPr>
          <w:p w14:paraId="6DB04B62"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14:paraId="1F48E72A"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D8F3C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00CD1A5"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8,850</w:t>
            </w:r>
          </w:p>
        </w:tc>
        <w:tc>
          <w:tcPr>
            <w:tcW w:w="50" w:type="pct"/>
            <w:shd w:val="clear" w:color="auto" w:fill="CFF0FC"/>
            <w:noWrap/>
            <w:tcMar>
              <w:top w:w="15" w:type="dxa"/>
              <w:left w:w="0" w:type="dxa"/>
              <w:bottom w:w="0" w:type="dxa"/>
              <w:right w:w="15" w:type="dxa"/>
            </w:tcMar>
            <w:vAlign w:val="bottom"/>
            <w:hideMark/>
          </w:tcPr>
          <w:p w14:paraId="06D34AD6"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r>
      <w:tr w:rsidR="00000000" w14:paraId="1F84B4C9" w14:textId="77777777">
        <w:trPr>
          <w:divId w:val="1213345099"/>
          <w:jc w:val="center"/>
        </w:trPr>
        <w:tc>
          <w:tcPr>
            <w:tcW w:w="2517" w:type="pct"/>
            <w:shd w:val="clear" w:color="auto" w:fill="FFFFFF"/>
            <w:tcMar>
              <w:top w:w="15" w:type="dxa"/>
              <w:left w:w="0" w:type="dxa"/>
              <w:bottom w:w="0" w:type="dxa"/>
              <w:right w:w="15" w:type="dxa"/>
            </w:tcMar>
            <w:hideMark/>
          </w:tcPr>
          <w:p w14:paraId="2F268E49" w14:textId="77777777" w:rsidR="00000000" w:rsidRDefault="007125B5">
            <w:pPr>
              <w:pStyle w:val="a3"/>
              <w:spacing w:before="0" w:beforeAutospacing="0" w:after="0" w:afterAutospacing="0"/>
              <w:rPr>
                <w:color w:val="000000"/>
                <w:sz w:val="20"/>
                <w:szCs w:val="20"/>
              </w:rPr>
            </w:pPr>
            <w:r>
              <w:rPr>
                <w:color w:val="000000"/>
                <w:sz w:val="20"/>
                <w:szCs w:val="20"/>
              </w:rPr>
              <w:t xml:space="preserve">Stock-based compensation </w:t>
            </w:r>
            <w:r>
              <w:rPr>
                <w:color w:val="000000"/>
                <w:sz w:val="17"/>
                <w:szCs w:val="17"/>
                <w:vertAlign w:val="superscript"/>
              </w:rPr>
              <w:t>(1)</w:t>
            </w:r>
          </w:p>
        </w:tc>
        <w:tc>
          <w:tcPr>
            <w:tcW w:w="61" w:type="pct"/>
            <w:shd w:val="clear" w:color="auto" w:fill="FFFFFF"/>
            <w:tcMar>
              <w:top w:w="15" w:type="dxa"/>
              <w:left w:w="0" w:type="dxa"/>
              <w:bottom w:w="0" w:type="dxa"/>
              <w:right w:w="15" w:type="dxa"/>
            </w:tcMar>
            <w:vAlign w:val="bottom"/>
            <w:hideMark/>
          </w:tcPr>
          <w:p w14:paraId="752D4E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191AA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C2033EF" w14:textId="77777777" w:rsidR="00000000" w:rsidRDefault="007125B5">
            <w:pPr>
              <w:pStyle w:val="a3"/>
              <w:spacing w:before="0" w:beforeAutospacing="0" w:after="0" w:afterAutospacing="0"/>
              <w:jc w:val="right"/>
              <w:rPr>
                <w:color w:val="000000"/>
                <w:sz w:val="20"/>
                <w:szCs w:val="20"/>
              </w:rPr>
            </w:pPr>
            <w:r>
              <w:rPr>
                <w:color w:val="000000"/>
                <w:sz w:val="20"/>
                <w:szCs w:val="20"/>
              </w:rPr>
              <w:t>1,140</w:t>
            </w:r>
          </w:p>
        </w:tc>
        <w:tc>
          <w:tcPr>
            <w:tcW w:w="50" w:type="pct"/>
            <w:shd w:val="clear" w:color="auto" w:fill="FFFFFF"/>
            <w:noWrap/>
            <w:tcMar>
              <w:top w:w="15" w:type="dxa"/>
              <w:left w:w="0" w:type="dxa"/>
              <w:bottom w:w="0" w:type="dxa"/>
              <w:right w:w="15" w:type="dxa"/>
            </w:tcMar>
            <w:vAlign w:val="bottom"/>
            <w:hideMark/>
          </w:tcPr>
          <w:p w14:paraId="2A754BA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0E48BB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D0552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55F8E35" w14:textId="77777777" w:rsidR="00000000" w:rsidRDefault="007125B5">
            <w:pPr>
              <w:pStyle w:val="a3"/>
              <w:spacing w:before="0" w:beforeAutospacing="0" w:after="0" w:afterAutospacing="0"/>
              <w:jc w:val="right"/>
              <w:rPr>
                <w:color w:val="000000"/>
                <w:sz w:val="20"/>
                <w:szCs w:val="20"/>
              </w:rPr>
            </w:pPr>
            <w:r>
              <w:rPr>
                <w:color w:val="000000"/>
                <w:sz w:val="20"/>
                <w:szCs w:val="20"/>
              </w:rPr>
              <w:t>1,294</w:t>
            </w:r>
          </w:p>
        </w:tc>
        <w:tc>
          <w:tcPr>
            <w:tcW w:w="50" w:type="pct"/>
            <w:shd w:val="clear" w:color="auto" w:fill="FFFFFF"/>
            <w:noWrap/>
            <w:tcMar>
              <w:top w:w="15" w:type="dxa"/>
              <w:left w:w="0" w:type="dxa"/>
              <w:bottom w:w="0" w:type="dxa"/>
              <w:right w:w="15" w:type="dxa"/>
            </w:tcMar>
            <w:vAlign w:val="bottom"/>
            <w:hideMark/>
          </w:tcPr>
          <w:p w14:paraId="6DDF8DA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44AFA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7C5D7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D1AFD5E" w14:textId="77777777" w:rsidR="00000000" w:rsidRDefault="007125B5">
            <w:pPr>
              <w:pStyle w:val="a3"/>
              <w:spacing w:before="0" w:beforeAutospacing="0" w:after="0" w:afterAutospacing="0"/>
              <w:jc w:val="right"/>
              <w:rPr>
                <w:color w:val="000000"/>
                <w:sz w:val="20"/>
                <w:szCs w:val="20"/>
              </w:rPr>
            </w:pPr>
            <w:r>
              <w:rPr>
                <w:color w:val="000000"/>
                <w:sz w:val="20"/>
                <w:szCs w:val="20"/>
              </w:rPr>
              <w:t>2,290</w:t>
            </w:r>
          </w:p>
        </w:tc>
        <w:tc>
          <w:tcPr>
            <w:tcW w:w="50" w:type="pct"/>
            <w:shd w:val="clear" w:color="auto" w:fill="FFFFFF"/>
            <w:noWrap/>
            <w:tcMar>
              <w:top w:w="15" w:type="dxa"/>
              <w:left w:w="0" w:type="dxa"/>
              <w:bottom w:w="0" w:type="dxa"/>
              <w:right w:w="15" w:type="dxa"/>
            </w:tcMar>
            <w:vAlign w:val="bottom"/>
            <w:hideMark/>
          </w:tcPr>
          <w:p w14:paraId="7F76D6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D01F88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A6FC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43838D6" w14:textId="77777777" w:rsidR="00000000" w:rsidRDefault="007125B5">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FFFFFF"/>
            <w:noWrap/>
            <w:tcMar>
              <w:top w:w="15" w:type="dxa"/>
              <w:left w:w="0" w:type="dxa"/>
              <w:bottom w:w="0" w:type="dxa"/>
              <w:right w:w="15" w:type="dxa"/>
            </w:tcMar>
            <w:vAlign w:val="bottom"/>
            <w:hideMark/>
          </w:tcPr>
          <w:p w14:paraId="5BE9483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2AED5F2" w14:textId="77777777">
        <w:trPr>
          <w:divId w:val="1213345099"/>
          <w:jc w:val="center"/>
        </w:trPr>
        <w:tc>
          <w:tcPr>
            <w:tcW w:w="2517" w:type="pct"/>
            <w:shd w:val="clear" w:color="auto" w:fill="CFF0FC"/>
            <w:tcMar>
              <w:top w:w="15" w:type="dxa"/>
              <w:left w:w="0" w:type="dxa"/>
              <w:bottom w:w="0" w:type="dxa"/>
              <w:right w:w="15" w:type="dxa"/>
            </w:tcMar>
            <w:hideMark/>
          </w:tcPr>
          <w:p w14:paraId="41184315" w14:textId="77777777" w:rsidR="00000000" w:rsidRDefault="007125B5">
            <w:pPr>
              <w:pStyle w:val="a3"/>
              <w:spacing w:before="0" w:beforeAutospacing="0" w:after="0" w:afterAutospacing="0"/>
              <w:rPr>
                <w:color w:val="000000"/>
                <w:sz w:val="20"/>
                <w:szCs w:val="20"/>
              </w:rPr>
            </w:pPr>
            <w:r>
              <w:rPr>
                <w:color w:val="000000"/>
                <w:sz w:val="20"/>
                <w:szCs w:val="20"/>
              </w:rPr>
              <w:t xml:space="preserve">Start-up losses and investment in new services </w:t>
            </w:r>
            <w:r>
              <w:rPr>
                <w:color w:val="000000"/>
                <w:sz w:val="17"/>
                <w:szCs w:val="17"/>
                <w:vertAlign w:val="superscript"/>
              </w:rPr>
              <w:t>(2)</w:t>
            </w:r>
          </w:p>
        </w:tc>
        <w:tc>
          <w:tcPr>
            <w:tcW w:w="61" w:type="pct"/>
            <w:shd w:val="clear" w:color="auto" w:fill="CFF0FC"/>
            <w:tcMar>
              <w:top w:w="15" w:type="dxa"/>
              <w:left w:w="0" w:type="dxa"/>
              <w:bottom w:w="0" w:type="dxa"/>
              <w:right w:w="15" w:type="dxa"/>
            </w:tcMar>
            <w:vAlign w:val="bottom"/>
            <w:hideMark/>
          </w:tcPr>
          <w:p w14:paraId="5AD2621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0997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EFB2626" w14:textId="77777777" w:rsidR="00000000" w:rsidRDefault="007125B5">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CFF0FC"/>
            <w:noWrap/>
            <w:tcMar>
              <w:top w:w="15" w:type="dxa"/>
              <w:left w:w="0" w:type="dxa"/>
              <w:bottom w:w="0" w:type="dxa"/>
              <w:right w:w="15" w:type="dxa"/>
            </w:tcMar>
            <w:vAlign w:val="bottom"/>
            <w:hideMark/>
          </w:tcPr>
          <w:p w14:paraId="53F33B5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53994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10A49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28751E9" w14:textId="77777777" w:rsidR="00000000" w:rsidRDefault="007125B5">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14:paraId="1C5E005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D3F888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66B1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3C6064E" w14:textId="77777777" w:rsidR="00000000" w:rsidRDefault="007125B5">
            <w:pPr>
              <w:pStyle w:val="a3"/>
              <w:spacing w:before="0" w:beforeAutospacing="0" w:after="0" w:afterAutospacing="0"/>
              <w:jc w:val="right"/>
              <w:rPr>
                <w:color w:val="000000"/>
                <w:sz w:val="20"/>
                <w:szCs w:val="20"/>
              </w:rPr>
            </w:pPr>
            <w:r>
              <w:rPr>
                <w:color w:val="000000"/>
                <w:sz w:val="20"/>
                <w:szCs w:val="20"/>
              </w:rPr>
              <w:t>675</w:t>
            </w:r>
          </w:p>
        </w:tc>
        <w:tc>
          <w:tcPr>
            <w:tcW w:w="50" w:type="pct"/>
            <w:shd w:val="clear" w:color="auto" w:fill="CFF0FC"/>
            <w:noWrap/>
            <w:tcMar>
              <w:top w:w="15" w:type="dxa"/>
              <w:left w:w="0" w:type="dxa"/>
              <w:bottom w:w="0" w:type="dxa"/>
              <w:right w:w="15" w:type="dxa"/>
            </w:tcMar>
            <w:vAlign w:val="bottom"/>
            <w:hideMark/>
          </w:tcPr>
          <w:p w14:paraId="7EECB34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9A790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5C7E6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3697F2B" w14:textId="77777777" w:rsidR="00000000" w:rsidRDefault="007125B5">
            <w:pPr>
              <w:pStyle w:val="a3"/>
              <w:spacing w:before="0" w:beforeAutospacing="0" w:after="0" w:afterAutospacing="0"/>
              <w:jc w:val="right"/>
              <w:rPr>
                <w:color w:val="000000"/>
                <w:sz w:val="20"/>
                <w:szCs w:val="20"/>
              </w:rPr>
            </w:pPr>
            <w:r>
              <w:rPr>
                <w:color w:val="000000"/>
                <w:sz w:val="20"/>
                <w:szCs w:val="20"/>
              </w:rPr>
              <w:t>169</w:t>
            </w:r>
          </w:p>
        </w:tc>
        <w:tc>
          <w:tcPr>
            <w:tcW w:w="50" w:type="pct"/>
            <w:shd w:val="clear" w:color="auto" w:fill="CFF0FC"/>
            <w:noWrap/>
            <w:tcMar>
              <w:top w:w="15" w:type="dxa"/>
              <w:left w:w="0" w:type="dxa"/>
              <w:bottom w:w="0" w:type="dxa"/>
              <w:right w:w="15" w:type="dxa"/>
            </w:tcMar>
            <w:vAlign w:val="bottom"/>
            <w:hideMark/>
          </w:tcPr>
          <w:p w14:paraId="11408158"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CE924D1" w14:textId="77777777">
        <w:trPr>
          <w:divId w:val="1213345099"/>
          <w:jc w:val="center"/>
        </w:trPr>
        <w:tc>
          <w:tcPr>
            <w:tcW w:w="2517" w:type="pct"/>
            <w:shd w:val="clear" w:color="auto" w:fill="FFFFFF"/>
            <w:tcMar>
              <w:top w:w="15" w:type="dxa"/>
              <w:left w:w="0" w:type="dxa"/>
              <w:bottom w:w="0" w:type="dxa"/>
              <w:right w:w="15" w:type="dxa"/>
            </w:tcMar>
            <w:hideMark/>
          </w:tcPr>
          <w:p w14:paraId="3852A1F8" w14:textId="77777777" w:rsidR="00000000" w:rsidRDefault="007125B5">
            <w:pPr>
              <w:pStyle w:val="a3"/>
              <w:spacing w:before="0" w:beforeAutospacing="0" w:after="0" w:afterAutospacing="0"/>
              <w:rPr>
                <w:color w:val="000000"/>
                <w:sz w:val="20"/>
                <w:szCs w:val="20"/>
              </w:rPr>
            </w:pPr>
            <w:r>
              <w:rPr>
                <w:color w:val="000000"/>
                <w:sz w:val="20"/>
                <w:szCs w:val="20"/>
              </w:rPr>
              <w:t xml:space="preserve">Acquisition costs </w:t>
            </w:r>
            <w:r>
              <w:rPr>
                <w:color w:val="000000"/>
                <w:sz w:val="17"/>
                <w:szCs w:val="17"/>
                <w:vertAlign w:val="superscript"/>
              </w:rPr>
              <w:t>(3)</w:t>
            </w:r>
          </w:p>
        </w:tc>
        <w:tc>
          <w:tcPr>
            <w:tcW w:w="61" w:type="pct"/>
            <w:shd w:val="clear" w:color="auto" w:fill="FFFFFF"/>
            <w:tcMar>
              <w:top w:w="15" w:type="dxa"/>
              <w:left w:w="0" w:type="dxa"/>
              <w:bottom w:w="0" w:type="dxa"/>
              <w:right w:w="15" w:type="dxa"/>
            </w:tcMar>
            <w:vAlign w:val="bottom"/>
            <w:hideMark/>
          </w:tcPr>
          <w:p w14:paraId="551C87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76D7E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445268F" w14:textId="77777777" w:rsidR="00000000" w:rsidRDefault="007125B5">
            <w:pPr>
              <w:pStyle w:val="a3"/>
              <w:spacing w:before="0" w:beforeAutospacing="0" w:after="0" w:afterAutospacing="0"/>
              <w:jc w:val="right"/>
              <w:rPr>
                <w:color w:val="000000"/>
                <w:sz w:val="20"/>
                <w:szCs w:val="20"/>
              </w:rPr>
            </w:pPr>
            <w:r>
              <w:rPr>
                <w:color w:val="000000"/>
                <w:sz w:val="20"/>
                <w:szCs w:val="20"/>
              </w:rPr>
              <w:t>2,454</w:t>
            </w:r>
          </w:p>
        </w:tc>
        <w:tc>
          <w:tcPr>
            <w:tcW w:w="50" w:type="pct"/>
            <w:shd w:val="clear" w:color="auto" w:fill="FFFFFF"/>
            <w:noWrap/>
            <w:tcMar>
              <w:top w:w="15" w:type="dxa"/>
              <w:left w:w="0" w:type="dxa"/>
              <w:bottom w:w="0" w:type="dxa"/>
              <w:right w:w="15" w:type="dxa"/>
            </w:tcMar>
            <w:vAlign w:val="bottom"/>
            <w:hideMark/>
          </w:tcPr>
          <w:p w14:paraId="4BE528E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5EB71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A244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12E5C41" w14:textId="77777777" w:rsidR="00000000" w:rsidRDefault="007125B5">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14:paraId="6A95E5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39A1E2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83BB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AC95895" w14:textId="77777777" w:rsidR="00000000" w:rsidRDefault="007125B5">
            <w:pPr>
              <w:pStyle w:val="a3"/>
              <w:spacing w:before="0" w:beforeAutospacing="0" w:after="0" w:afterAutospacing="0"/>
              <w:jc w:val="right"/>
              <w:rPr>
                <w:color w:val="000000"/>
                <w:sz w:val="20"/>
                <w:szCs w:val="20"/>
              </w:rPr>
            </w:pPr>
            <w:r>
              <w:rPr>
                <w:color w:val="000000"/>
                <w:sz w:val="20"/>
                <w:szCs w:val="20"/>
              </w:rPr>
              <w:t>3,761</w:t>
            </w:r>
          </w:p>
        </w:tc>
        <w:tc>
          <w:tcPr>
            <w:tcW w:w="50" w:type="pct"/>
            <w:shd w:val="clear" w:color="auto" w:fill="FFFFFF"/>
            <w:noWrap/>
            <w:tcMar>
              <w:top w:w="15" w:type="dxa"/>
              <w:left w:w="0" w:type="dxa"/>
              <w:bottom w:w="0" w:type="dxa"/>
              <w:right w:w="15" w:type="dxa"/>
            </w:tcMar>
            <w:vAlign w:val="bottom"/>
            <w:hideMark/>
          </w:tcPr>
          <w:p w14:paraId="2958182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3A4849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7E58B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F1E1423" w14:textId="77777777" w:rsidR="00000000" w:rsidRDefault="007125B5">
            <w:pPr>
              <w:pStyle w:val="a3"/>
              <w:spacing w:before="0" w:beforeAutospacing="0" w:after="0" w:afterAutospacing="0"/>
              <w:jc w:val="right"/>
              <w:rPr>
                <w:color w:val="000000"/>
                <w:sz w:val="20"/>
                <w:szCs w:val="20"/>
              </w:rPr>
            </w:pPr>
            <w:r>
              <w:rPr>
                <w:color w:val="000000"/>
                <w:sz w:val="20"/>
                <w:szCs w:val="20"/>
              </w:rPr>
              <w:t>1,072</w:t>
            </w:r>
          </w:p>
        </w:tc>
        <w:tc>
          <w:tcPr>
            <w:tcW w:w="50" w:type="pct"/>
            <w:shd w:val="clear" w:color="auto" w:fill="FFFFFF"/>
            <w:noWrap/>
            <w:tcMar>
              <w:top w:w="15" w:type="dxa"/>
              <w:left w:w="0" w:type="dxa"/>
              <w:bottom w:w="0" w:type="dxa"/>
              <w:right w:w="15" w:type="dxa"/>
            </w:tcMar>
            <w:vAlign w:val="bottom"/>
            <w:hideMark/>
          </w:tcPr>
          <w:p w14:paraId="0FF74A46"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BA5BF89" w14:textId="77777777">
        <w:trPr>
          <w:divId w:val="1213345099"/>
          <w:jc w:val="center"/>
        </w:trPr>
        <w:tc>
          <w:tcPr>
            <w:tcW w:w="2517" w:type="pct"/>
            <w:shd w:val="clear" w:color="auto" w:fill="CFF0FC"/>
            <w:tcMar>
              <w:top w:w="15" w:type="dxa"/>
              <w:left w:w="0" w:type="dxa"/>
              <w:bottom w:w="0" w:type="dxa"/>
              <w:right w:w="15" w:type="dxa"/>
            </w:tcMar>
            <w:hideMark/>
          </w:tcPr>
          <w:p w14:paraId="3736210C" w14:textId="77777777" w:rsidR="00000000" w:rsidRDefault="007125B5">
            <w:pPr>
              <w:pStyle w:val="a3"/>
              <w:spacing w:before="0" w:beforeAutospacing="0" w:after="0" w:afterAutospacing="0"/>
              <w:rPr>
                <w:color w:val="000000"/>
                <w:sz w:val="20"/>
                <w:szCs w:val="20"/>
              </w:rPr>
            </w:pPr>
            <w:r>
              <w:rPr>
                <w:color w:val="000000"/>
                <w:sz w:val="20"/>
                <w:szCs w:val="20"/>
              </w:rPr>
              <w:t>Fair value changes in contingent put option</w:t>
            </w:r>
            <w:r>
              <w:rPr>
                <w:color w:val="000000"/>
                <w:sz w:val="17"/>
                <w:szCs w:val="17"/>
                <w:vertAlign w:val="superscript"/>
              </w:rPr>
              <w:t xml:space="preserve"> (4)</w:t>
            </w:r>
          </w:p>
        </w:tc>
        <w:tc>
          <w:tcPr>
            <w:tcW w:w="61" w:type="pct"/>
            <w:shd w:val="clear" w:color="auto" w:fill="CFF0FC"/>
            <w:tcMar>
              <w:top w:w="15" w:type="dxa"/>
              <w:left w:w="0" w:type="dxa"/>
              <w:bottom w:w="0" w:type="dxa"/>
              <w:right w:w="15" w:type="dxa"/>
            </w:tcMar>
            <w:vAlign w:val="bottom"/>
            <w:hideMark/>
          </w:tcPr>
          <w:p w14:paraId="329E88E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F6BA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261274B" w14:textId="77777777" w:rsidR="00000000" w:rsidRDefault="007125B5">
            <w:pPr>
              <w:pStyle w:val="a3"/>
              <w:spacing w:before="0" w:beforeAutospacing="0" w:after="0" w:afterAutospacing="0"/>
              <w:jc w:val="right"/>
              <w:rPr>
                <w:color w:val="000000"/>
                <w:sz w:val="20"/>
                <w:szCs w:val="20"/>
              </w:rPr>
            </w:pPr>
            <w:r>
              <w:rPr>
                <w:color w:val="000000"/>
                <w:sz w:val="20"/>
                <w:szCs w:val="20"/>
              </w:rPr>
              <w:t>(22,602</w:t>
            </w:r>
          </w:p>
        </w:tc>
        <w:tc>
          <w:tcPr>
            <w:tcW w:w="50" w:type="pct"/>
            <w:shd w:val="clear" w:color="auto" w:fill="CFF0FC"/>
            <w:noWrap/>
            <w:tcMar>
              <w:top w:w="15" w:type="dxa"/>
              <w:left w:w="0" w:type="dxa"/>
              <w:bottom w:w="0" w:type="dxa"/>
              <w:right w:w="15" w:type="dxa"/>
            </w:tcMar>
            <w:vAlign w:val="bottom"/>
            <w:hideMark/>
          </w:tcPr>
          <w:p w14:paraId="242D4C6D"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8D9C5D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86C3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DF5F217"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F55157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24C65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DA41E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71F71F7" w14:textId="77777777" w:rsidR="00000000" w:rsidRDefault="007125B5">
            <w:pPr>
              <w:pStyle w:val="a3"/>
              <w:spacing w:before="0" w:beforeAutospacing="0" w:after="0" w:afterAutospacing="0"/>
              <w:jc w:val="right"/>
              <w:rPr>
                <w:color w:val="000000"/>
                <w:sz w:val="20"/>
                <w:szCs w:val="20"/>
              </w:rPr>
            </w:pPr>
            <w:r>
              <w:rPr>
                <w:color w:val="000000"/>
                <w:sz w:val="20"/>
                <w:szCs w:val="20"/>
              </w:rPr>
              <w:t>7,025</w:t>
            </w:r>
          </w:p>
        </w:tc>
        <w:tc>
          <w:tcPr>
            <w:tcW w:w="50" w:type="pct"/>
            <w:shd w:val="clear" w:color="auto" w:fill="CFF0FC"/>
            <w:noWrap/>
            <w:tcMar>
              <w:top w:w="15" w:type="dxa"/>
              <w:left w:w="0" w:type="dxa"/>
              <w:bottom w:w="0" w:type="dxa"/>
              <w:right w:w="15" w:type="dxa"/>
            </w:tcMar>
            <w:vAlign w:val="bottom"/>
            <w:hideMark/>
          </w:tcPr>
          <w:p w14:paraId="6C64074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477A32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BBEFB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0E7BDF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5702E1B"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2B1E80EB" w14:textId="77777777">
        <w:trPr>
          <w:divId w:val="1213345099"/>
          <w:jc w:val="center"/>
        </w:trPr>
        <w:tc>
          <w:tcPr>
            <w:tcW w:w="2517" w:type="pct"/>
            <w:shd w:val="clear" w:color="auto" w:fill="FFFFFF"/>
            <w:tcMar>
              <w:top w:w="15" w:type="dxa"/>
              <w:left w:w="0" w:type="dxa"/>
              <w:bottom w:w="0" w:type="dxa"/>
              <w:right w:w="15" w:type="dxa"/>
            </w:tcMar>
            <w:hideMark/>
          </w:tcPr>
          <w:p w14:paraId="50B1E32E" w14:textId="77777777" w:rsidR="00000000" w:rsidRDefault="007125B5">
            <w:pPr>
              <w:pStyle w:val="a3"/>
              <w:spacing w:before="0" w:beforeAutospacing="0" w:after="0" w:afterAutospacing="0"/>
              <w:rPr>
                <w:color w:val="000000"/>
                <w:sz w:val="20"/>
                <w:szCs w:val="20"/>
              </w:rPr>
            </w:pPr>
            <w:r>
              <w:rPr>
                <w:color w:val="000000"/>
                <w:sz w:val="20"/>
                <w:szCs w:val="20"/>
              </w:rPr>
              <w:t xml:space="preserve">Fair value changes in warrant options </w:t>
            </w:r>
            <w:r>
              <w:rPr>
                <w:color w:val="000000"/>
                <w:sz w:val="17"/>
                <w:szCs w:val="17"/>
                <w:vertAlign w:val="superscript"/>
              </w:rPr>
              <w:t>(4)</w:t>
            </w:r>
          </w:p>
        </w:tc>
        <w:tc>
          <w:tcPr>
            <w:tcW w:w="61" w:type="pct"/>
            <w:shd w:val="clear" w:color="auto" w:fill="FFFFFF"/>
            <w:tcMar>
              <w:top w:w="15" w:type="dxa"/>
              <w:left w:w="0" w:type="dxa"/>
              <w:bottom w:w="0" w:type="dxa"/>
              <w:right w:w="15" w:type="dxa"/>
            </w:tcMar>
            <w:vAlign w:val="bottom"/>
            <w:hideMark/>
          </w:tcPr>
          <w:p w14:paraId="536531A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2EBA9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7BA2F44" w14:textId="77777777" w:rsidR="00000000" w:rsidRDefault="007125B5">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1CB424E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5F7E27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B8E74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D8E1B30" w14:textId="77777777" w:rsidR="00000000" w:rsidRDefault="007125B5">
            <w:pPr>
              <w:pStyle w:val="a3"/>
              <w:spacing w:before="0" w:beforeAutospacing="0" w:after="0" w:afterAutospacing="0"/>
              <w:jc w:val="right"/>
              <w:rPr>
                <w:color w:val="000000"/>
                <w:sz w:val="20"/>
                <w:szCs w:val="20"/>
              </w:rPr>
            </w:pPr>
            <w:r>
              <w:rPr>
                <w:color w:val="000000"/>
                <w:sz w:val="20"/>
                <w:szCs w:val="20"/>
              </w:rPr>
              <w:t>1,549</w:t>
            </w:r>
          </w:p>
        </w:tc>
        <w:tc>
          <w:tcPr>
            <w:tcW w:w="50" w:type="pct"/>
            <w:shd w:val="clear" w:color="auto" w:fill="FFFFFF"/>
            <w:noWrap/>
            <w:tcMar>
              <w:top w:w="15" w:type="dxa"/>
              <w:left w:w="0" w:type="dxa"/>
              <w:bottom w:w="0" w:type="dxa"/>
              <w:right w:w="15" w:type="dxa"/>
            </w:tcMar>
            <w:vAlign w:val="bottom"/>
            <w:hideMark/>
          </w:tcPr>
          <w:p w14:paraId="0FB5CC5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6CFF8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9369F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E54B147" w14:textId="77777777" w:rsidR="00000000" w:rsidRDefault="007125B5">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6221990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DF8902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BE6C7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B535A89" w14:textId="77777777" w:rsidR="00000000" w:rsidRDefault="007125B5">
            <w:pPr>
              <w:pStyle w:val="a3"/>
              <w:spacing w:before="0" w:beforeAutospacing="0" w:after="0" w:afterAutospacing="0"/>
              <w:jc w:val="right"/>
              <w:rPr>
                <w:color w:val="000000"/>
                <w:sz w:val="20"/>
                <w:szCs w:val="20"/>
              </w:rPr>
            </w:pPr>
            <w:r>
              <w:rPr>
                <w:color w:val="000000"/>
                <w:sz w:val="20"/>
                <w:szCs w:val="20"/>
              </w:rPr>
              <w:t>1,549</w:t>
            </w:r>
          </w:p>
        </w:tc>
        <w:tc>
          <w:tcPr>
            <w:tcW w:w="50" w:type="pct"/>
            <w:shd w:val="clear" w:color="auto" w:fill="FFFFFF"/>
            <w:noWrap/>
            <w:tcMar>
              <w:top w:w="15" w:type="dxa"/>
              <w:left w:w="0" w:type="dxa"/>
              <w:bottom w:w="0" w:type="dxa"/>
              <w:right w:w="15" w:type="dxa"/>
            </w:tcMar>
            <w:vAlign w:val="bottom"/>
            <w:hideMark/>
          </w:tcPr>
          <w:p w14:paraId="07C4FCAF"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4AE63B8E" w14:textId="77777777">
        <w:trPr>
          <w:divId w:val="1213345099"/>
          <w:jc w:val="center"/>
        </w:trPr>
        <w:tc>
          <w:tcPr>
            <w:tcW w:w="2517" w:type="pct"/>
            <w:shd w:val="clear" w:color="auto" w:fill="CFF0FC"/>
            <w:tcMar>
              <w:top w:w="15" w:type="dxa"/>
              <w:left w:w="0" w:type="dxa"/>
              <w:bottom w:w="0" w:type="dxa"/>
              <w:right w:w="15" w:type="dxa"/>
            </w:tcMar>
            <w:hideMark/>
          </w:tcPr>
          <w:p w14:paraId="4C448BD1" w14:textId="77777777" w:rsidR="00000000" w:rsidRDefault="007125B5">
            <w:pPr>
              <w:pStyle w:val="a3"/>
              <w:spacing w:before="0" w:beforeAutospacing="0" w:after="0" w:afterAutospacing="0"/>
              <w:rPr>
                <w:color w:val="000000"/>
                <w:sz w:val="20"/>
                <w:szCs w:val="20"/>
              </w:rPr>
            </w:pPr>
            <w:r>
              <w:rPr>
                <w:color w:val="000000"/>
                <w:sz w:val="20"/>
                <w:szCs w:val="20"/>
              </w:rPr>
              <w:t xml:space="preserve">Fair value changes in compound embedded option </w:t>
            </w:r>
            <w:r>
              <w:rPr>
                <w:color w:val="000000"/>
                <w:sz w:val="17"/>
                <w:szCs w:val="17"/>
                <w:vertAlign w:val="superscript"/>
              </w:rPr>
              <w:t>(5)</w:t>
            </w:r>
          </w:p>
        </w:tc>
        <w:tc>
          <w:tcPr>
            <w:tcW w:w="61" w:type="pct"/>
            <w:shd w:val="clear" w:color="auto" w:fill="CFF0FC"/>
            <w:tcMar>
              <w:top w:w="15" w:type="dxa"/>
              <w:left w:w="0" w:type="dxa"/>
              <w:bottom w:w="0" w:type="dxa"/>
              <w:right w:w="15" w:type="dxa"/>
            </w:tcMar>
            <w:vAlign w:val="bottom"/>
            <w:hideMark/>
          </w:tcPr>
          <w:p w14:paraId="7CB49F9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5BA62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F01B322" w14:textId="77777777" w:rsidR="00000000" w:rsidRDefault="007125B5">
            <w:pPr>
              <w:pStyle w:val="a3"/>
              <w:spacing w:before="0" w:beforeAutospacing="0" w:after="0" w:afterAutospacing="0"/>
              <w:jc w:val="right"/>
              <w:rPr>
                <w:color w:val="000000"/>
                <w:sz w:val="20"/>
                <w:szCs w:val="20"/>
              </w:rPr>
            </w:pPr>
            <w:r>
              <w:rPr>
                <w:color w:val="000000"/>
                <w:sz w:val="20"/>
                <w:szCs w:val="20"/>
              </w:rPr>
              <w:t>756</w:t>
            </w:r>
          </w:p>
        </w:tc>
        <w:tc>
          <w:tcPr>
            <w:tcW w:w="50" w:type="pct"/>
            <w:shd w:val="clear" w:color="auto" w:fill="CFF0FC"/>
            <w:noWrap/>
            <w:tcMar>
              <w:top w:w="15" w:type="dxa"/>
              <w:left w:w="0" w:type="dxa"/>
              <w:bottom w:w="0" w:type="dxa"/>
              <w:right w:w="15" w:type="dxa"/>
            </w:tcMar>
            <w:vAlign w:val="bottom"/>
            <w:hideMark/>
          </w:tcPr>
          <w:p w14:paraId="6F41E31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DB1A4A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055BA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F9AD59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201B2B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632DA3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EB77B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F5C25E7" w14:textId="77777777" w:rsidR="00000000" w:rsidRDefault="007125B5">
            <w:pPr>
              <w:pStyle w:val="a3"/>
              <w:spacing w:before="0" w:beforeAutospacing="0" w:after="0" w:afterAutospacing="0"/>
              <w:jc w:val="right"/>
              <w:rPr>
                <w:color w:val="000000"/>
                <w:sz w:val="20"/>
                <w:szCs w:val="20"/>
              </w:rPr>
            </w:pPr>
            <w:r>
              <w:rPr>
                <w:color w:val="000000"/>
                <w:sz w:val="20"/>
                <w:szCs w:val="20"/>
              </w:rPr>
              <w:t>756</w:t>
            </w:r>
          </w:p>
        </w:tc>
        <w:tc>
          <w:tcPr>
            <w:tcW w:w="50" w:type="pct"/>
            <w:shd w:val="clear" w:color="auto" w:fill="CFF0FC"/>
            <w:noWrap/>
            <w:tcMar>
              <w:top w:w="15" w:type="dxa"/>
              <w:left w:w="0" w:type="dxa"/>
              <w:bottom w:w="0" w:type="dxa"/>
              <w:right w:w="15" w:type="dxa"/>
            </w:tcMar>
            <w:vAlign w:val="bottom"/>
            <w:hideMark/>
          </w:tcPr>
          <w:p w14:paraId="0D27163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F8CFDC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F15A9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C2C5641"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BF5AC77"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1B2CD167" w14:textId="77777777">
        <w:trPr>
          <w:divId w:val="1213345099"/>
          <w:jc w:val="center"/>
        </w:trPr>
        <w:tc>
          <w:tcPr>
            <w:tcW w:w="2517" w:type="pct"/>
            <w:shd w:val="clear" w:color="auto" w:fill="FFFFFF"/>
            <w:tcMar>
              <w:top w:w="15" w:type="dxa"/>
              <w:left w:w="0" w:type="dxa"/>
              <w:bottom w:w="0" w:type="dxa"/>
              <w:right w:w="15" w:type="dxa"/>
            </w:tcMar>
            <w:hideMark/>
          </w:tcPr>
          <w:p w14:paraId="7D8786D5" w14:textId="77777777" w:rsidR="00000000" w:rsidRDefault="007125B5">
            <w:pPr>
              <w:pStyle w:val="a3"/>
              <w:spacing w:before="0" w:beforeAutospacing="0" w:after="0" w:afterAutospacing="0"/>
              <w:rPr>
                <w:color w:val="000000"/>
                <w:sz w:val="20"/>
                <w:szCs w:val="20"/>
              </w:rPr>
            </w:pPr>
            <w:r>
              <w:rPr>
                <w:color w:val="000000"/>
                <w:sz w:val="20"/>
                <w:szCs w:val="20"/>
              </w:rPr>
              <w:t xml:space="preserve">Fair value changes in contingent liabilities </w:t>
            </w:r>
            <w:r>
              <w:rPr>
                <w:color w:val="000000"/>
                <w:sz w:val="17"/>
                <w:szCs w:val="17"/>
                <w:vertAlign w:val="superscript"/>
              </w:rPr>
              <w:t>(6)</w:t>
            </w:r>
          </w:p>
        </w:tc>
        <w:tc>
          <w:tcPr>
            <w:tcW w:w="61" w:type="pct"/>
            <w:shd w:val="clear" w:color="auto" w:fill="FFFFFF"/>
            <w:tcMar>
              <w:top w:w="15" w:type="dxa"/>
              <w:left w:w="0" w:type="dxa"/>
              <w:bottom w:w="0" w:type="dxa"/>
              <w:right w:w="15" w:type="dxa"/>
            </w:tcMar>
            <w:vAlign w:val="bottom"/>
            <w:hideMark/>
          </w:tcPr>
          <w:p w14:paraId="534C87D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0379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25CDB84" w14:textId="77777777" w:rsidR="00000000" w:rsidRDefault="007125B5">
            <w:pPr>
              <w:pStyle w:val="a3"/>
              <w:spacing w:before="0" w:beforeAutospacing="0" w:after="0" w:afterAutospacing="0"/>
              <w:jc w:val="right"/>
              <w:rPr>
                <w:color w:val="000000"/>
                <w:sz w:val="20"/>
                <w:szCs w:val="20"/>
              </w:rPr>
            </w:pPr>
            <w:r>
              <w:rPr>
                <w:color w:val="000000"/>
                <w:sz w:val="20"/>
                <w:szCs w:val="20"/>
              </w:rPr>
              <w:t>3,983</w:t>
            </w:r>
          </w:p>
        </w:tc>
        <w:tc>
          <w:tcPr>
            <w:tcW w:w="50" w:type="pct"/>
            <w:shd w:val="clear" w:color="auto" w:fill="FFFFFF"/>
            <w:noWrap/>
            <w:tcMar>
              <w:top w:w="15" w:type="dxa"/>
              <w:left w:w="0" w:type="dxa"/>
              <w:bottom w:w="0" w:type="dxa"/>
              <w:right w:w="15" w:type="dxa"/>
            </w:tcMar>
            <w:vAlign w:val="bottom"/>
            <w:hideMark/>
          </w:tcPr>
          <w:p w14:paraId="2F5E373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79E2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EB4DD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016B901" w14:textId="77777777" w:rsidR="00000000" w:rsidRDefault="007125B5">
            <w:pPr>
              <w:pStyle w:val="a3"/>
              <w:spacing w:before="0" w:beforeAutospacing="0" w:after="0" w:afterAutospacing="0"/>
              <w:jc w:val="right"/>
              <w:rPr>
                <w:color w:val="000000"/>
                <w:sz w:val="20"/>
                <w:szCs w:val="20"/>
              </w:rPr>
            </w:pPr>
            <w:r>
              <w:rPr>
                <w:color w:val="000000"/>
                <w:sz w:val="20"/>
                <w:szCs w:val="20"/>
              </w:rPr>
              <w:t>(926</w:t>
            </w:r>
          </w:p>
        </w:tc>
        <w:tc>
          <w:tcPr>
            <w:tcW w:w="50" w:type="pct"/>
            <w:shd w:val="clear" w:color="auto" w:fill="FFFFFF"/>
            <w:noWrap/>
            <w:tcMar>
              <w:top w:w="15" w:type="dxa"/>
              <w:left w:w="0" w:type="dxa"/>
              <w:bottom w:w="0" w:type="dxa"/>
              <w:right w:w="15" w:type="dxa"/>
            </w:tcMar>
            <w:vAlign w:val="bottom"/>
            <w:hideMark/>
          </w:tcPr>
          <w:p w14:paraId="72C42B4F"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ABE6E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A71D4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41B4A97" w14:textId="77777777" w:rsidR="00000000" w:rsidRDefault="007125B5">
            <w:pPr>
              <w:pStyle w:val="a3"/>
              <w:spacing w:before="0" w:beforeAutospacing="0" w:after="0" w:afterAutospacing="0"/>
              <w:jc w:val="right"/>
              <w:rPr>
                <w:color w:val="000000"/>
                <w:sz w:val="20"/>
                <w:szCs w:val="20"/>
              </w:rPr>
            </w:pPr>
            <w:r>
              <w:rPr>
                <w:color w:val="000000"/>
                <w:sz w:val="20"/>
                <w:szCs w:val="20"/>
              </w:rPr>
              <w:t>3,983</w:t>
            </w:r>
          </w:p>
        </w:tc>
        <w:tc>
          <w:tcPr>
            <w:tcW w:w="50" w:type="pct"/>
            <w:shd w:val="clear" w:color="auto" w:fill="FFFFFF"/>
            <w:noWrap/>
            <w:tcMar>
              <w:top w:w="15" w:type="dxa"/>
              <w:left w:w="0" w:type="dxa"/>
              <w:bottom w:w="0" w:type="dxa"/>
              <w:right w:w="15" w:type="dxa"/>
            </w:tcMar>
            <w:vAlign w:val="bottom"/>
            <w:hideMark/>
          </w:tcPr>
          <w:p w14:paraId="5609713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34986F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CBF48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9715C87" w14:textId="77777777" w:rsidR="00000000" w:rsidRDefault="007125B5">
            <w:pPr>
              <w:pStyle w:val="a3"/>
              <w:spacing w:before="0" w:beforeAutospacing="0" w:after="0" w:afterAutospacing="0"/>
              <w:jc w:val="right"/>
              <w:rPr>
                <w:color w:val="000000"/>
                <w:sz w:val="20"/>
                <w:szCs w:val="20"/>
              </w:rPr>
            </w:pPr>
            <w:r>
              <w:rPr>
                <w:color w:val="000000"/>
                <w:sz w:val="20"/>
                <w:szCs w:val="20"/>
              </w:rPr>
              <w:t>(926</w:t>
            </w:r>
          </w:p>
        </w:tc>
        <w:tc>
          <w:tcPr>
            <w:tcW w:w="50" w:type="pct"/>
            <w:shd w:val="clear" w:color="auto" w:fill="FFFFFF"/>
            <w:noWrap/>
            <w:tcMar>
              <w:top w:w="15" w:type="dxa"/>
              <w:left w:w="0" w:type="dxa"/>
              <w:bottom w:w="0" w:type="dxa"/>
              <w:right w:w="15" w:type="dxa"/>
            </w:tcMar>
            <w:vAlign w:val="bottom"/>
            <w:hideMark/>
          </w:tcPr>
          <w:p w14:paraId="5CF76D66"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451053AD" w14:textId="77777777">
        <w:trPr>
          <w:divId w:val="1213345099"/>
          <w:jc w:val="center"/>
        </w:trPr>
        <w:tc>
          <w:tcPr>
            <w:tcW w:w="2517" w:type="pct"/>
            <w:shd w:val="clear" w:color="auto" w:fill="CFF0FC"/>
            <w:tcMar>
              <w:top w:w="15" w:type="dxa"/>
              <w:left w:w="0" w:type="dxa"/>
              <w:bottom w:w="0" w:type="dxa"/>
              <w:right w:w="15" w:type="dxa"/>
            </w:tcMar>
            <w:hideMark/>
          </w:tcPr>
          <w:p w14:paraId="216A0CC0" w14:textId="77777777" w:rsidR="00000000" w:rsidRDefault="007125B5">
            <w:pPr>
              <w:pStyle w:val="a3"/>
              <w:spacing w:before="0" w:beforeAutospacing="0" w:after="0" w:afterAutospacing="0"/>
              <w:rPr>
                <w:color w:val="000000"/>
                <w:sz w:val="20"/>
                <w:szCs w:val="20"/>
              </w:rPr>
            </w:pPr>
            <w:r>
              <w:rPr>
                <w:color w:val="000000"/>
                <w:sz w:val="20"/>
                <w:szCs w:val="20"/>
              </w:rPr>
              <w:t>Short term purchase accounting fair value adjustment</w:t>
            </w:r>
          </w:p>
          <w:p w14:paraId="7C77DB4B" w14:textId="77777777" w:rsidR="00000000" w:rsidRDefault="007125B5">
            <w:pPr>
              <w:pStyle w:val="a3"/>
              <w:spacing w:before="0" w:beforeAutospacing="0" w:after="0" w:afterAutospacing="0"/>
              <w:rPr>
                <w:color w:val="000000"/>
                <w:sz w:val="20"/>
                <w:szCs w:val="20"/>
              </w:rPr>
            </w:pPr>
            <w:r>
              <w:rPr>
                <w:color w:val="000000"/>
                <w:sz w:val="20"/>
                <w:szCs w:val="20"/>
              </w:rPr>
              <w:t>   to deferred revenue</w:t>
            </w:r>
            <w:r>
              <w:rPr>
                <w:color w:val="000000"/>
                <w:sz w:val="17"/>
                <w:szCs w:val="17"/>
                <w:vertAlign w:val="superscript"/>
              </w:rPr>
              <w:t xml:space="preserve"> (7)</w:t>
            </w:r>
          </w:p>
        </w:tc>
        <w:tc>
          <w:tcPr>
            <w:tcW w:w="61" w:type="pct"/>
            <w:shd w:val="clear" w:color="auto" w:fill="CFF0FC"/>
            <w:tcMar>
              <w:top w:w="15" w:type="dxa"/>
              <w:left w:w="0" w:type="dxa"/>
              <w:bottom w:w="0" w:type="dxa"/>
              <w:right w:w="15" w:type="dxa"/>
            </w:tcMar>
            <w:vAlign w:val="bottom"/>
            <w:hideMark/>
          </w:tcPr>
          <w:p w14:paraId="1D24B94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E44AA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50FF607"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05E47D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BF66F5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199E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9ED8AD7"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8F443A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DD541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3EBCC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6DD83CD" w14:textId="77777777" w:rsidR="00000000" w:rsidRDefault="007125B5">
            <w:pPr>
              <w:pStyle w:val="a3"/>
              <w:spacing w:before="0" w:beforeAutospacing="0" w:after="0" w:afterAutospacing="0"/>
              <w:jc w:val="right"/>
              <w:rPr>
                <w:color w:val="000000"/>
                <w:sz w:val="20"/>
                <w:szCs w:val="20"/>
              </w:rPr>
            </w:pPr>
            <w:r>
              <w:rPr>
                <w:color w:val="000000"/>
                <w:sz w:val="20"/>
                <w:szCs w:val="20"/>
              </w:rPr>
              <w:t>243</w:t>
            </w:r>
          </w:p>
        </w:tc>
        <w:tc>
          <w:tcPr>
            <w:tcW w:w="50" w:type="pct"/>
            <w:shd w:val="clear" w:color="auto" w:fill="CFF0FC"/>
            <w:noWrap/>
            <w:tcMar>
              <w:top w:w="15" w:type="dxa"/>
              <w:left w:w="0" w:type="dxa"/>
              <w:bottom w:w="0" w:type="dxa"/>
              <w:right w:w="15" w:type="dxa"/>
            </w:tcMar>
            <w:vAlign w:val="bottom"/>
            <w:hideMark/>
          </w:tcPr>
          <w:p w14:paraId="6B1610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8957DC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069E4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AF39822"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E2037F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6BB3DBD6" w14:textId="77777777">
        <w:trPr>
          <w:divId w:val="1213345099"/>
          <w:jc w:val="center"/>
        </w:trPr>
        <w:tc>
          <w:tcPr>
            <w:tcW w:w="2517" w:type="pct"/>
            <w:shd w:val="clear" w:color="auto" w:fill="FFFFFF"/>
            <w:tcMar>
              <w:top w:w="15" w:type="dxa"/>
              <w:left w:w="0" w:type="dxa"/>
              <w:bottom w:w="0" w:type="dxa"/>
              <w:right w:w="15" w:type="dxa"/>
            </w:tcMar>
            <w:hideMark/>
          </w:tcPr>
          <w:p w14:paraId="1E66F63B" w14:textId="77777777" w:rsidR="00000000" w:rsidRDefault="007125B5">
            <w:pPr>
              <w:pStyle w:val="a3"/>
              <w:spacing w:before="0" w:beforeAutospacing="0" w:after="0" w:afterAutospacing="0"/>
              <w:rPr>
                <w:color w:val="000000"/>
                <w:sz w:val="20"/>
                <w:szCs w:val="20"/>
              </w:rPr>
            </w:pPr>
            <w:r>
              <w:rPr>
                <w:color w:val="000000"/>
                <w:sz w:val="20"/>
                <w:szCs w:val="20"/>
              </w:rPr>
              <w:t xml:space="preserve">IPO preparation costs </w:t>
            </w:r>
            <w:r>
              <w:rPr>
                <w:color w:val="000000"/>
                <w:sz w:val="17"/>
                <w:szCs w:val="17"/>
                <w:vertAlign w:val="superscript"/>
              </w:rPr>
              <w:t>(8)</w:t>
            </w:r>
          </w:p>
        </w:tc>
        <w:tc>
          <w:tcPr>
            <w:tcW w:w="61" w:type="pct"/>
            <w:shd w:val="clear" w:color="auto" w:fill="FFFFFF"/>
            <w:tcMar>
              <w:top w:w="15" w:type="dxa"/>
              <w:left w:w="0" w:type="dxa"/>
              <w:bottom w:w="0" w:type="dxa"/>
              <w:right w:w="15" w:type="dxa"/>
            </w:tcMar>
            <w:vAlign w:val="bottom"/>
            <w:hideMark/>
          </w:tcPr>
          <w:p w14:paraId="6F00FBD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CB439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7ED173A"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DA0F3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2A3765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FEDFF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3E3A93A" w14:textId="77777777" w:rsidR="00000000" w:rsidRDefault="007125B5">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FFFFFF"/>
            <w:noWrap/>
            <w:tcMar>
              <w:top w:w="15" w:type="dxa"/>
              <w:left w:w="0" w:type="dxa"/>
              <w:bottom w:w="0" w:type="dxa"/>
              <w:right w:w="15" w:type="dxa"/>
            </w:tcMar>
            <w:vAlign w:val="bottom"/>
            <w:hideMark/>
          </w:tcPr>
          <w:p w14:paraId="7FE00F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1BAD91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2689D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982D213" w14:textId="77777777" w:rsidR="00000000" w:rsidRDefault="007125B5">
            <w:pPr>
              <w:pStyle w:val="a3"/>
              <w:spacing w:before="0" w:beforeAutospacing="0" w:after="0" w:afterAutospacing="0"/>
              <w:jc w:val="right"/>
              <w:rPr>
                <w:color w:val="000000"/>
                <w:sz w:val="20"/>
                <w:szCs w:val="20"/>
              </w:rPr>
            </w:pPr>
            <w:r>
              <w:rPr>
                <w:color w:val="000000"/>
                <w:sz w:val="20"/>
                <w:szCs w:val="20"/>
              </w:rPr>
              <w:t>531</w:t>
            </w:r>
          </w:p>
        </w:tc>
        <w:tc>
          <w:tcPr>
            <w:tcW w:w="50" w:type="pct"/>
            <w:shd w:val="clear" w:color="auto" w:fill="FFFFFF"/>
            <w:noWrap/>
            <w:tcMar>
              <w:top w:w="15" w:type="dxa"/>
              <w:left w:w="0" w:type="dxa"/>
              <w:bottom w:w="0" w:type="dxa"/>
              <w:right w:w="15" w:type="dxa"/>
            </w:tcMar>
            <w:vAlign w:val="bottom"/>
            <w:hideMark/>
          </w:tcPr>
          <w:p w14:paraId="3AC1FBF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EED17F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BE212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10A7949" w14:textId="77777777" w:rsidR="00000000" w:rsidRDefault="007125B5">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FFFFFF"/>
            <w:noWrap/>
            <w:tcMar>
              <w:top w:w="15" w:type="dxa"/>
              <w:left w:w="0" w:type="dxa"/>
              <w:bottom w:w="0" w:type="dxa"/>
              <w:right w:w="15" w:type="dxa"/>
            </w:tcMar>
            <w:vAlign w:val="bottom"/>
            <w:hideMark/>
          </w:tcPr>
          <w:p w14:paraId="29DBAE20"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78CC64F7" w14:textId="77777777">
        <w:trPr>
          <w:divId w:val="1213345099"/>
          <w:jc w:val="center"/>
        </w:trPr>
        <w:tc>
          <w:tcPr>
            <w:tcW w:w="2517" w:type="pct"/>
            <w:shd w:val="clear" w:color="auto" w:fill="CFF0FC"/>
            <w:tcMar>
              <w:top w:w="15" w:type="dxa"/>
              <w:left w:w="0" w:type="dxa"/>
              <w:bottom w:w="0" w:type="dxa"/>
              <w:right w:w="15" w:type="dxa"/>
            </w:tcMar>
            <w:hideMark/>
          </w:tcPr>
          <w:p w14:paraId="6E059541" w14:textId="77777777" w:rsidR="00000000" w:rsidRDefault="007125B5">
            <w:pPr>
              <w:pStyle w:val="a3"/>
              <w:spacing w:before="0" w:beforeAutospacing="0" w:after="0" w:afterAutospacing="0"/>
              <w:rPr>
                <w:color w:val="000000"/>
                <w:sz w:val="20"/>
                <w:szCs w:val="20"/>
              </w:rPr>
            </w:pPr>
            <w:r>
              <w:rPr>
                <w:color w:val="000000"/>
                <w:sz w:val="20"/>
                <w:szCs w:val="20"/>
              </w:rPr>
              <w:t xml:space="preserve">Discontinued Service Lines </w:t>
            </w:r>
            <w:r>
              <w:rPr>
                <w:color w:val="000000"/>
                <w:sz w:val="17"/>
                <w:szCs w:val="17"/>
                <w:vertAlign w:val="superscript"/>
              </w:rPr>
              <w:t>(9)</w:t>
            </w:r>
          </w:p>
        </w:tc>
        <w:tc>
          <w:tcPr>
            <w:tcW w:w="61" w:type="pct"/>
            <w:shd w:val="clear" w:color="auto" w:fill="CFF0FC"/>
            <w:tcMar>
              <w:top w:w="15" w:type="dxa"/>
              <w:left w:w="0" w:type="dxa"/>
              <w:bottom w:w="0" w:type="dxa"/>
              <w:right w:w="15" w:type="dxa"/>
            </w:tcMar>
            <w:vAlign w:val="bottom"/>
            <w:hideMark/>
          </w:tcPr>
          <w:p w14:paraId="673BC9D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BAEDE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D44DA75" w14:textId="77777777" w:rsidR="00000000" w:rsidRDefault="007125B5">
            <w:pPr>
              <w:pStyle w:val="a3"/>
              <w:spacing w:before="0" w:beforeAutospacing="0" w:after="0" w:afterAutospacing="0"/>
              <w:jc w:val="right"/>
              <w:rPr>
                <w:color w:val="000000"/>
                <w:sz w:val="20"/>
                <w:szCs w:val="20"/>
              </w:rPr>
            </w:pPr>
            <w:r>
              <w:rPr>
                <w:color w:val="000000"/>
                <w:sz w:val="20"/>
                <w:szCs w:val="20"/>
              </w:rPr>
              <w:t>1,078</w:t>
            </w:r>
          </w:p>
        </w:tc>
        <w:tc>
          <w:tcPr>
            <w:tcW w:w="50" w:type="pct"/>
            <w:shd w:val="clear" w:color="auto" w:fill="CFF0FC"/>
            <w:noWrap/>
            <w:tcMar>
              <w:top w:w="15" w:type="dxa"/>
              <w:left w:w="0" w:type="dxa"/>
              <w:bottom w:w="0" w:type="dxa"/>
              <w:right w:w="15" w:type="dxa"/>
            </w:tcMar>
            <w:vAlign w:val="bottom"/>
            <w:hideMark/>
          </w:tcPr>
          <w:p w14:paraId="657D8EF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CE1CEF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CD35D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49752B8" w14:textId="77777777" w:rsidR="00000000" w:rsidRDefault="007125B5">
            <w:pPr>
              <w:pStyle w:val="a3"/>
              <w:spacing w:before="0" w:beforeAutospacing="0" w:after="0" w:afterAutospacing="0"/>
              <w:jc w:val="right"/>
              <w:rPr>
                <w:color w:val="000000"/>
                <w:sz w:val="20"/>
                <w:szCs w:val="20"/>
              </w:rPr>
            </w:pPr>
            <w:r>
              <w:rPr>
                <w:color w:val="000000"/>
                <w:sz w:val="20"/>
                <w:szCs w:val="20"/>
              </w:rPr>
              <w:t>(464</w:t>
            </w:r>
          </w:p>
        </w:tc>
        <w:tc>
          <w:tcPr>
            <w:tcW w:w="50" w:type="pct"/>
            <w:shd w:val="clear" w:color="auto" w:fill="CFF0FC"/>
            <w:noWrap/>
            <w:tcMar>
              <w:top w:w="15" w:type="dxa"/>
              <w:left w:w="0" w:type="dxa"/>
              <w:bottom w:w="0" w:type="dxa"/>
              <w:right w:w="15" w:type="dxa"/>
            </w:tcMar>
            <w:vAlign w:val="bottom"/>
            <w:hideMark/>
          </w:tcPr>
          <w:p w14:paraId="1C4D3FFA" w14:textId="77777777" w:rsidR="00000000" w:rsidRDefault="007125B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A9C193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7FF9B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59BDE2A" w14:textId="77777777" w:rsidR="00000000" w:rsidRDefault="007125B5">
            <w:pPr>
              <w:pStyle w:val="a3"/>
              <w:spacing w:before="0" w:beforeAutospacing="0" w:after="0" w:afterAutospacing="0"/>
              <w:jc w:val="right"/>
              <w:rPr>
                <w:color w:val="000000"/>
                <w:sz w:val="20"/>
                <w:szCs w:val="20"/>
              </w:rPr>
            </w:pPr>
            <w:r>
              <w:rPr>
                <w:color w:val="000000"/>
                <w:sz w:val="20"/>
                <w:szCs w:val="20"/>
              </w:rPr>
              <w:t>7,496</w:t>
            </w:r>
          </w:p>
        </w:tc>
        <w:tc>
          <w:tcPr>
            <w:tcW w:w="50" w:type="pct"/>
            <w:shd w:val="clear" w:color="auto" w:fill="CFF0FC"/>
            <w:noWrap/>
            <w:tcMar>
              <w:top w:w="15" w:type="dxa"/>
              <w:left w:w="0" w:type="dxa"/>
              <w:bottom w:w="0" w:type="dxa"/>
              <w:right w:w="15" w:type="dxa"/>
            </w:tcMar>
            <w:vAlign w:val="bottom"/>
            <w:hideMark/>
          </w:tcPr>
          <w:p w14:paraId="17A6AE54"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07A816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C3A27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A3D6D4D" w14:textId="77777777" w:rsidR="00000000" w:rsidRDefault="007125B5">
            <w:pPr>
              <w:pStyle w:val="a3"/>
              <w:spacing w:before="0" w:beforeAutospacing="0" w:after="0" w:afterAutospacing="0"/>
              <w:jc w:val="right"/>
              <w:rPr>
                <w:color w:val="000000"/>
                <w:sz w:val="20"/>
                <w:szCs w:val="20"/>
              </w:rPr>
            </w:pPr>
            <w:r>
              <w:rPr>
                <w:color w:val="000000"/>
                <w:sz w:val="20"/>
                <w:szCs w:val="20"/>
              </w:rPr>
              <w:t>(669</w:t>
            </w:r>
          </w:p>
        </w:tc>
        <w:tc>
          <w:tcPr>
            <w:tcW w:w="50" w:type="pct"/>
            <w:shd w:val="clear" w:color="auto" w:fill="CFF0FC"/>
            <w:noWrap/>
            <w:tcMar>
              <w:top w:w="15" w:type="dxa"/>
              <w:left w:w="0" w:type="dxa"/>
              <w:bottom w:w="0" w:type="dxa"/>
              <w:right w:w="15" w:type="dxa"/>
            </w:tcMar>
            <w:vAlign w:val="bottom"/>
            <w:hideMark/>
          </w:tcPr>
          <w:p w14:paraId="6196FF48" w14:textId="77777777" w:rsidR="00000000" w:rsidRDefault="007125B5">
            <w:pPr>
              <w:pStyle w:val="a3"/>
              <w:spacing w:before="0" w:beforeAutospacing="0" w:after="0" w:afterAutospacing="0"/>
              <w:rPr>
                <w:color w:val="000000"/>
                <w:sz w:val="20"/>
                <w:szCs w:val="20"/>
              </w:rPr>
            </w:pPr>
            <w:r>
              <w:rPr>
                <w:color w:val="000000"/>
                <w:sz w:val="20"/>
                <w:szCs w:val="20"/>
              </w:rPr>
              <w:t>)</w:t>
            </w:r>
          </w:p>
        </w:tc>
      </w:tr>
      <w:tr w:rsidR="00000000" w14:paraId="26DBB7DE" w14:textId="77777777">
        <w:trPr>
          <w:divId w:val="1213345099"/>
          <w:jc w:val="center"/>
        </w:trPr>
        <w:tc>
          <w:tcPr>
            <w:tcW w:w="2517" w:type="pct"/>
            <w:shd w:val="clear" w:color="auto" w:fill="FFFFFF"/>
            <w:tcMar>
              <w:top w:w="15" w:type="dxa"/>
              <w:left w:w="0" w:type="dxa"/>
              <w:bottom w:w="0" w:type="dxa"/>
              <w:right w:w="15" w:type="dxa"/>
            </w:tcMar>
            <w:hideMark/>
          </w:tcPr>
          <w:p w14:paraId="544A4294" w14:textId="77777777" w:rsidR="00000000" w:rsidRDefault="007125B5">
            <w:pPr>
              <w:pStyle w:val="a3"/>
              <w:spacing w:before="0" w:beforeAutospacing="0" w:after="0" w:afterAutospacing="0"/>
              <w:rPr>
                <w:color w:val="000000"/>
                <w:sz w:val="20"/>
                <w:szCs w:val="20"/>
              </w:rPr>
            </w:pPr>
            <w:r>
              <w:rPr>
                <w:color w:val="000000"/>
                <w:sz w:val="20"/>
                <w:szCs w:val="20"/>
              </w:rPr>
              <w:t xml:space="preserve">Other losses and expenses </w:t>
            </w:r>
            <w:r>
              <w:rPr>
                <w:color w:val="000000"/>
                <w:sz w:val="17"/>
                <w:szCs w:val="17"/>
                <w:vertAlign w:val="superscript"/>
              </w:rPr>
              <w:t>(10)</w:t>
            </w:r>
          </w:p>
        </w:tc>
        <w:tc>
          <w:tcPr>
            <w:tcW w:w="61" w:type="pct"/>
            <w:shd w:val="clear" w:color="auto" w:fill="FFFFFF"/>
            <w:tcMar>
              <w:top w:w="15" w:type="dxa"/>
              <w:left w:w="0" w:type="dxa"/>
              <w:bottom w:w="0" w:type="dxa"/>
              <w:right w:w="15" w:type="dxa"/>
            </w:tcMar>
            <w:vAlign w:val="bottom"/>
            <w:hideMark/>
          </w:tcPr>
          <w:p w14:paraId="3FE9028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11E76D"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EE83542"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D501E0F"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59E13A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65686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962223C"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4C83F4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30345A"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5524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A7790B0" w14:textId="77777777" w:rsidR="00000000" w:rsidRDefault="007125B5">
            <w:pPr>
              <w:pStyle w:val="a3"/>
              <w:spacing w:before="0" w:beforeAutospacing="0" w:after="0" w:afterAutospacing="0"/>
              <w:jc w:val="right"/>
              <w:rPr>
                <w:color w:val="000000"/>
                <w:sz w:val="20"/>
                <w:szCs w:val="20"/>
              </w:rPr>
            </w:pPr>
            <w:r>
              <w:rPr>
                <w:color w:val="000000"/>
                <w:sz w:val="20"/>
                <w:szCs w:val="20"/>
              </w:rPr>
              <w:t>147</w:t>
            </w:r>
          </w:p>
        </w:tc>
        <w:tc>
          <w:tcPr>
            <w:tcW w:w="50" w:type="pct"/>
            <w:shd w:val="clear" w:color="auto" w:fill="FFFFFF"/>
            <w:noWrap/>
            <w:tcMar>
              <w:top w:w="15" w:type="dxa"/>
              <w:left w:w="0" w:type="dxa"/>
              <w:bottom w:w="0" w:type="dxa"/>
              <w:right w:w="15" w:type="dxa"/>
            </w:tcMar>
            <w:vAlign w:val="bottom"/>
            <w:hideMark/>
          </w:tcPr>
          <w:p w14:paraId="37F686EE"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7A32DE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23ED4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F527CC7" w14:textId="77777777" w:rsidR="00000000" w:rsidRDefault="007125B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A89E324"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A7F5785" w14:textId="77777777">
        <w:trPr>
          <w:divId w:val="1213345099"/>
          <w:jc w:val="center"/>
        </w:trPr>
        <w:tc>
          <w:tcPr>
            <w:tcW w:w="2517" w:type="pct"/>
            <w:shd w:val="clear" w:color="auto" w:fill="CFF0FC"/>
            <w:tcMar>
              <w:top w:w="15" w:type="dxa"/>
              <w:left w:w="0" w:type="dxa"/>
              <w:bottom w:w="0" w:type="dxa"/>
              <w:right w:w="15" w:type="dxa"/>
            </w:tcMar>
            <w:hideMark/>
          </w:tcPr>
          <w:p w14:paraId="562986AE" w14:textId="77777777" w:rsidR="00000000" w:rsidRDefault="007125B5">
            <w:pPr>
              <w:pStyle w:val="a3"/>
              <w:spacing w:before="0" w:beforeAutospacing="0" w:after="0" w:afterAutospacing="0"/>
              <w:rPr>
                <w:color w:val="000000"/>
                <w:sz w:val="20"/>
                <w:szCs w:val="20"/>
              </w:rPr>
            </w:pPr>
            <w:r>
              <w:rPr>
                <w:color w:val="000000"/>
                <w:sz w:val="20"/>
                <w:szCs w:val="20"/>
              </w:rPr>
              <w:t xml:space="preserve">Expenses related to financing transactions </w:t>
            </w:r>
            <w:r>
              <w:rPr>
                <w:color w:val="000000"/>
                <w:sz w:val="17"/>
                <w:szCs w:val="17"/>
                <w:vertAlign w:val="superscript"/>
              </w:rPr>
              <w:t>(11)</w:t>
            </w:r>
          </w:p>
        </w:tc>
        <w:tc>
          <w:tcPr>
            <w:tcW w:w="61" w:type="pct"/>
            <w:shd w:val="clear" w:color="auto" w:fill="CFF0FC"/>
            <w:tcMar>
              <w:top w:w="15" w:type="dxa"/>
              <w:left w:w="0" w:type="dxa"/>
              <w:bottom w:w="0" w:type="dxa"/>
              <w:right w:w="15" w:type="dxa"/>
            </w:tcMar>
            <w:vAlign w:val="bottom"/>
            <w:hideMark/>
          </w:tcPr>
          <w:p w14:paraId="1220A28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908867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71B4026" w14:textId="77777777" w:rsidR="00000000" w:rsidRDefault="007125B5">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14:paraId="5B78BF2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24940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F312EB0"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CD8CBF5"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1574C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62E0362"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E44A19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9F6FEC8" w14:textId="77777777" w:rsidR="00000000" w:rsidRDefault="007125B5">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14:paraId="439926F5"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57858D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4F5607C"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4836536" w14:textId="77777777" w:rsidR="00000000" w:rsidRDefault="007125B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CEC59A" w14:textId="77777777" w:rsidR="00000000" w:rsidRDefault="007125B5">
            <w:pPr>
              <w:pStyle w:val="a3"/>
              <w:spacing w:before="0" w:beforeAutospacing="0" w:after="0" w:afterAutospacing="0"/>
              <w:rPr>
                <w:color w:val="000000"/>
                <w:sz w:val="20"/>
                <w:szCs w:val="20"/>
              </w:rPr>
            </w:pPr>
            <w:r>
              <w:rPr>
                <w:color w:val="000000"/>
                <w:sz w:val="20"/>
                <w:szCs w:val="20"/>
              </w:rPr>
              <w:t> </w:t>
            </w:r>
          </w:p>
        </w:tc>
      </w:tr>
      <w:tr w:rsidR="00000000" w14:paraId="5822C7D8" w14:textId="77777777">
        <w:trPr>
          <w:divId w:val="1213345099"/>
          <w:jc w:val="center"/>
        </w:trPr>
        <w:tc>
          <w:tcPr>
            <w:tcW w:w="2517" w:type="pct"/>
            <w:shd w:val="clear" w:color="auto" w:fill="FFFFFF"/>
            <w:tcMar>
              <w:top w:w="15" w:type="dxa"/>
              <w:left w:w="0" w:type="dxa"/>
              <w:bottom w:w="0" w:type="dxa"/>
              <w:right w:w="15" w:type="dxa"/>
            </w:tcMar>
            <w:hideMark/>
          </w:tcPr>
          <w:p w14:paraId="624D7A75" w14:textId="77777777" w:rsidR="00000000" w:rsidRDefault="007125B5">
            <w:pPr>
              <w:pStyle w:val="a3"/>
              <w:spacing w:before="0" w:beforeAutospacing="0" w:after="0" w:afterAutospacing="0"/>
              <w:rPr>
                <w:b/>
                <w:bCs/>
                <w:color w:val="000000"/>
                <w:sz w:val="20"/>
                <w:szCs w:val="20"/>
              </w:rPr>
            </w:pPr>
            <w:r>
              <w:rPr>
                <w:b/>
                <w:bCs/>
                <w:color w:val="000000"/>
                <w:sz w:val="20"/>
                <w:szCs w:val="20"/>
              </w:rPr>
              <w:t>Adjusted EBITDA</w:t>
            </w:r>
          </w:p>
        </w:tc>
        <w:tc>
          <w:tcPr>
            <w:tcW w:w="61" w:type="pct"/>
            <w:shd w:val="clear" w:color="auto" w:fill="FFFFFF"/>
            <w:tcMar>
              <w:top w:w="15" w:type="dxa"/>
              <w:left w:w="0" w:type="dxa"/>
              <w:bottom w:w="0" w:type="dxa"/>
              <w:right w:w="15" w:type="dxa"/>
            </w:tcMar>
            <w:vAlign w:val="bottom"/>
            <w:hideMark/>
          </w:tcPr>
          <w:p w14:paraId="515FBEFB"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2E9346"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D4DA71"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13,895</w:t>
            </w:r>
          </w:p>
        </w:tc>
        <w:tc>
          <w:tcPr>
            <w:tcW w:w="50" w:type="pct"/>
            <w:shd w:val="clear" w:color="auto" w:fill="FFFFFF"/>
            <w:noWrap/>
            <w:tcMar>
              <w:top w:w="15" w:type="dxa"/>
              <w:left w:w="0" w:type="dxa"/>
              <w:bottom w:w="0" w:type="dxa"/>
              <w:right w:w="15" w:type="dxa"/>
            </w:tcMar>
            <w:vAlign w:val="bottom"/>
            <w:hideMark/>
          </w:tcPr>
          <w:p w14:paraId="4ACCFE1D"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14:paraId="353D68F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EFA731"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EDBAC5"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7,979</w:t>
            </w:r>
          </w:p>
        </w:tc>
        <w:tc>
          <w:tcPr>
            <w:tcW w:w="50" w:type="pct"/>
            <w:shd w:val="clear" w:color="auto" w:fill="FFFFFF"/>
            <w:noWrap/>
            <w:tcMar>
              <w:top w:w="15" w:type="dxa"/>
              <w:left w:w="0" w:type="dxa"/>
              <w:bottom w:w="0" w:type="dxa"/>
              <w:right w:w="15" w:type="dxa"/>
            </w:tcMar>
            <w:vAlign w:val="bottom"/>
            <w:hideMark/>
          </w:tcPr>
          <w:p w14:paraId="76230BB4"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14:paraId="3984E736"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A6CEF8"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5EDD75"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19,448</w:t>
            </w:r>
          </w:p>
        </w:tc>
        <w:tc>
          <w:tcPr>
            <w:tcW w:w="50" w:type="pct"/>
            <w:shd w:val="clear" w:color="auto" w:fill="FFFFFF"/>
            <w:noWrap/>
            <w:tcMar>
              <w:top w:w="15" w:type="dxa"/>
              <w:left w:w="0" w:type="dxa"/>
              <w:bottom w:w="0" w:type="dxa"/>
              <w:right w:w="15" w:type="dxa"/>
            </w:tcMar>
            <w:vAlign w:val="bottom"/>
            <w:hideMark/>
          </w:tcPr>
          <w:p w14:paraId="4E62916B" w14:textId="77777777" w:rsidR="00000000" w:rsidRDefault="007125B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14:paraId="36718D63"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49EECC" w14:textId="77777777" w:rsidR="00000000" w:rsidRDefault="007125B5">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5AEE29" w14:textId="77777777" w:rsidR="00000000" w:rsidRDefault="007125B5">
            <w:pPr>
              <w:pStyle w:val="a3"/>
              <w:spacing w:before="0" w:beforeAutospacing="0" w:after="0" w:afterAutospacing="0"/>
              <w:jc w:val="right"/>
              <w:rPr>
                <w:b/>
                <w:bCs/>
                <w:color w:val="000000"/>
                <w:sz w:val="20"/>
                <w:szCs w:val="20"/>
              </w:rPr>
            </w:pPr>
            <w:r>
              <w:rPr>
                <w:b/>
                <w:bCs/>
                <w:color w:val="000000"/>
                <w:sz w:val="20"/>
                <w:szCs w:val="20"/>
              </w:rPr>
              <w:t>12,653</w:t>
            </w:r>
          </w:p>
        </w:tc>
        <w:tc>
          <w:tcPr>
            <w:tcW w:w="50" w:type="pct"/>
            <w:shd w:val="clear" w:color="auto" w:fill="FFFFFF"/>
            <w:noWrap/>
            <w:tcMar>
              <w:top w:w="15" w:type="dxa"/>
              <w:left w:w="0" w:type="dxa"/>
              <w:bottom w:w="0" w:type="dxa"/>
              <w:right w:w="15" w:type="dxa"/>
            </w:tcMar>
            <w:vAlign w:val="bottom"/>
            <w:hideMark/>
          </w:tcPr>
          <w:p w14:paraId="336F83DF" w14:textId="77777777" w:rsidR="00000000" w:rsidRDefault="007125B5">
            <w:pPr>
              <w:pStyle w:val="a3"/>
              <w:spacing w:before="0" w:beforeAutospacing="0" w:after="0" w:afterAutospacing="0"/>
              <w:rPr>
                <w:b/>
                <w:bCs/>
                <w:color w:val="000000"/>
                <w:sz w:val="2"/>
                <w:szCs w:val="2"/>
              </w:rPr>
            </w:pPr>
            <w:r>
              <w:rPr>
                <w:b/>
                <w:bCs/>
                <w:color w:val="000000"/>
                <w:sz w:val="2"/>
                <w:szCs w:val="2"/>
              </w:rPr>
              <w:t> </w:t>
            </w:r>
          </w:p>
        </w:tc>
      </w:tr>
    </w:tbl>
    <w:p w14:paraId="49598E66" w14:textId="77777777" w:rsidR="00000000" w:rsidRDefault="007125B5">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09BDE228" w14:textId="77777777">
        <w:tc>
          <w:tcPr>
            <w:tcW w:w="227" w:type="pct"/>
            <w:noWrap/>
            <w:hideMark/>
          </w:tcPr>
          <w:p w14:paraId="0BB8AC3C" w14:textId="77777777" w:rsidR="00000000" w:rsidRDefault="007125B5">
            <w:pPr>
              <w:pStyle w:val="a3"/>
              <w:spacing w:before="40" w:beforeAutospacing="0" w:after="0" w:afterAutospacing="0"/>
              <w:rPr>
                <w:sz w:val="20"/>
                <w:szCs w:val="20"/>
              </w:rPr>
            </w:pPr>
            <w:r>
              <w:rPr>
                <w:sz w:val="20"/>
                <w:szCs w:val="20"/>
              </w:rPr>
              <w:t>(1)</w:t>
            </w:r>
          </w:p>
        </w:tc>
        <w:tc>
          <w:tcPr>
            <w:tcW w:w="0" w:type="auto"/>
            <w:hideMark/>
          </w:tcPr>
          <w:p w14:paraId="46B430B8" w14:textId="77777777" w:rsidR="00000000" w:rsidRDefault="007125B5">
            <w:pPr>
              <w:pStyle w:val="a3"/>
              <w:spacing w:before="40" w:beforeAutospacing="0" w:after="0" w:afterAutospacing="0"/>
              <w:rPr>
                <w:sz w:val="20"/>
                <w:szCs w:val="20"/>
              </w:rPr>
            </w:pPr>
            <w:r>
              <w:rPr>
                <w:sz w:val="20"/>
                <w:szCs w:val="20"/>
              </w:rPr>
              <w:t>Represents non-cash stock-based compensation expenses related to option awards issued to employees and restricted stock grants issued to directors.</w:t>
            </w:r>
          </w:p>
        </w:tc>
      </w:tr>
    </w:tbl>
    <w:p w14:paraId="5499CDCE"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315D4C82" w14:textId="77777777">
        <w:tc>
          <w:tcPr>
            <w:tcW w:w="227" w:type="pct"/>
            <w:noWrap/>
            <w:hideMark/>
          </w:tcPr>
          <w:p w14:paraId="2B79374C" w14:textId="77777777" w:rsidR="00000000" w:rsidRDefault="007125B5">
            <w:pPr>
              <w:pStyle w:val="a3"/>
              <w:spacing w:before="0" w:beforeAutospacing="0" w:after="0" w:afterAutospacing="0"/>
              <w:rPr>
                <w:sz w:val="20"/>
                <w:szCs w:val="20"/>
              </w:rPr>
            </w:pPr>
            <w:r>
              <w:rPr>
                <w:sz w:val="20"/>
                <w:szCs w:val="20"/>
              </w:rPr>
              <w:t>(2)</w:t>
            </w:r>
          </w:p>
        </w:tc>
        <w:tc>
          <w:tcPr>
            <w:tcW w:w="0" w:type="auto"/>
            <w:hideMark/>
          </w:tcPr>
          <w:p w14:paraId="644B21D1" w14:textId="77777777" w:rsidR="00000000" w:rsidRDefault="007125B5">
            <w:pPr>
              <w:pStyle w:val="a3"/>
              <w:spacing w:before="0" w:beforeAutospacing="0" w:after="0" w:afterAutospacing="0"/>
              <w:rPr>
                <w:sz w:val="20"/>
                <w:szCs w:val="20"/>
              </w:rPr>
            </w:pPr>
            <w:r>
              <w:rPr>
                <w:sz w:val="20"/>
                <w:szCs w:val="20"/>
              </w:rPr>
              <w:t>Represent start-up losses related to losses incurred on (i) the expansion of lab testing methods and l</w:t>
            </w:r>
            <w:r>
              <w:rPr>
                <w:sz w:val="20"/>
                <w:szCs w:val="20"/>
              </w:rPr>
              <w:t xml:space="preserve">ab capacity, including into new geographies, (ii) expansion of our Canadian testing capacity in advance of new regulations and (iii) expansion into Europe in advance of projects driven by new regulations. </w:t>
            </w:r>
          </w:p>
        </w:tc>
      </w:tr>
    </w:tbl>
    <w:p w14:paraId="634CDB2F"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1CFABDBA" w14:textId="77777777">
        <w:tc>
          <w:tcPr>
            <w:tcW w:w="227" w:type="pct"/>
            <w:noWrap/>
            <w:hideMark/>
          </w:tcPr>
          <w:p w14:paraId="1681909D" w14:textId="77777777" w:rsidR="00000000" w:rsidRDefault="007125B5">
            <w:pPr>
              <w:pStyle w:val="a3"/>
              <w:spacing w:before="0" w:beforeAutospacing="0" w:after="0" w:afterAutospacing="0"/>
              <w:rPr>
                <w:sz w:val="20"/>
                <w:szCs w:val="20"/>
              </w:rPr>
            </w:pPr>
            <w:r>
              <w:rPr>
                <w:sz w:val="20"/>
                <w:szCs w:val="20"/>
              </w:rPr>
              <w:t>(3)</w:t>
            </w:r>
          </w:p>
        </w:tc>
        <w:tc>
          <w:tcPr>
            <w:tcW w:w="0" w:type="auto"/>
            <w:hideMark/>
          </w:tcPr>
          <w:p w14:paraId="03959827" w14:textId="77777777" w:rsidR="00000000" w:rsidRDefault="007125B5">
            <w:pPr>
              <w:pStyle w:val="a3"/>
              <w:spacing w:before="0" w:beforeAutospacing="0" w:after="0" w:afterAutospacing="0"/>
              <w:rPr>
                <w:sz w:val="20"/>
                <w:szCs w:val="20"/>
              </w:rPr>
            </w:pPr>
            <w:r>
              <w:rPr>
                <w:sz w:val="20"/>
                <w:szCs w:val="20"/>
              </w:rPr>
              <w:t xml:space="preserve">Acquisition costs include financial and tax </w:t>
            </w:r>
            <w:r>
              <w:rPr>
                <w:sz w:val="20"/>
                <w:szCs w:val="20"/>
              </w:rPr>
              <w:t>diligence, consulting, legal, valuation, accounting and travel costs and acquisition-related incentives related to our acquisition activity.</w:t>
            </w:r>
          </w:p>
        </w:tc>
      </w:tr>
    </w:tbl>
    <w:p w14:paraId="5A4D4CD4"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6142F541" w14:textId="77777777">
        <w:tc>
          <w:tcPr>
            <w:tcW w:w="227" w:type="pct"/>
            <w:noWrap/>
            <w:hideMark/>
          </w:tcPr>
          <w:p w14:paraId="62894D0F" w14:textId="77777777" w:rsidR="00000000" w:rsidRDefault="007125B5">
            <w:pPr>
              <w:pStyle w:val="a3"/>
              <w:spacing w:before="0" w:beforeAutospacing="0" w:after="0" w:afterAutospacing="0"/>
              <w:rPr>
                <w:sz w:val="20"/>
                <w:szCs w:val="20"/>
              </w:rPr>
            </w:pPr>
            <w:r>
              <w:rPr>
                <w:sz w:val="20"/>
                <w:szCs w:val="20"/>
              </w:rPr>
              <w:t>(4)</w:t>
            </w:r>
          </w:p>
        </w:tc>
        <w:tc>
          <w:tcPr>
            <w:tcW w:w="0" w:type="auto"/>
            <w:hideMark/>
          </w:tcPr>
          <w:p w14:paraId="485E35CE" w14:textId="77777777" w:rsidR="00000000" w:rsidRDefault="007125B5">
            <w:pPr>
              <w:pStyle w:val="a3"/>
              <w:spacing w:before="0" w:beforeAutospacing="0" w:after="0" w:afterAutospacing="0"/>
              <w:rPr>
                <w:sz w:val="20"/>
                <w:szCs w:val="20"/>
              </w:rPr>
            </w:pPr>
            <w:r>
              <w:rPr>
                <w:sz w:val="20"/>
                <w:szCs w:val="20"/>
              </w:rPr>
              <w:t>Amounts relates to the change in fair value of the contingent put option attached to the Series A-1 and the w</w:t>
            </w:r>
            <w:r>
              <w:rPr>
                <w:sz w:val="20"/>
                <w:szCs w:val="20"/>
              </w:rPr>
              <w:t xml:space="preserve">arrant option attached to the Series A-1 and Series A-2 preferred stock. </w:t>
            </w:r>
          </w:p>
        </w:tc>
      </w:tr>
    </w:tbl>
    <w:p w14:paraId="60C79B26"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37851D2B" w14:textId="77777777">
        <w:tc>
          <w:tcPr>
            <w:tcW w:w="227" w:type="pct"/>
            <w:noWrap/>
            <w:hideMark/>
          </w:tcPr>
          <w:p w14:paraId="6497E728" w14:textId="77777777" w:rsidR="00000000" w:rsidRDefault="007125B5">
            <w:pPr>
              <w:pStyle w:val="a3"/>
              <w:spacing w:before="0" w:beforeAutospacing="0" w:after="0" w:afterAutospacing="0"/>
              <w:rPr>
                <w:sz w:val="20"/>
                <w:szCs w:val="20"/>
              </w:rPr>
            </w:pPr>
            <w:r>
              <w:rPr>
                <w:sz w:val="20"/>
                <w:szCs w:val="20"/>
              </w:rPr>
              <w:t>(5)</w:t>
            </w:r>
          </w:p>
        </w:tc>
        <w:tc>
          <w:tcPr>
            <w:tcW w:w="0" w:type="auto"/>
            <w:hideMark/>
          </w:tcPr>
          <w:p w14:paraId="328BC804" w14:textId="77777777" w:rsidR="00000000" w:rsidRDefault="007125B5">
            <w:pPr>
              <w:pStyle w:val="a3"/>
              <w:spacing w:before="0" w:beforeAutospacing="0" w:after="0" w:afterAutospacing="0"/>
              <w:rPr>
                <w:sz w:val="20"/>
                <w:szCs w:val="20"/>
              </w:rPr>
            </w:pPr>
            <w:r>
              <w:rPr>
                <w:sz w:val="20"/>
                <w:szCs w:val="20"/>
              </w:rPr>
              <w:t>Amounts relates to the change in fair value of the Series A-2 compound embedded derivative.</w:t>
            </w:r>
          </w:p>
        </w:tc>
      </w:tr>
    </w:tbl>
    <w:p w14:paraId="08BCBAB0"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3E8FCC27" w14:textId="77777777">
        <w:tc>
          <w:tcPr>
            <w:tcW w:w="227" w:type="pct"/>
            <w:noWrap/>
            <w:hideMark/>
          </w:tcPr>
          <w:p w14:paraId="4B52B107" w14:textId="77777777" w:rsidR="00000000" w:rsidRDefault="007125B5">
            <w:pPr>
              <w:pStyle w:val="a3"/>
              <w:spacing w:before="0" w:beforeAutospacing="0" w:after="0" w:afterAutospacing="0"/>
              <w:rPr>
                <w:sz w:val="20"/>
                <w:szCs w:val="20"/>
              </w:rPr>
            </w:pPr>
            <w:r>
              <w:rPr>
                <w:sz w:val="20"/>
                <w:szCs w:val="20"/>
              </w:rPr>
              <w:t>(6)</w:t>
            </w:r>
          </w:p>
        </w:tc>
        <w:tc>
          <w:tcPr>
            <w:tcW w:w="0" w:type="auto"/>
            <w:hideMark/>
          </w:tcPr>
          <w:p w14:paraId="3E5E3122" w14:textId="77777777" w:rsidR="00000000" w:rsidRDefault="007125B5">
            <w:pPr>
              <w:pStyle w:val="a3"/>
              <w:spacing w:before="0" w:beforeAutospacing="0" w:after="0" w:afterAutospacing="0"/>
              <w:rPr>
                <w:sz w:val="20"/>
                <w:szCs w:val="20"/>
              </w:rPr>
            </w:pPr>
            <w:r>
              <w:rPr>
                <w:sz w:val="20"/>
                <w:szCs w:val="20"/>
              </w:rPr>
              <w:t xml:space="preserve">Fair value changes in value of contingent liabilities, reflects the difference between the expected settlement value of acquisition related earn-out payments at the time of the closing of acquisitions and the expected (or actual) value of earn-outs at the </w:t>
            </w:r>
            <w:r>
              <w:rPr>
                <w:sz w:val="20"/>
                <w:szCs w:val="20"/>
              </w:rPr>
              <w:t>end of the relevant period.</w:t>
            </w:r>
          </w:p>
        </w:tc>
      </w:tr>
    </w:tbl>
    <w:p w14:paraId="2D97D61A"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1AEDA78A" w14:textId="77777777">
        <w:tc>
          <w:tcPr>
            <w:tcW w:w="227" w:type="pct"/>
            <w:noWrap/>
            <w:hideMark/>
          </w:tcPr>
          <w:p w14:paraId="34FD666F" w14:textId="77777777" w:rsidR="00000000" w:rsidRDefault="007125B5">
            <w:pPr>
              <w:pStyle w:val="a3"/>
              <w:spacing w:before="0" w:beforeAutospacing="0" w:after="0" w:afterAutospacing="0"/>
              <w:rPr>
                <w:sz w:val="20"/>
                <w:szCs w:val="20"/>
              </w:rPr>
            </w:pPr>
            <w:r>
              <w:rPr>
                <w:sz w:val="20"/>
                <w:szCs w:val="20"/>
              </w:rPr>
              <w:t>(7)</w:t>
            </w:r>
          </w:p>
        </w:tc>
        <w:tc>
          <w:tcPr>
            <w:tcW w:w="0" w:type="auto"/>
            <w:hideMark/>
          </w:tcPr>
          <w:p w14:paraId="784F72A2" w14:textId="77777777" w:rsidR="00000000" w:rsidRDefault="007125B5">
            <w:pPr>
              <w:pStyle w:val="a3"/>
              <w:spacing w:before="0" w:beforeAutospacing="0" w:after="0" w:afterAutospacing="0"/>
              <w:rPr>
                <w:sz w:val="20"/>
                <w:szCs w:val="20"/>
              </w:rPr>
            </w:pPr>
            <w:bookmarkStart w:id="67" w:name="_Hlk47366630"/>
            <w:bookmarkEnd w:id="67"/>
            <w:r>
              <w:rPr>
                <w:sz w:val="20"/>
                <w:szCs w:val="20"/>
              </w:rPr>
              <w:t>Purchase accounting fair value adjustment to deferred revenue represents the impact of the fair value adjustment to the carrying value of deferred revenue as of the date of acquisition of ECT2.</w:t>
            </w:r>
          </w:p>
        </w:tc>
      </w:tr>
    </w:tbl>
    <w:p w14:paraId="2A41282F"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6D93A543" w14:textId="77777777">
        <w:tc>
          <w:tcPr>
            <w:tcW w:w="227" w:type="pct"/>
            <w:noWrap/>
            <w:hideMark/>
          </w:tcPr>
          <w:p w14:paraId="20AF5EC1" w14:textId="77777777" w:rsidR="00000000" w:rsidRDefault="007125B5">
            <w:pPr>
              <w:pStyle w:val="a3"/>
              <w:spacing w:before="0" w:beforeAutospacing="0" w:after="0" w:afterAutospacing="0"/>
              <w:rPr>
                <w:sz w:val="20"/>
                <w:szCs w:val="20"/>
              </w:rPr>
            </w:pPr>
            <w:r>
              <w:rPr>
                <w:sz w:val="20"/>
                <w:szCs w:val="20"/>
              </w:rPr>
              <w:t>(8)</w:t>
            </w:r>
          </w:p>
        </w:tc>
        <w:tc>
          <w:tcPr>
            <w:tcW w:w="0" w:type="auto"/>
            <w:hideMark/>
          </w:tcPr>
          <w:p w14:paraId="02D2D720" w14:textId="77777777" w:rsidR="00000000" w:rsidRDefault="007125B5">
            <w:pPr>
              <w:pStyle w:val="a3"/>
              <w:spacing w:before="0" w:beforeAutospacing="0" w:after="0" w:afterAutospacing="0"/>
              <w:rPr>
                <w:sz w:val="20"/>
                <w:szCs w:val="20"/>
              </w:rPr>
            </w:pPr>
            <w:r>
              <w:rPr>
                <w:sz w:val="20"/>
                <w:szCs w:val="20"/>
              </w:rPr>
              <w:t xml:space="preserve">IPO preparation costs </w:t>
            </w:r>
            <w:r>
              <w:rPr>
                <w:sz w:val="20"/>
                <w:szCs w:val="20"/>
              </w:rPr>
              <w:t xml:space="preserve">relate to expenses incurred by us to prepare for the Company’s initial public offering. </w:t>
            </w:r>
          </w:p>
        </w:tc>
      </w:tr>
    </w:tbl>
    <w:p w14:paraId="5437F5D9"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5323EA57" w14:textId="77777777">
        <w:tc>
          <w:tcPr>
            <w:tcW w:w="227" w:type="pct"/>
            <w:noWrap/>
            <w:hideMark/>
          </w:tcPr>
          <w:p w14:paraId="01DF7601" w14:textId="77777777" w:rsidR="00000000" w:rsidRDefault="007125B5">
            <w:pPr>
              <w:pStyle w:val="a3"/>
              <w:spacing w:before="0" w:beforeAutospacing="0" w:after="0" w:afterAutospacing="0"/>
              <w:rPr>
                <w:sz w:val="20"/>
                <w:szCs w:val="20"/>
              </w:rPr>
            </w:pPr>
            <w:r>
              <w:rPr>
                <w:sz w:val="20"/>
                <w:szCs w:val="20"/>
              </w:rPr>
              <w:t>(9)</w:t>
            </w:r>
          </w:p>
        </w:tc>
        <w:tc>
          <w:tcPr>
            <w:tcW w:w="0" w:type="auto"/>
            <w:hideMark/>
          </w:tcPr>
          <w:p w14:paraId="74BEB49D" w14:textId="77777777" w:rsidR="00000000" w:rsidRDefault="007125B5">
            <w:pPr>
              <w:pStyle w:val="a3"/>
              <w:spacing w:before="0" w:beforeAutospacing="0" w:after="0" w:afterAutospacing="0"/>
              <w:rPr>
                <w:sz w:val="20"/>
                <w:szCs w:val="20"/>
              </w:rPr>
            </w:pPr>
            <w:r>
              <w:rPr>
                <w:sz w:val="20"/>
                <w:szCs w:val="20"/>
              </w:rPr>
              <w:t>Represents (earnings) loss from the Discontinued Service Lines. See the section entitled “Management’s Discussion and Analysis of Financial Condition and Results</w:t>
            </w:r>
            <w:r>
              <w:rPr>
                <w:sz w:val="20"/>
                <w:szCs w:val="20"/>
              </w:rPr>
              <w:t xml:space="preserve"> of Operations—Key Factors that Affect Our Business and Our Results.”</w:t>
            </w:r>
          </w:p>
        </w:tc>
      </w:tr>
    </w:tbl>
    <w:p w14:paraId="23E1ED64"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5766FC52" w14:textId="77777777">
        <w:tc>
          <w:tcPr>
            <w:tcW w:w="227" w:type="pct"/>
            <w:noWrap/>
            <w:hideMark/>
          </w:tcPr>
          <w:p w14:paraId="2D5CCA61" w14:textId="77777777" w:rsidR="00000000" w:rsidRDefault="007125B5">
            <w:pPr>
              <w:pStyle w:val="a3"/>
              <w:spacing w:before="0" w:beforeAutospacing="0" w:after="0" w:afterAutospacing="0"/>
              <w:rPr>
                <w:sz w:val="20"/>
                <w:szCs w:val="20"/>
              </w:rPr>
            </w:pPr>
            <w:r>
              <w:rPr>
                <w:sz w:val="20"/>
                <w:szCs w:val="20"/>
              </w:rPr>
              <w:t>(10)</w:t>
            </w:r>
          </w:p>
        </w:tc>
        <w:tc>
          <w:tcPr>
            <w:tcW w:w="0" w:type="auto"/>
            <w:hideMark/>
          </w:tcPr>
          <w:p w14:paraId="5BCCB5CA" w14:textId="77777777" w:rsidR="00000000" w:rsidRDefault="007125B5">
            <w:pPr>
              <w:pStyle w:val="a3"/>
              <w:spacing w:before="0" w:beforeAutospacing="0" w:after="0" w:afterAutospacing="0"/>
              <w:rPr>
                <w:sz w:val="20"/>
                <w:szCs w:val="20"/>
              </w:rPr>
            </w:pPr>
            <w:r>
              <w:rPr>
                <w:sz w:val="20"/>
                <w:szCs w:val="20"/>
              </w:rPr>
              <w:t>Represents non-operational charges incurred as a result of lease abandonments.</w:t>
            </w:r>
          </w:p>
        </w:tc>
      </w:tr>
    </w:tbl>
    <w:p w14:paraId="24EAABE2"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10C3C79C" w14:textId="77777777">
        <w:tc>
          <w:tcPr>
            <w:tcW w:w="227" w:type="pct"/>
            <w:noWrap/>
            <w:hideMark/>
          </w:tcPr>
          <w:p w14:paraId="59D0CBA0" w14:textId="77777777" w:rsidR="00000000" w:rsidRDefault="007125B5">
            <w:pPr>
              <w:pStyle w:val="a3"/>
              <w:spacing w:before="0" w:beforeAutospacing="0" w:after="0" w:afterAutospacing="0"/>
              <w:rPr>
                <w:sz w:val="20"/>
                <w:szCs w:val="20"/>
              </w:rPr>
            </w:pPr>
            <w:r>
              <w:rPr>
                <w:sz w:val="20"/>
                <w:szCs w:val="20"/>
              </w:rPr>
              <w:t>(11)</w:t>
            </w:r>
          </w:p>
        </w:tc>
        <w:tc>
          <w:tcPr>
            <w:tcW w:w="0" w:type="auto"/>
            <w:hideMark/>
          </w:tcPr>
          <w:p w14:paraId="3A20A0C0" w14:textId="77777777" w:rsidR="00000000" w:rsidRDefault="007125B5">
            <w:pPr>
              <w:pStyle w:val="a3"/>
              <w:spacing w:before="0" w:beforeAutospacing="0" w:after="0" w:afterAutospacing="0"/>
              <w:rPr>
                <w:sz w:val="20"/>
                <w:szCs w:val="20"/>
              </w:rPr>
            </w:pPr>
            <w:r>
              <w:rPr>
                <w:color w:val="000000"/>
                <w:sz w:val="20"/>
                <w:szCs w:val="20"/>
                <w:shd w:val="clear" w:color="auto" w:fill="FFFFFF"/>
              </w:rPr>
              <w:t>Non-capitalizable </w:t>
            </w:r>
            <w:r>
              <w:rPr>
                <w:color w:val="000000"/>
                <w:sz w:val="20"/>
                <w:szCs w:val="20"/>
                <w:shd w:val="clear" w:color="auto" w:fill="FFFFFF"/>
              </w:rPr>
              <w:t>expenses associated with the issuance of the Convertible and Redeemable Series A-2 Preferred Stock Warrants.</w:t>
            </w:r>
          </w:p>
        </w:tc>
      </w:tr>
    </w:tbl>
    <w:p w14:paraId="41CD67B1" w14:textId="77777777" w:rsidR="00000000" w:rsidRDefault="007125B5">
      <w:pPr>
        <w:pStyle w:val="a3"/>
        <w:spacing w:before="240" w:beforeAutospacing="0" w:after="0" w:afterAutospacing="0"/>
        <w:jc w:val="center"/>
        <w:rPr>
          <w:sz w:val="20"/>
          <w:szCs w:val="20"/>
        </w:rPr>
      </w:pPr>
      <w:r>
        <w:rPr>
          <w:sz w:val="20"/>
          <w:szCs w:val="20"/>
        </w:rPr>
        <w:t>43</w:t>
      </w:r>
    </w:p>
    <w:p w14:paraId="000FB7BD" w14:textId="77777777" w:rsidR="00000000" w:rsidRDefault="007125B5">
      <w:pPr>
        <w:rPr>
          <w:rFonts w:eastAsia="Times New Roman"/>
        </w:rPr>
      </w:pPr>
      <w:r>
        <w:rPr>
          <w:rFonts w:eastAsia="Times New Roman"/>
        </w:rPr>
        <w:pict w14:anchorId="181F62DD">
          <v:rect id="_x0000_i1069" style="width:415.3pt;height:1.5pt" o:hralign="center" o:hrstd="t" o:hr="t" fillcolor="#a0a0a0" stroked="f"/>
        </w:pict>
      </w:r>
    </w:p>
    <w:p w14:paraId="7608773E" w14:textId="77777777" w:rsidR="00000000" w:rsidRDefault="007125B5">
      <w:pPr>
        <w:pStyle w:val="a3"/>
        <w:spacing w:before="0" w:beforeAutospacing="0" w:after="0" w:afterAutospacing="0"/>
        <w:rPr>
          <w:sz w:val="20"/>
          <w:szCs w:val="20"/>
        </w:rPr>
      </w:pPr>
      <w:r>
        <w:rPr>
          <w:sz w:val="20"/>
          <w:szCs w:val="20"/>
        </w:rPr>
        <w:t> </w:t>
      </w:r>
    </w:p>
    <w:p w14:paraId="3DD37E76" w14:textId="77777777" w:rsidR="00000000" w:rsidRDefault="007125B5">
      <w:pPr>
        <w:pStyle w:val="a3"/>
        <w:spacing w:before="0" w:beforeAutospacing="0" w:after="0" w:afterAutospacing="0"/>
        <w:rPr>
          <w:b/>
          <w:bCs/>
          <w:sz w:val="20"/>
          <w:szCs w:val="20"/>
        </w:rPr>
      </w:pPr>
      <w:bookmarkStart w:id="68" w:name="_AEIOULastRenderedPageBreakAEIOU46"/>
      <w:bookmarkStart w:id="69" w:name="ITEM_3_QUANTITATIVE_QUALITATIVE_DISCLOSU"/>
      <w:bookmarkEnd w:id="68"/>
      <w:bookmarkEnd w:id="69"/>
      <w:r>
        <w:rPr>
          <w:b/>
          <w:bCs/>
          <w:sz w:val="20"/>
          <w:szCs w:val="20"/>
        </w:rPr>
        <w:t>Item 3. Quantitative and Qualitative Disclosures About Market Risk.</w:t>
      </w:r>
    </w:p>
    <w:p w14:paraId="75A73C92" w14:textId="77777777" w:rsidR="00000000" w:rsidRDefault="007125B5">
      <w:pPr>
        <w:pStyle w:val="a3"/>
        <w:shd w:val="clear" w:color="auto" w:fill="FFFFFF"/>
        <w:spacing w:before="120" w:beforeAutospacing="0" w:after="0" w:afterAutospacing="0"/>
        <w:rPr>
          <w:b/>
          <w:bCs/>
          <w:i/>
          <w:iCs/>
          <w:color w:val="000000"/>
          <w:sz w:val="20"/>
          <w:szCs w:val="20"/>
        </w:rPr>
      </w:pPr>
      <w:r>
        <w:rPr>
          <w:b/>
          <w:bCs/>
          <w:i/>
          <w:iCs/>
          <w:color w:val="000000"/>
          <w:sz w:val="20"/>
          <w:szCs w:val="20"/>
        </w:rPr>
        <w:t>Interest Rate Risk</w:t>
      </w:r>
    </w:p>
    <w:p w14:paraId="2BCBA6B9"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We have market risk exposure arising from changes in interest rates on our credit facility, which bears interest at rates that ar</w:t>
      </w:r>
      <w:r>
        <w:rPr>
          <w:color w:val="000000"/>
          <w:sz w:val="20"/>
          <w:szCs w:val="20"/>
        </w:rPr>
        <w:t xml:space="preserve">e benchmarked against LIBOR. Based on our overall interest rate exposure to variable rate debt outstanding as of June 30, 2020, a 1.0% increase in interest rates would increase annual income (loss) before income taxes by approximately $2.0 million. Due to </w:t>
      </w:r>
      <w:r>
        <w:rPr>
          <w:color w:val="000000"/>
          <w:sz w:val="20"/>
          <w:szCs w:val="20"/>
        </w:rPr>
        <w:t>the 1.0% LIBOR floor under the terms of the term loan, and the LIBOR rate of 0.16% in effect on the revolver at June 30, 2020, any decrease in LIBOR rates would have had a de minimis benefit to annual income (loss) before income taxes.</w:t>
      </w:r>
    </w:p>
    <w:p w14:paraId="3EC7E072" w14:textId="77777777" w:rsidR="00000000" w:rsidRDefault="007125B5">
      <w:pPr>
        <w:pStyle w:val="a3"/>
        <w:shd w:val="clear" w:color="auto" w:fill="FFFFFF"/>
        <w:spacing w:before="360" w:beforeAutospacing="0" w:after="0" w:afterAutospacing="0"/>
        <w:rPr>
          <w:b/>
          <w:bCs/>
          <w:i/>
          <w:iCs/>
          <w:color w:val="000000"/>
          <w:sz w:val="20"/>
          <w:szCs w:val="20"/>
        </w:rPr>
      </w:pPr>
      <w:r>
        <w:rPr>
          <w:b/>
          <w:bCs/>
          <w:i/>
          <w:iCs/>
          <w:color w:val="000000"/>
          <w:sz w:val="20"/>
          <w:szCs w:val="20"/>
        </w:rPr>
        <w:t>Impact of Inflation</w:t>
      </w:r>
    </w:p>
    <w:p w14:paraId="14FA5C12"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Our results of operations and financial condition are presented based on historical cost. While it is difficult to accurately measure the impact of inflation due to the imprecise nature of the estimates required, we believe the effects of inflation, if any</w:t>
      </w:r>
      <w:r>
        <w:rPr>
          <w:color w:val="000000"/>
          <w:sz w:val="20"/>
          <w:szCs w:val="20"/>
        </w:rPr>
        <w:t>, on our results of operations and financial condition have been immaterial. We cannot assure you, however, that our results of operations and financial condition will not be materially impacted by inflation in the future.</w:t>
      </w:r>
    </w:p>
    <w:p w14:paraId="63AACC2B" w14:textId="77777777" w:rsidR="00000000" w:rsidRDefault="007125B5">
      <w:pPr>
        <w:pStyle w:val="a3"/>
        <w:spacing w:before="360" w:beforeAutospacing="0" w:after="0" w:afterAutospacing="0"/>
        <w:rPr>
          <w:b/>
          <w:bCs/>
          <w:sz w:val="20"/>
          <w:szCs w:val="20"/>
        </w:rPr>
      </w:pPr>
      <w:bookmarkStart w:id="70" w:name="ITEM_4_CONTROLS_PROCEDURES"/>
      <w:bookmarkEnd w:id="70"/>
      <w:r>
        <w:rPr>
          <w:b/>
          <w:bCs/>
          <w:sz w:val="20"/>
          <w:szCs w:val="20"/>
        </w:rPr>
        <w:t>Item 4. Controls and Procedures.</w:t>
      </w:r>
    </w:p>
    <w:p w14:paraId="2A677F37" w14:textId="77777777" w:rsidR="00000000" w:rsidRDefault="007125B5">
      <w:pPr>
        <w:pStyle w:val="a3"/>
        <w:spacing w:before="120" w:beforeAutospacing="0" w:after="0" w:afterAutospacing="0"/>
        <w:rPr>
          <w:b/>
          <w:bCs/>
          <w:sz w:val="20"/>
          <w:szCs w:val="20"/>
        </w:rPr>
      </w:pPr>
      <w:r>
        <w:rPr>
          <w:b/>
          <w:bCs/>
          <w:sz w:val="20"/>
          <w:szCs w:val="20"/>
        </w:rPr>
        <w:t>Evaluation of Disclosure Controls and Procedures</w:t>
      </w:r>
    </w:p>
    <w:p w14:paraId="5F88228B" w14:textId="77777777" w:rsidR="00000000" w:rsidRDefault="007125B5">
      <w:pPr>
        <w:pStyle w:val="a3"/>
        <w:spacing w:before="120" w:beforeAutospacing="0" w:after="0" w:afterAutospacing="0"/>
        <w:ind w:firstLine="556"/>
        <w:rPr>
          <w:sz w:val="20"/>
          <w:szCs w:val="20"/>
        </w:rPr>
      </w:pPr>
      <w:r>
        <w:rPr>
          <w:sz w:val="20"/>
          <w:szCs w:val="20"/>
        </w:rPr>
        <w:t>As required by Rule 13a-15(b) under the Exchange Act, our management, including our Chief Executive Officer and Chief Financial Officer, carried out an evaluation of the effectiveness of the design and operation of our disclosure controls and procedures (a</w:t>
      </w:r>
      <w:r>
        <w:rPr>
          <w:sz w:val="20"/>
          <w:szCs w:val="20"/>
        </w:rPr>
        <w:t>s defined in Rule 13a-15(e) under the Exchange Act), as of June 30, 2020, the end of the period covered by this Quarterly Report on Form 10-Q.  Based on the foregoing, our Chief Executive Officer and Chief Financial Officer concluded that, as of June 30, 2</w:t>
      </w:r>
      <w:r>
        <w:rPr>
          <w:sz w:val="20"/>
          <w:szCs w:val="20"/>
        </w:rPr>
        <w:t>020, the end of the period covered by this Quarterly Report on Form 10-Q, our disclosure controls and procedures were effective at the reasonable assurance level.</w:t>
      </w:r>
    </w:p>
    <w:p w14:paraId="04A205DE" w14:textId="77777777" w:rsidR="00000000" w:rsidRDefault="007125B5">
      <w:pPr>
        <w:pStyle w:val="a3"/>
        <w:spacing w:before="360" w:beforeAutospacing="0" w:after="0" w:afterAutospacing="0"/>
        <w:rPr>
          <w:b/>
          <w:bCs/>
          <w:sz w:val="20"/>
          <w:szCs w:val="20"/>
        </w:rPr>
      </w:pPr>
      <w:r>
        <w:rPr>
          <w:b/>
          <w:bCs/>
          <w:sz w:val="20"/>
          <w:szCs w:val="20"/>
        </w:rPr>
        <w:t>Internal Control Over Financial Reporting</w:t>
      </w:r>
    </w:p>
    <w:p w14:paraId="56C7C12E" w14:textId="77777777" w:rsidR="00000000" w:rsidRDefault="007125B5">
      <w:pPr>
        <w:pStyle w:val="a3"/>
        <w:spacing w:before="120" w:beforeAutospacing="0" w:after="0" w:afterAutospacing="0"/>
        <w:ind w:firstLine="556"/>
        <w:rPr>
          <w:sz w:val="20"/>
          <w:szCs w:val="20"/>
        </w:rPr>
      </w:pPr>
      <w:r>
        <w:rPr>
          <w:sz w:val="20"/>
          <w:szCs w:val="20"/>
        </w:rPr>
        <w:t xml:space="preserve">There were no changes in our internal control over </w:t>
      </w:r>
      <w:r>
        <w:rPr>
          <w:sz w:val="20"/>
          <w:szCs w:val="20"/>
        </w:rPr>
        <w:t>financial reporting (as defined in Rule 13a-15(f) under the Exchange Act) that occurred during the quarter ended June 30, 2020, that have materially affected, or are reasonably likely to materially affect, our internal control over financial reporting.</w:t>
      </w:r>
    </w:p>
    <w:p w14:paraId="484AF001" w14:textId="77777777" w:rsidR="00000000" w:rsidRDefault="007125B5">
      <w:pPr>
        <w:pStyle w:val="a3"/>
        <w:shd w:val="clear" w:color="auto" w:fill="FFFFFF"/>
        <w:spacing w:before="360" w:beforeAutospacing="0" w:after="0" w:afterAutospacing="0"/>
        <w:rPr>
          <w:b/>
          <w:bCs/>
          <w:color w:val="000000"/>
          <w:sz w:val="20"/>
          <w:szCs w:val="20"/>
        </w:rPr>
      </w:pPr>
      <w:r>
        <w:rPr>
          <w:b/>
          <w:bCs/>
          <w:color w:val="000000"/>
          <w:sz w:val="20"/>
          <w:szCs w:val="20"/>
        </w:rPr>
        <w:t>Lim</w:t>
      </w:r>
      <w:r>
        <w:rPr>
          <w:b/>
          <w:bCs/>
          <w:color w:val="000000"/>
          <w:sz w:val="20"/>
          <w:szCs w:val="20"/>
        </w:rPr>
        <w:t>itations on Effectiveness of Controls</w:t>
      </w:r>
    </w:p>
    <w:p w14:paraId="7DE63E96" w14:textId="77777777" w:rsidR="00000000" w:rsidRDefault="007125B5">
      <w:pPr>
        <w:pStyle w:val="a3"/>
        <w:shd w:val="clear" w:color="auto" w:fill="FFFFFF"/>
        <w:spacing w:before="120" w:beforeAutospacing="0" w:after="0" w:afterAutospacing="0"/>
        <w:ind w:firstLine="556"/>
        <w:rPr>
          <w:color w:val="000000"/>
          <w:sz w:val="20"/>
          <w:szCs w:val="20"/>
        </w:rPr>
      </w:pPr>
      <w:r>
        <w:rPr>
          <w:color w:val="000000"/>
          <w:sz w:val="20"/>
          <w:szCs w:val="20"/>
        </w:rPr>
        <w:t>Our management, including our principal executive officer and principal financial officer, does not expect that our disclosure controls and procedures or our system of internal control over financial reporting will pre</w:t>
      </w:r>
      <w:r>
        <w:rPr>
          <w:color w:val="000000"/>
          <w:sz w:val="20"/>
          <w:szCs w:val="20"/>
        </w:rPr>
        <w:t>vent or detect all errors and all fraud. A control system, no matter how well designed or operated, can provide only reasonable, but not absolute, assurance that the objectives of the system of internal control are met. The design of our control system ref</w:t>
      </w:r>
      <w:r>
        <w:rPr>
          <w:color w:val="000000"/>
          <w:sz w:val="20"/>
          <w:szCs w:val="20"/>
        </w:rPr>
        <w:t>lects the fact that there are resource constraints, and that the benefits of such control system must be considered relative to their costs. Further, because of the inherent limitations in all control systems, no evaluation of controls can provide absolute</w:t>
      </w:r>
      <w:r>
        <w:rPr>
          <w:color w:val="000000"/>
          <w:sz w:val="20"/>
          <w:szCs w:val="20"/>
        </w:rPr>
        <w:t xml:space="preserve"> assurance that all control failures and instances of fraud, if any, within the Company have been detected. These inherent limitations include the realities that judgments in decision-making can be faulty and that breakdowns can occur because of simple err</w:t>
      </w:r>
      <w:r>
        <w:rPr>
          <w:color w:val="000000"/>
          <w:sz w:val="20"/>
          <w:szCs w:val="20"/>
        </w:rPr>
        <w:t>or or mistake. Additionally, controls can be circumvented by the intentional acts of individuals, by collusion of two or more people, or by management override of the controls. The design of any system of controls is also based in part on certain assumptio</w:t>
      </w:r>
      <w:r>
        <w:rPr>
          <w:color w:val="000000"/>
          <w:sz w:val="20"/>
          <w:szCs w:val="20"/>
        </w:rPr>
        <w:t>ns about the likelihood of future events, and there can be no assurance that the design of any particular control will always succeed in achieving its objective under all potential future conditions.</w:t>
      </w:r>
    </w:p>
    <w:p w14:paraId="04FBF3BC" w14:textId="77777777" w:rsidR="00000000" w:rsidRDefault="007125B5">
      <w:pPr>
        <w:pStyle w:val="a3"/>
        <w:spacing w:before="240" w:beforeAutospacing="0" w:after="0" w:afterAutospacing="0"/>
        <w:jc w:val="center"/>
        <w:rPr>
          <w:sz w:val="20"/>
          <w:szCs w:val="20"/>
        </w:rPr>
      </w:pPr>
      <w:r>
        <w:rPr>
          <w:sz w:val="20"/>
          <w:szCs w:val="20"/>
        </w:rPr>
        <w:t>44</w:t>
      </w:r>
    </w:p>
    <w:p w14:paraId="50C234DC" w14:textId="77777777" w:rsidR="00000000" w:rsidRDefault="007125B5">
      <w:pPr>
        <w:rPr>
          <w:rFonts w:eastAsia="Times New Roman"/>
        </w:rPr>
      </w:pPr>
      <w:r>
        <w:rPr>
          <w:rFonts w:eastAsia="Times New Roman"/>
        </w:rPr>
        <w:pict w14:anchorId="07207907">
          <v:rect id="_x0000_i1070" style="width:415.3pt;height:1.5pt" o:hralign="center" o:hrstd="t" o:hr="t" fillcolor="#a0a0a0" stroked="f"/>
        </w:pict>
      </w:r>
    </w:p>
    <w:p w14:paraId="4572B34A" w14:textId="77777777" w:rsidR="00000000" w:rsidRDefault="007125B5">
      <w:pPr>
        <w:pStyle w:val="a3"/>
        <w:spacing w:before="0" w:beforeAutospacing="0" w:after="0" w:afterAutospacing="0"/>
        <w:rPr>
          <w:sz w:val="20"/>
          <w:szCs w:val="20"/>
        </w:rPr>
      </w:pPr>
      <w:r>
        <w:rPr>
          <w:sz w:val="20"/>
          <w:szCs w:val="20"/>
        </w:rPr>
        <w:t> </w:t>
      </w:r>
    </w:p>
    <w:p w14:paraId="5C54EFC7" w14:textId="77777777" w:rsidR="00000000" w:rsidRDefault="007125B5">
      <w:pPr>
        <w:pStyle w:val="a3"/>
        <w:spacing w:before="0" w:beforeAutospacing="0" w:after="0" w:afterAutospacing="0"/>
        <w:jc w:val="center"/>
        <w:rPr>
          <w:b/>
          <w:bCs/>
          <w:sz w:val="20"/>
          <w:szCs w:val="20"/>
        </w:rPr>
      </w:pPr>
      <w:bookmarkStart w:id="71" w:name="_AEIOULastRenderedPageBreakAEIOU47"/>
      <w:bookmarkStart w:id="72" w:name="PART_IIOR_INFORMATION"/>
      <w:bookmarkEnd w:id="71"/>
      <w:r>
        <w:rPr>
          <w:b/>
          <w:bCs/>
          <w:sz w:val="20"/>
          <w:szCs w:val="20"/>
        </w:rPr>
        <w:t xml:space="preserve">PART </w:t>
      </w:r>
      <w:bookmarkEnd w:id="72"/>
      <w:r>
        <w:rPr>
          <w:b/>
          <w:bCs/>
          <w:sz w:val="20"/>
          <w:szCs w:val="20"/>
        </w:rPr>
        <w:t>II—OTHER INFORMATION</w:t>
      </w:r>
    </w:p>
    <w:p w14:paraId="417F9396" w14:textId="77777777" w:rsidR="00000000" w:rsidRDefault="007125B5">
      <w:pPr>
        <w:pStyle w:val="a3"/>
        <w:spacing w:before="240" w:beforeAutospacing="0" w:after="0" w:afterAutospacing="0"/>
        <w:rPr>
          <w:b/>
          <w:bCs/>
          <w:sz w:val="20"/>
          <w:szCs w:val="20"/>
        </w:rPr>
      </w:pPr>
      <w:bookmarkStart w:id="73" w:name="ITEM_1_LEGAL_PROCEEDINGS"/>
      <w:bookmarkEnd w:id="73"/>
      <w:r>
        <w:rPr>
          <w:b/>
          <w:bCs/>
          <w:sz w:val="20"/>
          <w:szCs w:val="20"/>
        </w:rPr>
        <w:t>Item 1. Legal Proceedings.</w:t>
      </w:r>
    </w:p>
    <w:p w14:paraId="564DC9B7" w14:textId="77777777" w:rsidR="00000000" w:rsidRDefault="007125B5">
      <w:pPr>
        <w:pStyle w:val="a3"/>
        <w:spacing w:before="120" w:beforeAutospacing="0" w:after="0" w:afterAutospacing="0"/>
        <w:ind w:firstLine="556"/>
        <w:rPr>
          <w:sz w:val="20"/>
          <w:szCs w:val="20"/>
        </w:rPr>
      </w:pPr>
      <w:r>
        <w:rPr>
          <w:sz w:val="20"/>
          <w:szCs w:val="20"/>
        </w:rPr>
        <w:t>From time to time, we are subject to various legal proceedings that arise in the normal course of our business activities, including those involving labor and employment, anti-discrimination, commercial disputes and other matters. We are not a party to any</w:t>
      </w:r>
      <w:r>
        <w:rPr>
          <w:sz w:val="20"/>
          <w:szCs w:val="20"/>
        </w:rPr>
        <w:t xml:space="preserve"> litigation the outcome of which, if determined adversely to us, would individually or in the aggregate be reasonably expected to have a material adverse effect on our results of operations or financial position. Regardless of outcome, litigation can have </w:t>
      </w:r>
      <w:r>
        <w:rPr>
          <w:sz w:val="20"/>
          <w:szCs w:val="20"/>
        </w:rPr>
        <w:t>an adverse impact on us because of defense and settlement costs, diversion of management resources and other factors.  </w:t>
      </w:r>
    </w:p>
    <w:p w14:paraId="014064B9" w14:textId="77777777" w:rsidR="00000000" w:rsidRDefault="007125B5">
      <w:pPr>
        <w:pStyle w:val="a3"/>
        <w:spacing w:before="360" w:beforeAutospacing="0" w:after="0" w:afterAutospacing="0"/>
        <w:rPr>
          <w:b/>
          <w:bCs/>
          <w:sz w:val="20"/>
          <w:szCs w:val="20"/>
        </w:rPr>
      </w:pPr>
      <w:bookmarkStart w:id="74" w:name="ITEM_1A_RISK_FACTORS"/>
      <w:bookmarkEnd w:id="74"/>
      <w:r>
        <w:rPr>
          <w:b/>
          <w:bCs/>
          <w:sz w:val="20"/>
          <w:szCs w:val="20"/>
        </w:rPr>
        <w:t>Item 1A. Risk Factors.</w:t>
      </w:r>
    </w:p>
    <w:p w14:paraId="1E64CE9F" w14:textId="77777777" w:rsidR="00000000" w:rsidRDefault="007125B5">
      <w:pPr>
        <w:pStyle w:val="a3"/>
        <w:spacing w:before="120" w:beforeAutospacing="0" w:after="0" w:afterAutospacing="0"/>
        <w:ind w:firstLine="556"/>
        <w:rPr>
          <w:sz w:val="20"/>
          <w:szCs w:val="20"/>
        </w:rPr>
      </w:pPr>
      <w:r>
        <w:rPr>
          <w:sz w:val="20"/>
          <w:szCs w:val="20"/>
        </w:rPr>
        <w:t>There have been no material changes to our risk factors from the risk factors disclosed in our Final Prospectus d</w:t>
      </w:r>
      <w:r>
        <w:rPr>
          <w:sz w:val="20"/>
          <w:szCs w:val="20"/>
        </w:rPr>
        <w:t>ated July 22, 2020, filed in connection with our initial public offering. The risks described in our Final Prospectus, in addition to the other information set forth in this Quarterly Report on Form 10-Q, are not the only risks facing we face. Additional r</w:t>
      </w:r>
      <w:r>
        <w:rPr>
          <w:sz w:val="20"/>
          <w:szCs w:val="20"/>
        </w:rPr>
        <w:t>isks and uncertainties not currently known to us or that we currently deem to be immaterial also may materially adversely affect our business, financial condition and/or operating results.</w:t>
      </w:r>
    </w:p>
    <w:p w14:paraId="1C577332" w14:textId="77777777" w:rsidR="00000000" w:rsidRDefault="007125B5">
      <w:pPr>
        <w:pStyle w:val="a3"/>
        <w:spacing w:before="360" w:beforeAutospacing="0" w:after="0" w:afterAutospacing="0"/>
        <w:rPr>
          <w:b/>
          <w:bCs/>
          <w:sz w:val="20"/>
          <w:szCs w:val="20"/>
        </w:rPr>
      </w:pPr>
      <w:bookmarkStart w:id="75" w:name="ITEM_2_UNREGISTERED_SALES_EQUITY_SECURIT"/>
      <w:r>
        <w:rPr>
          <w:b/>
          <w:bCs/>
          <w:sz w:val="20"/>
          <w:szCs w:val="20"/>
        </w:rPr>
        <w:t xml:space="preserve">Item 2. </w:t>
      </w:r>
      <w:bookmarkEnd w:id="75"/>
      <w:r>
        <w:rPr>
          <w:b/>
          <w:bCs/>
          <w:sz w:val="20"/>
          <w:szCs w:val="20"/>
        </w:rPr>
        <w:t>Unregistered Sales of Equity Securities and Use of Proceeds</w:t>
      </w:r>
      <w:r>
        <w:rPr>
          <w:b/>
          <w:bCs/>
          <w:sz w:val="20"/>
          <w:szCs w:val="20"/>
        </w:rPr>
        <w:t>.</w:t>
      </w:r>
    </w:p>
    <w:p w14:paraId="61EB0470" w14:textId="77777777" w:rsidR="00000000" w:rsidRDefault="007125B5">
      <w:pPr>
        <w:pStyle w:val="a3"/>
        <w:spacing w:before="120" w:beforeAutospacing="0" w:after="0" w:afterAutospacing="0"/>
        <w:rPr>
          <w:b/>
          <w:bCs/>
          <w:sz w:val="20"/>
          <w:szCs w:val="20"/>
        </w:rPr>
      </w:pPr>
      <w:r>
        <w:rPr>
          <w:b/>
          <w:bCs/>
          <w:sz w:val="20"/>
          <w:szCs w:val="20"/>
        </w:rPr>
        <w:t>Unregistered Sales of Equity Securities</w:t>
      </w:r>
    </w:p>
    <w:p w14:paraId="101638E2" w14:textId="77777777" w:rsidR="00000000" w:rsidRDefault="007125B5">
      <w:pPr>
        <w:pStyle w:val="a3"/>
        <w:spacing w:before="120" w:beforeAutospacing="0" w:after="0" w:afterAutospacing="0"/>
        <w:rPr>
          <w:b/>
          <w:bCs/>
          <w:i/>
          <w:iCs/>
          <w:sz w:val="20"/>
          <w:szCs w:val="20"/>
        </w:rPr>
      </w:pPr>
      <w:r>
        <w:rPr>
          <w:b/>
          <w:bCs/>
          <w:i/>
          <w:iCs/>
          <w:sz w:val="20"/>
          <w:szCs w:val="20"/>
        </w:rPr>
        <w:t>Series A-2 Preferred Stock</w:t>
      </w:r>
    </w:p>
    <w:p w14:paraId="3F90FF62" w14:textId="77777777" w:rsidR="00000000" w:rsidRDefault="007125B5">
      <w:pPr>
        <w:pStyle w:val="a3"/>
        <w:spacing w:before="120" w:beforeAutospacing="0" w:after="0" w:afterAutospacing="0"/>
        <w:ind w:firstLine="556"/>
        <w:rPr>
          <w:rFonts w:ascii="TimesNewRomanPS" w:hAnsi="TimesNewRomanPS"/>
          <w:sz w:val="20"/>
          <w:szCs w:val="20"/>
        </w:rPr>
      </w:pPr>
      <w:r>
        <w:rPr>
          <w:rFonts w:ascii="TimesNewRomanPS" w:hAnsi="TimesNewRomanPS"/>
          <w:sz w:val="20"/>
          <w:szCs w:val="20"/>
        </w:rPr>
        <w:t>On April 13, 2020, we issued an aggregate of 17,500 shares of Series A-2 preferred stock, par value $0.0001 per share, and a detachable warrant to purchase 1,351,960 shares of common stock, subject to adjustment, with a 10-year life, for aggregate consider</w:t>
      </w:r>
      <w:r>
        <w:rPr>
          <w:rFonts w:ascii="TimesNewRomanPS" w:hAnsi="TimesNewRomanPS"/>
          <w:sz w:val="20"/>
          <w:szCs w:val="20"/>
        </w:rPr>
        <w:t>ation of $175.0 million. The proceeds from this issuance were used to pay the cash portion of the purchase price in the acquisition of CTEH.  See Part I, Item 2.</w:t>
      </w:r>
      <w:r>
        <w:rPr>
          <w:rFonts w:ascii="TimesNewRomanPS" w:hAnsi="TimesNewRomanPS"/>
          <w:sz w:val="20"/>
          <w:szCs w:val="20"/>
        </w:rPr>
        <w:t xml:space="preserve"> </w:t>
      </w:r>
      <w:r>
        <w:rPr>
          <w:rFonts w:ascii="TimesNewRomanPS" w:hAnsi="TimesNewRomanPS"/>
          <w:sz w:val="20"/>
          <w:szCs w:val="20"/>
        </w:rPr>
        <w:t>“Management’s Discussion and Analysis of Financial Condition and Results of Operations—Liquidi</w:t>
      </w:r>
      <w:r>
        <w:rPr>
          <w:rFonts w:ascii="TimesNewRomanPS" w:hAnsi="TimesNewRomanPS"/>
          <w:sz w:val="20"/>
          <w:szCs w:val="20"/>
        </w:rPr>
        <w:t>ty and Capital Resources—Series A-2 Preferred Stock”</w:t>
      </w:r>
      <w:r>
        <w:rPr>
          <w:rFonts w:ascii="TimesNewRomanPS" w:hAnsi="TimesNewRomanPS"/>
          <w:sz w:val="20"/>
          <w:szCs w:val="20"/>
        </w:rPr>
        <w:t xml:space="preserve"> </w:t>
      </w:r>
      <w:r>
        <w:rPr>
          <w:rFonts w:ascii="TimesNewRomanPS" w:hAnsi="TimesNewRomanPS"/>
          <w:sz w:val="20"/>
          <w:szCs w:val="20"/>
        </w:rPr>
        <w:t>for a discussion of the conversion features of the Series A-2 preferred stock.  The warrant had an exercise price of $0.01 per share of common stock and, concurrent with the consummation of our initial p</w:t>
      </w:r>
      <w:r>
        <w:rPr>
          <w:rFonts w:ascii="TimesNewRomanPS" w:hAnsi="TimesNewRomanPS"/>
          <w:sz w:val="20"/>
          <w:szCs w:val="20"/>
        </w:rPr>
        <w:t xml:space="preserve">ublic offering, the number of shares of common stock underlying the warrant was adjusted upwards pursuant to the terms thereof to 1,999,999. The warrant was exercised in full on July 30, 2020. The issuance of the Series A-2 preferred stock and the warrant </w:t>
      </w:r>
      <w:r>
        <w:rPr>
          <w:rFonts w:ascii="TimesNewRomanPS" w:hAnsi="TimesNewRomanPS"/>
          <w:sz w:val="20"/>
          <w:szCs w:val="20"/>
        </w:rPr>
        <w:t>to purchase shares of common stock was exempt from the registration requirements of the Securities Act, pursuant to Section 4(a)(2) thereof as a transaction by an issuer not involving any public offering.</w:t>
      </w:r>
      <w:r>
        <w:rPr>
          <w:rFonts w:ascii="TimesNewRomanPS" w:hAnsi="TimesNewRomanPS"/>
          <w:sz w:val="20"/>
          <w:szCs w:val="20"/>
        </w:rPr>
        <w:t xml:space="preserve"> </w:t>
      </w:r>
      <w:r>
        <w:rPr>
          <w:color w:val="000000"/>
          <w:sz w:val="20"/>
          <w:szCs w:val="20"/>
        </w:rPr>
        <w:t>See Note 17 to our unaudited condensed consolidated</w:t>
      </w:r>
      <w:r>
        <w:rPr>
          <w:color w:val="000000"/>
          <w:sz w:val="20"/>
          <w:szCs w:val="20"/>
        </w:rPr>
        <w:t xml:space="preserve"> financial statements.</w:t>
      </w:r>
    </w:p>
    <w:p w14:paraId="38A21ECE" w14:textId="77777777" w:rsidR="00000000" w:rsidRDefault="007125B5">
      <w:pPr>
        <w:pStyle w:val="a3"/>
        <w:spacing w:before="360" w:beforeAutospacing="0" w:after="0" w:afterAutospacing="0"/>
        <w:rPr>
          <w:rFonts w:ascii="TimesNewRomanPS" w:hAnsi="TimesNewRomanPS"/>
          <w:b/>
          <w:bCs/>
          <w:i/>
          <w:iCs/>
          <w:sz w:val="20"/>
          <w:szCs w:val="20"/>
        </w:rPr>
      </w:pPr>
      <w:r>
        <w:rPr>
          <w:rFonts w:ascii="TimesNewRomanPS" w:hAnsi="TimesNewRomanPS"/>
          <w:b/>
          <w:bCs/>
          <w:i/>
          <w:iCs/>
          <w:sz w:val="20"/>
          <w:szCs w:val="20"/>
        </w:rPr>
        <w:t>CTEH Acquisition</w:t>
      </w:r>
    </w:p>
    <w:p w14:paraId="3E849443" w14:textId="77777777" w:rsidR="00000000" w:rsidRDefault="007125B5">
      <w:pPr>
        <w:pStyle w:val="a3"/>
        <w:spacing w:before="120" w:beforeAutospacing="0" w:after="0" w:afterAutospacing="0"/>
        <w:ind w:firstLine="556"/>
        <w:rPr>
          <w:rFonts w:ascii="TimesNewRomanPS" w:hAnsi="TimesNewRomanPS"/>
          <w:sz w:val="20"/>
          <w:szCs w:val="20"/>
        </w:rPr>
      </w:pPr>
      <w:r>
        <w:rPr>
          <w:rFonts w:ascii="TimesNewRomanPS" w:hAnsi="TimesNewRomanPS"/>
          <w:sz w:val="20"/>
          <w:szCs w:val="20"/>
        </w:rPr>
        <w:t xml:space="preserve">On April 13, 2020, we issued an aggregate of 791,139 shares of common stock to an accredited investor as a portion of the consideration paid in the acquisition of CTEH. This issuance was exempt from the registration </w:t>
      </w:r>
      <w:r>
        <w:rPr>
          <w:rFonts w:ascii="TimesNewRomanPS" w:hAnsi="TimesNewRomanPS"/>
          <w:sz w:val="20"/>
          <w:szCs w:val="20"/>
        </w:rPr>
        <w:t>requirements of the Securities Act pursuant to Section 4(a)(2) thereof as a transaction by an issuer not involving any public offering.</w:t>
      </w:r>
      <w:r>
        <w:rPr>
          <w:rFonts w:ascii="TimesNewRomanPS" w:hAnsi="TimesNewRomanPS"/>
          <w:sz w:val="20"/>
          <w:szCs w:val="20"/>
        </w:rPr>
        <w:t xml:space="preserve"> </w:t>
      </w:r>
      <w:r>
        <w:rPr>
          <w:color w:val="000000"/>
          <w:sz w:val="20"/>
          <w:szCs w:val="20"/>
        </w:rPr>
        <w:t>See Note 6 to our unaudited condensed consolidated financial statements.</w:t>
      </w:r>
    </w:p>
    <w:p w14:paraId="7F38967E" w14:textId="77777777" w:rsidR="00000000" w:rsidRDefault="007125B5">
      <w:pPr>
        <w:pStyle w:val="a3"/>
        <w:spacing w:before="360" w:beforeAutospacing="0" w:after="0" w:afterAutospacing="0"/>
        <w:rPr>
          <w:b/>
          <w:bCs/>
          <w:sz w:val="20"/>
          <w:szCs w:val="20"/>
        </w:rPr>
      </w:pPr>
      <w:r>
        <w:rPr>
          <w:b/>
          <w:bCs/>
          <w:sz w:val="20"/>
          <w:szCs w:val="20"/>
        </w:rPr>
        <w:t>Use of Proceeds</w:t>
      </w:r>
    </w:p>
    <w:p w14:paraId="38F25CE8" w14:textId="77777777" w:rsidR="00000000" w:rsidRDefault="007125B5">
      <w:pPr>
        <w:pStyle w:val="a3"/>
        <w:spacing w:before="120" w:beforeAutospacing="0" w:after="0" w:afterAutospacing="0"/>
        <w:ind w:firstLine="556"/>
        <w:rPr>
          <w:sz w:val="20"/>
          <w:szCs w:val="20"/>
        </w:rPr>
      </w:pPr>
      <w:r>
        <w:rPr>
          <w:sz w:val="20"/>
          <w:szCs w:val="20"/>
        </w:rPr>
        <w:t xml:space="preserve">In connection with our initial </w:t>
      </w:r>
      <w:r>
        <w:rPr>
          <w:sz w:val="20"/>
          <w:szCs w:val="20"/>
        </w:rPr>
        <w:t>public offering, we filed a Registration Statement on Form S-1 (File No. 333-239542) on June 29, 2020. The registration statement, as amended, registered up to 11,500,000 shares of our common stock to be issued and sold by us. The SEC declared the registra</w:t>
      </w:r>
      <w:r>
        <w:rPr>
          <w:sz w:val="20"/>
          <w:szCs w:val="20"/>
        </w:rPr>
        <w:t xml:space="preserve">tion statement effective on July 22, 2020. In the initial public offering, we sold all 11,500,000 shares of our common stock at a public offering price of $15.00 per share, resulting in aggregate gross proceeds of $172.5 million and aggregate net proceeds </w:t>
      </w:r>
      <w:r>
        <w:rPr>
          <w:sz w:val="20"/>
          <w:szCs w:val="20"/>
        </w:rPr>
        <w:t>to us of approximately $161.3 million after deducting underwriting discounts and commissions. We used $9.8 million of the net proceeds to pay offering expenses and employee bonuses, and we used $131.8 million of the net proceeds to pay a portion of the agg</w:t>
      </w:r>
      <w:r>
        <w:rPr>
          <w:sz w:val="20"/>
          <w:szCs w:val="20"/>
        </w:rPr>
        <w:t>regate redemption price for all outstanding shares of our Series A-1 preferred stock, all of which were held by OCM Montrose Holdings, L.P., an affiliate of Oaktree Capital, which, along with its affiliates, is a greater than 10% beneficial owner of our co</w:t>
      </w:r>
      <w:r>
        <w:rPr>
          <w:sz w:val="20"/>
          <w:szCs w:val="20"/>
        </w:rPr>
        <w:t xml:space="preserve">mmon stock. The remaining balance of the aggregate redemption price for the Series A-1 preferred stock was paid in shares of common stock.  The offering closed on July 27, 2020. The underwriters were BofA Securities, Inc., William Blair &amp; Company, L.L.C., </w:t>
      </w:r>
      <w:r>
        <w:rPr>
          <w:sz w:val="20"/>
          <w:szCs w:val="20"/>
        </w:rPr>
        <w:t xml:space="preserve">BNP Paribas Securities Corp., Capital One Securities, Inc., Stifel, Nicolaus &amp; Company and Needham &amp; Company, LLC. </w:t>
      </w:r>
    </w:p>
    <w:p w14:paraId="44E2F0F2" w14:textId="77777777" w:rsidR="00000000" w:rsidRDefault="007125B5">
      <w:pPr>
        <w:pStyle w:val="a3"/>
        <w:spacing w:before="240" w:beforeAutospacing="0" w:after="0" w:afterAutospacing="0"/>
        <w:jc w:val="center"/>
        <w:rPr>
          <w:sz w:val="20"/>
          <w:szCs w:val="20"/>
        </w:rPr>
      </w:pPr>
      <w:r>
        <w:rPr>
          <w:sz w:val="20"/>
          <w:szCs w:val="20"/>
        </w:rPr>
        <w:t>45</w:t>
      </w:r>
    </w:p>
    <w:p w14:paraId="51424463" w14:textId="77777777" w:rsidR="00000000" w:rsidRDefault="007125B5">
      <w:pPr>
        <w:rPr>
          <w:rFonts w:eastAsia="Times New Roman"/>
        </w:rPr>
      </w:pPr>
      <w:r>
        <w:rPr>
          <w:rFonts w:eastAsia="Times New Roman"/>
        </w:rPr>
        <w:pict w14:anchorId="03CFB2A0">
          <v:rect id="_x0000_i1071" style="width:415.3pt;height:1.5pt" o:hralign="center" o:hrstd="t" o:hr="t" fillcolor="#a0a0a0" stroked="f"/>
        </w:pict>
      </w:r>
    </w:p>
    <w:p w14:paraId="764666F3" w14:textId="77777777" w:rsidR="00000000" w:rsidRDefault="007125B5">
      <w:pPr>
        <w:pStyle w:val="a3"/>
        <w:spacing w:before="0" w:beforeAutospacing="0" w:after="0" w:afterAutospacing="0"/>
        <w:rPr>
          <w:sz w:val="20"/>
          <w:szCs w:val="20"/>
        </w:rPr>
      </w:pPr>
      <w:r>
        <w:rPr>
          <w:sz w:val="20"/>
          <w:szCs w:val="20"/>
        </w:rPr>
        <w:t> </w:t>
      </w:r>
    </w:p>
    <w:p w14:paraId="05E86214" w14:textId="77777777" w:rsidR="00000000" w:rsidRDefault="007125B5">
      <w:pPr>
        <w:pStyle w:val="a3"/>
        <w:spacing w:before="360" w:beforeAutospacing="0" w:after="0" w:afterAutospacing="0"/>
        <w:rPr>
          <w:b/>
          <w:bCs/>
          <w:sz w:val="20"/>
          <w:szCs w:val="20"/>
        </w:rPr>
      </w:pPr>
      <w:bookmarkStart w:id="76" w:name="_AEIOULastRenderedPageBreakAEIOU48"/>
      <w:bookmarkStart w:id="77" w:name="ITEM_3_DEFAULTS_UPON_SENIOR_SECURITIES"/>
      <w:bookmarkEnd w:id="76"/>
      <w:bookmarkEnd w:id="77"/>
      <w:r>
        <w:rPr>
          <w:b/>
          <w:bCs/>
          <w:sz w:val="20"/>
          <w:szCs w:val="20"/>
        </w:rPr>
        <w:t>Item 3. Defaults Upon Senior Securities.</w:t>
      </w:r>
    </w:p>
    <w:p w14:paraId="3F075F06" w14:textId="77777777" w:rsidR="00000000" w:rsidRDefault="007125B5">
      <w:pPr>
        <w:pStyle w:val="a3"/>
        <w:spacing w:before="120" w:beforeAutospacing="0" w:after="0" w:afterAutospacing="0"/>
        <w:ind w:firstLine="556"/>
        <w:rPr>
          <w:sz w:val="20"/>
          <w:szCs w:val="20"/>
        </w:rPr>
      </w:pPr>
      <w:r>
        <w:rPr>
          <w:sz w:val="20"/>
          <w:szCs w:val="20"/>
        </w:rPr>
        <w:t>None.</w:t>
      </w:r>
    </w:p>
    <w:p w14:paraId="18D54724" w14:textId="77777777" w:rsidR="00000000" w:rsidRDefault="007125B5">
      <w:pPr>
        <w:pStyle w:val="a3"/>
        <w:spacing w:before="360" w:beforeAutospacing="0" w:after="0" w:afterAutospacing="0"/>
        <w:rPr>
          <w:b/>
          <w:bCs/>
          <w:sz w:val="20"/>
          <w:szCs w:val="20"/>
        </w:rPr>
      </w:pPr>
      <w:bookmarkStart w:id="78" w:name="ITEM_4_MINE_SAFETY_DISCLOSURES"/>
      <w:bookmarkEnd w:id="78"/>
      <w:r>
        <w:rPr>
          <w:b/>
          <w:bCs/>
          <w:sz w:val="20"/>
          <w:szCs w:val="20"/>
        </w:rPr>
        <w:t>Item 4. Mine Safety Disclosures.</w:t>
      </w:r>
    </w:p>
    <w:p w14:paraId="49170160" w14:textId="77777777" w:rsidR="00000000" w:rsidRDefault="007125B5">
      <w:pPr>
        <w:pStyle w:val="a3"/>
        <w:spacing w:before="120" w:beforeAutospacing="0" w:after="0" w:afterAutospacing="0"/>
        <w:ind w:firstLine="556"/>
        <w:rPr>
          <w:sz w:val="20"/>
          <w:szCs w:val="20"/>
        </w:rPr>
      </w:pPr>
      <w:r>
        <w:rPr>
          <w:sz w:val="20"/>
          <w:szCs w:val="20"/>
        </w:rPr>
        <w:t>Not applicable.</w:t>
      </w:r>
    </w:p>
    <w:p w14:paraId="129C9CCA" w14:textId="77777777" w:rsidR="00000000" w:rsidRDefault="007125B5">
      <w:pPr>
        <w:pStyle w:val="a3"/>
        <w:spacing w:before="360" w:beforeAutospacing="0" w:after="0" w:afterAutospacing="0"/>
        <w:rPr>
          <w:b/>
          <w:bCs/>
          <w:sz w:val="20"/>
          <w:szCs w:val="20"/>
        </w:rPr>
      </w:pPr>
      <w:bookmarkStart w:id="79" w:name="ITEM_5_OR_INFORMATION"/>
      <w:bookmarkEnd w:id="79"/>
      <w:r>
        <w:rPr>
          <w:b/>
          <w:bCs/>
          <w:sz w:val="20"/>
          <w:szCs w:val="20"/>
        </w:rPr>
        <w:t>Item 5. Other Information.</w:t>
      </w:r>
    </w:p>
    <w:p w14:paraId="1D37ADDA" w14:textId="77777777" w:rsidR="00000000" w:rsidRDefault="007125B5">
      <w:pPr>
        <w:pStyle w:val="a3"/>
        <w:spacing w:before="120" w:beforeAutospacing="0" w:after="0" w:afterAutospacing="0"/>
        <w:ind w:firstLine="556"/>
        <w:rPr>
          <w:sz w:val="20"/>
          <w:szCs w:val="20"/>
        </w:rPr>
      </w:pPr>
      <w:r>
        <w:rPr>
          <w:sz w:val="20"/>
          <w:szCs w:val="20"/>
        </w:rPr>
        <w:t>None.</w:t>
      </w:r>
    </w:p>
    <w:p w14:paraId="7C154E12" w14:textId="77777777" w:rsidR="00000000" w:rsidRDefault="007125B5">
      <w:pPr>
        <w:pStyle w:val="a3"/>
        <w:spacing w:before="240" w:beforeAutospacing="0" w:after="0" w:afterAutospacing="0"/>
        <w:jc w:val="center"/>
        <w:rPr>
          <w:sz w:val="20"/>
          <w:szCs w:val="20"/>
        </w:rPr>
      </w:pPr>
      <w:r>
        <w:rPr>
          <w:sz w:val="20"/>
          <w:szCs w:val="20"/>
        </w:rPr>
        <w:t>46</w:t>
      </w:r>
    </w:p>
    <w:p w14:paraId="58610C7D" w14:textId="77777777" w:rsidR="00000000" w:rsidRDefault="007125B5">
      <w:pPr>
        <w:rPr>
          <w:rFonts w:eastAsia="Times New Roman"/>
        </w:rPr>
      </w:pPr>
      <w:r>
        <w:rPr>
          <w:rFonts w:eastAsia="Times New Roman"/>
        </w:rPr>
        <w:pict w14:anchorId="520456A0">
          <v:rect id="_x0000_i1072" style="width:415.3pt;height:1.5pt" o:hralign="center" o:hrstd="t" o:hr="t" fillcolor="#a0a0a0" stroked="f"/>
        </w:pict>
      </w:r>
    </w:p>
    <w:p w14:paraId="1E28EC4E" w14:textId="77777777" w:rsidR="00000000" w:rsidRDefault="007125B5">
      <w:pPr>
        <w:pStyle w:val="a3"/>
        <w:spacing w:before="0" w:beforeAutospacing="0" w:after="0" w:afterAutospacing="0"/>
        <w:rPr>
          <w:sz w:val="20"/>
          <w:szCs w:val="20"/>
        </w:rPr>
      </w:pPr>
      <w:r>
        <w:rPr>
          <w:sz w:val="20"/>
          <w:szCs w:val="20"/>
        </w:rPr>
        <w:t> </w:t>
      </w:r>
    </w:p>
    <w:p w14:paraId="22FE3E76" w14:textId="77777777" w:rsidR="00000000" w:rsidRDefault="007125B5">
      <w:pPr>
        <w:pStyle w:val="a3"/>
        <w:spacing w:before="0" w:beforeAutospacing="0" w:after="0" w:afterAutospacing="0"/>
        <w:rPr>
          <w:b/>
          <w:bCs/>
          <w:sz w:val="20"/>
          <w:szCs w:val="20"/>
        </w:rPr>
      </w:pPr>
      <w:bookmarkStart w:id="80" w:name="_AEIOULastRenderedPageBreakAEIOU49"/>
      <w:bookmarkStart w:id="81" w:name="ITEM_6_EXHIBITS"/>
      <w:bookmarkEnd w:id="80"/>
      <w:bookmarkEnd w:id="81"/>
      <w:r>
        <w:rPr>
          <w:b/>
          <w:bCs/>
          <w:sz w:val="20"/>
          <w:szCs w:val="20"/>
        </w:rPr>
        <w:t>Item 6. Exhibits.</w:t>
      </w:r>
    </w:p>
    <w:p w14:paraId="0EAEEB58"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65"/>
        <w:gridCol w:w="65"/>
        <w:gridCol w:w="7476"/>
      </w:tblGrid>
      <w:tr w:rsidR="00000000" w14:paraId="7BB422BA" w14:textId="77777777">
        <w:trPr>
          <w:divId w:val="1442264031"/>
          <w:jc w:val="center"/>
        </w:trPr>
        <w:tc>
          <w:tcPr>
            <w:tcW w:w="354" w:type="pct"/>
            <w:tcBorders>
              <w:bottom w:val="single" w:sz="6" w:space="0" w:color="000000"/>
            </w:tcBorders>
            <w:shd w:val="clear" w:color="auto" w:fill="FFFFFF"/>
            <w:tcMar>
              <w:top w:w="15" w:type="dxa"/>
              <w:left w:w="0" w:type="dxa"/>
              <w:bottom w:w="0" w:type="dxa"/>
              <w:right w:w="15" w:type="dxa"/>
            </w:tcMar>
            <w:vAlign w:val="bottom"/>
            <w:hideMark/>
          </w:tcPr>
          <w:p w14:paraId="67874477"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Exhibit</w:t>
            </w:r>
          </w:p>
          <w:p w14:paraId="4B5A7D98"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Number</w:t>
            </w:r>
          </w:p>
        </w:tc>
        <w:tc>
          <w:tcPr>
            <w:tcW w:w="48" w:type="pct"/>
            <w:shd w:val="clear" w:color="auto" w:fill="FFFFFF"/>
            <w:tcMar>
              <w:top w:w="15" w:type="dxa"/>
              <w:left w:w="0" w:type="dxa"/>
              <w:bottom w:w="0" w:type="dxa"/>
              <w:right w:w="15" w:type="dxa"/>
            </w:tcMar>
            <w:vAlign w:val="bottom"/>
            <w:hideMark/>
          </w:tcPr>
          <w:p w14:paraId="69910D6D" w14:textId="77777777" w:rsidR="00000000" w:rsidRDefault="007125B5">
            <w:pPr>
              <w:pStyle w:val="a3"/>
              <w:spacing w:before="0" w:beforeAutospacing="0" w:after="0" w:afterAutospacing="0"/>
              <w:rPr>
                <w:color w:val="000000"/>
                <w:sz w:val="16"/>
                <w:szCs w:val="16"/>
              </w:rPr>
            </w:pPr>
            <w:r>
              <w:rPr>
                <w:color w:val="000000"/>
                <w:sz w:val="16"/>
                <w:szCs w:val="16"/>
              </w:rPr>
              <w:t> </w:t>
            </w:r>
          </w:p>
        </w:tc>
        <w:tc>
          <w:tcPr>
            <w:tcW w:w="4598" w:type="pct"/>
            <w:tcBorders>
              <w:bottom w:val="single" w:sz="6" w:space="0" w:color="000000"/>
            </w:tcBorders>
            <w:shd w:val="clear" w:color="auto" w:fill="FFFFFF"/>
            <w:tcMar>
              <w:top w:w="15" w:type="dxa"/>
              <w:left w:w="0" w:type="dxa"/>
              <w:bottom w:w="0" w:type="dxa"/>
              <w:right w:w="15" w:type="dxa"/>
            </w:tcMar>
            <w:vAlign w:val="bottom"/>
            <w:hideMark/>
          </w:tcPr>
          <w:p w14:paraId="7CBD0D4C" w14:textId="77777777" w:rsidR="00000000" w:rsidRDefault="007125B5">
            <w:pPr>
              <w:pStyle w:val="a3"/>
              <w:spacing w:before="0" w:beforeAutospacing="0" w:after="0" w:afterAutospacing="0"/>
              <w:jc w:val="center"/>
              <w:rPr>
                <w:b/>
                <w:bCs/>
                <w:color w:val="000000"/>
                <w:sz w:val="16"/>
                <w:szCs w:val="16"/>
              </w:rPr>
            </w:pPr>
            <w:r>
              <w:rPr>
                <w:b/>
                <w:bCs/>
                <w:color w:val="000000"/>
                <w:sz w:val="16"/>
                <w:szCs w:val="16"/>
              </w:rPr>
              <w:t>Description</w:t>
            </w:r>
          </w:p>
        </w:tc>
      </w:tr>
      <w:tr w:rsidR="00000000" w14:paraId="187904F6" w14:textId="77777777">
        <w:trPr>
          <w:divId w:val="1442264031"/>
          <w:jc w:val="center"/>
        </w:trPr>
        <w:tc>
          <w:tcPr>
            <w:tcW w:w="354" w:type="pct"/>
            <w:tcBorders>
              <w:top w:val="single" w:sz="6" w:space="0" w:color="000000"/>
            </w:tcBorders>
            <w:shd w:val="clear" w:color="auto" w:fill="FFFFFF"/>
            <w:tcMar>
              <w:top w:w="15" w:type="dxa"/>
              <w:left w:w="0" w:type="dxa"/>
              <w:bottom w:w="0" w:type="dxa"/>
              <w:right w:w="15" w:type="dxa"/>
            </w:tcMar>
            <w:vAlign w:val="bottom"/>
            <w:hideMark/>
          </w:tcPr>
          <w:p w14:paraId="48A53F2B" w14:textId="77777777" w:rsidR="00000000" w:rsidRDefault="007125B5">
            <w:pPr>
              <w:pStyle w:val="a3"/>
              <w:spacing w:before="0" w:beforeAutospacing="0" w:after="0" w:afterAutospacing="0"/>
              <w:rPr>
                <w:color w:val="000000"/>
                <w:sz w:val="12"/>
                <w:szCs w:val="12"/>
              </w:rPr>
            </w:pPr>
            <w:r>
              <w:rPr>
                <w:color w:val="000000"/>
                <w:sz w:val="12"/>
                <w:szCs w:val="12"/>
              </w:rPr>
              <w:t> </w:t>
            </w:r>
          </w:p>
        </w:tc>
        <w:tc>
          <w:tcPr>
            <w:tcW w:w="48" w:type="pct"/>
            <w:shd w:val="clear" w:color="auto" w:fill="FFFFFF"/>
            <w:tcMar>
              <w:top w:w="15" w:type="dxa"/>
              <w:left w:w="0" w:type="dxa"/>
              <w:bottom w:w="0" w:type="dxa"/>
              <w:right w:w="15" w:type="dxa"/>
            </w:tcMar>
            <w:vAlign w:val="bottom"/>
            <w:hideMark/>
          </w:tcPr>
          <w:p w14:paraId="0675295E" w14:textId="77777777" w:rsidR="00000000" w:rsidRDefault="007125B5">
            <w:pPr>
              <w:pStyle w:val="a3"/>
              <w:spacing w:before="0" w:beforeAutospacing="0" w:after="0" w:afterAutospacing="0"/>
              <w:rPr>
                <w:color w:val="000000"/>
                <w:sz w:val="12"/>
                <w:szCs w:val="12"/>
              </w:rPr>
            </w:pPr>
            <w:r>
              <w:rPr>
                <w:color w:val="000000"/>
                <w:sz w:val="12"/>
                <w:szCs w:val="12"/>
              </w:rPr>
              <w:t> </w:t>
            </w:r>
          </w:p>
        </w:tc>
        <w:tc>
          <w:tcPr>
            <w:tcW w:w="4598" w:type="pct"/>
            <w:tcBorders>
              <w:top w:val="single" w:sz="6" w:space="0" w:color="000000"/>
            </w:tcBorders>
            <w:shd w:val="clear" w:color="auto" w:fill="FFFFFF"/>
            <w:tcMar>
              <w:top w:w="15" w:type="dxa"/>
              <w:left w:w="0" w:type="dxa"/>
              <w:bottom w:w="0" w:type="dxa"/>
              <w:right w:w="15" w:type="dxa"/>
            </w:tcMar>
            <w:vAlign w:val="bottom"/>
            <w:hideMark/>
          </w:tcPr>
          <w:p w14:paraId="57C0BF55" w14:textId="77777777" w:rsidR="00000000" w:rsidRDefault="007125B5">
            <w:pPr>
              <w:pStyle w:val="a3"/>
              <w:spacing w:before="0" w:beforeAutospacing="0" w:after="0" w:afterAutospacing="0"/>
              <w:rPr>
                <w:color w:val="000000"/>
                <w:sz w:val="12"/>
                <w:szCs w:val="12"/>
              </w:rPr>
            </w:pPr>
            <w:r>
              <w:rPr>
                <w:color w:val="000000"/>
                <w:sz w:val="12"/>
                <w:szCs w:val="12"/>
              </w:rPr>
              <w:t> </w:t>
            </w:r>
          </w:p>
        </w:tc>
      </w:tr>
      <w:tr w:rsidR="00000000" w14:paraId="7CD24722" w14:textId="77777777">
        <w:trPr>
          <w:divId w:val="1442264031"/>
          <w:jc w:val="center"/>
        </w:trPr>
        <w:tc>
          <w:tcPr>
            <w:tcW w:w="354" w:type="pct"/>
            <w:shd w:val="clear" w:color="auto" w:fill="FFFFFF"/>
            <w:tcMar>
              <w:top w:w="15" w:type="dxa"/>
              <w:left w:w="0" w:type="dxa"/>
              <w:bottom w:w="0" w:type="dxa"/>
              <w:right w:w="15" w:type="dxa"/>
            </w:tcMar>
            <w:vAlign w:val="bottom"/>
            <w:hideMark/>
          </w:tcPr>
          <w:p w14:paraId="75C0061D" w14:textId="77777777" w:rsidR="00000000" w:rsidRDefault="007125B5">
            <w:pPr>
              <w:pStyle w:val="a3"/>
              <w:spacing w:before="0" w:beforeAutospacing="0" w:after="0" w:afterAutospacing="0"/>
              <w:rPr>
                <w:color w:val="000000"/>
                <w:sz w:val="12"/>
                <w:szCs w:val="12"/>
              </w:rPr>
            </w:pPr>
            <w:r>
              <w:rPr>
                <w:color w:val="000000"/>
                <w:sz w:val="12"/>
                <w:szCs w:val="12"/>
              </w:rPr>
              <w:t> </w:t>
            </w:r>
          </w:p>
        </w:tc>
        <w:tc>
          <w:tcPr>
            <w:tcW w:w="48" w:type="pct"/>
            <w:shd w:val="clear" w:color="auto" w:fill="FFFFFF"/>
            <w:tcMar>
              <w:top w:w="15" w:type="dxa"/>
              <w:left w:w="0" w:type="dxa"/>
              <w:bottom w:w="0" w:type="dxa"/>
              <w:right w:w="15" w:type="dxa"/>
            </w:tcMar>
            <w:vAlign w:val="bottom"/>
            <w:hideMark/>
          </w:tcPr>
          <w:p w14:paraId="62B781F1" w14:textId="77777777" w:rsidR="00000000" w:rsidRDefault="007125B5">
            <w:pPr>
              <w:pStyle w:val="a3"/>
              <w:spacing w:before="0" w:beforeAutospacing="0" w:after="0" w:afterAutospacing="0"/>
              <w:rPr>
                <w:color w:val="000000"/>
                <w:sz w:val="12"/>
                <w:szCs w:val="12"/>
              </w:rPr>
            </w:pPr>
            <w:r>
              <w:rPr>
                <w:color w:val="000000"/>
                <w:sz w:val="12"/>
                <w:szCs w:val="12"/>
              </w:rPr>
              <w:t> </w:t>
            </w:r>
          </w:p>
        </w:tc>
        <w:tc>
          <w:tcPr>
            <w:tcW w:w="4598" w:type="pct"/>
            <w:shd w:val="clear" w:color="auto" w:fill="FFFFFF"/>
            <w:tcMar>
              <w:top w:w="15" w:type="dxa"/>
              <w:left w:w="0" w:type="dxa"/>
              <w:bottom w:w="0" w:type="dxa"/>
              <w:right w:w="15" w:type="dxa"/>
            </w:tcMar>
            <w:vAlign w:val="bottom"/>
            <w:hideMark/>
          </w:tcPr>
          <w:p w14:paraId="3500DAAF" w14:textId="77777777" w:rsidR="00000000" w:rsidRDefault="007125B5">
            <w:pPr>
              <w:pStyle w:val="a3"/>
              <w:spacing w:before="0" w:beforeAutospacing="0" w:after="0" w:afterAutospacing="0"/>
              <w:rPr>
                <w:color w:val="000000"/>
                <w:sz w:val="12"/>
                <w:szCs w:val="12"/>
              </w:rPr>
            </w:pPr>
            <w:r>
              <w:rPr>
                <w:color w:val="000000"/>
                <w:sz w:val="12"/>
                <w:szCs w:val="12"/>
              </w:rPr>
              <w:t> </w:t>
            </w:r>
          </w:p>
        </w:tc>
      </w:tr>
      <w:tr w:rsidR="00000000" w14:paraId="7AE6639C" w14:textId="77777777">
        <w:trPr>
          <w:divId w:val="1442264031"/>
          <w:jc w:val="center"/>
        </w:trPr>
        <w:tc>
          <w:tcPr>
            <w:tcW w:w="354" w:type="pct"/>
            <w:shd w:val="clear" w:color="auto" w:fill="FFFFFF"/>
            <w:tcMar>
              <w:top w:w="15" w:type="dxa"/>
              <w:left w:w="0" w:type="dxa"/>
              <w:bottom w:w="0" w:type="dxa"/>
              <w:right w:w="15" w:type="dxa"/>
            </w:tcMar>
            <w:hideMark/>
          </w:tcPr>
          <w:p w14:paraId="29FFE235"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  31.1*</w:t>
            </w:r>
          </w:p>
        </w:tc>
        <w:tc>
          <w:tcPr>
            <w:tcW w:w="48" w:type="pct"/>
            <w:shd w:val="clear" w:color="auto" w:fill="FFFFFF"/>
            <w:tcMar>
              <w:top w:w="15" w:type="dxa"/>
              <w:left w:w="0" w:type="dxa"/>
              <w:bottom w:w="0" w:type="dxa"/>
              <w:right w:w="15" w:type="dxa"/>
            </w:tcMar>
            <w:hideMark/>
          </w:tcPr>
          <w:p w14:paraId="5895D2A9"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06BF7B35" w14:textId="77777777" w:rsidR="00000000" w:rsidRDefault="007125B5">
            <w:pPr>
              <w:pStyle w:val="a3"/>
              <w:spacing w:before="0" w:beforeAutospacing="0" w:after="0" w:afterAutospacing="0"/>
              <w:rPr>
                <w:sz w:val="20"/>
                <w:szCs w:val="20"/>
              </w:rPr>
            </w:pPr>
            <w:hyperlink r:id="rId4"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r>
      <w:tr w:rsidR="00000000" w14:paraId="58B0F53E" w14:textId="77777777">
        <w:trPr>
          <w:divId w:val="1442264031"/>
          <w:jc w:val="center"/>
        </w:trPr>
        <w:tc>
          <w:tcPr>
            <w:tcW w:w="354" w:type="pct"/>
            <w:shd w:val="clear" w:color="auto" w:fill="FFFFFF"/>
            <w:tcMar>
              <w:top w:w="15" w:type="dxa"/>
              <w:left w:w="0" w:type="dxa"/>
              <w:bottom w:w="0" w:type="dxa"/>
              <w:right w:w="15" w:type="dxa"/>
            </w:tcMar>
            <w:hideMark/>
          </w:tcPr>
          <w:p w14:paraId="7388632F"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52520AAB"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3070210E" w14:textId="77777777" w:rsidR="00000000" w:rsidRDefault="007125B5">
            <w:pPr>
              <w:pStyle w:val="a3"/>
              <w:spacing w:before="0" w:beforeAutospacing="0" w:after="0" w:afterAutospacing="0"/>
              <w:rPr>
                <w:sz w:val="12"/>
                <w:szCs w:val="12"/>
              </w:rPr>
            </w:pPr>
            <w:r>
              <w:rPr>
                <w:sz w:val="12"/>
                <w:szCs w:val="12"/>
              </w:rPr>
              <w:t> </w:t>
            </w:r>
          </w:p>
        </w:tc>
      </w:tr>
      <w:tr w:rsidR="00000000" w14:paraId="3C0C4563" w14:textId="77777777">
        <w:trPr>
          <w:divId w:val="1442264031"/>
          <w:jc w:val="center"/>
        </w:trPr>
        <w:tc>
          <w:tcPr>
            <w:tcW w:w="354" w:type="pct"/>
            <w:shd w:val="clear" w:color="auto" w:fill="FFFFFF"/>
            <w:tcMar>
              <w:top w:w="15" w:type="dxa"/>
              <w:left w:w="0" w:type="dxa"/>
              <w:bottom w:w="0" w:type="dxa"/>
              <w:right w:w="15" w:type="dxa"/>
            </w:tcMar>
            <w:hideMark/>
          </w:tcPr>
          <w:p w14:paraId="17BD3F97"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  31.2*</w:t>
            </w:r>
          </w:p>
        </w:tc>
        <w:tc>
          <w:tcPr>
            <w:tcW w:w="48" w:type="pct"/>
            <w:shd w:val="clear" w:color="auto" w:fill="FFFFFF"/>
            <w:tcMar>
              <w:top w:w="15" w:type="dxa"/>
              <w:left w:w="0" w:type="dxa"/>
              <w:bottom w:w="0" w:type="dxa"/>
              <w:right w:w="15" w:type="dxa"/>
            </w:tcMar>
            <w:hideMark/>
          </w:tcPr>
          <w:p w14:paraId="523D453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139451A1" w14:textId="77777777" w:rsidR="00000000" w:rsidRDefault="007125B5">
            <w:pPr>
              <w:pStyle w:val="a3"/>
              <w:spacing w:before="0" w:beforeAutospacing="0" w:after="0" w:afterAutospacing="0"/>
              <w:rPr>
                <w:sz w:val="20"/>
                <w:szCs w:val="20"/>
              </w:rPr>
            </w:pPr>
            <w:hyperlink r:id="rId5" w:history="1">
              <w:r>
                <w:rPr>
                  <w:rStyle w:val="a4"/>
                  <w:sz w:val="20"/>
                  <w:szCs w:val="20"/>
                </w:rPr>
                <w:t>Certification of Principal Financial Officer Pursuant to Rules 13a-14(a) and 15d-14(a) under the Securities Exchange Act of 1934, as Adopted Pursuant to Section 302 of the Sarbanes-Oxley Act of 2002.</w:t>
              </w:r>
            </w:hyperlink>
          </w:p>
        </w:tc>
      </w:tr>
      <w:tr w:rsidR="00000000" w14:paraId="5DEA5C1F" w14:textId="77777777">
        <w:trPr>
          <w:divId w:val="1442264031"/>
          <w:jc w:val="center"/>
        </w:trPr>
        <w:tc>
          <w:tcPr>
            <w:tcW w:w="354" w:type="pct"/>
            <w:shd w:val="clear" w:color="auto" w:fill="FFFFFF"/>
            <w:tcMar>
              <w:top w:w="15" w:type="dxa"/>
              <w:left w:w="0" w:type="dxa"/>
              <w:bottom w:w="0" w:type="dxa"/>
              <w:right w:w="15" w:type="dxa"/>
            </w:tcMar>
            <w:hideMark/>
          </w:tcPr>
          <w:p w14:paraId="3DCEADC6"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3CED515B"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7756F462" w14:textId="77777777" w:rsidR="00000000" w:rsidRDefault="007125B5">
            <w:pPr>
              <w:pStyle w:val="a3"/>
              <w:spacing w:before="0" w:beforeAutospacing="0" w:after="0" w:afterAutospacing="0"/>
              <w:rPr>
                <w:sz w:val="12"/>
                <w:szCs w:val="12"/>
              </w:rPr>
            </w:pPr>
            <w:r>
              <w:rPr>
                <w:sz w:val="12"/>
                <w:szCs w:val="12"/>
              </w:rPr>
              <w:t> </w:t>
            </w:r>
          </w:p>
        </w:tc>
      </w:tr>
      <w:tr w:rsidR="00000000" w14:paraId="2B70B53F" w14:textId="77777777">
        <w:trPr>
          <w:divId w:val="1442264031"/>
          <w:jc w:val="center"/>
        </w:trPr>
        <w:tc>
          <w:tcPr>
            <w:tcW w:w="354" w:type="pct"/>
            <w:shd w:val="clear" w:color="auto" w:fill="FFFFFF"/>
            <w:tcMar>
              <w:top w:w="15" w:type="dxa"/>
              <w:left w:w="0" w:type="dxa"/>
              <w:bottom w:w="0" w:type="dxa"/>
              <w:right w:w="15" w:type="dxa"/>
            </w:tcMar>
            <w:hideMark/>
          </w:tcPr>
          <w:p w14:paraId="02DCE94E"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  32.1**</w:t>
            </w:r>
          </w:p>
        </w:tc>
        <w:tc>
          <w:tcPr>
            <w:tcW w:w="48" w:type="pct"/>
            <w:shd w:val="clear" w:color="auto" w:fill="FFFFFF"/>
            <w:tcMar>
              <w:top w:w="15" w:type="dxa"/>
              <w:left w:w="0" w:type="dxa"/>
              <w:bottom w:w="0" w:type="dxa"/>
              <w:right w:w="15" w:type="dxa"/>
            </w:tcMar>
            <w:hideMark/>
          </w:tcPr>
          <w:p w14:paraId="6FEF1938"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42A768EA" w14:textId="77777777" w:rsidR="00000000" w:rsidRDefault="007125B5">
            <w:pPr>
              <w:pStyle w:val="a3"/>
              <w:spacing w:before="0" w:beforeAutospacing="0" w:after="0" w:afterAutospacing="0"/>
              <w:rPr>
                <w:sz w:val="20"/>
                <w:szCs w:val="20"/>
              </w:rPr>
            </w:pPr>
            <w:hyperlink r:id="rId6" w:history="1">
              <w:r>
                <w:rPr>
                  <w:rStyle w:val="a4"/>
                  <w:sz w:val="20"/>
                  <w:szCs w:val="20"/>
                </w:rPr>
                <w:t>Certification of Principal Executive Officer Pursuant to 18 U.S.C. Section 1350, as Adopted Pursuant to Section 906 of the Sarbanes-Oxley Act of 2002.</w:t>
              </w:r>
            </w:hyperlink>
          </w:p>
        </w:tc>
      </w:tr>
      <w:tr w:rsidR="00000000" w14:paraId="63068CAA" w14:textId="77777777">
        <w:trPr>
          <w:divId w:val="1442264031"/>
          <w:jc w:val="center"/>
        </w:trPr>
        <w:tc>
          <w:tcPr>
            <w:tcW w:w="354" w:type="pct"/>
            <w:shd w:val="clear" w:color="auto" w:fill="FFFFFF"/>
            <w:tcMar>
              <w:top w:w="15" w:type="dxa"/>
              <w:left w:w="0" w:type="dxa"/>
              <w:bottom w:w="0" w:type="dxa"/>
              <w:right w:w="15" w:type="dxa"/>
            </w:tcMar>
            <w:hideMark/>
          </w:tcPr>
          <w:p w14:paraId="1DE5FC5E"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1B0F6AC2"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397F4854" w14:textId="77777777" w:rsidR="00000000" w:rsidRDefault="007125B5">
            <w:pPr>
              <w:pStyle w:val="a3"/>
              <w:spacing w:before="0" w:beforeAutospacing="0" w:after="0" w:afterAutospacing="0"/>
              <w:rPr>
                <w:sz w:val="12"/>
                <w:szCs w:val="12"/>
              </w:rPr>
            </w:pPr>
            <w:r>
              <w:rPr>
                <w:sz w:val="12"/>
                <w:szCs w:val="12"/>
              </w:rPr>
              <w:t> </w:t>
            </w:r>
          </w:p>
        </w:tc>
      </w:tr>
      <w:tr w:rsidR="00000000" w14:paraId="56E0106D" w14:textId="77777777">
        <w:trPr>
          <w:divId w:val="1442264031"/>
          <w:jc w:val="center"/>
        </w:trPr>
        <w:tc>
          <w:tcPr>
            <w:tcW w:w="354" w:type="pct"/>
            <w:shd w:val="clear" w:color="auto" w:fill="FFFFFF"/>
            <w:tcMar>
              <w:top w:w="15" w:type="dxa"/>
              <w:left w:w="0" w:type="dxa"/>
              <w:bottom w:w="0" w:type="dxa"/>
              <w:right w:w="15" w:type="dxa"/>
            </w:tcMar>
            <w:hideMark/>
          </w:tcPr>
          <w:p w14:paraId="0D4F40E9"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  32.2**</w:t>
            </w:r>
          </w:p>
        </w:tc>
        <w:tc>
          <w:tcPr>
            <w:tcW w:w="48" w:type="pct"/>
            <w:shd w:val="clear" w:color="auto" w:fill="FFFFFF"/>
            <w:tcMar>
              <w:top w:w="15" w:type="dxa"/>
              <w:left w:w="0" w:type="dxa"/>
              <w:bottom w:w="0" w:type="dxa"/>
              <w:right w:w="15" w:type="dxa"/>
            </w:tcMar>
            <w:hideMark/>
          </w:tcPr>
          <w:p w14:paraId="3479D461"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40D56DBF" w14:textId="77777777" w:rsidR="00000000" w:rsidRDefault="007125B5">
            <w:pPr>
              <w:pStyle w:val="a3"/>
              <w:spacing w:before="0" w:beforeAutospacing="0" w:after="0" w:afterAutospacing="0"/>
              <w:rPr>
                <w:sz w:val="20"/>
                <w:szCs w:val="20"/>
              </w:rPr>
            </w:pPr>
            <w:hyperlink r:id="rId7" w:history="1">
              <w:r>
                <w:rPr>
                  <w:rStyle w:val="a4"/>
                  <w:sz w:val="20"/>
                  <w:szCs w:val="20"/>
                </w:rPr>
                <w:t xml:space="preserve">Certification of Principal </w:t>
              </w:r>
              <w:r>
                <w:rPr>
                  <w:rStyle w:val="a4"/>
                  <w:sz w:val="20"/>
                  <w:szCs w:val="20"/>
                </w:rPr>
                <w:t>Financial Officer Pursuant to 18 U.S.C. Section 1350, as Adopted Pursuant to Section 906 of the Sarbanes-Oxley Act of 2002.</w:t>
              </w:r>
            </w:hyperlink>
          </w:p>
        </w:tc>
      </w:tr>
      <w:tr w:rsidR="00000000" w14:paraId="69C73510" w14:textId="77777777">
        <w:trPr>
          <w:divId w:val="1442264031"/>
          <w:jc w:val="center"/>
        </w:trPr>
        <w:tc>
          <w:tcPr>
            <w:tcW w:w="354" w:type="pct"/>
            <w:shd w:val="clear" w:color="auto" w:fill="FFFFFF"/>
            <w:tcMar>
              <w:top w:w="15" w:type="dxa"/>
              <w:left w:w="0" w:type="dxa"/>
              <w:bottom w:w="0" w:type="dxa"/>
              <w:right w:w="15" w:type="dxa"/>
            </w:tcMar>
            <w:hideMark/>
          </w:tcPr>
          <w:p w14:paraId="6CE30FD8"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5DE3C109"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057161F2" w14:textId="77777777" w:rsidR="00000000" w:rsidRDefault="007125B5">
            <w:pPr>
              <w:pStyle w:val="a3"/>
              <w:spacing w:before="0" w:beforeAutospacing="0" w:after="0" w:afterAutospacing="0"/>
              <w:rPr>
                <w:sz w:val="12"/>
                <w:szCs w:val="12"/>
              </w:rPr>
            </w:pPr>
            <w:r>
              <w:rPr>
                <w:sz w:val="12"/>
                <w:szCs w:val="12"/>
              </w:rPr>
              <w:t> </w:t>
            </w:r>
          </w:p>
        </w:tc>
      </w:tr>
      <w:tr w:rsidR="00000000" w14:paraId="7C31E2A8" w14:textId="77777777">
        <w:trPr>
          <w:divId w:val="1442264031"/>
          <w:jc w:val="center"/>
        </w:trPr>
        <w:tc>
          <w:tcPr>
            <w:tcW w:w="354" w:type="pct"/>
            <w:shd w:val="clear" w:color="auto" w:fill="FFFFFF"/>
            <w:tcMar>
              <w:top w:w="15" w:type="dxa"/>
              <w:left w:w="0" w:type="dxa"/>
              <w:bottom w:w="0" w:type="dxa"/>
              <w:right w:w="15" w:type="dxa"/>
            </w:tcMar>
            <w:hideMark/>
          </w:tcPr>
          <w:p w14:paraId="1A4B90D7"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101.INS</w:t>
            </w:r>
          </w:p>
        </w:tc>
        <w:tc>
          <w:tcPr>
            <w:tcW w:w="48" w:type="pct"/>
            <w:shd w:val="clear" w:color="auto" w:fill="FFFFFF"/>
            <w:tcMar>
              <w:top w:w="15" w:type="dxa"/>
              <w:left w:w="0" w:type="dxa"/>
              <w:bottom w:w="0" w:type="dxa"/>
              <w:right w:w="15" w:type="dxa"/>
            </w:tcMar>
            <w:hideMark/>
          </w:tcPr>
          <w:p w14:paraId="60003C67" w14:textId="77777777" w:rsidR="00000000" w:rsidRDefault="007125B5">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041A3362" w14:textId="77777777" w:rsidR="00000000" w:rsidRDefault="007125B5">
            <w:pPr>
              <w:pStyle w:val="a3"/>
              <w:spacing w:before="0" w:beforeAutospacing="0" w:after="0" w:afterAutospacing="0"/>
              <w:rPr>
                <w:color w:val="000000"/>
                <w:sz w:val="20"/>
                <w:szCs w:val="20"/>
              </w:rPr>
            </w:pPr>
            <w:r>
              <w:rPr>
                <w:color w:val="000000"/>
                <w:sz w:val="20"/>
                <w:szCs w:val="20"/>
              </w:rPr>
              <w:t>XBRL Instance Document</w:t>
            </w:r>
          </w:p>
        </w:tc>
      </w:tr>
      <w:tr w:rsidR="00000000" w14:paraId="24D59563" w14:textId="77777777">
        <w:trPr>
          <w:divId w:val="1442264031"/>
          <w:jc w:val="center"/>
        </w:trPr>
        <w:tc>
          <w:tcPr>
            <w:tcW w:w="354" w:type="pct"/>
            <w:shd w:val="clear" w:color="auto" w:fill="FFFFFF"/>
            <w:tcMar>
              <w:top w:w="15" w:type="dxa"/>
              <w:left w:w="0" w:type="dxa"/>
              <w:bottom w:w="0" w:type="dxa"/>
              <w:right w:w="15" w:type="dxa"/>
            </w:tcMar>
            <w:hideMark/>
          </w:tcPr>
          <w:p w14:paraId="20D13FBE"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1687277B"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5A0249C9" w14:textId="77777777" w:rsidR="00000000" w:rsidRDefault="007125B5">
            <w:pPr>
              <w:pStyle w:val="a3"/>
              <w:spacing w:before="0" w:beforeAutospacing="0" w:after="0" w:afterAutospacing="0"/>
              <w:rPr>
                <w:sz w:val="12"/>
                <w:szCs w:val="12"/>
              </w:rPr>
            </w:pPr>
            <w:r>
              <w:rPr>
                <w:sz w:val="12"/>
                <w:szCs w:val="12"/>
              </w:rPr>
              <w:t> </w:t>
            </w:r>
          </w:p>
        </w:tc>
      </w:tr>
      <w:tr w:rsidR="00000000" w14:paraId="030BBD2D" w14:textId="77777777">
        <w:trPr>
          <w:divId w:val="1442264031"/>
          <w:jc w:val="center"/>
        </w:trPr>
        <w:tc>
          <w:tcPr>
            <w:tcW w:w="354" w:type="pct"/>
            <w:shd w:val="clear" w:color="auto" w:fill="FFFFFF"/>
            <w:tcMar>
              <w:top w:w="15" w:type="dxa"/>
              <w:left w:w="0" w:type="dxa"/>
              <w:bottom w:w="0" w:type="dxa"/>
              <w:right w:w="15" w:type="dxa"/>
            </w:tcMar>
            <w:hideMark/>
          </w:tcPr>
          <w:p w14:paraId="30D0C9FD"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101.SCH</w:t>
            </w:r>
          </w:p>
        </w:tc>
        <w:tc>
          <w:tcPr>
            <w:tcW w:w="48" w:type="pct"/>
            <w:shd w:val="clear" w:color="auto" w:fill="FFFFFF"/>
            <w:tcMar>
              <w:top w:w="15" w:type="dxa"/>
              <w:left w:w="0" w:type="dxa"/>
              <w:bottom w:w="0" w:type="dxa"/>
              <w:right w:w="15" w:type="dxa"/>
            </w:tcMar>
            <w:hideMark/>
          </w:tcPr>
          <w:p w14:paraId="54E1AC47" w14:textId="77777777" w:rsidR="00000000" w:rsidRDefault="007125B5">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709AF090" w14:textId="77777777" w:rsidR="00000000" w:rsidRDefault="007125B5">
            <w:pPr>
              <w:pStyle w:val="a3"/>
              <w:spacing w:before="0" w:beforeAutospacing="0" w:after="0" w:afterAutospacing="0"/>
              <w:rPr>
                <w:color w:val="000000"/>
                <w:sz w:val="20"/>
                <w:szCs w:val="20"/>
              </w:rPr>
            </w:pPr>
            <w:r>
              <w:rPr>
                <w:color w:val="000000"/>
                <w:sz w:val="20"/>
                <w:szCs w:val="20"/>
              </w:rPr>
              <w:t>XBRL Taxonomy Extension Schema Document</w:t>
            </w:r>
          </w:p>
        </w:tc>
      </w:tr>
      <w:tr w:rsidR="00000000" w14:paraId="08B010AD" w14:textId="77777777">
        <w:trPr>
          <w:divId w:val="1442264031"/>
          <w:jc w:val="center"/>
        </w:trPr>
        <w:tc>
          <w:tcPr>
            <w:tcW w:w="354" w:type="pct"/>
            <w:shd w:val="clear" w:color="auto" w:fill="FFFFFF"/>
            <w:tcMar>
              <w:top w:w="15" w:type="dxa"/>
              <w:left w:w="0" w:type="dxa"/>
              <w:bottom w:w="0" w:type="dxa"/>
              <w:right w:w="15" w:type="dxa"/>
            </w:tcMar>
            <w:hideMark/>
          </w:tcPr>
          <w:p w14:paraId="74651A5F"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65B1A31A"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6ACAFF46" w14:textId="77777777" w:rsidR="00000000" w:rsidRDefault="007125B5">
            <w:pPr>
              <w:pStyle w:val="a3"/>
              <w:spacing w:before="0" w:beforeAutospacing="0" w:after="0" w:afterAutospacing="0"/>
              <w:rPr>
                <w:sz w:val="12"/>
                <w:szCs w:val="12"/>
              </w:rPr>
            </w:pPr>
            <w:r>
              <w:rPr>
                <w:sz w:val="12"/>
                <w:szCs w:val="12"/>
              </w:rPr>
              <w:t> </w:t>
            </w:r>
          </w:p>
        </w:tc>
      </w:tr>
      <w:tr w:rsidR="00000000" w14:paraId="2D458FD7" w14:textId="77777777">
        <w:trPr>
          <w:divId w:val="1442264031"/>
          <w:jc w:val="center"/>
        </w:trPr>
        <w:tc>
          <w:tcPr>
            <w:tcW w:w="354" w:type="pct"/>
            <w:shd w:val="clear" w:color="auto" w:fill="FFFFFF"/>
            <w:tcMar>
              <w:top w:w="15" w:type="dxa"/>
              <w:left w:w="0" w:type="dxa"/>
              <w:bottom w:w="0" w:type="dxa"/>
              <w:right w:w="15" w:type="dxa"/>
            </w:tcMar>
            <w:hideMark/>
          </w:tcPr>
          <w:p w14:paraId="657C7438"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101.CAL</w:t>
            </w:r>
          </w:p>
        </w:tc>
        <w:tc>
          <w:tcPr>
            <w:tcW w:w="48" w:type="pct"/>
            <w:shd w:val="clear" w:color="auto" w:fill="FFFFFF"/>
            <w:tcMar>
              <w:top w:w="15" w:type="dxa"/>
              <w:left w:w="0" w:type="dxa"/>
              <w:bottom w:w="0" w:type="dxa"/>
              <w:right w:w="15" w:type="dxa"/>
            </w:tcMar>
            <w:hideMark/>
          </w:tcPr>
          <w:p w14:paraId="72836B19" w14:textId="77777777" w:rsidR="00000000" w:rsidRDefault="007125B5">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36B0875B" w14:textId="77777777" w:rsidR="00000000" w:rsidRDefault="007125B5">
            <w:pPr>
              <w:pStyle w:val="a3"/>
              <w:spacing w:before="0" w:beforeAutospacing="0" w:after="0" w:afterAutospacing="0"/>
              <w:rPr>
                <w:color w:val="000000"/>
                <w:sz w:val="20"/>
                <w:szCs w:val="20"/>
              </w:rPr>
            </w:pPr>
            <w:r>
              <w:rPr>
                <w:color w:val="000000"/>
                <w:sz w:val="20"/>
                <w:szCs w:val="20"/>
              </w:rPr>
              <w:t>XBRL Taxonomy Extension Calculation Linkbase Document</w:t>
            </w:r>
          </w:p>
        </w:tc>
      </w:tr>
      <w:tr w:rsidR="00000000" w14:paraId="4E1EF896" w14:textId="77777777">
        <w:trPr>
          <w:divId w:val="1442264031"/>
          <w:jc w:val="center"/>
        </w:trPr>
        <w:tc>
          <w:tcPr>
            <w:tcW w:w="354" w:type="pct"/>
            <w:shd w:val="clear" w:color="auto" w:fill="FFFFFF"/>
            <w:tcMar>
              <w:top w:w="15" w:type="dxa"/>
              <w:left w:w="0" w:type="dxa"/>
              <w:bottom w:w="0" w:type="dxa"/>
              <w:right w:w="15" w:type="dxa"/>
            </w:tcMar>
            <w:hideMark/>
          </w:tcPr>
          <w:p w14:paraId="60AC0684"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4282E6DF"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32DFC896" w14:textId="77777777" w:rsidR="00000000" w:rsidRDefault="007125B5">
            <w:pPr>
              <w:pStyle w:val="a3"/>
              <w:spacing w:before="0" w:beforeAutospacing="0" w:after="0" w:afterAutospacing="0"/>
              <w:rPr>
                <w:sz w:val="12"/>
                <w:szCs w:val="12"/>
              </w:rPr>
            </w:pPr>
            <w:r>
              <w:rPr>
                <w:sz w:val="12"/>
                <w:szCs w:val="12"/>
              </w:rPr>
              <w:t> </w:t>
            </w:r>
          </w:p>
        </w:tc>
      </w:tr>
      <w:tr w:rsidR="00000000" w14:paraId="40DC72CB" w14:textId="77777777">
        <w:trPr>
          <w:divId w:val="1442264031"/>
          <w:jc w:val="center"/>
        </w:trPr>
        <w:tc>
          <w:tcPr>
            <w:tcW w:w="354" w:type="pct"/>
            <w:shd w:val="clear" w:color="auto" w:fill="FFFFFF"/>
            <w:tcMar>
              <w:top w:w="15" w:type="dxa"/>
              <w:left w:w="0" w:type="dxa"/>
              <w:bottom w:w="0" w:type="dxa"/>
              <w:right w:w="15" w:type="dxa"/>
            </w:tcMar>
            <w:hideMark/>
          </w:tcPr>
          <w:p w14:paraId="15336105"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101.DEF</w:t>
            </w:r>
          </w:p>
        </w:tc>
        <w:tc>
          <w:tcPr>
            <w:tcW w:w="48" w:type="pct"/>
            <w:shd w:val="clear" w:color="auto" w:fill="FFFFFF"/>
            <w:tcMar>
              <w:top w:w="15" w:type="dxa"/>
              <w:left w:w="0" w:type="dxa"/>
              <w:bottom w:w="0" w:type="dxa"/>
              <w:right w:w="15" w:type="dxa"/>
            </w:tcMar>
            <w:hideMark/>
          </w:tcPr>
          <w:p w14:paraId="6F1DBE14" w14:textId="77777777" w:rsidR="00000000" w:rsidRDefault="007125B5">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6311E71F" w14:textId="77777777" w:rsidR="00000000" w:rsidRDefault="007125B5">
            <w:pPr>
              <w:pStyle w:val="a3"/>
              <w:spacing w:before="0" w:beforeAutospacing="0" w:after="0" w:afterAutospacing="0"/>
              <w:rPr>
                <w:color w:val="000000"/>
                <w:sz w:val="20"/>
                <w:szCs w:val="20"/>
              </w:rPr>
            </w:pPr>
            <w:r>
              <w:rPr>
                <w:color w:val="000000"/>
                <w:sz w:val="20"/>
                <w:szCs w:val="20"/>
              </w:rPr>
              <w:t>XBRL Taxonomy Extension Definition Linkbase Document</w:t>
            </w:r>
          </w:p>
        </w:tc>
      </w:tr>
      <w:tr w:rsidR="00000000" w14:paraId="0418FABB" w14:textId="77777777">
        <w:trPr>
          <w:divId w:val="1442264031"/>
          <w:jc w:val="center"/>
        </w:trPr>
        <w:tc>
          <w:tcPr>
            <w:tcW w:w="354" w:type="pct"/>
            <w:shd w:val="clear" w:color="auto" w:fill="FFFFFF"/>
            <w:tcMar>
              <w:top w:w="15" w:type="dxa"/>
              <w:left w:w="0" w:type="dxa"/>
              <w:bottom w:w="0" w:type="dxa"/>
              <w:right w:w="15" w:type="dxa"/>
            </w:tcMar>
            <w:hideMark/>
          </w:tcPr>
          <w:p w14:paraId="642CAA1D"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2087089B"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7761F5A0" w14:textId="77777777" w:rsidR="00000000" w:rsidRDefault="007125B5">
            <w:pPr>
              <w:pStyle w:val="a3"/>
              <w:spacing w:before="0" w:beforeAutospacing="0" w:after="0" w:afterAutospacing="0"/>
              <w:rPr>
                <w:sz w:val="12"/>
                <w:szCs w:val="12"/>
              </w:rPr>
            </w:pPr>
            <w:r>
              <w:rPr>
                <w:sz w:val="12"/>
                <w:szCs w:val="12"/>
              </w:rPr>
              <w:t> </w:t>
            </w:r>
          </w:p>
        </w:tc>
      </w:tr>
      <w:tr w:rsidR="00000000" w14:paraId="489DDF87" w14:textId="77777777">
        <w:trPr>
          <w:divId w:val="1442264031"/>
          <w:jc w:val="center"/>
        </w:trPr>
        <w:tc>
          <w:tcPr>
            <w:tcW w:w="354" w:type="pct"/>
            <w:shd w:val="clear" w:color="auto" w:fill="FFFFFF"/>
            <w:tcMar>
              <w:top w:w="15" w:type="dxa"/>
              <w:left w:w="0" w:type="dxa"/>
              <w:bottom w:w="0" w:type="dxa"/>
              <w:right w:w="15" w:type="dxa"/>
            </w:tcMar>
            <w:hideMark/>
          </w:tcPr>
          <w:p w14:paraId="4D57984C"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101.LAB</w:t>
            </w:r>
          </w:p>
        </w:tc>
        <w:tc>
          <w:tcPr>
            <w:tcW w:w="48" w:type="pct"/>
            <w:shd w:val="clear" w:color="auto" w:fill="FFFFFF"/>
            <w:tcMar>
              <w:top w:w="15" w:type="dxa"/>
              <w:left w:w="0" w:type="dxa"/>
              <w:bottom w:w="0" w:type="dxa"/>
              <w:right w:w="15" w:type="dxa"/>
            </w:tcMar>
            <w:hideMark/>
          </w:tcPr>
          <w:p w14:paraId="347A7693" w14:textId="77777777" w:rsidR="00000000" w:rsidRDefault="007125B5">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5923AC82" w14:textId="77777777" w:rsidR="00000000" w:rsidRDefault="007125B5">
            <w:pPr>
              <w:pStyle w:val="a3"/>
              <w:spacing w:before="0" w:beforeAutospacing="0" w:after="0" w:afterAutospacing="0"/>
              <w:rPr>
                <w:color w:val="000000"/>
                <w:sz w:val="20"/>
                <w:szCs w:val="20"/>
              </w:rPr>
            </w:pPr>
            <w:r>
              <w:rPr>
                <w:color w:val="000000"/>
                <w:sz w:val="20"/>
                <w:szCs w:val="20"/>
              </w:rPr>
              <w:t>XBRL Taxonomy Extension Label Linkbase Document</w:t>
            </w:r>
          </w:p>
        </w:tc>
      </w:tr>
      <w:tr w:rsidR="00000000" w14:paraId="2A31F289" w14:textId="77777777">
        <w:trPr>
          <w:divId w:val="1442264031"/>
          <w:jc w:val="center"/>
        </w:trPr>
        <w:tc>
          <w:tcPr>
            <w:tcW w:w="354" w:type="pct"/>
            <w:shd w:val="clear" w:color="auto" w:fill="FFFFFF"/>
            <w:tcMar>
              <w:top w:w="15" w:type="dxa"/>
              <w:left w:w="0" w:type="dxa"/>
              <w:bottom w:w="0" w:type="dxa"/>
              <w:right w:w="15" w:type="dxa"/>
            </w:tcMar>
            <w:hideMark/>
          </w:tcPr>
          <w:p w14:paraId="6B9511E3" w14:textId="77777777" w:rsidR="00000000" w:rsidRDefault="007125B5">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50DC151E" w14:textId="77777777" w:rsidR="00000000" w:rsidRDefault="007125B5">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26231038" w14:textId="77777777" w:rsidR="00000000" w:rsidRDefault="007125B5">
            <w:pPr>
              <w:pStyle w:val="a3"/>
              <w:spacing w:before="0" w:beforeAutospacing="0" w:after="0" w:afterAutospacing="0"/>
              <w:rPr>
                <w:sz w:val="12"/>
                <w:szCs w:val="12"/>
              </w:rPr>
            </w:pPr>
            <w:r>
              <w:rPr>
                <w:sz w:val="12"/>
                <w:szCs w:val="12"/>
              </w:rPr>
              <w:t> </w:t>
            </w:r>
          </w:p>
        </w:tc>
      </w:tr>
      <w:tr w:rsidR="00000000" w14:paraId="6E705CFB" w14:textId="77777777">
        <w:trPr>
          <w:divId w:val="1442264031"/>
          <w:jc w:val="center"/>
        </w:trPr>
        <w:tc>
          <w:tcPr>
            <w:tcW w:w="354" w:type="pct"/>
            <w:shd w:val="clear" w:color="auto" w:fill="FFFFFF"/>
            <w:tcMar>
              <w:top w:w="15" w:type="dxa"/>
              <w:left w:w="0" w:type="dxa"/>
              <w:bottom w:w="0" w:type="dxa"/>
              <w:right w:w="15" w:type="dxa"/>
            </w:tcMar>
            <w:hideMark/>
          </w:tcPr>
          <w:p w14:paraId="59324277" w14:textId="77777777" w:rsidR="00000000" w:rsidRDefault="007125B5">
            <w:pPr>
              <w:pStyle w:val="a3"/>
              <w:spacing w:before="0" w:beforeAutospacing="0" w:after="0" w:afterAutospacing="0"/>
              <w:rPr>
                <w:color w:val="000000"/>
                <w:sz w:val="20"/>
                <w:szCs w:val="20"/>
              </w:rPr>
            </w:pPr>
            <w:r>
              <w:rPr>
                <w:color w:val="000000"/>
                <w:sz w:val="20"/>
                <w:szCs w:val="20"/>
                <w:shd w:val="clear" w:color="auto" w:fill="FFFFFF"/>
              </w:rPr>
              <w:t>101.PRE</w:t>
            </w:r>
          </w:p>
        </w:tc>
        <w:tc>
          <w:tcPr>
            <w:tcW w:w="48" w:type="pct"/>
            <w:shd w:val="clear" w:color="auto" w:fill="FFFFFF"/>
            <w:tcMar>
              <w:top w:w="15" w:type="dxa"/>
              <w:left w:w="0" w:type="dxa"/>
              <w:bottom w:w="0" w:type="dxa"/>
              <w:right w:w="15" w:type="dxa"/>
            </w:tcMar>
            <w:hideMark/>
          </w:tcPr>
          <w:p w14:paraId="782CC11E" w14:textId="77777777" w:rsidR="00000000" w:rsidRDefault="007125B5">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67F99FB2" w14:textId="77777777" w:rsidR="00000000" w:rsidRDefault="007125B5">
            <w:pPr>
              <w:pStyle w:val="a3"/>
              <w:spacing w:before="0" w:beforeAutospacing="0" w:after="0" w:afterAutospacing="0"/>
              <w:rPr>
                <w:color w:val="000000"/>
                <w:sz w:val="20"/>
                <w:szCs w:val="20"/>
              </w:rPr>
            </w:pPr>
            <w:r>
              <w:rPr>
                <w:color w:val="000000"/>
                <w:sz w:val="20"/>
                <w:szCs w:val="20"/>
              </w:rPr>
              <w:t>XBRL Taxonomy Extension Presentation Linkbase Document</w:t>
            </w:r>
          </w:p>
        </w:tc>
      </w:tr>
    </w:tbl>
    <w:p w14:paraId="67AC09E9" w14:textId="77777777" w:rsidR="00000000" w:rsidRDefault="007125B5">
      <w:pPr>
        <w:pStyle w:val="a3"/>
        <w:pBdr>
          <w:bottom w:val="single" w:sz="6" w:space="1" w:color="auto"/>
        </w:pBdr>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181AC7BD" w14:textId="77777777">
        <w:tc>
          <w:tcPr>
            <w:tcW w:w="227" w:type="pct"/>
            <w:noWrap/>
            <w:hideMark/>
          </w:tcPr>
          <w:p w14:paraId="4E050BE1" w14:textId="77777777" w:rsidR="00000000" w:rsidRDefault="007125B5">
            <w:pPr>
              <w:pStyle w:val="a3"/>
              <w:spacing w:before="40" w:beforeAutospacing="0" w:after="0" w:afterAutospacing="0"/>
              <w:rPr>
                <w:sz w:val="20"/>
                <w:szCs w:val="20"/>
              </w:rPr>
            </w:pPr>
            <w:r>
              <w:rPr>
                <w:sz w:val="20"/>
                <w:szCs w:val="20"/>
              </w:rPr>
              <w:t>*</w:t>
            </w:r>
          </w:p>
        </w:tc>
        <w:tc>
          <w:tcPr>
            <w:tcW w:w="0" w:type="auto"/>
            <w:hideMark/>
          </w:tcPr>
          <w:p w14:paraId="32A5A795" w14:textId="77777777" w:rsidR="00000000" w:rsidRDefault="007125B5">
            <w:pPr>
              <w:pStyle w:val="a3"/>
              <w:spacing w:before="40" w:beforeAutospacing="0" w:after="0" w:afterAutospacing="0"/>
              <w:rPr>
                <w:sz w:val="20"/>
                <w:szCs w:val="20"/>
              </w:rPr>
            </w:pPr>
            <w:r>
              <w:rPr>
                <w:sz w:val="20"/>
                <w:szCs w:val="20"/>
              </w:rPr>
              <w:t>Filed herewith.</w:t>
            </w:r>
          </w:p>
        </w:tc>
      </w:tr>
    </w:tbl>
    <w:p w14:paraId="566D5182" w14:textId="77777777" w:rsidR="00000000" w:rsidRDefault="007125B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0209BA4D" w14:textId="77777777">
        <w:tc>
          <w:tcPr>
            <w:tcW w:w="227" w:type="pct"/>
            <w:noWrap/>
            <w:hideMark/>
          </w:tcPr>
          <w:p w14:paraId="3ADCDCBE" w14:textId="77777777" w:rsidR="00000000" w:rsidRDefault="007125B5">
            <w:pPr>
              <w:pStyle w:val="a3"/>
              <w:spacing w:before="0" w:beforeAutospacing="0" w:after="0" w:afterAutospacing="0"/>
              <w:rPr>
                <w:sz w:val="20"/>
                <w:szCs w:val="20"/>
              </w:rPr>
            </w:pPr>
            <w:r>
              <w:rPr>
                <w:sz w:val="20"/>
                <w:szCs w:val="20"/>
              </w:rPr>
              <w:t>**</w:t>
            </w:r>
          </w:p>
        </w:tc>
        <w:tc>
          <w:tcPr>
            <w:tcW w:w="0" w:type="auto"/>
            <w:hideMark/>
          </w:tcPr>
          <w:p w14:paraId="460D29CF" w14:textId="77777777" w:rsidR="00000000" w:rsidRDefault="007125B5">
            <w:pPr>
              <w:pStyle w:val="a3"/>
              <w:spacing w:before="0" w:beforeAutospacing="0" w:after="0" w:afterAutospacing="0"/>
              <w:rPr>
                <w:sz w:val="20"/>
                <w:szCs w:val="20"/>
              </w:rPr>
            </w:pPr>
            <w:r>
              <w:rPr>
                <w:sz w:val="20"/>
                <w:szCs w:val="20"/>
              </w:rPr>
              <w:t xml:space="preserve">Exhibit is furnished and shall not be deemed “filed” </w:t>
            </w:r>
            <w:r>
              <w:rPr>
                <w:sz w:val="20"/>
                <w:szCs w:val="20"/>
              </w:rPr>
              <w:t>for purposes of Section 18 of the Exchange Act, or otherwise subject to the liabilities of that section, nor shall it be deemed incorporated by reference in any filing under the Securities Act, or the Exchange Act, except as shall be expressly set forth by</w:t>
            </w:r>
            <w:r>
              <w:rPr>
                <w:sz w:val="20"/>
                <w:szCs w:val="20"/>
              </w:rPr>
              <w:t xml:space="preserve"> specific reference in such filing.</w:t>
            </w:r>
          </w:p>
        </w:tc>
      </w:tr>
    </w:tbl>
    <w:p w14:paraId="4A3CD61E" w14:textId="77777777" w:rsidR="00000000" w:rsidRDefault="007125B5">
      <w:pPr>
        <w:pStyle w:val="a3"/>
        <w:spacing w:before="240" w:beforeAutospacing="0" w:after="0" w:afterAutospacing="0"/>
        <w:jc w:val="center"/>
        <w:rPr>
          <w:sz w:val="20"/>
          <w:szCs w:val="20"/>
        </w:rPr>
      </w:pPr>
      <w:r>
        <w:rPr>
          <w:sz w:val="20"/>
          <w:szCs w:val="20"/>
        </w:rPr>
        <w:t>47</w:t>
      </w:r>
    </w:p>
    <w:p w14:paraId="1AEF14F2" w14:textId="77777777" w:rsidR="00000000" w:rsidRDefault="007125B5">
      <w:pPr>
        <w:rPr>
          <w:rFonts w:eastAsia="Times New Roman"/>
        </w:rPr>
      </w:pPr>
      <w:r>
        <w:rPr>
          <w:rFonts w:eastAsia="Times New Roman"/>
        </w:rPr>
        <w:pict w14:anchorId="0B7C224D">
          <v:rect id="_x0000_i1073" style="width:415.3pt;height:1.5pt" o:hralign="center" o:hrstd="t" o:hr="t" fillcolor="#a0a0a0" stroked="f"/>
        </w:pict>
      </w:r>
    </w:p>
    <w:p w14:paraId="61033C70" w14:textId="77777777" w:rsidR="00000000" w:rsidRDefault="007125B5">
      <w:pPr>
        <w:pStyle w:val="a3"/>
        <w:spacing w:before="0" w:beforeAutospacing="0" w:after="0" w:afterAutospacing="0"/>
        <w:rPr>
          <w:sz w:val="20"/>
          <w:szCs w:val="20"/>
        </w:rPr>
      </w:pPr>
      <w:r>
        <w:rPr>
          <w:sz w:val="20"/>
          <w:szCs w:val="20"/>
        </w:rPr>
        <w:t> </w:t>
      </w:r>
    </w:p>
    <w:p w14:paraId="54327B30" w14:textId="77777777" w:rsidR="00000000" w:rsidRDefault="007125B5">
      <w:pPr>
        <w:pStyle w:val="a3"/>
        <w:spacing w:before="0" w:beforeAutospacing="0" w:after="0" w:afterAutospacing="0"/>
        <w:jc w:val="center"/>
        <w:rPr>
          <w:b/>
          <w:bCs/>
          <w:sz w:val="20"/>
          <w:szCs w:val="20"/>
        </w:rPr>
      </w:pPr>
      <w:bookmarkStart w:id="82" w:name="_AEIOULastRenderedPageBreakAEIOU50"/>
      <w:bookmarkStart w:id="83" w:name="SIGNATURES"/>
      <w:bookmarkEnd w:id="82"/>
      <w:bookmarkEnd w:id="83"/>
      <w:r>
        <w:rPr>
          <w:b/>
          <w:bCs/>
          <w:sz w:val="20"/>
          <w:szCs w:val="20"/>
        </w:rPr>
        <w:t>SIGNATURES</w:t>
      </w:r>
    </w:p>
    <w:p w14:paraId="2FACCCDC" w14:textId="77777777" w:rsidR="00000000" w:rsidRDefault="007125B5">
      <w:pPr>
        <w:pStyle w:val="a3"/>
        <w:spacing w:before="240" w:beforeAutospacing="0" w:after="0" w:afterAutospacing="0"/>
        <w:ind w:firstLine="556"/>
        <w:rPr>
          <w:sz w:val="20"/>
          <w:szCs w:val="20"/>
        </w:rPr>
      </w:pPr>
      <w:r>
        <w:rPr>
          <w:sz w:val="20"/>
          <w:szCs w:val="20"/>
        </w:rPr>
        <w:t>Pursuant to the require</w:t>
      </w:r>
      <w:r>
        <w:rPr>
          <w:sz w:val="20"/>
          <w:szCs w:val="20"/>
        </w:rPr>
        <w:t>ments of the Securities Exchange Act of 1934, the registrant has duly caused this report to be signed on its behalf by the undersigned thereunto duly authorized.</w:t>
      </w:r>
    </w:p>
    <w:p w14:paraId="133BE765" w14:textId="77777777" w:rsidR="00000000" w:rsidRDefault="007125B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738"/>
        <w:gridCol w:w="83"/>
        <w:gridCol w:w="332"/>
        <w:gridCol w:w="4153"/>
      </w:tblGrid>
      <w:tr w:rsidR="00000000" w14:paraId="1F635D89" w14:textId="77777777">
        <w:trPr>
          <w:divId w:val="1531141425"/>
          <w:jc w:val="center"/>
        </w:trPr>
        <w:tc>
          <w:tcPr>
            <w:tcW w:w="2250" w:type="pct"/>
            <w:shd w:val="clear" w:color="auto" w:fill="FFFFFF"/>
            <w:tcMar>
              <w:top w:w="15" w:type="dxa"/>
              <w:left w:w="0" w:type="dxa"/>
              <w:bottom w:w="0" w:type="dxa"/>
              <w:right w:w="15" w:type="dxa"/>
            </w:tcMar>
            <w:hideMark/>
          </w:tcPr>
          <w:p w14:paraId="7C28CE80" w14:textId="77777777" w:rsidR="00000000" w:rsidRDefault="007125B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44870946" w14:textId="77777777" w:rsidR="00000000" w:rsidRDefault="007125B5">
            <w:pPr>
              <w:pStyle w:val="a3"/>
              <w:spacing w:before="0" w:beforeAutospacing="0" w:after="0" w:afterAutospacing="0"/>
              <w:rPr>
                <w:sz w:val="20"/>
                <w:szCs w:val="20"/>
              </w:rPr>
            </w:pPr>
            <w:r>
              <w:rPr>
                <w:sz w:val="20"/>
                <w:szCs w:val="20"/>
              </w:rPr>
              <w:t> </w:t>
            </w:r>
          </w:p>
        </w:tc>
        <w:tc>
          <w:tcPr>
            <w:tcW w:w="2700" w:type="pct"/>
            <w:gridSpan w:val="2"/>
            <w:shd w:val="clear" w:color="auto" w:fill="FFFFFF"/>
            <w:tcMar>
              <w:top w:w="15" w:type="dxa"/>
              <w:left w:w="0" w:type="dxa"/>
              <w:bottom w:w="0" w:type="dxa"/>
              <w:right w:w="15" w:type="dxa"/>
            </w:tcMar>
            <w:vAlign w:val="bottom"/>
            <w:hideMark/>
          </w:tcPr>
          <w:p w14:paraId="0B7B972D" w14:textId="77777777" w:rsidR="00000000" w:rsidRDefault="007125B5">
            <w:pPr>
              <w:pStyle w:val="a3"/>
              <w:spacing w:before="0" w:beforeAutospacing="0" w:after="0" w:afterAutospacing="0"/>
              <w:rPr>
                <w:sz w:val="20"/>
                <w:szCs w:val="20"/>
              </w:rPr>
            </w:pPr>
            <w:r>
              <w:rPr>
                <w:sz w:val="20"/>
                <w:szCs w:val="20"/>
              </w:rPr>
              <w:t>Montrose Environmental Group, Inc.</w:t>
            </w:r>
          </w:p>
        </w:tc>
      </w:tr>
      <w:tr w:rsidR="00000000" w14:paraId="3433507B" w14:textId="77777777">
        <w:trPr>
          <w:divId w:val="1531141425"/>
          <w:jc w:val="center"/>
        </w:trPr>
        <w:tc>
          <w:tcPr>
            <w:tcW w:w="2250" w:type="pct"/>
            <w:shd w:val="clear" w:color="auto" w:fill="FFFFFF"/>
            <w:tcMar>
              <w:top w:w="15" w:type="dxa"/>
              <w:left w:w="0" w:type="dxa"/>
              <w:bottom w:w="0" w:type="dxa"/>
              <w:right w:w="15" w:type="dxa"/>
            </w:tcMar>
            <w:vAlign w:val="center"/>
            <w:hideMark/>
          </w:tcPr>
          <w:p w14:paraId="42080F7C" w14:textId="77777777" w:rsidR="00000000" w:rsidRDefault="007125B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4A46E329" w14:textId="77777777" w:rsidR="00000000" w:rsidRDefault="007125B5">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bottom"/>
            <w:hideMark/>
          </w:tcPr>
          <w:p w14:paraId="1C8570F1" w14:textId="77777777" w:rsidR="00000000" w:rsidRDefault="007125B5">
            <w:pPr>
              <w:pStyle w:val="a3"/>
              <w:spacing w:before="0" w:beforeAutospacing="0" w:after="0" w:afterAutospacing="0"/>
              <w:rPr>
                <w:sz w:val="20"/>
                <w:szCs w:val="20"/>
              </w:rPr>
            </w:pPr>
            <w:r>
              <w:rPr>
                <w:sz w:val="20"/>
                <w:szCs w:val="20"/>
              </w:rPr>
              <w:t> </w:t>
            </w:r>
          </w:p>
        </w:tc>
        <w:tc>
          <w:tcPr>
            <w:tcW w:w="2500" w:type="pct"/>
            <w:shd w:val="clear" w:color="auto" w:fill="FFFFFF"/>
            <w:tcMar>
              <w:top w:w="15" w:type="dxa"/>
              <w:left w:w="0" w:type="dxa"/>
              <w:bottom w:w="0" w:type="dxa"/>
              <w:right w:w="15" w:type="dxa"/>
            </w:tcMar>
            <w:vAlign w:val="bottom"/>
            <w:hideMark/>
          </w:tcPr>
          <w:p w14:paraId="464A873F" w14:textId="77777777" w:rsidR="00000000" w:rsidRDefault="007125B5">
            <w:pPr>
              <w:pStyle w:val="a3"/>
              <w:spacing w:before="0" w:beforeAutospacing="0" w:after="0" w:afterAutospacing="0"/>
              <w:rPr>
                <w:sz w:val="20"/>
                <w:szCs w:val="20"/>
              </w:rPr>
            </w:pPr>
            <w:r>
              <w:rPr>
                <w:sz w:val="20"/>
                <w:szCs w:val="20"/>
              </w:rPr>
              <w:t> </w:t>
            </w:r>
          </w:p>
        </w:tc>
      </w:tr>
      <w:tr w:rsidR="00000000" w14:paraId="164C9ED4" w14:textId="77777777">
        <w:trPr>
          <w:divId w:val="1531141425"/>
          <w:jc w:val="center"/>
        </w:trPr>
        <w:tc>
          <w:tcPr>
            <w:tcW w:w="2250" w:type="pct"/>
            <w:shd w:val="clear" w:color="auto" w:fill="FFFFFF"/>
            <w:tcMar>
              <w:top w:w="15" w:type="dxa"/>
              <w:left w:w="0" w:type="dxa"/>
              <w:bottom w:w="0" w:type="dxa"/>
              <w:right w:w="15" w:type="dxa"/>
            </w:tcMar>
            <w:vAlign w:val="bottom"/>
            <w:hideMark/>
          </w:tcPr>
          <w:p w14:paraId="2FA35B4C" w14:textId="77777777" w:rsidR="00000000" w:rsidRDefault="007125B5">
            <w:pPr>
              <w:pStyle w:val="a3"/>
              <w:spacing w:before="0" w:beforeAutospacing="0" w:after="0" w:afterAutospacing="0"/>
              <w:rPr>
                <w:sz w:val="20"/>
                <w:szCs w:val="20"/>
              </w:rPr>
            </w:pPr>
            <w:r>
              <w:rPr>
                <w:sz w:val="20"/>
                <w:szCs w:val="20"/>
              </w:rPr>
              <w:t>Date:  August 31, 2020</w:t>
            </w:r>
          </w:p>
        </w:tc>
        <w:tc>
          <w:tcPr>
            <w:tcW w:w="50" w:type="pct"/>
            <w:shd w:val="clear" w:color="auto" w:fill="FFFFFF"/>
            <w:tcMar>
              <w:top w:w="15" w:type="dxa"/>
              <w:left w:w="0" w:type="dxa"/>
              <w:bottom w:w="0" w:type="dxa"/>
              <w:right w:w="15" w:type="dxa"/>
            </w:tcMar>
            <w:vAlign w:val="bottom"/>
            <w:hideMark/>
          </w:tcPr>
          <w:p w14:paraId="28F23991" w14:textId="77777777" w:rsidR="00000000" w:rsidRDefault="007125B5">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hideMark/>
          </w:tcPr>
          <w:p w14:paraId="6F974A09" w14:textId="77777777" w:rsidR="00000000" w:rsidRDefault="007125B5">
            <w:pPr>
              <w:pStyle w:val="a3"/>
              <w:spacing w:before="0" w:beforeAutospacing="0" w:after="0" w:afterAutospacing="0"/>
              <w:rPr>
                <w:sz w:val="20"/>
                <w:szCs w:val="20"/>
              </w:rPr>
            </w:pPr>
            <w:r>
              <w:rPr>
                <w:sz w:val="20"/>
                <w:szCs w:val="20"/>
              </w:rPr>
              <w:t>By:</w:t>
            </w:r>
          </w:p>
        </w:tc>
        <w:tc>
          <w:tcPr>
            <w:tcW w:w="2500" w:type="pct"/>
            <w:tcBorders>
              <w:bottom w:val="single" w:sz="6" w:space="0" w:color="000000"/>
            </w:tcBorders>
            <w:shd w:val="clear" w:color="auto" w:fill="FFFFFF"/>
            <w:tcMar>
              <w:top w:w="15" w:type="dxa"/>
              <w:left w:w="0" w:type="dxa"/>
              <w:bottom w:w="0" w:type="dxa"/>
              <w:right w:w="15" w:type="dxa"/>
            </w:tcMar>
            <w:vAlign w:val="bottom"/>
            <w:hideMark/>
          </w:tcPr>
          <w:p w14:paraId="1A003DB9" w14:textId="77777777" w:rsidR="00000000" w:rsidRDefault="007125B5">
            <w:pPr>
              <w:pStyle w:val="a3"/>
              <w:spacing w:before="0" w:beforeAutospacing="0" w:after="0" w:afterAutospacing="0"/>
              <w:jc w:val="center"/>
              <w:rPr>
                <w:sz w:val="20"/>
                <w:szCs w:val="20"/>
              </w:rPr>
            </w:pPr>
            <w:r>
              <w:rPr>
                <w:sz w:val="20"/>
                <w:szCs w:val="20"/>
              </w:rPr>
              <w:t>/s/ </w:t>
            </w:r>
            <w:r>
              <w:rPr>
                <w:sz w:val="20"/>
                <w:szCs w:val="20"/>
              </w:rPr>
              <w:t>Allan Dicks</w:t>
            </w:r>
          </w:p>
        </w:tc>
      </w:tr>
      <w:tr w:rsidR="00000000" w14:paraId="6CDCEE9A" w14:textId="77777777">
        <w:trPr>
          <w:divId w:val="1531141425"/>
          <w:jc w:val="center"/>
        </w:trPr>
        <w:tc>
          <w:tcPr>
            <w:tcW w:w="2250" w:type="pct"/>
            <w:shd w:val="clear" w:color="auto" w:fill="FFFFFF"/>
            <w:tcMar>
              <w:top w:w="15" w:type="dxa"/>
              <w:left w:w="0" w:type="dxa"/>
              <w:bottom w:w="0" w:type="dxa"/>
              <w:right w:w="15" w:type="dxa"/>
            </w:tcMar>
            <w:vAlign w:val="bottom"/>
            <w:hideMark/>
          </w:tcPr>
          <w:p w14:paraId="1475DC79" w14:textId="77777777" w:rsidR="00000000" w:rsidRDefault="007125B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0897BCF1" w14:textId="77777777" w:rsidR="00000000" w:rsidRDefault="007125B5">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center"/>
            <w:hideMark/>
          </w:tcPr>
          <w:p w14:paraId="403818C2" w14:textId="77777777" w:rsidR="00000000" w:rsidRDefault="007125B5">
            <w:pPr>
              <w:pStyle w:val="a3"/>
              <w:spacing w:before="0" w:beforeAutospacing="0" w:after="0" w:afterAutospacing="0"/>
              <w:rPr>
                <w:b/>
                <w:bCs/>
                <w:sz w:val="20"/>
                <w:szCs w:val="20"/>
              </w:rPr>
            </w:pPr>
            <w:r>
              <w:rPr>
                <w:b/>
                <w:bCs/>
                <w:sz w:val="20"/>
                <w:szCs w:val="20"/>
              </w:rPr>
              <w:t> </w:t>
            </w:r>
          </w:p>
        </w:tc>
        <w:tc>
          <w:tcPr>
            <w:tcW w:w="2500" w:type="pct"/>
            <w:tcBorders>
              <w:top w:val="single" w:sz="6" w:space="0" w:color="000000"/>
            </w:tcBorders>
            <w:shd w:val="clear" w:color="auto" w:fill="FFFFFF"/>
            <w:tcMar>
              <w:top w:w="15" w:type="dxa"/>
              <w:left w:w="0" w:type="dxa"/>
              <w:bottom w:w="0" w:type="dxa"/>
              <w:right w:w="15" w:type="dxa"/>
            </w:tcMar>
            <w:vAlign w:val="bottom"/>
            <w:hideMark/>
          </w:tcPr>
          <w:p w14:paraId="431A8E96" w14:textId="77777777" w:rsidR="00000000" w:rsidRDefault="007125B5">
            <w:pPr>
              <w:pStyle w:val="a3"/>
              <w:spacing w:before="0" w:beforeAutospacing="0" w:after="0" w:afterAutospacing="0"/>
              <w:jc w:val="center"/>
              <w:rPr>
                <w:sz w:val="20"/>
                <w:szCs w:val="20"/>
              </w:rPr>
            </w:pPr>
            <w:r>
              <w:rPr>
                <w:sz w:val="20"/>
                <w:szCs w:val="20"/>
              </w:rPr>
              <w:t>Allan Dicks</w:t>
            </w:r>
          </w:p>
        </w:tc>
      </w:tr>
      <w:tr w:rsidR="00000000" w14:paraId="4D17D154" w14:textId="77777777">
        <w:trPr>
          <w:divId w:val="1531141425"/>
          <w:jc w:val="center"/>
        </w:trPr>
        <w:tc>
          <w:tcPr>
            <w:tcW w:w="2250" w:type="pct"/>
            <w:shd w:val="clear" w:color="auto" w:fill="FFFFFF"/>
            <w:tcMar>
              <w:top w:w="15" w:type="dxa"/>
              <w:left w:w="0" w:type="dxa"/>
              <w:bottom w:w="0" w:type="dxa"/>
              <w:right w:w="15" w:type="dxa"/>
            </w:tcMar>
            <w:vAlign w:val="bottom"/>
            <w:hideMark/>
          </w:tcPr>
          <w:p w14:paraId="72BA692D" w14:textId="77777777" w:rsidR="00000000" w:rsidRDefault="007125B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7461DE74" w14:textId="77777777" w:rsidR="00000000" w:rsidRDefault="007125B5">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bottom"/>
            <w:hideMark/>
          </w:tcPr>
          <w:p w14:paraId="699FF2C3" w14:textId="77777777" w:rsidR="00000000" w:rsidRDefault="007125B5">
            <w:pPr>
              <w:pStyle w:val="a3"/>
              <w:spacing w:before="0" w:beforeAutospacing="0" w:after="0" w:afterAutospacing="0"/>
              <w:rPr>
                <w:b/>
                <w:bCs/>
                <w:sz w:val="20"/>
                <w:szCs w:val="20"/>
              </w:rPr>
            </w:pPr>
            <w:r>
              <w:rPr>
                <w:b/>
                <w:bCs/>
                <w:sz w:val="20"/>
                <w:szCs w:val="20"/>
              </w:rPr>
              <w:t> </w:t>
            </w:r>
          </w:p>
        </w:tc>
        <w:tc>
          <w:tcPr>
            <w:tcW w:w="2500" w:type="pct"/>
            <w:shd w:val="clear" w:color="auto" w:fill="FFFFFF"/>
            <w:tcMar>
              <w:top w:w="15" w:type="dxa"/>
              <w:left w:w="0" w:type="dxa"/>
              <w:bottom w:w="0" w:type="dxa"/>
              <w:right w:w="15" w:type="dxa"/>
            </w:tcMar>
            <w:vAlign w:val="bottom"/>
            <w:hideMark/>
          </w:tcPr>
          <w:p w14:paraId="38310EF6" w14:textId="77777777" w:rsidR="00000000" w:rsidRDefault="007125B5">
            <w:pPr>
              <w:pStyle w:val="a3"/>
              <w:spacing w:before="0" w:beforeAutospacing="0" w:after="0" w:afterAutospacing="0"/>
              <w:jc w:val="center"/>
              <w:rPr>
                <w:sz w:val="20"/>
                <w:szCs w:val="20"/>
              </w:rPr>
            </w:pPr>
            <w:r>
              <w:rPr>
                <w:sz w:val="20"/>
                <w:szCs w:val="20"/>
              </w:rPr>
              <w:t>Chief Financial Officer</w:t>
            </w:r>
          </w:p>
        </w:tc>
      </w:tr>
    </w:tbl>
    <w:p w14:paraId="25C654D1" w14:textId="77777777" w:rsidR="00000000" w:rsidRDefault="007125B5">
      <w:pPr>
        <w:pStyle w:val="a3"/>
        <w:spacing w:before="0" w:beforeAutospacing="0" w:after="0" w:afterAutospacing="0"/>
        <w:rPr>
          <w:sz w:val="20"/>
          <w:szCs w:val="20"/>
        </w:rPr>
      </w:pPr>
      <w:r>
        <w:rPr>
          <w:sz w:val="20"/>
          <w:szCs w:val="20"/>
        </w:rPr>
        <w:t> </w:t>
      </w:r>
    </w:p>
    <w:p w14:paraId="44B08C79" w14:textId="77777777" w:rsidR="00000000" w:rsidRDefault="007125B5">
      <w:pPr>
        <w:pStyle w:val="a3"/>
        <w:shd w:val="clear" w:color="auto" w:fill="FFFFFF"/>
        <w:spacing w:before="0" w:beforeAutospacing="0" w:after="0" w:afterAutospacing="0"/>
        <w:rPr>
          <w:sz w:val="20"/>
          <w:szCs w:val="20"/>
        </w:rPr>
      </w:pPr>
      <w:r>
        <w:rPr>
          <w:sz w:val="20"/>
          <w:szCs w:val="20"/>
        </w:rPr>
        <w:t> </w:t>
      </w:r>
    </w:p>
    <w:p w14:paraId="4409E0CA" w14:textId="77777777" w:rsidR="007125B5" w:rsidRDefault="007125B5">
      <w:pPr>
        <w:pStyle w:val="a3"/>
        <w:spacing w:before="240" w:beforeAutospacing="0" w:after="0" w:afterAutospacing="0"/>
        <w:jc w:val="center"/>
        <w:rPr>
          <w:sz w:val="20"/>
          <w:szCs w:val="20"/>
        </w:rPr>
      </w:pPr>
      <w:r>
        <w:rPr>
          <w:sz w:val="20"/>
          <w:szCs w:val="20"/>
        </w:rPr>
        <w:t>48</w:t>
      </w:r>
    </w:p>
    <w:sectPr w:rsidR="007125B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125B5"/>
    <w:rsid w:val="00712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12EF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519">
      <w:marLeft w:val="0"/>
      <w:marRight w:val="0"/>
      <w:marTop w:val="0"/>
      <w:marBottom w:val="0"/>
      <w:divBdr>
        <w:top w:val="none" w:sz="0" w:space="0" w:color="auto"/>
        <w:left w:val="none" w:sz="0" w:space="0" w:color="auto"/>
        <w:bottom w:val="none" w:sz="0" w:space="0" w:color="auto"/>
        <w:right w:val="none" w:sz="0" w:space="0" w:color="auto"/>
      </w:divBdr>
    </w:div>
    <w:div w:id="91435834">
      <w:marLeft w:val="0"/>
      <w:marRight w:val="0"/>
      <w:marTop w:val="0"/>
      <w:marBottom w:val="0"/>
      <w:divBdr>
        <w:top w:val="none" w:sz="0" w:space="0" w:color="auto"/>
        <w:left w:val="none" w:sz="0" w:space="0" w:color="auto"/>
        <w:bottom w:val="none" w:sz="0" w:space="0" w:color="auto"/>
        <w:right w:val="none" w:sz="0" w:space="0" w:color="auto"/>
      </w:divBdr>
    </w:div>
    <w:div w:id="245966486">
      <w:marLeft w:val="0"/>
      <w:marRight w:val="0"/>
      <w:marTop w:val="0"/>
      <w:marBottom w:val="0"/>
      <w:divBdr>
        <w:top w:val="none" w:sz="0" w:space="0" w:color="auto"/>
        <w:left w:val="none" w:sz="0" w:space="0" w:color="auto"/>
        <w:bottom w:val="none" w:sz="0" w:space="0" w:color="auto"/>
        <w:right w:val="none" w:sz="0" w:space="0" w:color="auto"/>
      </w:divBdr>
    </w:div>
    <w:div w:id="266356963">
      <w:marLeft w:val="0"/>
      <w:marRight w:val="0"/>
      <w:marTop w:val="0"/>
      <w:marBottom w:val="0"/>
      <w:divBdr>
        <w:top w:val="none" w:sz="0" w:space="0" w:color="auto"/>
        <w:left w:val="none" w:sz="0" w:space="0" w:color="auto"/>
        <w:bottom w:val="none" w:sz="0" w:space="0" w:color="auto"/>
        <w:right w:val="none" w:sz="0" w:space="0" w:color="auto"/>
      </w:divBdr>
    </w:div>
    <w:div w:id="269363735">
      <w:marLeft w:val="0"/>
      <w:marRight w:val="0"/>
      <w:marTop w:val="0"/>
      <w:marBottom w:val="0"/>
      <w:divBdr>
        <w:top w:val="none" w:sz="0" w:space="0" w:color="auto"/>
        <w:left w:val="none" w:sz="0" w:space="0" w:color="auto"/>
        <w:bottom w:val="none" w:sz="0" w:space="0" w:color="auto"/>
        <w:right w:val="none" w:sz="0" w:space="0" w:color="auto"/>
      </w:divBdr>
    </w:div>
    <w:div w:id="316344827">
      <w:marLeft w:val="0"/>
      <w:marRight w:val="0"/>
      <w:marTop w:val="0"/>
      <w:marBottom w:val="0"/>
      <w:divBdr>
        <w:top w:val="none" w:sz="0" w:space="0" w:color="auto"/>
        <w:left w:val="none" w:sz="0" w:space="0" w:color="auto"/>
        <w:bottom w:val="none" w:sz="0" w:space="0" w:color="auto"/>
        <w:right w:val="none" w:sz="0" w:space="0" w:color="auto"/>
      </w:divBdr>
    </w:div>
    <w:div w:id="405500417">
      <w:marLeft w:val="0"/>
      <w:marRight w:val="0"/>
      <w:marTop w:val="0"/>
      <w:marBottom w:val="0"/>
      <w:divBdr>
        <w:top w:val="none" w:sz="0" w:space="0" w:color="auto"/>
        <w:left w:val="none" w:sz="0" w:space="0" w:color="auto"/>
        <w:bottom w:val="none" w:sz="0" w:space="0" w:color="auto"/>
        <w:right w:val="none" w:sz="0" w:space="0" w:color="auto"/>
      </w:divBdr>
    </w:div>
    <w:div w:id="472413268">
      <w:marLeft w:val="0"/>
      <w:marRight w:val="0"/>
      <w:marTop w:val="0"/>
      <w:marBottom w:val="0"/>
      <w:divBdr>
        <w:top w:val="none" w:sz="0" w:space="0" w:color="auto"/>
        <w:left w:val="none" w:sz="0" w:space="0" w:color="auto"/>
        <w:bottom w:val="none" w:sz="0" w:space="0" w:color="auto"/>
        <w:right w:val="none" w:sz="0" w:space="0" w:color="auto"/>
      </w:divBdr>
    </w:div>
    <w:div w:id="506332364">
      <w:marLeft w:val="0"/>
      <w:marRight w:val="0"/>
      <w:marTop w:val="0"/>
      <w:marBottom w:val="0"/>
      <w:divBdr>
        <w:top w:val="none" w:sz="0" w:space="0" w:color="auto"/>
        <w:left w:val="none" w:sz="0" w:space="0" w:color="auto"/>
        <w:bottom w:val="none" w:sz="0" w:space="0" w:color="auto"/>
        <w:right w:val="none" w:sz="0" w:space="0" w:color="auto"/>
      </w:divBdr>
    </w:div>
    <w:div w:id="522286892">
      <w:marLeft w:val="0"/>
      <w:marRight w:val="0"/>
      <w:marTop w:val="0"/>
      <w:marBottom w:val="0"/>
      <w:divBdr>
        <w:top w:val="none" w:sz="0" w:space="0" w:color="auto"/>
        <w:left w:val="none" w:sz="0" w:space="0" w:color="auto"/>
        <w:bottom w:val="none" w:sz="0" w:space="0" w:color="auto"/>
        <w:right w:val="none" w:sz="0" w:space="0" w:color="auto"/>
      </w:divBdr>
    </w:div>
    <w:div w:id="545067492">
      <w:marLeft w:val="0"/>
      <w:marRight w:val="0"/>
      <w:marTop w:val="0"/>
      <w:marBottom w:val="0"/>
      <w:divBdr>
        <w:top w:val="none" w:sz="0" w:space="0" w:color="auto"/>
        <w:left w:val="none" w:sz="0" w:space="0" w:color="auto"/>
        <w:bottom w:val="none" w:sz="0" w:space="0" w:color="auto"/>
        <w:right w:val="none" w:sz="0" w:space="0" w:color="auto"/>
      </w:divBdr>
    </w:div>
    <w:div w:id="572467841">
      <w:marLeft w:val="0"/>
      <w:marRight w:val="0"/>
      <w:marTop w:val="0"/>
      <w:marBottom w:val="0"/>
      <w:divBdr>
        <w:top w:val="none" w:sz="0" w:space="0" w:color="auto"/>
        <w:left w:val="none" w:sz="0" w:space="0" w:color="auto"/>
        <w:bottom w:val="none" w:sz="0" w:space="0" w:color="auto"/>
        <w:right w:val="none" w:sz="0" w:space="0" w:color="auto"/>
      </w:divBdr>
    </w:div>
    <w:div w:id="577792532">
      <w:marLeft w:val="0"/>
      <w:marRight w:val="0"/>
      <w:marTop w:val="0"/>
      <w:marBottom w:val="0"/>
      <w:divBdr>
        <w:top w:val="none" w:sz="0" w:space="0" w:color="auto"/>
        <w:left w:val="none" w:sz="0" w:space="0" w:color="auto"/>
        <w:bottom w:val="none" w:sz="0" w:space="0" w:color="auto"/>
        <w:right w:val="none" w:sz="0" w:space="0" w:color="auto"/>
      </w:divBdr>
    </w:div>
    <w:div w:id="615140495">
      <w:marLeft w:val="0"/>
      <w:marRight w:val="0"/>
      <w:marTop w:val="0"/>
      <w:marBottom w:val="0"/>
      <w:divBdr>
        <w:top w:val="none" w:sz="0" w:space="0" w:color="auto"/>
        <w:left w:val="none" w:sz="0" w:space="0" w:color="auto"/>
        <w:bottom w:val="none" w:sz="0" w:space="0" w:color="auto"/>
        <w:right w:val="none" w:sz="0" w:space="0" w:color="auto"/>
      </w:divBdr>
    </w:div>
    <w:div w:id="760028361">
      <w:marLeft w:val="0"/>
      <w:marRight w:val="0"/>
      <w:marTop w:val="0"/>
      <w:marBottom w:val="0"/>
      <w:divBdr>
        <w:top w:val="none" w:sz="0" w:space="0" w:color="auto"/>
        <w:left w:val="none" w:sz="0" w:space="0" w:color="auto"/>
        <w:bottom w:val="none" w:sz="0" w:space="0" w:color="auto"/>
        <w:right w:val="none" w:sz="0" w:space="0" w:color="auto"/>
      </w:divBdr>
    </w:div>
    <w:div w:id="763766611">
      <w:marLeft w:val="0"/>
      <w:marRight w:val="0"/>
      <w:marTop w:val="0"/>
      <w:marBottom w:val="0"/>
      <w:divBdr>
        <w:top w:val="none" w:sz="0" w:space="0" w:color="auto"/>
        <w:left w:val="none" w:sz="0" w:space="0" w:color="auto"/>
        <w:bottom w:val="none" w:sz="0" w:space="0" w:color="auto"/>
        <w:right w:val="none" w:sz="0" w:space="0" w:color="auto"/>
      </w:divBdr>
    </w:div>
    <w:div w:id="851144631">
      <w:marLeft w:val="0"/>
      <w:marRight w:val="0"/>
      <w:marTop w:val="0"/>
      <w:marBottom w:val="0"/>
      <w:divBdr>
        <w:top w:val="none" w:sz="0" w:space="0" w:color="auto"/>
        <w:left w:val="none" w:sz="0" w:space="0" w:color="auto"/>
        <w:bottom w:val="none" w:sz="0" w:space="0" w:color="auto"/>
        <w:right w:val="none" w:sz="0" w:space="0" w:color="auto"/>
      </w:divBdr>
    </w:div>
    <w:div w:id="906378440">
      <w:marLeft w:val="0"/>
      <w:marRight w:val="0"/>
      <w:marTop w:val="0"/>
      <w:marBottom w:val="0"/>
      <w:divBdr>
        <w:top w:val="none" w:sz="0" w:space="0" w:color="auto"/>
        <w:left w:val="none" w:sz="0" w:space="0" w:color="auto"/>
        <w:bottom w:val="none" w:sz="0" w:space="0" w:color="auto"/>
        <w:right w:val="none" w:sz="0" w:space="0" w:color="auto"/>
      </w:divBdr>
    </w:div>
    <w:div w:id="993142887">
      <w:marLeft w:val="0"/>
      <w:marRight w:val="0"/>
      <w:marTop w:val="0"/>
      <w:marBottom w:val="0"/>
      <w:divBdr>
        <w:top w:val="none" w:sz="0" w:space="0" w:color="auto"/>
        <w:left w:val="none" w:sz="0" w:space="0" w:color="auto"/>
        <w:bottom w:val="none" w:sz="0" w:space="0" w:color="auto"/>
        <w:right w:val="none" w:sz="0" w:space="0" w:color="auto"/>
      </w:divBdr>
    </w:div>
    <w:div w:id="1031759256">
      <w:marLeft w:val="0"/>
      <w:marRight w:val="0"/>
      <w:marTop w:val="0"/>
      <w:marBottom w:val="0"/>
      <w:divBdr>
        <w:top w:val="none" w:sz="0" w:space="0" w:color="auto"/>
        <w:left w:val="none" w:sz="0" w:space="0" w:color="auto"/>
        <w:bottom w:val="none" w:sz="0" w:space="0" w:color="auto"/>
        <w:right w:val="none" w:sz="0" w:space="0" w:color="auto"/>
      </w:divBdr>
    </w:div>
    <w:div w:id="1049383333">
      <w:marLeft w:val="0"/>
      <w:marRight w:val="0"/>
      <w:marTop w:val="0"/>
      <w:marBottom w:val="0"/>
      <w:divBdr>
        <w:top w:val="none" w:sz="0" w:space="0" w:color="auto"/>
        <w:left w:val="none" w:sz="0" w:space="0" w:color="auto"/>
        <w:bottom w:val="none" w:sz="0" w:space="0" w:color="auto"/>
        <w:right w:val="none" w:sz="0" w:space="0" w:color="auto"/>
      </w:divBdr>
    </w:div>
    <w:div w:id="1054812811">
      <w:marLeft w:val="0"/>
      <w:marRight w:val="0"/>
      <w:marTop w:val="0"/>
      <w:marBottom w:val="0"/>
      <w:divBdr>
        <w:top w:val="none" w:sz="0" w:space="0" w:color="auto"/>
        <w:left w:val="none" w:sz="0" w:space="0" w:color="auto"/>
        <w:bottom w:val="none" w:sz="0" w:space="0" w:color="auto"/>
        <w:right w:val="none" w:sz="0" w:space="0" w:color="auto"/>
      </w:divBdr>
    </w:div>
    <w:div w:id="1084952892">
      <w:marLeft w:val="0"/>
      <w:marRight w:val="0"/>
      <w:marTop w:val="0"/>
      <w:marBottom w:val="0"/>
      <w:divBdr>
        <w:top w:val="none" w:sz="0" w:space="0" w:color="auto"/>
        <w:left w:val="none" w:sz="0" w:space="0" w:color="auto"/>
        <w:bottom w:val="none" w:sz="0" w:space="0" w:color="auto"/>
        <w:right w:val="none" w:sz="0" w:space="0" w:color="auto"/>
      </w:divBdr>
    </w:div>
    <w:div w:id="1102606784">
      <w:marLeft w:val="0"/>
      <w:marRight w:val="0"/>
      <w:marTop w:val="0"/>
      <w:marBottom w:val="0"/>
      <w:divBdr>
        <w:top w:val="none" w:sz="0" w:space="0" w:color="auto"/>
        <w:left w:val="none" w:sz="0" w:space="0" w:color="auto"/>
        <w:bottom w:val="none" w:sz="0" w:space="0" w:color="auto"/>
        <w:right w:val="none" w:sz="0" w:space="0" w:color="auto"/>
      </w:divBdr>
    </w:div>
    <w:div w:id="1210334946">
      <w:marLeft w:val="0"/>
      <w:marRight w:val="0"/>
      <w:marTop w:val="0"/>
      <w:marBottom w:val="0"/>
      <w:divBdr>
        <w:top w:val="none" w:sz="0" w:space="0" w:color="auto"/>
        <w:left w:val="none" w:sz="0" w:space="0" w:color="auto"/>
        <w:bottom w:val="none" w:sz="0" w:space="0" w:color="auto"/>
        <w:right w:val="none" w:sz="0" w:space="0" w:color="auto"/>
      </w:divBdr>
    </w:div>
    <w:div w:id="1213345099">
      <w:marLeft w:val="0"/>
      <w:marRight w:val="0"/>
      <w:marTop w:val="0"/>
      <w:marBottom w:val="0"/>
      <w:divBdr>
        <w:top w:val="none" w:sz="0" w:space="0" w:color="auto"/>
        <w:left w:val="none" w:sz="0" w:space="0" w:color="auto"/>
        <w:bottom w:val="none" w:sz="0" w:space="0" w:color="auto"/>
        <w:right w:val="none" w:sz="0" w:space="0" w:color="auto"/>
      </w:divBdr>
    </w:div>
    <w:div w:id="1234393200">
      <w:marLeft w:val="0"/>
      <w:marRight w:val="0"/>
      <w:marTop w:val="0"/>
      <w:marBottom w:val="0"/>
      <w:divBdr>
        <w:top w:val="none" w:sz="0" w:space="0" w:color="auto"/>
        <w:left w:val="none" w:sz="0" w:space="0" w:color="auto"/>
        <w:bottom w:val="none" w:sz="0" w:space="0" w:color="auto"/>
        <w:right w:val="none" w:sz="0" w:space="0" w:color="auto"/>
      </w:divBdr>
    </w:div>
    <w:div w:id="1366179404">
      <w:marLeft w:val="0"/>
      <w:marRight w:val="0"/>
      <w:marTop w:val="0"/>
      <w:marBottom w:val="0"/>
      <w:divBdr>
        <w:top w:val="none" w:sz="0" w:space="0" w:color="auto"/>
        <w:left w:val="none" w:sz="0" w:space="0" w:color="auto"/>
        <w:bottom w:val="none" w:sz="0" w:space="0" w:color="auto"/>
        <w:right w:val="none" w:sz="0" w:space="0" w:color="auto"/>
      </w:divBdr>
    </w:div>
    <w:div w:id="1410733971">
      <w:marLeft w:val="0"/>
      <w:marRight w:val="0"/>
      <w:marTop w:val="0"/>
      <w:marBottom w:val="0"/>
      <w:divBdr>
        <w:top w:val="none" w:sz="0" w:space="0" w:color="auto"/>
        <w:left w:val="none" w:sz="0" w:space="0" w:color="auto"/>
        <w:bottom w:val="none" w:sz="0" w:space="0" w:color="auto"/>
        <w:right w:val="none" w:sz="0" w:space="0" w:color="auto"/>
      </w:divBdr>
    </w:div>
    <w:div w:id="1423406162">
      <w:marLeft w:val="0"/>
      <w:marRight w:val="0"/>
      <w:marTop w:val="0"/>
      <w:marBottom w:val="0"/>
      <w:divBdr>
        <w:top w:val="none" w:sz="0" w:space="0" w:color="auto"/>
        <w:left w:val="none" w:sz="0" w:space="0" w:color="auto"/>
        <w:bottom w:val="none" w:sz="0" w:space="0" w:color="auto"/>
        <w:right w:val="none" w:sz="0" w:space="0" w:color="auto"/>
      </w:divBdr>
    </w:div>
    <w:div w:id="1442264031">
      <w:marLeft w:val="0"/>
      <w:marRight w:val="0"/>
      <w:marTop w:val="0"/>
      <w:marBottom w:val="0"/>
      <w:divBdr>
        <w:top w:val="none" w:sz="0" w:space="0" w:color="auto"/>
        <w:left w:val="none" w:sz="0" w:space="0" w:color="auto"/>
        <w:bottom w:val="none" w:sz="0" w:space="0" w:color="auto"/>
        <w:right w:val="none" w:sz="0" w:space="0" w:color="auto"/>
      </w:divBdr>
    </w:div>
    <w:div w:id="1443917284">
      <w:marLeft w:val="0"/>
      <w:marRight w:val="0"/>
      <w:marTop w:val="0"/>
      <w:marBottom w:val="0"/>
      <w:divBdr>
        <w:top w:val="none" w:sz="0" w:space="0" w:color="auto"/>
        <w:left w:val="none" w:sz="0" w:space="0" w:color="auto"/>
        <w:bottom w:val="none" w:sz="0" w:space="0" w:color="auto"/>
        <w:right w:val="none" w:sz="0" w:space="0" w:color="auto"/>
      </w:divBdr>
    </w:div>
    <w:div w:id="1458185437">
      <w:marLeft w:val="0"/>
      <w:marRight w:val="0"/>
      <w:marTop w:val="0"/>
      <w:marBottom w:val="0"/>
      <w:divBdr>
        <w:top w:val="none" w:sz="0" w:space="0" w:color="auto"/>
        <w:left w:val="none" w:sz="0" w:space="0" w:color="auto"/>
        <w:bottom w:val="none" w:sz="0" w:space="0" w:color="auto"/>
        <w:right w:val="none" w:sz="0" w:space="0" w:color="auto"/>
      </w:divBdr>
    </w:div>
    <w:div w:id="1492596672">
      <w:marLeft w:val="0"/>
      <w:marRight w:val="0"/>
      <w:marTop w:val="0"/>
      <w:marBottom w:val="0"/>
      <w:divBdr>
        <w:top w:val="none" w:sz="0" w:space="0" w:color="auto"/>
        <w:left w:val="none" w:sz="0" w:space="0" w:color="auto"/>
        <w:bottom w:val="none" w:sz="0" w:space="0" w:color="auto"/>
        <w:right w:val="none" w:sz="0" w:space="0" w:color="auto"/>
      </w:divBdr>
    </w:div>
    <w:div w:id="1531141425">
      <w:marLeft w:val="0"/>
      <w:marRight w:val="0"/>
      <w:marTop w:val="0"/>
      <w:marBottom w:val="0"/>
      <w:divBdr>
        <w:top w:val="none" w:sz="0" w:space="0" w:color="auto"/>
        <w:left w:val="none" w:sz="0" w:space="0" w:color="auto"/>
        <w:bottom w:val="none" w:sz="0" w:space="0" w:color="auto"/>
        <w:right w:val="none" w:sz="0" w:space="0" w:color="auto"/>
      </w:divBdr>
    </w:div>
    <w:div w:id="1539393899">
      <w:marLeft w:val="0"/>
      <w:marRight w:val="0"/>
      <w:marTop w:val="0"/>
      <w:marBottom w:val="0"/>
      <w:divBdr>
        <w:top w:val="none" w:sz="0" w:space="0" w:color="auto"/>
        <w:left w:val="none" w:sz="0" w:space="0" w:color="auto"/>
        <w:bottom w:val="none" w:sz="0" w:space="0" w:color="auto"/>
        <w:right w:val="none" w:sz="0" w:space="0" w:color="auto"/>
      </w:divBdr>
    </w:div>
    <w:div w:id="1549995944">
      <w:marLeft w:val="0"/>
      <w:marRight w:val="0"/>
      <w:marTop w:val="0"/>
      <w:marBottom w:val="0"/>
      <w:divBdr>
        <w:top w:val="none" w:sz="0" w:space="0" w:color="auto"/>
        <w:left w:val="none" w:sz="0" w:space="0" w:color="auto"/>
        <w:bottom w:val="none" w:sz="0" w:space="0" w:color="auto"/>
        <w:right w:val="none" w:sz="0" w:space="0" w:color="auto"/>
      </w:divBdr>
    </w:div>
    <w:div w:id="1597593493">
      <w:marLeft w:val="0"/>
      <w:marRight w:val="0"/>
      <w:marTop w:val="0"/>
      <w:marBottom w:val="0"/>
      <w:divBdr>
        <w:top w:val="none" w:sz="0" w:space="0" w:color="auto"/>
        <w:left w:val="none" w:sz="0" w:space="0" w:color="auto"/>
        <w:bottom w:val="none" w:sz="0" w:space="0" w:color="auto"/>
        <w:right w:val="none" w:sz="0" w:space="0" w:color="auto"/>
      </w:divBdr>
    </w:div>
    <w:div w:id="1615290219">
      <w:marLeft w:val="0"/>
      <w:marRight w:val="0"/>
      <w:marTop w:val="0"/>
      <w:marBottom w:val="0"/>
      <w:divBdr>
        <w:top w:val="none" w:sz="0" w:space="0" w:color="auto"/>
        <w:left w:val="none" w:sz="0" w:space="0" w:color="auto"/>
        <w:bottom w:val="none" w:sz="0" w:space="0" w:color="auto"/>
        <w:right w:val="none" w:sz="0" w:space="0" w:color="auto"/>
      </w:divBdr>
    </w:div>
    <w:div w:id="1640459410">
      <w:marLeft w:val="0"/>
      <w:marRight w:val="0"/>
      <w:marTop w:val="0"/>
      <w:marBottom w:val="0"/>
      <w:divBdr>
        <w:top w:val="none" w:sz="0" w:space="0" w:color="auto"/>
        <w:left w:val="none" w:sz="0" w:space="0" w:color="auto"/>
        <w:bottom w:val="none" w:sz="0" w:space="0" w:color="auto"/>
        <w:right w:val="none" w:sz="0" w:space="0" w:color="auto"/>
      </w:divBdr>
    </w:div>
    <w:div w:id="1668509435">
      <w:marLeft w:val="0"/>
      <w:marRight w:val="0"/>
      <w:marTop w:val="0"/>
      <w:marBottom w:val="0"/>
      <w:divBdr>
        <w:top w:val="none" w:sz="0" w:space="0" w:color="auto"/>
        <w:left w:val="none" w:sz="0" w:space="0" w:color="auto"/>
        <w:bottom w:val="none" w:sz="0" w:space="0" w:color="auto"/>
        <w:right w:val="none" w:sz="0" w:space="0" w:color="auto"/>
      </w:divBdr>
    </w:div>
    <w:div w:id="1678078014">
      <w:marLeft w:val="0"/>
      <w:marRight w:val="0"/>
      <w:marTop w:val="0"/>
      <w:marBottom w:val="0"/>
      <w:divBdr>
        <w:top w:val="none" w:sz="0" w:space="0" w:color="auto"/>
        <w:left w:val="none" w:sz="0" w:space="0" w:color="auto"/>
        <w:bottom w:val="none" w:sz="0" w:space="0" w:color="auto"/>
        <w:right w:val="none" w:sz="0" w:space="0" w:color="auto"/>
      </w:divBdr>
    </w:div>
    <w:div w:id="1720545016">
      <w:marLeft w:val="0"/>
      <w:marRight w:val="0"/>
      <w:marTop w:val="0"/>
      <w:marBottom w:val="0"/>
      <w:divBdr>
        <w:top w:val="none" w:sz="0" w:space="0" w:color="auto"/>
        <w:left w:val="none" w:sz="0" w:space="0" w:color="auto"/>
        <w:bottom w:val="none" w:sz="0" w:space="0" w:color="auto"/>
        <w:right w:val="none" w:sz="0" w:space="0" w:color="auto"/>
      </w:divBdr>
    </w:div>
    <w:div w:id="1802727859">
      <w:marLeft w:val="0"/>
      <w:marRight w:val="0"/>
      <w:marTop w:val="0"/>
      <w:marBottom w:val="0"/>
      <w:divBdr>
        <w:top w:val="none" w:sz="0" w:space="0" w:color="auto"/>
        <w:left w:val="none" w:sz="0" w:space="0" w:color="auto"/>
        <w:bottom w:val="none" w:sz="0" w:space="0" w:color="auto"/>
        <w:right w:val="none" w:sz="0" w:space="0" w:color="auto"/>
      </w:divBdr>
    </w:div>
    <w:div w:id="1806846164">
      <w:marLeft w:val="0"/>
      <w:marRight w:val="0"/>
      <w:marTop w:val="0"/>
      <w:marBottom w:val="0"/>
      <w:divBdr>
        <w:top w:val="none" w:sz="0" w:space="0" w:color="auto"/>
        <w:left w:val="none" w:sz="0" w:space="0" w:color="auto"/>
        <w:bottom w:val="none" w:sz="0" w:space="0" w:color="auto"/>
        <w:right w:val="none" w:sz="0" w:space="0" w:color="auto"/>
      </w:divBdr>
    </w:div>
    <w:div w:id="1808624867">
      <w:marLeft w:val="0"/>
      <w:marRight w:val="0"/>
      <w:marTop w:val="0"/>
      <w:marBottom w:val="0"/>
      <w:divBdr>
        <w:top w:val="none" w:sz="0" w:space="0" w:color="auto"/>
        <w:left w:val="none" w:sz="0" w:space="0" w:color="auto"/>
        <w:bottom w:val="none" w:sz="0" w:space="0" w:color="auto"/>
        <w:right w:val="none" w:sz="0" w:space="0" w:color="auto"/>
      </w:divBdr>
    </w:div>
    <w:div w:id="1819496745">
      <w:marLeft w:val="0"/>
      <w:marRight w:val="0"/>
      <w:marTop w:val="0"/>
      <w:marBottom w:val="0"/>
      <w:divBdr>
        <w:top w:val="none" w:sz="0" w:space="0" w:color="auto"/>
        <w:left w:val="none" w:sz="0" w:space="0" w:color="auto"/>
        <w:bottom w:val="none" w:sz="0" w:space="0" w:color="auto"/>
        <w:right w:val="none" w:sz="0" w:space="0" w:color="auto"/>
      </w:divBdr>
    </w:div>
    <w:div w:id="1851674464">
      <w:marLeft w:val="0"/>
      <w:marRight w:val="0"/>
      <w:marTop w:val="0"/>
      <w:marBottom w:val="0"/>
      <w:divBdr>
        <w:top w:val="none" w:sz="0" w:space="0" w:color="auto"/>
        <w:left w:val="none" w:sz="0" w:space="0" w:color="auto"/>
        <w:bottom w:val="none" w:sz="0" w:space="0" w:color="auto"/>
        <w:right w:val="none" w:sz="0" w:space="0" w:color="auto"/>
      </w:divBdr>
    </w:div>
    <w:div w:id="1882130379">
      <w:marLeft w:val="0"/>
      <w:marRight w:val="0"/>
      <w:marTop w:val="0"/>
      <w:marBottom w:val="0"/>
      <w:divBdr>
        <w:top w:val="none" w:sz="0" w:space="0" w:color="auto"/>
        <w:left w:val="none" w:sz="0" w:space="0" w:color="auto"/>
        <w:bottom w:val="none" w:sz="0" w:space="0" w:color="auto"/>
        <w:right w:val="none" w:sz="0" w:space="0" w:color="auto"/>
      </w:divBdr>
    </w:div>
    <w:div w:id="1937789167">
      <w:marLeft w:val="0"/>
      <w:marRight w:val="0"/>
      <w:marTop w:val="0"/>
      <w:marBottom w:val="0"/>
      <w:divBdr>
        <w:top w:val="none" w:sz="0" w:space="0" w:color="auto"/>
        <w:left w:val="none" w:sz="0" w:space="0" w:color="auto"/>
        <w:bottom w:val="none" w:sz="0" w:space="0" w:color="auto"/>
        <w:right w:val="none" w:sz="0" w:space="0" w:color="auto"/>
      </w:divBdr>
    </w:div>
    <w:div w:id="1974092763">
      <w:marLeft w:val="0"/>
      <w:marRight w:val="0"/>
      <w:marTop w:val="0"/>
      <w:marBottom w:val="0"/>
      <w:divBdr>
        <w:top w:val="none" w:sz="0" w:space="0" w:color="auto"/>
        <w:left w:val="none" w:sz="0" w:space="0" w:color="auto"/>
        <w:bottom w:val="none" w:sz="0" w:space="0" w:color="auto"/>
        <w:right w:val="none" w:sz="0" w:space="0" w:color="auto"/>
      </w:divBdr>
    </w:div>
    <w:div w:id="2024087727">
      <w:marLeft w:val="0"/>
      <w:marRight w:val="0"/>
      <w:marTop w:val="0"/>
      <w:marBottom w:val="0"/>
      <w:divBdr>
        <w:top w:val="none" w:sz="0" w:space="0" w:color="auto"/>
        <w:left w:val="none" w:sz="0" w:space="0" w:color="auto"/>
        <w:bottom w:val="none" w:sz="0" w:space="0" w:color="auto"/>
        <w:right w:val="none" w:sz="0" w:space="0" w:color="auto"/>
      </w:divBdr>
    </w:div>
    <w:div w:id="2047291539">
      <w:marLeft w:val="0"/>
      <w:marRight w:val="0"/>
      <w:marTop w:val="0"/>
      <w:marBottom w:val="0"/>
      <w:divBdr>
        <w:top w:val="none" w:sz="0" w:space="0" w:color="auto"/>
        <w:left w:val="none" w:sz="0" w:space="0" w:color="auto"/>
        <w:bottom w:val="none" w:sz="0" w:space="0" w:color="auto"/>
        <w:right w:val="none" w:sz="0" w:space="0" w:color="auto"/>
      </w:divBdr>
    </w:div>
    <w:div w:id="2088382381">
      <w:marLeft w:val="0"/>
      <w:marRight w:val="0"/>
      <w:marTop w:val="0"/>
      <w:marBottom w:val="0"/>
      <w:divBdr>
        <w:top w:val="none" w:sz="0" w:space="0" w:color="auto"/>
        <w:left w:val="none" w:sz="0" w:space="0" w:color="auto"/>
        <w:bottom w:val="none" w:sz="0" w:space="0" w:color="auto"/>
        <w:right w:val="none" w:sz="0" w:space="0" w:color="auto"/>
      </w:divBdr>
    </w:div>
    <w:div w:id="2118403565">
      <w:marLeft w:val="0"/>
      <w:marRight w:val="0"/>
      <w:marTop w:val="0"/>
      <w:marBottom w:val="0"/>
      <w:divBdr>
        <w:top w:val="none" w:sz="0" w:space="0" w:color="auto"/>
        <w:left w:val="none" w:sz="0" w:space="0" w:color="auto"/>
        <w:bottom w:val="none" w:sz="0" w:space="0" w:color="auto"/>
        <w:right w:val="none" w:sz="0" w:space="0" w:color="auto"/>
      </w:divBdr>
    </w:div>
    <w:div w:id="213386557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eg-ex322_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eg-ex321_6.htm" TargetMode="External"/><Relationship Id="rId5" Type="http://schemas.openxmlformats.org/officeDocument/2006/relationships/hyperlink" Target="meg-ex312_9.htm" TargetMode="External"/><Relationship Id="rId4" Type="http://schemas.openxmlformats.org/officeDocument/2006/relationships/hyperlink" Target="meg-ex311_8.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29037</Words>
  <Characters>165517</Characters>
  <Application>Microsoft Office Word</Application>
  <DocSecurity>0</DocSecurity>
  <Lines>1379</Lines>
  <Paragraphs>388</Paragraphs>
  <ScaleCrop>false</ScaleCrop>
  <Company/>
  <LinksUpToDate>false</LinksUpToDate>
  <CharactersWithSpaces>194166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meg-10q_20200630.htm </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