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FB01" w14:textId="77777777" w:rsidR="00000000" w:rsidRDefault="00582324">
      <w:pPr>
        <w:divId w:val="1745252222"/>
        <w:rPr>
          <w:rFonts w:eastAsia="Times New Roman"/>
          <w:vanish/>
        </w:rPr>
      </w:pPr>
      <w:r>
        <w:rPr>
          <w:rFonts w:eastAsia="Times New Roman"/>
          <w:vanish/>
        </w:rPr>
        <w:t xml:space="preserve">false Q2 0001643615 --12-31 true true true true true true true P1Y us-gaap:PropertyPlantAndEquipmentNet 0.50 0.50 0.50 0.50 P5Y1M9D P2Y11M12D 3.75 3.25 2.50 1.75 3.75 3.25 2.50 1.75 3.75 3.00 2.25 3.75 3.00 2.25 P10Y P7Y9M25D P8Y10D P9Y1M2D </w:t>
      </w:r>
      <w:r>
        <w:rPr>
          <w:rFonts w:eastAsia="Times New Roman"/>
          <w:vanish/>
        </w:rPr>
        <w:t>P8Y8M26D P7Y7M24D P8Y8M26D P7Y P5Y6M P7Y P6Y4M24D P5Y10M28D P5Y4M24D P4Y10M17D P4Y10M17D P4Y10M17D 0001643615 2021-01-01 2021-06-30 xbrli:shares 0001643615 2021-08-06 iso4217:USD 0001643615 2021-06-30 0001643615 2020-12-31 0001643615 meg:ConversionOptionMe</w:t>
      </w:r>
      <w:r>
        <w:rPr>
          <w:rFonts w:eastAsia="Times New Roman"/>
          <w:vanish/>
        </w:rPr>
        <w:t>mber 2021-06-30 0001643615 meg:ConversionOptionMember 2020-12-31 0001643615 meg:ConvertibleAndRedeemableSeriesATwoPreferredStockMember 2021-06-30 0001643615 meg:ConvertibleAndRedeemableSeriesATwoPreferredStockMember 2020-12-31 iso4217:USD xbrli:shares 0001</w:t>
      </w:r>
      <w:r>
        <w:rPr>
          <w:rFonts w:eastAsia="Times New Roman"/>
          <w:vanish/>
        </w:rPr>
        <w:t>643615 2021-04-01 2021-06-30 0001643615 2020-04-01 2020-06-30 0001643615 2020-01-01 2020-06-30 0001643615 meg:RedeemableSeriesAOnePreferredStockMember 2019-12-31 0001643615 us-gaap:CommonStockMember 2019-12-31 0001643615 us-gaap:AdditionalPaidInCapitalMemb</w:t>
      </w:r>
      <w:r>
        <w:rPr>
          <w:rFonts w:eastAsia="Times New Roman"/>
          <w:vanish/>
        </w:rPr>
        <w:t>er 2019-12-31 0001643615 us-gaap:RetainedEarningsMember 2019-12-31 0001643615 us-gaap:AccumulatedOtherComprehensiveIncomeMember 2019-12-31 0001643615 2019-12-31 0001643615 us-gaap:RetainedEarningsMember 2020-01-01 2020-03-31 0001643615 2020-01-01 2020-03-3</w:t>
      </w:r>
      <w:r>
        <w:rPr>
          <w:rFonts w:eastAsia="Times New Roman"/>
          <w:vanish/>
        </w:rPr>
        <w:t>1 0001643615 meg:RedeemableSeriesAOnePreferredStockMember 2020-01-01 2020-03-31 0001643615 us-gaap:AdditionalPaidInCapitalMember 2020-01-01 2020-03-31 0001643615 us-gaap:AccumulatedOtherComprehensiveIncomeMember 2020-01-01 2020-03-31 0001643615 meg:Redeema</w:t>
      </w:r>
      <w:r>
        <w:rPr>
          <w:rFonts w:eastAsia="Times New Roman"/>
          <w:vanish/>
        </w:rPr>
        <w:t>bleSeriesAOnePreferredStockMember 2020-03-31 0001643615 us-gaap:CommonStockMember 2020-03-31 0001643615 us-gaap:AdditionalPaidInCapitalMember 2020-03-31 0001643615 us-gaap:RetainedEarningsMember 2020-03-31 0001643615 us-gaap:AccumulatedOtherComprehensiveIn</w:t>
      </w:r>
      <w:r>
        <w:rPr>
          <w:rFonts w:eastAsia="Times New Roman"/>
          <w:vanish/>
        </w:rPr>
        <w:t>comeMember 2020-03-31 0001643615 2020-03-31 0001643615 us-gaap:RetainedEarningsMember 2020-04-01 2020-06-30 0001643615 meg:RedeemableSeriesAOnePreferredStockMember 2020-04-01 2020-06-30 0001643615 us-gaap:AdditionalPaidInCapitalMember 2020-04-01 2020-06-30</w:t>
      </w:r>
      <w:r>
        <w:rPr>
          <w:rFonts w:eastAsia="Times New Roman"/>
          <w:vanish/>
        </w:rPr>
        <w:t xml:space="preserve"> 0001643615 meg:ConvertibleAndRedeemableSeriesATwoPreferredStockMember 2020-04-01 2020-06-30 0001643615 us-gaap:CommonStockMember 2020-04-01 2020-06-30 0001643615 us-gaap:AccumulatedOtherComprehensiveIncomeMember 2020-04-01 2020-06-30 0001643615 meg:Redeem</w:t>
      </w:r>
      <w:r>
        <w:rPr>
          <w:rFonts w:eastAsia="Times New Roman"/>
          <w:vanish/>
        </w:rPr>
        <w:t>ableSeriesAOnePreferredStockMember 2020-06-30 0001643615 meg:ConvertibleAndRedeemableSeriesATwoPreferredStockMember 2020-06-30 0001643615 us-gaap:CommonStockMember 2020-06-30 0001643615 us-gaap:AdditionalPaidInCapitalMember 2020-06-30 0001643615 us-gaap:Re</w:t>
      </w:r>
      <w:r>
        <w:rPr>
          <w:rFonts w:eastAsia="Times New Roman"/>
          <w:vanish/>
        </w:rPr>
        <w:t>tainedEarningsMember 2020-06-30 0001643615 us-gaap:AccumulatedOtherComprehensiveIncomeMember 2020-06-30 0001643615 2020-06-30 0001643615 us-gaap:CommonStockMember 2020-12-31 0001643615 us-gaap:AdditionalPaidInCapitalMember 2020-12-31 0001643615 us-gaap:Ret</w:t>
      </w:r>
      <w:r>
        <w:rPr>
          <w:rFonts w:eastAsia="Times New Roman"/>
          <w:vanish/>
        </w:rPr>
        <w:t>ainedEarningsMember 2020-12-31 0001643615 us-gaap:AccumulatedOtherComprehensiveIncomeMember 2020-12-31 0001643615 us-gaap:RetainedEarningsMember 2021-01-01 2021-03-31 0001643615 2021-01-01 2021-03-31 0001643615 us-gaap:AdditionalPaidInCapitalMember 2021-01</w:t>
      </w:r>
      <w:r>
        <w:rPr>
          <w:rFonts w:eastAsia="Times New Roman"/>
          <w:vanish/>
        </w:rPr>
        <w:t>-01 2021-03-31 0001643615 us-gaap:CommonStockMember 2021-01-01 2021-03-31 0001643615 us-gaap:AccumulatedOtherComprehensiveIncomeMember 2021-01-01 2021-03-31 0001643615 meg:ConvertibleAndRedeemableSeriesATwoPreferredStockMember 2021-03-31 0001643615 us-gaap</w:t>
      </w:r>
      <w:r>
        <w:rPr>
          <w:rFonts w:eastAsia="Times New Roman"/>
          <w:vanish/>
        </w:rPr>
        <w:t>:CommonStockMember 2021-03-31 0001643615 us-gaap:AdditionalPaidInCapitalMember 2021-03-31 0001643615 us-gaap:RetainedEarningsMember 2021-03-31 0001643615 us-gaap:AccumulatedOtherComprehensiveIncomeMember 2021-03-31 0001643615 2021-03-31 0001643615 us-gaap:</w:t>
      </w:r>
      <w:r>
        <w:rPr>
          <w:rFonts w:eastAsia="Times New Roman"/>
          <w:vanish/>
        </w:rPr>
        <w:t>RetainedEarningsMember 2021-04-01 2021-06-30 0001643615 us-gaap:AdditionalPaidInCapitalMember 2021-04-01 2021-06-30 0001643615 us-gaap:CommonStockMember 2021-04-01 2021-06-30 0001643615 us-gaap:AccumulatedOtherComprehensiveIncomeMember 2021-04-01 2021-06-3</w:t>
      </w:r>
      <w:r>
        <w:rPr>
          <w:rFonts w:eastAsia="Times New Roman"/>
          <w:vanish/>
        </w:rPr>
        <w:t>0 0001643615 us-gaap:CommonStockMember 2021-06-30 0001643615 us-gaap:AdditionalPaidInCapitalMember 2021-06-30 0001643615 us-gaap:RetainedEarningsMember 2021-06-30 0001643615 us-gaap:AccumulatedOtherComprehensiveIncomeMember 2021-06-30 0001643615 meg:MSEGro</w:t>
      </w:r>
      <w:r>
        <w:rPr>
          <w:rFonts w:eastAsia="Times New Roman"/>
          <w:vanish/>
        </w:rPr>
        <w:t>upAndVistaMember 2021-01-01 2021-06-30 0001643615 meg:MontroseTwoThousandSeventeenStockIncentivePlanMember 2021-01-01 2021-06-30 0001643615 meg:MontroseTwoThousandThirteenStockOptionPlanMember 2021-01-01 2021-06-30 0001643615 meg:EnvironmentalIntelligenceL</w:t>
      </w:r>
      <w:r>
        <w:rPr>
          <w:rFonts w:eastAsia="Times New Roman"/>
          <w:vanish/>
        </w:rPr>
        <w:t>LCAndSensibleloTMember 2021-01-01 2021-06-30 meg:Office meg:Employee meg:Segment 0001643615 us-gaap:IPOMember 2020-07-27 2020-07-27 0001643615 us-gaap:OverAllotmentOptionMember 2020-07-27 2020-07-27 0001643615 us-gaap:IPOMember 2020-07-27 0001643615 us-gaa</w:t>
      </w:r>
      <w:r>
        <w:rPr>
          <w:rFonts w:eastAsia="Times New Roman"/>
          <w:vanish/>
        </w:rPr>
        <w:t>p:AccountingStandardsUpdate201912Member 2021-06-30 0001643615 us-gaap:AccountingStandardsUpdate201807Member 2021-06-30 0001643615 us-gaap:AccountingStandardsUpdate201704Member 2021-06-30 0001643615 us-gaap:AccountingStandardsUpdate201602Member 2021-06-30 0</w:t>
      </w:r>
      <w:r>
        <w:rPr>
          <w:rFonts w:eastAsia="Times New Roman"/>
          <w:vanish/>
        </w:rPr>
        <w:t>001643615 2020-01-01 2020-12-31 0001643615 2021-07-01 2021-06-30 0001643615 2022-01-01 2021-06-30 0001643615 meg:RemediationAndReuseSegmentMember 2020-01-01 2020-06-30 xbrli:pure 0001643615 us-gaap:CustomerConcentrationRiskMember us-gaap:AccountsReceivable</w:t>
      </w:r>
      <w:r>
        <w:rPr>
          <w:rFonts w:eastAsia="Times New Roman"/>
          <w:vanish/>
        </w:rPr>
        <w:t>Member meg:CustomerOneMember 2021-01-01 2021-06-30 0001643615 us-gaap:CustomerConcentrationRiskMember us-gaap:AccountsReceivableMember meg:CustomerOneMember 2020-01-01 2020-12-31 meg:Customer 0001643615 us-gaap:CustomerConcentrationRiskMember us-gaap:Reven</w:t>
      </w:r>
      <w:r>
        <w:rPr>
          <w:rFonts w:eastAsia="Times New Roman"/>
          <w:vanish/>
        </w:rPr>
        <w:t>ueFromContractWithCustomerMember 2021-06-30 0001643615 us-gaap:CustomerConcentrationRiskMember us-gaap:RevenueFromContractWithCustomerMember 2020-06-30 0001643615 us-gaap:CustomerConcentrationRiskMember us-gaap:RevenueFromContractWithCustomerMember 2020-04</w:t>
      </w:r>
      <w:r>
        <w:rPr>
          <w:rFonts w:eastAsia="Times New Roman"/>
          <w:vanish/>
        </w:rPr>
        <w:t>-01 2020-06-30 0001643615 us-gaap:CustomerConcentrationRiskMember us-gaap:RevenueFromContractWithCustomerMember 2020-01-01 2020-06-30 0001643615 us-gaap:CustomerConcentrationRiskMember us-gaap:RevenueFromContractWithCustomerMember meg:CustomerOneMember 202</w:t>
      </w:r>
      <w:r>
        <w:rPr>
          <w:rFonts w:eastAsia="Times New Roman"/>
          <w:vanish/>
        </w:rPr>
        <w:t>1-04-01 2021-06-30 0001643615 us-gaap:CustomerConcentrationRiskMember us-gaap:RevenueFromContractWithCustomerMember meg:CustomerOneMember 2021-01-01 2021-06-30 0001643615 us-gaap:CustomerConcentrationRiskMember us-gaap:RevenueFromContractWithCustomerMember</w:t>
      </w:r>
      <w:r>
        <w:rPr>
          <w:rFonts w:eastAsia="Times New Roman"/>
          <w:vanish/>
        </w:rPr>
        <w:t xml:space="preserve"> meg:CustomerTwoMember 2021-04-01 2021-06-30 0001643615 us-gaap:CustomerConcentrationRiskMember us-gaap:RevenueFromContractWithCustomerMember meg:CustomerTwoMember 2021-01-01 2021-06-30 0001643615 us-gaap:CustomerConcentrationRiskMember us-gaap:RevenueFrom</w:t>
      </w:r>
      <w:r>
        <w:rPr>
          <w:rFonts w:eastAsia="Times New Roman"/>
          <w:vanish/>
        </w:rPr>
        <w:t>ContractWithCustomerMember meg:CustomerThreeMember 2021-04-01 2021-06-30 0001643615 us-gaap:CustomerConcentrationRiskMember us-gaap:RevenueFromContractWithCustomerMember meg:CustomerThreeMember 2021-01-01 2021-06-30 0001643615 meg:LabAndTestEquipmentMember</w:t>
      </w:r>
      <w:r>
        <w:rPr>
          <w:rFonts w:eastAsia="Times New Roman"/>
          <w:vanish/>
        </w:rPr>
        <w:t xml:space="preserve"> 2021-01-01 2021-06-30 0001643615 us-gaap:VehiclesMember 2021-01-01 2021-06-30 0001643615 us-gaap:EquipmentMember srt:MinimumMember 2021-01-01 2021-06-30 0001643615 us-gaap:EquipmentMember srt:MaximumMember 2021-01-01 2021-06-30 0001643615 us-gaap:Furnitur</w:t>
      </w:r>
      <w:r>
        <w:rPr>
          <w:rFonts w:eastAsia="Times New Roman"/>
          <w:vanish/>
        </w:rPr>
        <w:t>eAndFixturesMember 2021-01-01 2021-06-30 0001643615 us-gaap:LeaseholdImprovementsMember 2021-01-01 2021-06-30 0001643615 us-gaap:AirTransportationEquipmentMember 2021-01-01 2021-06-30 0001643615 us-gaap:BuildingMember 2021-01-01 2021-06-30 0001643615 meg:L</w:t>
      </w:r>
      <w:r>
        <w:rPr>
          <w:rFonts w:eastAsia="Times New Roman"/>
          <w:vanish/>
        </w:rPr>
        <w:t>abAndTestEquipmentMember 2021-06-30 0001643615 meg:LabAndTestEquipmentMember 2020-12-31 0001643615 us-gaap:VehiclesMember 2021-06-30 0001643615 us-gaap:VehiclesMember 2020-12-31 0001643615 us-gaap:EquipmentMember 2021-06-30 0001643615 us-gaap:EquipmentMemb</w:t>
      </w:r>
      <w:r>
        <w:rPr>
          <w:rFonts w:eastAsia="Times New Roman"/>
          <w:vanish/>
        </w:rPr>
        <w:t>er 2020-12-31 0001643615 us-gaap:FurnitureAndFixturesMember 2021-06-30 0001643615 us-gaap:FurnitureAndFixturesMember 2020-12-31 0001643615 us-gaap:LeaseholdImprovementsMember 2021-06-30 0001643615 us-gaap:LeaseholdImprovementsMember 2020-12-31 0001643615 u</w:t>
      </w:r>
      <w:r>
        <w:rPr>
          <w:rFonts w:eastAsia="Times New Roman"/>
          <w:vanish/>
        </w:rPr>
        <w:t xml:space="preserve">s-gaap:AirTransportationEquipmentMember 2021-06-30 0001643615 us-gaap:AirTransportationEquipmentMember 2020-12-31 0001643615 us-gaap:BuildingMember 2021-06-30 0001643615 us-gaap:BuildingMember 2020-12-31 0001643615 us-gaap:LandMember 2021-06-30 0001643615 </w:t>
      </w:r>
      <w:r>
        <w:rPr>
          <w:rFonts w:eastAsia="Times New Roman"/>
          <w:vanish/>
        </w:rPr>
        <w:t>us-gaap:LandMember 2020-12-31 0001643615 us-gaap:ConstructionInProgressMember 2021-06-30 0001643615 us-gaap:ConstructionInProgressMember 2020-12-31 0001643615 srt:MinimumMember 2021-01-01 2021-06-30 0001643615 srt:MaximumMember 2021-01-01 2021-06-30 000164</w:t>
      </w:r>
      <w:r>
        <w:rPr>
          <w:rFonts w:eastAsia="Times New Roman"/>
          <w:vanish/>
        </w:rPr>
        <w:t>3615 2021-01-31 0001643615 us-gaap:SellingGeneralAndAdministrativeExpensesMember 2021-04-01 2021-06-30 0001643615 us-gaap:SellingGeneralAndAdministrativeExpensesMember 2021-01-01 2021-06-30 0001643615 meg:DepreciationAndAmortizationMember 2021-04-01 2021-0</w:t>
      </w:r>
      <w:r>
        <w:rPr>
          <w:rFonts w:eastAsia="Times New Roman"/>
          <w:vanish/>
        </w:rPr>
        <w:t>6-30 0001643615 meg:DepreciationAndAmortizationMember 2021-01-01 2021-06-30 0001643615 meg:InterestExpenseNetMember 2021-04-01 2021-06-30 0001643615 meg:InterestExpenseNetMember 2021-01-01 2021-06-30 0001643615 meg:MSEGroupMember 2021-01-31 0001643615 meg:</w:t>
      </w:r>
      <w:r>
        <w:rPr>
          <w:rFonts w:eastAsia="Times New Roman"/>
          <w:vanish/>
        </w:rPr>
        <w:t>MSEGroupMember 2021-01-01 2021-06-30 0001643615 meg:VistaAnalyticalLaboratoryIncMember 2021-06-30 0001643615 meg:VistaAnalyticalLaboratoryIncMember 2021-01-01 2021-06-30 0001643615 meg:MSEGroupAndVistaMember meg:TwoThousandAndTwentyTwoEarnOutsMember 2021-0</w:t>
      </w:r>
      <w:r>
        <w:rPr>
          <w:rFonts w:eastAsia="Times New Roman"/>
          <w:vanish/>
        </w:rPr>
        <w:t>6-30 0001643615 meg:MSEGroupAndVistaMember meg:TwoThousandAndTwentyThreeEarnOutsMember 2021-06-30 0001643615 meg:MSEGroupMember 2021-06-30 0001643615 meg:MSEGroupMember us-gaap:CustomerRelationshipsMember 2021-06-30 0001643615 meg:VistaAnalyticalLaboratory</w:t>
      </w:r>
      <w:r>
        <w:rPr>
          <w:rFonts w:eastAsia="Times New Roman"/>
          <w:vanish/>
        </w:rPr>
        <w:t xml:space="preserve">IncMember us-gaap:CustomerRelationshipsMember 2021-06-30 0001643615 us-gaap:CustomerRelationshipsMember 2021-06-30 0001643615 meg:MSEGroupMember us-gaap:TradeNamesMember 2021-06-30 0001643615 meg:VistaAnalyticalLaboratoryIncMember us-gaap:TradeNamesMember </w:t>
      </w:r>
      <w:r>
        <w:rPr>
          <w:rFonts w:eastAsia="Times New Roman"/>
          <w:vanish/>
        </w:rPr>
        <w:t>2021-06-30 0001643615 us-gaap:TradeNamesMember 2021-06-30 0001643615 meg:MSEGroupMember us-gaap:NoncompeteAgreementsMember 2021-06-30 0001643615 meg:VistaAnalyticalLaboratoryIncMember us-gaap:NoncompeteAgreementsMember 2021-06-30 0001643615 us-gaap:Noncomp</w:t>
      </w:r>
      <w:r>
        <w:rPr>
          <w:rFonts w:eastAsia="Times New Roman"/>
          <w:vanish/>
        </w:rPr>
        <w:t>eteAgreementsMember 2021-06-30 0001643615 meg:MSEGroupAndVistaMember 2021-04-01 2021-06-30 0001643615 meg:MSEGroupMember us-gaap:CustomerRelationshipsMember 2021-01-01 2021-01-31 0001643615 meg:MSEGroupMember us-gaap:OrderOrProductionBacklogMember 2021-01-</w:t>
      </w:r>
      <w:r>
        <w:rPr>
          <w:rFonts w:eastAsia="Times New Roman"/>
          <w:vanish/>
        </w:rPr>
        <w:t>01 2021-01-31 0001643615 meg:MSEGroupMember us-gaap:TradeNamesMember 2021-01-01 2021-01-31 0001643615 meg:MSEGroupMember us-gaap:NoncompeteAgreementsMember 2021-01-01 2021-01-31 0001643615 meg:TheCenterForToxicologyAndEnvironmentalHealthLLCMember 2020-04-0</w:t>
      </w:r>
      <w:r>
        <w:rPr>
          <w:rFonts w:eastAsia="Times New Roman"/>
          <w:vanish/>
        </w:rPr>
        <w:t>1 2020-04-30 0001643615 meg:TheCenterForToxicologyAndEnvironmentalHealthLLCMember 2020-04-30 0001643615 meg:TheCenterForToxicologyAndEnvironmentalHealthLLCMember 2020-01-01 2020-12-31 0001643615 meg:OtherAcquisitionMember 2020-01-01 2020-12-31 0001643615 m</w:t>
      </w:r>
      <w:r>
        <w:rPr>
          <w:rFonts w:eastAsia="Times New Roman"/>
          <w:vanish/>
        </w:rPr>
        <w:t>eg:TheCenterForToxicologyAndEnvironmentalHealthLLCMember meg:TwoThousandAndTwentyEarnOutMember 2021-01-01 2021-06-30 0001643615 meg:TheCenterForToxicologyAndEnvironmentalHealthLLCMember meg:TwoThousandAndTwentyOneEarnOutMember 2021-01-01 2021-06-30 0001643</w:t>
      </w:r>
      <w:r>
        <w:rPr>
          <w:rFonts w:eastAsia="Times New Roman"/>
          <w:vanish/>
        </w:rPr>
        <w:t>615 meg:TheCenterForToxicologyAndEnvironmentalHealthLLCMember meg:TwoThousandAndTwentyEarnOutMember 2020-04-01 2020-04-30 0001643615 meg:TheCenterForToxicologyAndEnvironmentalHealthLLCMember meg:TwoThousandAndTwentyEarnOutMember 2020-04-30 0001643615 meg:T</w:t>
      </w:r>
      <w:r>
        <w:rPr>
          <w:rFonts w:eastAsia="Times New Roman"/>
          <w:vanish/>
        </w:rPr>
        <w:t>heCenterForToxicologyAndEnvironmentalHealthLLCMember meg:TwoThousandAndTwentyOneEarnOutMember 2020-04-30 0001643615 meg:TheCenterForToxicologyAndEnvironmentalHealthLLCMember meg:TwoThousandAndTwentyEarnOutMember srt:MinimumMember 2020-04-01 2020-04-30 0001</w:t>
      </w:r>
      <w:r>
        <w:rPr>
          <w:rFonts w:eastAsia="Times New Roman"/>
          <w:vanish/>
        </w:rPr>
        <w:t>643615 meg:TheCenterForToxicologyAndEnvironmentalHealthLLCMember meg:TwoThousandAndTwentyEarnOutMember srt:MaximumMember 2020-04-01 2020-04-30 0001643615 meg:TheCenterForToxicologyAndEnvironmentalHealthLLCMember meg:TwoThousandAndTwentyOneEarnOutMember 202</w:t>
      </w:r>
      <w:r>
        <w:rPr>
          <w:rFonts w:eastAsia="Times New Roman"/>
          <w:vanish/>
        </w:rPr>
        <w:t>0-04-01 2020-04-30 0001643615 meg:TheCenterForToxicologyAndEnvironmentalHealthLLCMember meg:TwoThousandAndTwentyEarnOutMember 2021-04-01 2021-04-30 0001643615 meg:TheCenterForToxicologyAndEnvironmentalHealthLLCMember 2020-12-31 0001643615 meg:OtherTwoThous</w:t>
      </w:r>
      <w:r>
        <w:rPr>
          <w:rFonts w:eastAsia="Times New Roman"/>
          <w:vanish/>
        </w:rPr>
        <w:t>andTwentyAcquisitionsMember 2020-12-31 0001643615 us-gaap:CustomerRelationshipsMember meg:TheCenterForToxicologyAndEnvironmentalHealthLLCMember 2020-12-31 0001643615 us-gaap:CustomerRelationshipsMember 2020-12-31 0001643615 us-gaap:TradeNamesMember meg:The</w:t>
      </w:r>
      <w:r>
        <w:rPr>
          <w:rFonts w:eastAsia="Times New Roman"/>
          <w:vanish/>
        </w:rPr>
        <w:t>CenterForToxicologyAndEnvironmentalHealthLLCMember 2020-12-31 0001643615 us-gaap:TradeNamesMember 2020-12-31 0001643615 us-gaap:NoncompeteAgreementsMember meg:TheCenterForToxicologyAndEnvironmentalHealthLLCMember 2020-12-31 0001643615 us-gaap:NoncompeteAgr</w:t>
      </w:r>
      <w:r>
        <w:rPr>
          <w:rFonts w:eastAsia="Times New Roman"/>
          <w:vanish/>
        </w:rPr>
        <w:t>eementsMember meg:OtherTwoThousandTwentyAcquisitionsMember 2020-12-31 0001643615 us-gaap:NoncompeteAgreementsMember 2020-12-31 0001643615 us-gaap:ComputerSoftwareIntangibleAssetMember meg:TheCenterForToxicologyAndEnvironmentalHealthLLCMember 2020-12-31 000</w:t>
      </w:r>
      <w:r>
        <w:rPr>
          <w:rFonts w:eastAsia="Times New Roman"/>
          <w:vanish/>
        </w:rPr>
        <w:t>1643615 us-gaap:ComputerSoftwareIntangibleAssetMember 2020-12-31 0001643615 meg:TheCenterForToxicologyAndEnvironmentalHealthLLCMember us-gaap:CustomerRelationshipsMember 2020-04-01 2020-04-30 0001643615 meg:TheCenterForToxicologyAndEnvironmentalHealthLLCMe</w:t>
      </w:r>
      <w:r>
        <w:rPr>
          <w:rFonts w:eastAsia="Times New Roman"/>
          <w:vanish/>
        </w:rPr>
        <w:t>mber us-gaap:TradeNamesMember 2020-04-01 2020-04-30 0001643615 meg:TheCenterForToxicologyAndEnvironmentalHealthLLCMember us-gaap:NoncompeteAgreementsMember 2020-04-01 2020-04-30 0001643615 meg:TheCenterForToxicologyAndEnvironmentalHealthLLCMember us-gaap:C</w:t>
      </w:r>
      <w:r>
        <w:rPr>
          <w:rFonts w:eastAsia="Times New Roman"/>
          <w:vanish/>
        </w:rPr>
        <w:t>omputerSoftwareIntangibleAssetMember 2020-04-01 2020-04-30 0001643615 meg:TheCenterForToxicologyAndEnvironmentalHealthLLCMember us-gaap:SoftwareDevelopmentMember 2020-04-01 2020-04-30 0001643615 meg:OtherAcquisitionMember us-gaap:NoncompeteAgreementsMember</w:t>
      </w:r>
      <w:r>
        <w:rPr>
          <w:rFonts w:eastAsia="Times New Roman"/>
          <w:vanish/>
        </w:rPr>
        <w:t xml:space="preserve"> 2020-04-01 2020-04-30 0001643615 meg:AcquisitionProformaMember 2021-04-01 2021-06-30 0001643615 meg:ConsolidatedProformaMember 2021-04-01 2021-06-30 0001643615 meg:AcquisitionProformaMember 2020-04-01 2020-06-30 0001643615 meg:ConsolidatedProformaMember 2</w:t>
      </w:r>
      <w:r>
        <w:rPr>
          <w:rFonts w:eastAsia="Times New Roman"/>
          <w:vanish/>
        </w:rPr>
        <w:t>020-04-01 2020-06-30 0001643615 meg:AcquisitionProformaMember 2021-01-01 2021-06-30 0001643615 meg:ConsolidatedProformaMember 2021-01-01 2021-06-30 0001643615 meg:AcquisitionProformaMember 2020-01-01 2020-06-30 0001643615 meg:ConsolidatedProformaMember 202</w:t>
      </w:r>
      <w:r>
        <w:rPr>
          <w:rFonts w:eastAsia="Times New Roman"/>
          <w:vanish/>
        </w:rPr>
        <w:t>0-01-01 2020-06-30 0001643615 meg:AssessmentPermittingAndResponseMember 2020-12-31 0001643615 meg:MeasurementAndAnalysisMember 2020-12-31 0001643615 meg:RemediationAndReuseSegmentMember 2020-12-31 0001643615 meg:MeasurementAndAnalysisMember 2021-01-01 2021</w:t>
      </w:r>
      <w:r>
        <w:rPr>
          <w:rFonts w:eastAsia="Times New Roman"/>
          <w:vanish/>
        </w:rPr>
        <w:t>-06-30 0001643615 meg:RemediationAndReuseSegmentMember 2021-01-01 2021-06-30 0001643615 meg:AssessmentPermittingAndResponseMember 2021-06-30 0001643615 meg:MeasurementAndAnalysisMember 2021-06-30 0001643615 meg:RemediationAndReuseSegmentMember 2021-06-30 0</w:t>
      </w:r>
      <w:r>
        <w:rPr>
          <w:rFonts w:eastAsia="Times New Roman"/>
          <w:vanish/>
        </w:rPr>
        <w:t>001643615 us-gaap:CustomerRelationshipsMember srt:MinimumMember 2021-01-01 2021-06-30 0001643615 us-gaap:CustomerRelationshipsMember srt:MaximumMember 2021-01-01 2021-06-30 0001643615 us-gaap:NoncompeteAgreementsMember srt:MinimumMember 2021-01-01 2021-06-</w:t>
      </w:r>
      <w:r>
        <w:rPr>
          <w:rFonts w:eastAsia="Times New Roman"/>
          <w:vanish/>
        </w:rPr>
        <w:t>30 0001643615 us-gaap:NoncompeteAgreementsMember srt:MaximumMember 2021-01-01 2021-06-30 0001643615 us-gaap:TradeNamesMember srt:MinimumMember 2021-01-01 2021-06-30 0001643615 us-gaap:TradeNamesMember srt:MaximumMember 2021-01-01 2021-06-30 0001643615 us-g</w:t>
      </w:r>
      <w:r>
        <w:rPr>
          <w:rFonts w:eastAsia="Times New Roman"/>
          <w:vanish/>
        </w:rPr>
        <w:t>aap:ComputerSoftwareIntangibleAssetMember srt:MinimumMember 2021-01-01 2021-06-30 0001643615 us-gaap:ComputerSoftwareIntangibleAssetMember srt:MaximumMember 2021-01-01 2021-06-30 0001643615 us-gaap:ComputerSoftwareIntangibleAssetMember 2021-06-30 000164361</w:t>
      </w:r>
      <w:r>
        <w:rPr>
          <w:rFonts w:eastAsia="Times New Roman"/>
          <w:vanish/>
        </w:rPr>
        <w:t>5 us-gaap:PatentsMember 2021-06-30 0001643615 us-gaap:PatentsMember 2021-01-01 2021-06-30 0001643615 us-gaap:CustomerRelationshipsMember srt:MinimumMember 2020-01-01 2020-12-31 0001643615 us-gaap:CustomerRelationshipsMember srt:MaximumMember 2020-01-01 202</w:t>
      </w:r>
      <w:r>
        <w:rPr>
          <w:rFonts w:eastAsia="Times New Roman"/>
          <w:vanish/>
        </w:rPr>
        <w:t xml:space="preserve">0-12-31 0001643615 us-gaap:NoncompeteAgreementsMember srt:MinimumMember 2020-01-01 2020-12-31 0001643615 us-gaap:NoncompeteAgreementsMember srt:MaximumMember 2020-01-01 2020-12-31 0001643615 us-gaap:TradeNamesMember srt:MinimumMember 2020-01-01 2020-12-31 </w:t>
      </w:r>
      <w:r>
        <w:rPr>
          <w:rFonts w:eastAsia="Times New Roman"/>
          <w:vanish/>
        </w:rPr>
        <w:t>0001643615 us-gaap:TradeNamesMember srt:MaximumMember 2020-01-01 2020-12-31 0001643615 us-gaap:ComputerSoftwareIntangibleAssetMember srt:MinimumMember 2020-01-01 2020-12-31 0001643615 us-gaap:ComputerSoftwareIntangibleAssetMember srt:MaximumMember 2020-01-</w:t>
      </w:r>
      <w:r>
        <w:rPr>
          <w:rFonts w:eastAsia="Times New Roman"/>
          <w:vanish/>
        </w:rPr>
        <w:t xml:space="preserve">01 2020-12-31 0001643615 us-gaap:PatentsMember 2020-12-31 0001643615 us-gaap:PatentsMember 2020-01-01 2020-12-31 0001643615 meg:RedeemableSeriesAOnePreferredStockMember 2018-10-19 0001643615 meg:RedeemableSeriesA2PreferredStockMember 2020-04-30 0001643615 </w:t>
      </w:r>
      <w:r>
        <w:rPr>
          <w:rFonts w:eastAsia="Times New Roman"/>
          <w:vanish/>
        </w:rPr>
        <w:t>meg:ConvertibleAndRedeemableSeriesATwoPreferredStockMember 2020-07-27 0001643615 meg:ConvertibleAndRedeemableSeriesATwoPreferredStockMember 2020-07-27 2020-07-27 0001643615 meg:RedeemableSeriesAOnePreferredStockMember 2021-01-01 2021-06-30 0001643615 meg:R</w:t>
      </w:r>
      <w:r>
        <w:rPr>
          <w:rFonts w:eastAsia="Times New Roman"/>
          <w:vanish/>
        </w:rPr>
        <w:t>edeemableSeriesAOnePreferredStockMember us-gaap:CommonStockMember 2020-07-30 0001643615 meg:RedeemableSeriesAOnePreferredStockMember us-gaap:CommonStockMember 2020-07-30 2020-07-30 0001643615 meg:TermLoanFacilityMember 2021-06-30 0001643615 meg:TermLoanFac</w:t>
      </w:r>
      <w:r>
        <w:rPr>
          <w:rFonts w:eastAsia="Times New Roman"/>
          <w:vanish/>
        </w:rPr>
        <w:t>ilityMember 2020-12-31 0001643615 us-gaap:RevolvingCreditFacilityMember 2021-06-30 0001643615 meg:EquipmentLineOfCreditMember 2020-12-31 0001643615 meg:TwentyTwentyOneCreditFacilityMember 2021-04-27 0001643615 meg:TermLoanFacilityMember meg:TwentyTwentyOne</w:t>
      </w:r>
      <w:r>
        <w:rPr>
          <w:rFonts w:eastAsia="Times New Roman"/>
          <w:vanish/>
        </w:rPr>
        <w:t>CreditFacilityMember 2021-04-27 0001643615 us-gaap:RevolvingCreditFacilityMember meg:TwentyTwentyOneCreditFacilityMember 2021-04-27 0001643615 us-gaap:RevolvingCreditFacilityMember us-gaap:LetterOfCreditMember meg:TwentyTwentyOneCreditFacilityMember 2021-0</w:t>
      </w:r>
      <w:r>
        <w:rPr>
          <w:rFonts w:eastAsia="Times New Roman"/>
          <w:vanish/>
        </w:rPr>
        <w:t xml:space="preserve">4-27 0001643615 meg:TwentyTwentyOneCreditFacilityMember 2021-04-27 2021-04-27 0001643615 meg:IncrementalTermLoansMember 2021-04-27 0001643615 meg:TwentyTwentyOneCreditFacilityMember meg:PricingTier2Member srt:MaximumMember 2021-04-27 2021-04-27 0001643615 </w:t>
      </w:r>
      <w:r>
        <w:rPr>
          <w:rFonts w:eastAsia="Times New Roman"/>
          <w:vanish/>
        </w:rPr>
        <w:t>meg:TwentyTwentyOneCreditFacilityMember meg:PricingTier3Member srt:MaximumMember 2021-04-27 2021-04-27 0001643615 meg:TwentyTwentyOneCreditFacilityMember meg:PricingTier4Member srt:MaximumMember 2021-04-27 2021-04-27 0001643615 meg:TwentyTwentyOneCreditFac</w:t>
      </w:r>
      <w:r>
        <w:rPr>
          <w:rFonts w:eastAsia="Times New Roman"/>
          <w:vanish/>
        </w:rPr>
        <w:t>ilityMember meg:PricingTier5Member srt:MaximumMember 2021-04-27 2021-04-27 0001643615 meg:TwentyTwentyOneCreditFacilityMember meg:PricingTier1Member srt:MinimumMember 2021-04-27 2021-04-27 0001643615 meg:TwentyTwentyOneCreditFacilityMember meg:PricingTier2</w:t>
      </w:r>
      <w:r>
        <w:rPr>
          <w:rFonts w:eastAsia="Times New Roman"/>
          <w:vanish/>
        </w:rPr>
        <w:t>Member srt:MinimumMember 2021-04-27 2021-04-27 0001643615 meg:TwentyTwentyOneCreditFacilityMember meg:PricingTier3Member srt:MinimumMember 2021-04-27 2021-04-27 0001643615 meg:TwentyTwentyOneCreditFacilityMember meg:PricingTier4Member srt:MinimumMember 202</w:t>
      </w:r>
      <w:r>
        <w:rPr>
          <w:rFonts w:eastAsia="Times New Roman"/>
          <w:vanish/>
        </w:rPr>
        <w:t>1-04-27 2021-04-27 0001643615 meg:TwentyTwentyOneCreditFacilityMember meg:PricingTier1Member us-gaap:LondonInterbankOfferedRateLIBORMember 2021-04-27 2021-04-27 0001643615 meg:TwentyTwentyOneCreditFacilityMember meg:PricingTier2Member us-gaap:LondonInterba</w:t>
      </w:r>
      <w:r>
        <w:rPr>
          <w:rFonts w:eastAsia="Times New Roman"/>
          <w:vanish/>
        </w:rPr>
        <w:t>nkOfferedRateLIBORMember 2021-04-27 2021-04-27 0001643615 meg:TwentyTwentyOneCreditFacilityMember meg:PricingTier3Member us-gaap:LondonInterbankOfferedRateLIBORMember 2021-04-27 2021-04-27 0001643615 meg:TwentyTwentyOneCreditFacilityMember meg:PricingTier4</w:t>
      </w:r>
      <w:r>
        <w:rPr>
          <w:rFonts w:eastAsia="Times New Roman"/>
          <w:vanish/>
        </w:rPr>
        <w:t>Member us-gaap:LondonInterbankOfferedRateLIBORMember 2021-04-27 2021-04-27 0001643615 meg:TwentyTwentyOneCreditFacilityMember meg:PricingTier5Member us-gaap:LondonInterbankOfferedRateLIBORMember 2021-04-27 2021-04-27 0001643615 meg:TwentyTwentyOneCreditFac</w:t>
      </w:r>
      <w:r>
        <w:rPr>
          <w:rFonts w:eastAsia="Times New Roman"/>
          <w:vanish/>
        </w:rPr>
        <w:t>ilityMember meg:PricingTier1Member us-gaap:BaseRateMember 2021-04-27 2021-04-27 0001643615 meg:TwentyTwentyOneCreditFacilityMember meg:PricingTier2Member us-gaap:BaseRateMember 2021-04-27 2021-04-27 0001643615 meg:TwentyTwentyOneCreditFacilityMember meg:Pr</w:t>
      </w:r>
      <w:r>
        <w:rPr>
          <w:rFonts w:eastAsia="Times New Roman"/>
          <w:vanish/>
        </w:rPr>
        <w:t>icingTier3Member us-gaap:BaseRateMember 2021-04-27 2021-04-27 0001643615 meg:TwentyTwentyOneCreditFacilityMember meg:PricingTier4Member us-gaap:BaseRateMember 2021-04-27 2021-04-27 0001643615 meg:TwentyTwentyOneCreditFacilityMember meg:PricingTier5Member u</w:t>
      </w:r>
      <w:r>
        <w:rPr>
          <w:rFonts w:eastAsia="Times New Roman"/>
          <w:vanish/>
        </w:rPr>
        <w:t>s-gaap:BaseRateMember 2021-04-27 2021-04-27 0001643615 meg:TwentyTwentyOneCreditFacilityMember meg:PricingTier1Member 2021-04-27 2021-04-27 0001643615 meg:TwentyTwentyOneCreditFacilityMember meg:PricingTier2Member 2021-04-27 2021-04-27 0001643615 meg:Twent</w:t>
      </w:r>
      <w:r>
        <w:rPr>
          <w:rFonts w:eastAsia="Times New Roman"/>
          <w:vanish/>
        </w:rPr>
        <w:t>yTwentyOneCreditFacilityMember meg:PricingTier3Member 2021-04-27 2021-04-27 0001643615 meg:TwentyTwentyOneCreditFacilityMember meg:PricingTier4Member 2021-04-27 2021-04-27 0001643615 meg:TwentyTwentyOneCreditFacilityMember meg:PricingTier5Member 2021-04-27</w:t>
      </w:r>
      <w:r>
        <w:rPr>
          <w:rFonts w:eastAsia="Times New Roman"/>
          <w:vanish/>
        </w:rPr>
        <w:t xml:space="preserve"> 2021-04-27 0001643615 meg:TwentyTwentyOneCreditFacilityMember 2021-01-01 2021-06-30 0001643615 meg:TwentyTwentyOneCreditFacilityMember 2021-06-30 0001643615 meg:TwentyTwentyCreditFacilityMember 2020-04-13 0001643615 meg:TermLoanFacilityMember meg:TwentyTw</w:t>
      </w:r>
      <w:r>
        <w:rPr>
          <w:rFonts w:eastAsia="Times New Roman"/>
          <w:vanish/>
        </w:rPr>
        <w:t>entyCreditFacilityMember 2020-04-13 0001643615 us-gaap:RevolvingCreditFacilityMember meg:TwentyTwentyCreditFacilityMember 2020-04-13 0001643615 meg:TwentyTwentyCreditFacilityMember 2020-04-13 2020-04-13 0001643615 meg:TermLoanFacilityMember us-gaap:LondonI</w:t>
      </w:r>
      <w:r>
        <w:rPr>
          <w:rFonts w:eastAsia="Times New Roman"/>
          <w:vanish/>
        </w:rPr>
        <w:t>nterbankOfferedRateLIBORMember meg:TwentyTwentyCreditFacilityMember 2020-04-13 2020-10-06 0001643615 meg:TermLoanFacilityMember us-gaap:LondonInterbankOfferedRateLIBORMember meg:TwentyTwentyCreditFacilityMember 2020-10-06 2020-10-06 0001643615 meg:TermLoan</w:t>
      </w:r>
      <w:r>
        <w:rPr>
          <w:rFonts w:eastAsia="Times New Roman"/>
          <w:vanish/>
        </w:rPr>
        <w:t>FacilityMember meg:LondonInterbankOfferedRateLIBORFloorMember meg:TwentyTwentyCreditFacilityMember 2020-04-13 2020-10-06 0001643615 meg:TermLoanFacilityMember meg:LondonInterbankOfferedRateLIBORFloorMember meg:TwentyTwentyCreditFacilityMember 2020-10-06 20</w:t>
      </w:r>
      <w:r>
        <w:rPr>
          <w:rFonts w:eastAsia="Times New Roman"/>
          <w:vanish/>
        </w:rPr>
        <w:t>20-10-06 0001643615 meg:TermLoanFacilityMember us-gaap:BaseRateMember meg:TwentyTwentyCreditFacilityMember 2020-04-13 2020-10-06 0001643615 us-gaap:RevolvingCreditFacilityMember us-gaap:LondonInterbankOfferedRateLIBORMember meg:TwentyTwentyCreditFacilityMe</w:t>
      </w:r>
      <w:r>
        <w:rPr>
          <w:rFonts w:eastAsia="Times New Roman"/>
          <w:vanish/>
        </w:rPr>
        <w:t>mber 2020-04-13 2020-10-06 0001643615 us-gaap:RevolvingCreditFacilityMember us-gaap:BaseRateMember meg:TwentyTwentyCreditFacilityMember 2020-04-13 2020-10-06 0001643615 us-gaap:RevolvingCreditFacilityMember meg:TwentyTwentyCreditFacilityMember 2020-04-13 2</w:t>
      </w:r>
      <w:r>
        <w:rPr>
          <w:rFonts w:eastAsia="Times New Roman"/>
          <w:vanish/>
        </w:rPr>
        <w:t>020-04-13 0001643615 meg:TwentyTwentyCreditFacilityMember 2021-01-01 2021-06-30 0001643615 meg:TwentyTwentyCreditFacilityMember 2020-09-29 2020-09-30 0001643615 srt:ScenarioForecastMember meg:TwentyTwentyCreditFacilityMember 2021-09-30 2021-09-30 000164361</w:t>
      </w:r>
      <w:r>
        <w:rPr>
          <w:rFonts w:eastAsia="Times New Roman"/>
          <w:vanish/>
        </w:rPr>
        <w:t>5 srt:ScenarioForecastMember meg:TwentyTwentyCreditFacilityMember 2022-09-30 2022-09-30 0001643615 meg:TwentyTwentyCreditFacilityMember 2021-06-30 0001643615 srt:ScenarioForecastMember meg:TwentyTwentyCreditFacilityMember 2021-12-31 0001643615 srt:Scenario</w:t>
      </w:r>
      <w:r>
        <w:rPr>
          <w:rFonts w:eastAsia="Times New Roman"/>
          <w:vanish/>
        </w:rPr>
        <w:t>ForecastMember meg:TwentyTwentyCreditFacilityMember 2022-12-31 0001643615 meg:TwentyTwentyCreditFacilityMember 2020-01-01 2020-12-31 0001643615 meg:TermLoanFacilityMember meg:PriorSeniorSecuredCreditFacilityMember 2021-06-30 0001643615 us-gaap:RevolvingCre</w:t>
      </w:r>
      <w:r>
        <w:rPr>
          <w:rFonts w:eastAsia="Times New Roman"/>
          <w:vanish/>
        </w:rPr>
        <w:t>ditFacilityMember meg:PriorSeniorSecuredCreditFacilityMember 2021-06-30 0001643615 meg:PriorSeniorSecuredCreditFacilityMember us-gaap:FederalFundsEffectiveSwapRateMember 2021-01-01 2021-06-30 0001643615 meg:PriorSeniorSecuredCreditFacilityMember us-gaap:Lo</w:t>
      </w:r>
      <w:r>
        <w:rPr>
          <w:rFonts w:eastAsia="Times New Roman"/>
          <w:vanish/>
        </w:rPr>
        <w:t>ndonInterbankOfferedRateLIBORMember 2021-01-01 2021-06-30 0001643615 meg:PriorSeniorSecuredCreditFacilityMember meg:PricingTier2Member srt:MaximumMember 2021-01-01 2021-06-30 0001643615 meg:PriorSeniorSecuredCreditFacilityMember meg:PricingTier3Member srt:</w:t>
      </w:r>
      <w:r>
        <w:rPr>
          <w:rFonts w:eastAsia="Times New Roman"/>
          <w:vanish/>
        </w:rPr>
        <w:t>MaximumMember 2021-01-01 2021-06-30 0001643615 meg:PriorSeniorSecuredCreditFacilityMember meg:PricingTier4Member srt:MaximumMember 2021-01-01 2021-06-30 0001643615 meg:PriorSeniorSecuredCreditFacilityMember meg:PricingTier1Member srt:MinimumMember 2021-01-</w:t>
      </w:r>
      <w:r>
        <w:rPr>
          <w:rFonts w:eastAsia="Times New Roman"/>
          <w:vanish/>
        </w:rPr>
        <w:t>01 2021-06-30 0001643615 meg:PriorSeniorSecuredCreditFacilityMember meg:PricingTier2Member srt:MinimumMember 2021-01-01 2021-06-30 0001643615 meg:PriorSeniorSecuredCreditFacilityMember meg:PricingTier3Member srt:MinimumMember 2021-01-01 2021-06-30 00016436</w:t>
      </w:r>
      <w:r>
        <w:rPr>
          <w:rFonts w:eastAsia="Times New Roman"/>
          <w:vanish/>
        </w:rPr>
        <w:t>15 meg:PriorSeniorSecuredCreditFacilityMember meg:PricingTier1Member 2021-01-01 2021-06-30 0001643615 meg:PriorSeniorSecuredCreditFacilityMember meg:PricingTier2Member 2021-01-01 2021-06-30 0001643615 meg:PriorSeniorSecuredCreditFacilityMember meg:PricingT</w:t>
      </w:r>
      <w:r>
        <w:rPr>
          <w:rFonts w:eastAsia="Times New Roman"/>
          <w:vanish/>
        </w:rPr>
        <w:t>ier3Member 2021-01-01 2021-06-30 0001643615 meg:PriorSeniorSecuredCreditFacilityMember meg:PricingTier4Member 2021-01-01 2021-06-30 0001643615 meg:PriorSeniorSecuredCreditFacilityMember meg:EurodollarRateLoansAndLIBORLetterOfCreditFeeMember meg:PricingTier</w:t>
      </w:r>
      <w:r>
        <w:rPr>
          <w:rFonts w:eastAsia="Times New Roman"/>
          <w:vanish/>
        </w:rPr>
        <w:t>1Member 2021-01-01 2021-06-30 0001643615 meg:PriorSeniorSecuredCreditFacilityMember meg:EurodollarRateLoansAndLIBORLetterOfCreditFeeMember meg:PricingTier2Member 2021-01-01 2021-06-30 0001643615 meg:PriorSeniorSecuredCreditFacilityMember meg:EurodollarRate</w:t>
      </w:r>
      <w:r>
        <w:rPr>
          <w:rFonts w:eastAsia="Times New Roman"/>
          <w:vanish/>
        </w:rPr>
        <w:t>LoansAndLIBORLetterOfCreditFeeMember meg:PricingTier3Member 2021-01-01 2021-06-30 0001643615 meg:PriorSeniorSecuredCreditFacilityMember meg:EurodollarRateLoansAndLIBORLetterOfCreditFeeMember meg:PricingTier4Member 2021-01-01 2021-06-30 0001643615 meg:Prior</w:t>
      </w:r>
      <w:r>
        <w:rPr>
          <w:rFonts w:eastAsia="Times New Roman"/>
          <w:vanish/>
        </w:rPr>
        <w:t>SeniorSecuredCreditFacilityMember meg:DailyFloatingRateLoansMember meg:PricingTier1Member 2021-01-01 2021-06-30 0001643615 meg:PriorSeniorSecuredCreditFacilityMember meg:DailyFloatingRateLoansMember meg:PricingTier2Member 2021-01-01 2021-06-30 0001643615 m</w:t>
      </w:r>
      <w:r>
        <w:rPr>
          <w:rFonts w:eastAsia="Times New Roman"/>
          <w:vanish/>
        </w:rPr>
        <w:t>eg:PriorSeniorSecuredCreditFacilityMember meg:DailyFloatingRateLoansMember meg:PricingTier3Member 2021-01-01 2021-06-30 0001643615 meg:PriorSeniorSecuredCreditFacilityMember meg:DailyFloatingRateLoansMember meg:PricingTier4Member 2021-01-01 2021-06-30 0001</w:t>
      </w:r>
      <w:r>
        <w:rPr>
          <w:rFonts w:eastAsia="Times New Roman"/>
          <w:vanish/>
        </w:rPr>
        <w:t>643615 meg:PriorSeniorSecuredCreditFacilityMember meg:RateLoansMember meg:PricingTier1Member 2021-01-01 2021-06-30 0001643615 meg:PriorSeniorSecuredCreditFacilityMember meg:RateLoansMember meg:PricingTier2Member 2021-01-01 2021-06-30 0001643615 meg:PriorSe</w:t>
      </w:r>
      <w:r>
        <w:rPr>
          <w:rFonts w:eastAsia="Times New Roman"/>
          <w:vanish/>
        </w:rPr>
        <w:t>niorSecuredCreditFacilityMember meg:RateLoansMember meg:PricingTier3Member 2021-01-01 2021-06-30 0001643615 meg:PriorSeniorSecuredCreditFacilityMember meg:RateLoansMember meg:PricingTier4Member 2021-01-01 2021-06-30 0001643615 meg:EquipmentLineOfCreditMemb</w:t>
      </w:r>
      <w:r>
        <w:rPr>
          <w:rFonts w:eastAsia="Times New Roman"/>
          <w:vanish/>
        </w:rPr>
        <w:t>er 2019-03-12 0001643615 meg:CanadianEquipmentLineOfCreditFacilityMember 2019-05-16 0001643615 us-gaap:FairValueMeasurementsRecurringMember us-gaap:FairValueInputsLevel3Member meg:BusinessAcquisitionsContingentConsiderationCurrentMember 2021-06-30 00016436</w:t>
      </w:r>
      <w:r>
        <w:rPr>
          <w:rFonts w:eastAsia="Times New Roman"/>
          <w:vanish/>
        </w:rPr>
        <w:t>15 us-gaap:FairValueMeasurementsRecurringMember us-gaap:FairValueInputsLevel3Member meg:BusinessAcquisitionsContingentConsiderationCurrentMember 2020-12-31 0001643615 us-gaap:FairValueMeasurementsRecurringMember us-gaap:FairValueInputsLevel3Member meg:Busi</w:t>
      </w:r>
      <w:r>
        <w:rPr>
          <w:rFonts w:eastAsia="Times New Roman"/>
          <w:vanish/>
        </w:rPr>
        <w:t>nessAcquisitionsContingentConsiderationLongTermMember 2021-06-30 0001643615 us-gaap:FairValueMeasurementsRecurringMember us-gaap:FairValueInputsLevel3Member meg:BusinessAcquisitionsContingentConsiderationLongTermMember 2020-12-31 0001643615 us-gaap:FairVal</w:t>
      </w:r>
      <w:r>
        <w:rPr>
          <w:rFonts w:eastAsia="Times New Roman"/>
          <w:vanish/>
        </w:rPr>
        <w:t>ueMeasurementsRecurringMember us-gaap:FairValueInputsLevel3Member meg:ConversionOptionMember 2021-06-30 0001643615 us-gaap:FairValueMeasurementsRecurringMember us-gaap:FairValueInputsLevel3Member meg:ConversionOptionMember 2020-12-31 0001643615 us-gaap:Fai</w:t>
      </w:r>
      <w:r>
        <w:rPr>
          <w:rFonts w:eastAsia="Times New Roman"/>
          <w:vanish/>
        </w:rPr>
        <w:t>rValueMeasurementsRecurringMember us-gaap:FairValueInputsLevel3Member 2021-06-30 0001643615 us-gaap:FairValueMeasurementsRecurringMember us-gaap:FairValueInputsLevel3Member 2020-12-31 0001643615 us-gaap:FairValueMeasurementsRecurringMember us-gaap:FairValu</w:t>
      </w:r>
      <w:r>
        <w:rPr>
          <w:rFonts w:eastAsia="Times New Roman"/>
          <w:vanish/>
        </w:rPr>
        <w:t>eInputsLevel3Member meg:BusinessAcquisitionsContingentConsiderationCurrentMember 2019-12-31 0001643615 us-gaap:FairValueMeasurementsRecurringMember us-gaap:FairValueInputsLevel3Member meg:BusinessAcquisitionsContingentConsiderationLongTermMember 2019-12-31</w:t>
      </w:r>
      <w:r>
        <w:rPr>
          <w:rFonts w:eastAsia="Times New Roman"/>
          <w:vanish/>
        </w:rPr>
        <w:t xml:space="preserve"> 0001643615 us-gaap:FairValueMeasurementsRecurringMember us-gaap:FairValueInputsLevel3Member us-gaap:PutOptionMember 2019-12-31 0001643615 us-gaap:FairValueMeasurementsRecurringMember us-gaap:FairValueInputsLevel3Member meg:WarrantOptionMember 2019-12-31 0</w:t>
      </w:r>
      <w:r>
        <w:rPr>
          <w:rFonts w:eastAsia="Times New Roman"/>
          <w:vanish/>
        </w:rPr>
        <w:t>001643615 us-gaap:FairValueMeasurementsRecurringMember us-gaap:FairValueInputsLevel3Member 2019-12-31 0001643615 us-gaap:FairValueMeasurementsRecurringMember us-gaap:FairValueInputsLevel3Member meg:CompoundEmbeddedOptionsMember 2020-01-01 2020-06-30 000164</w:t>
      </w:r>
      <w:r>
        <w:rPr>
          <w:rFonts w:eastAsia="Times New Roman"/>
          <w:vanish/>
        </w:rPr>
        <w:t>3615 us-gaap:FairValueMeasurementsRecurringMember us-gaap:FairValueInputsLevel3Member 2020-01-01 2020-06-30 0001643615 us-gaap:FairValueMeasurementsRecurringMember us-gaap:FairValueInputsLevel3Member meg:WarrantOptionMember 2020-01-01 2020-06-30 0001643615</w:t>
      </w:r>
      <w:r>
        <w:rPr>
          <w:rFonts w:eastAsia="Times New Roman"/>
          <w:vanish/>
        </w:rPr>
        <w:t xml:space="preserve"> us-gaap:FairValueMeasurementsRecurringMember us-gaap:FairValueInputsLevel3Member meg:BusinessAcquisitionsContingentConsiderationCurrentMember 2020-01-01 2020-06-30 0001643615 us-gaap:FairValueMeasurementsRecurringMember us-gaap:FairValueInputsLevel3Member</w:t>
      </w:r>
      <w:r>
        <w:rPr>
          <w:rFonts w:eastAsia="Times New Roman"/>
          <w:vanish/>
        </w:rPr>
        <w:t xml:space="preserve"> meg:BusinessAcquisitionsContingentConsiderationLongTermMember 2020-01-01 2020-06-30 0001643615 us-gaap:FairValueMeasurementsRecurringMember us-gaap:FairValueInputsLevel3Member us-gaap:PutOptionMember 2020-01-01 2020-06-30 0001643615 us-gaap:FairValueMeasu</w:t>
      </w:r>
      <w:r>
        <w:rPr>
          <w:rFonts w:eastAsia="Times New Roman"/>
          <w:vanish/>
        </w:rPr>
        <w:t>rementsRecurringMember us-gaap:FairValueInputsLevel3Member meg:CompoundEmbeddedOptionsMember 2020-06-30 0001643615 us-gaap:FairValueMeasurementsRecurringMember us-gaap:FairValueInputsLevel3Member meg:BusinessAcquisitionsContingentConsiderationCurrentMember</w:t>
      </w:r>
      <w:r>
        <w:rPr>
          <w:rFonts w:eastAsia="Times New Roman"/>
          <w:vanish/>
        </w:rPr>
        <w:t xml:space="preserve"> 2020-06-30 0001643615 us-gaap:FairValueMeasurementsRecurringMember us-gaap:FairValueInputsLevel3Member meg:BusinessAcquisitionsContingentConsiderationLongTermMember 2020-06-30 0001643615 us-gaap:FairValueMeasurementsRecurringMember us-gaap:FairValueInputs</w:t>
      </w:r>
      <w:r>
        <w:rPr>
          <w:rFonts w:eastAsia="Times New Roman"/>
          <w:vanish/>
        </w:rPr>
        <w:t>Level3Member us-gaap:PutOptionMember 2020-06-30 0001643615 us-gaap:FairValueMeasurementsRecurringMember us-gaap:FairValueInputsLevel3Member meg:WarrantOptionMember 2020-06-30 0001643615 us-gaap:FairValueMeasurementsRecurringMember us-gaap:FairValueInputsLe</w:t>
      </w:r>
      <w:r>
        <w:rPr>
          <w:rFonts w:eastAsia="Times New Roman"/>
          <w:vanish/>
        </w:rPr>
        <w:t>vel3Member 2020-06-30 0001643615 us-gaap:FairValueMeasurementsRecurringMember us-gaap:FairValueInputsLevel3Member meg:BusinessAcquisitionsContingentConsiderationLongTermMember 2021-01-01 2021-06-30 0001643615 us-gaap:FairValueMeasurementsRecurringMember us</w:t>
      </w:r>
      <w:r>
        <w:rPr>
          <w:rFonts w:eastAsia="Times New Roman"/>
          <w:vanish/>
        </w:rPr>
        <w:t>-gaap:FairValueInputsLevel3Member 2021-01-01 2021-06-30 0001643615 us-gaap:FairValueMeasurementsRecurringMember us-gaap:FairValueInputsLevel3Member meg:BusinessAcquisitionsContingentConsiderationCurrentMember 2021-01-01 2021-06-30 0001643615 us-gaap:FairVa</w:t>
      </w:r>
      <w:r>
        <w:rPr>
          <w:rFonts w:eastAsia="Times New Roman"/>
          <w:vanish/>
        </w:rPr>
        <w:t>lueMeasurementsRecurringMember us-gaap:FairValueInputsLevel3Member meg:ConversionOptionMember 2021-01-01 2021-06-30 0001643615 us-gaap:MeasurementInputSharePriceMember meg:RedeemableSeriesAOnePreferredStockMember 2020-06-30 0001643615 us-gaap:MeasurementIn</w:t>
      </w:r>
      <w:r>
        <w:rPr>
          <w:rFonts w:eastAsia="Times New Roman"/>
          <w:vanish/>
        </w:rPr>
        <w:t>putOptionVolatilityMember meg:RedeemableSeriesAOnePreferredStockMember 2020-06-30 0001643615 us-gaap:MeasurementInputRiskFreeInterestRateMember meg:RedeemableSeriesAOnePreferredStockMember 2020-06-30 0001643615 us-gaap:MeasurementInputExpectedTermMember me</w:t>
      </w:r>
      <w:r>
        <w:rPr>
          <w:rFonts w:eastAsia="Times New Roman"/>
          <w:vanish/>
        </w:rPr>
        <w:t>g:RedeemableSeriesAOnePreferredStockMember 2020-06-30 0001643615 us-gaap:OfficeEquipmentMember 2021-01-01 2021-06-30 0001643615 meg:RedeemableSeriesAOnePreferredStockMember 2020-04-13 2020-04-13 0001643615 meg:RedeemableSeriesAOnePreferredStockMember srt:M</w:t>
      </w:r>
      <w:r>
        <w:rPr>
          <w:rFonts w:eastAsia="Times New Roman"/>
          <w:vanish/>
        </w:rPr>
        <w:t>aximumMember 2020-04-13 0001643615 meg:RedeemableSeriesAOnePreferredStockMember srt:MinimumMember 2020-04-13 0001643615 meg:RedeemableSeriesAOnePreferredStockMember 2020-04-13 0001643615 meg:RedeemableSeriesAOnePreferredStockMember 2020-01-01 2020-06-30 00</w:t>
      </w:r>
      <w:r>
        <w:rPr>
          <w:rFonts w:eastAsia="Times New Roman"/>
          <w:vanish/>
        </w:rPr>
        <w:t>01643615 meg:ConvertibleAndRedeemableSeriesATwoPreferredStockMember 2020-04-13 0001643615 2020-04-13 0001643615 2020-04-13 2020-04-13 0001643615 meg:ConvertibleAndRedeemableSeriesATwoPreferredStockMember 2020-04-13 2020-04-13 0001643615 meg:ConvertibleAndR</w:t>
      </w:r>
      <w:r>
        <w:rPr>
          <w:rFonts w:eastAsia="Times New Roman"/>
          <w:vanish/>
        </w:rPr>
        <w:t>edeemableSeriesATwoPreferredStockMember 2021-04-01 2021-06-30 0001643615 meg:ConvertibleAndRedeemableSeriesATwoPreferredStockMember 2021-01-01 2021-06-30 0001643615 meg:SixtyDayPeriodPriorToSeventhAnniversaryMember meg:ConvertibleAndRedeemableSeriesATwoPre</w:t>
      </w:r>
      <w:r>
        <w:rPr>
          <w:rFonts w:eastAsia="Times New Roman"/>
          <w:vanish/>
        </w:rPr>
        <w:t>ferredStockMember 2021-06-30 0001643615 meg:YearFiveMember meg:ConvertibleAndRedeemableSeriesATwoPreferredStockMember 2021-06-30 0001643615 meg:YearSixMember meg:ConvertibleAndRedeemableSeriesATwoPreferredStockMember 2021-06-30 0001643615 meg:ConvertibleAn</w:t>
      </w:r>
      <w:r>
        <w:rPr>
          <w:rFonts w:eastAsia="Times New Roman"/>
          <w:vanish/>
        </w:rPr>
        <w:t>dRedeemableSeriesATwoPreferredStockMember us-gaap:OtherNonoperatingIncomeExpenseMember 2021-04-01 2021-06-30 0001643615 meg:ConvertibleAndRedeemableSeriesATwoPreferredStockMember us-gaap:OtherNonoperatingIncomeExpenseMember 2021-01-01 2021-06-30 0001643615</w:t>
      </w:r>
      <w:r>
        <w:rPr>
          <w:rFonts w:eastAsia="Times New Roman"/>
          <w:vanish/>
        </w:rPr>
        <w:t xml:space="preserve"> us-gaap:PrivatePlacementMember 2015-05-31 0001643615 meg:TwoThousandSeventeenPlanMember 2021-06-30 0001643615 meg:TwoThousandThirteenPlanMember 2021-06-30 0001643615 meg:TwoThousandSeventeenPlanMember 2020-06-30 0001643615 meg:TwoThousandThirteenPlanMembe</w:t>
      </w:r>
      <w:r>
        <w:rPr>
          <w:rFonts w:eastAsia="Times New Roman"/>
          <w:vanish/>
        </w:rPr>
        <w:t>r 2020-06-30 0001643615 us-gaap:CostOfSalesMember meg:TwoThousandSeventeenPlanMember us-gaap:EmployeeStockOptionMember 2021-04-01 2021-06-30 0001643615 us-gaap:CostOfSalesMember 2021-04-01 2021-06-30 0001643615 us-gaap:CostOfSalesMember meg:TwoThousandSeve</w:t>
      </w:r>
      <w:r>
        <w:rPr>
          <w:rFonts w:eastAsia="Times New Roman"/>
          <w:vanish/>
        </w:rPr>
        <w:t>nteenPlanMember us-gaap:EmployeeStockOptionMember 2020-04-01 2020-06-30 0001643615 us-gaap:CostOfSalesMember meg:TwoThousandThirteenPlanMember us-gaap:EmployeeStockOptionMember 2020-04-01 2020-06-30 0001643615 us-gaap:CostOfSalesMember 2020-04-01 2020-06-3</w:t>
      </w:r>
      <w:r>
        <w:rPr>
          <w:rFonts w:eastAsia="Times New Roman"/>
          <w:vanish/>
        </w:rPr>
        <w:t>0 0001643615 us-gaap:SellingGeneralAndAdministrativeExpensesMember meg:TwoThousandSeventeenPlanMember us-gaap:EmployeeStockOptionMember 2021-04-01 2021-06-30 0001643615 us-gaap:SellingGeneralAndAdministrativeExpensesMember meg:TwoThousandSeventeenPlanMembe</w:t>
      </w:r>
      <w:r>
        <w:rPr>
          <w:rFonts w:eastAsia="Times New Roman"/>
          <w:vanish/>
        </w:rPr>
        <w:t>r us-gaap:RestrictedStockMember 2021-04-01 2021-06-30 0001643615 us-gaap:SellingGeneralAndAdministrativeExpensesMember meg:TwoThousandThirteenPlanMember us-gaap:EmployeeStockOptionMember 2021-04-01 2021-06-30 0001643615 us-gaap:SellingGeneralAndAdministrat</w:t>
      </w:r>
      <w:r>
        <w:rPr>
          <w:rFonts w:eastAsia="Times New Roman"/>
          <w:vanish/>
        </w:rPr>
        <w:t>iveExpensesMember meg:TwoThousandSeventeenPlanMember us-gaap:EmployeeStockOptionMember 2020-04-01 2020-06-30 0001643615 us-gaap:SellingGeneralAndAdministrativeExpensesMember meg:TwoThousandSeventeenPlanMember us-gaap:RestrictedStockMember 2020-04-01 2020-0</w:t>
      </w:r>
      <w:r>
        <w:rPr>
          <w:rFonts w:eastAsia="Times New Roman"/>
          <w:vanish/>
        </w:rPr>
        <w:t>6-30 0001643615 us-gaap:SellingGeneralAndAdministrativeExpensesMember meg:TwoThousandThirteenPlanMember us-gaap:EmployeeStockOptionMember 2020-04-01 2020-06-30 0001643615 us-gaap:SellingGeneralAndAdministrativeExpensesMember 2020-04-01 2020-06-30 000164361</w:t>
      </w:r>
      <w:r>
        <w:rPr>
          <w:rFonts w:eastAsia="Times New Roman"/>
          <w:vanish/>
        </w:rPr>
        <w:t>5 meg:TwoThousandSeventeenPlanMember us-gaap:EmployeeStockOptionMember 2021-04-01 2021-06-30 0001643615 meg:TwoThousandSeventeenPlanMember us-gaap:RestrictedStockMember 2021-04-01 2021-06-30 0001643615 meg:TwoThousandThirteenPlanMember us-gaap:EmployeeStoc</w:t>
      </w:r>
      <w:r>
        <w:rPr>
          <w:rFonts w:eastAsia="Times New Roman"/>
          <w:vanish/>
        </w:rPr>
        <w:t>kOptionMember 2021-04-01 2021-06-30 0001643615 meg:TwoThousandSeventeenPlanMember us-gaap:EmployeeStockOptionMember 2020-04-01 2020-06-30 0001643615 meg:TwoThousandSeventeenPlanMember us-gaap:RestrictedStockMember 2020-04-01 2020-06-30 0001643615 meg:TwoTh</w:t>
      </w:r>
      <w:r>
        <w:rPr>
          <w:rFonts w:eastAsia="Times New Roman"/>
          <w:vanish/>
        </w:rPr>
        <w:t>ousandThirteenPlanMember us-gaap:EmployeeStockOptionMember 2020-04-01 2020-06-30 0001643615 us-gaap:CostOfSalesMember meg:TwoThousandSeventeenPlanMember us-gaap:EmployeeStockOptionMember 2021-01-01 2021-06-30 0001643615 us-gaap:CostOfSalesMember meg:TwoTho</w:t>
      </w:r>
      <w:r>
        <w:rPr>
          <w:rFonts w:eastAsia="Times New Roman"/>
          <w:vanish/>
        </w:rPr>
        <w:t xml:space="preserve">usandThirteenPlanMember us-gaap:EmployeeStockOptionMember 2021-01-01 2021-06-30 0001643615 us-gaap:CostOfSalesMember 2021-01-01 2021-06-30 0001643615 us-gaap:CostOfSalesMember meg:TwoThousandSeventeenPlanMember us-gaap:EmployeeStockOptionMember 2020-01-01 </w:t>
      </w:r>
      <w:r>
        <w:rPr>
          <w:rFonts w:eastAsia="Times New Roman"/>
          <w:vanish/>
        </w:rPr>
        <w:t>2020-06-30 0001643615 us-gaap:CostOfSalesMember meg:TwoThousandThirteenPlanMember us-gaap:EmployeeStockOptionMember 2020-01-01 2020-06-30 0001643615 us-gaap:CostOfSalesMember 2020-01-01 2020-06-30 0001643615 us-gaap:SellingGeneralAndAdministrativeExpensesM</w:t>
      </w:r>
      <w:r>
        <w:rPr>
          <w:rFonts w:eastAsia="Times New Roman"/>
          <w:vanish/>
        </w:rPr>
        <w:t>ember meg:TwoThousandSeventeenPlanMember us-gaap:EmployeeStockOptionMember 2021-01-01 2021-06-30 0001643615 us-gaap:SellingGeneralAndAdministrativeExpensesMember meg:TwoThousandSeventeenPlanMember us-gaap:RestrictedStockMember 2021-01-01 2021-06-30 0001643</w:t>
      </w:r>
      <w:r>
        <w:rPr>
          <w:rFonts w:eastAsia="Times New Roman"/>
          <w:vanish/>
        </w:rPr>
        <w:t>615 us-gaap:SellingGeneralAndAdministrativeExpensesMember meg:TwoThousandThirteenPlanMember us-gaap:EmployeeStockOptionMember 2021-01-01 2021-06-30 0001643615 us-gaap:SellingGeneralAndAdministrativeExpensesMember meg:TwoThousandSeventeenPlanMember us-gaap:</w:t>
      </w:r>
      <w:r>
        <w:rPr>
          <w:rFonts w:eastAsia="Times New Roman"/>
          <w:vanish/>
        </w:rPr>
        <w:t>EmployeeStockOptionMember 2020-01-01 2020-06-30 0001643615 us-gaap:SellingGeneralAndAdministrativeExpensesMember meg:TwoThousandSeventeenPlanMember us-gaap:RestrictedStockMember 2020-01-01 2020-06-30 0001643615 us-gaap:SellingGeneralAndAdministrativeExpens</w:t>
      </w:r>
      <w:r>
        <w:rPr>
          <w:rFonts w:eastAsia="Times New Roman"/>
          <w:vanish/>
        </w:rPr>
        <w:t>esMember meg:TwoThousandThirteenPlanMember us-gaap:EmployeeStockOptionMember 2020-01-01 2020-06-30 0001643615 us-gaap:SellingGeneralAndAdministrativeExpensesMember 2020-01-01 2020-06-30 0001643615 meg:TwoThousandSeventeenPlanMember us-gaap:EmployeeStockOpt</w:t>
      </w:r>
      <w:r>
        <w:rPr>
          <w:rFonts w:eastAsia="Times New Roman"/>
          <w:vanish/>
        </w:rPr>
        <w:t>ionMember 2021-01-01 2021-06-30 0001643615 meg:TwoThousandSeventeenPlanMember us-gaap:RestrictedStockMember 2021-01-01 2021-06-30 0001643615 meg:TwoThousandThirteenPlanMember us-gaap:EmployeeStockOptionMember 2021-01-01 2021-06-30 0001643615 meg:TwoThousan</w:t>
      </w:r>
      <w:r>
        <w:rPr>
          <w:rFonts w:eastAsia="Times New Roman"/>
          <w:vanish/>
        </w:rPr>
        <w:t>dSeventeenPlanMember us-gaap:EmployeeStockOptionMember 2020-01-01 2020-06-30 0001643615 meg:TwoThousandSeventeenPlanMember us-gaap:RestrictedStockMember 2020-01-01 2020-06-30 0001643615 meg:TwoThousandThirteenPlanMember us-gaap:EmployeeStockOptionMember 20</w:t>
      </w:r>
      <w:r>
        <w:rPr>
          <w:rFonts w:eastAsia="Times New Roman"/>
          <w:vanish/>
        </w:rPr>
        <w:t>20-01-01 2020-06-30 0001643615 us-gaap:RestrictedStockMember meg:MontroseTwoThousandSeventeenStockIncentivePlanMember 2021-04-01 2021-06-30 0001643615 us-gaap:RestrictedStockMember meg:MontroseTwoThousandSeventeenStockIncentivePlanMember 2021-01-01 2021-06</w:t>
      </w:r>
      <w:r>
        <w:rPr>
          <w:rFonts w:eastAsia="Times New Roman"/>
          <w:vanish/>
        </w:rPr>
        <w:t>-30 0001643615 us-gaap:RestrictedStockMember meg:MontroseTwoThousandSeventeenStockIncentivePlanMember 2020-01-01 2020-06-30 0001643615 meg:MontroseTwoThousandSeventeenStockIncentivePlanMember us-gaap:RestrictedStockMember 2020-04-01 2020-06-30 0001643615 m</w:t>
      </w:r>
      <w:r>
        <w:rPr>
          <w:rFonts w:eastAsia="Times New Roman"/>
          <w:vanish/>
        </w:rPr>
        <w:t>eg:MontroseTwoThousandSeventeenStockIncentivePlanMember 2021-06-30 0001643615 meg:MontroseTwoThousandSeventeenStockIncentivePlanMember 2020-06-30 0001643615 meg:MontroseTwoThousandSeventeenStockIncentivePlanMember 2020-01-01 2020-06-30 0001643615 meg:Montr</w:t>
      </w:r>
      <w:r>
        <w:rPr>
          <w:rFonts w:eastAsia="Times New Roman"/>
          <w:vanish/>
        </w:rPr>
        <w:t>oseTwoThousandSeventeenStockIncentivePlanMember srt:DirectorMember us-gaap:EmployeeStockOptionMember 2021-01-01 2021-06-30 0001643615 meg:MontroseTwoThousandSeventeenStockIncentivePlanMember srt:ExecutiveOfficerMember us-gaap:EmployeeStockOptionMember 2021</w:t>
      </w:r>
      <w:r>
        <w:rPr>
          <w:rFonts w:eastAsia="Times New Roman"/>
          <w:vanish/>
        </w:rPr>
        <w:t>-01-01 2021-06-30 0001643615 meg:MontroseTwoThousandSeventeenStockIncentivePlanMember srt:DirectorMember us-gaap:EmployeeStockOptionMember us-gaap:ShareBasedCompensationAwardTrancheTwoMember 2021-01-01 2021-06-30 0001643615 meg:MontroseTwoThousandSeventeen</w:t>
      </w:r>
      <w:r>
        <w:rPr>
          <w:rFonts w:eastAsia="Times New Roman"/>
          <w:vanish/>
        </w:rPr>
        <w:t>StockIncentivePlanMember srt:DirectorMember us-gaap:EmployeeStockOptionMember meg:ShareBasedCompensationAwardTrancheFourMember 2021-01-01 2021-06-30 0001643615 meg:MontroseTwoThousandSeventeenStockIncentivePlanMember 2019-12-31 0001643615 meg:MontroseTwoTh</w:t>
      </w:r>
      <w:r>
        <w:rPr>
          <w:rFonts w:eastAsia="Times New Roman"/>
          <w:vanish/>
        </w:rPr>
        <w:t>ousandSeventeenStockIncentivePlanMember 2020-12-31 0001643615 meg:MontroseTwoThousandSeventeenStockIncentivePlanMember 2019-01-01 2019-12-31 0001643615 meg:MontroseTwoThousandSeventeenStockIncentivePlanMember 2020-01-01 2020-12-31 0001643615 meg:MontroseTw</w:t>
      </w:r>
      <w:r>
        <w:rPr>
          <w:rFonts w:eastAsia="Times New Roman"/>
          <w:vanish/>
        </w:rPr>
        <w:t>oThousandThirteenStockOptionPlanMember 2019-12-31 0001643615 meg:MontroseTwoThousandThirteenStockOptionPlanMember 2020-01-01 2020-06-30 0001643615 meg:MontroseTwoThousandThirteenStockOptionPlanMember 2020-06-30 0001643615 meg:MontroseTwoThousandThirteenSto</w:t>
      </w:r>
      <w:r>
        <w:rPr>
          <w:rFonts w:eastAsia="Times New Roman"/>
          <w:vanish/>
        </w:rPr>
        <w:t>ckOptionPlanMember 2020-12-31 0001643615 meg:MontroseTwoThousandThirteenStockOptionPlanMember 2021-06-30 0001643615 meg:MontroseTwoThousandThirteenStockOptionPlanMember 2019-01-01 2019-12-31 0001643615 meg:MontroseTwoThousandThirteenStockOptionPlanMember 2</w:t>
      </w:r>
      <w:r>
        <w:rPr>
          <w:rFonts w:eastAsia="Times New Roman"/>
          <w:vanish/>
        </w:rPr>
        <w:t>020-01-01 2020-12-31 0001643615 meg:WarrantOptionMember 2020-06-30 0001643615 meg:MontroseTwoThousandThirteenStockIncentivePlanMember 2021-06-30 0001643615 meg:MontroseTwoThousandThirteenStockIncentivePlanMember 2020-06-30 0001643615 us-gaap:EmployeeStockO</w:t>
      </w:r>
      <w:r>
        <w:rPr>
          <w:rFonts w:eastAsia="Times New Roman"/>
          <w:vanish/>
        </w:rPr>
        <w:t>ptionMember 2021-01-01 2021-06-30 0001643615 us-gaap:EmployeeStockOptionMember 2020-01-01 2020-06-30 0001643615 us-gaap:RestrictedStockMember 2021-01-01 2021-06-30 0001643615 us-gaap:RestrictedStockMember 2020-01-01 2020-06-30 0001643615 meg:WarrantOptionM</w:t>
      </w:r>
      <w:r>
        <w:rPr>
          <w:rFonts w:eastAsia="Times New Roman"/>
          <w:vanish/>
        </w:rPr>
        <w:t>ember 2020-01-01 2020-06-30 0001643615 us-gaap:OperatingSegmentsMember meg:AssessmentPermittingAndResponseMember 2021-04-01 2021-06-30 0001643615 us-gaap:OperatingSegmentsMember meg:MeasurementAndAnalysisMember 2021-04-01 2021-06-30 0001643615 us-gaap:Oper</w:t>
      </w:r>
      <w:r>
        <w:rPr>
          <w:rFonts w:eastAsia="Times New Roman"/>
          <w:vanish/>
        </w:rPr>
        <w:t>atingSegmentsMember meg:RemediationAndReuseMember 2021-04-01 2021-06-30 0001643615 us-gaap:OperatingSegmentsMember 2021-04-01 2021-06-30 0001643615 us-gaap:CorporateAndOtherMember 2021-04-01 2021-06-30 0001643615 us-gaap:OperatingSegmentsMember meg:Assessm</w:t>
      </w:r>
      <w:r>
        <w:rPr>
          <w:rFonts w:eastAsia="Times New Roman"/>
          <w:vanish/>
        </w:rPr>
        <w:t>entPermittingAndResponseMember 2020-04-01 2020-06-30 0001643615 us-gaap:OperatingSegmentsMember meg:MeasurementAndAnalysisMember 2020-04-01 2020-06-30 0001643615 us-gaap:OperatingSegmentsMember meg:RemediationAndReuseMember 2020-04-01 2020-06-30 0001643615</w:t>
      </w:r>
      <w:r>
        <w:rPr>
          <w:rFonts w:eastAsia="Times New Roman"/>
          <w:vanish/>
        </w:rPr>
        <w:t xml:space="preserve"> us-gaap:OperatingSegmentsMember 2020-04-01 2020-06-30 0001643615 us-gaap:CorporateAndOtherMember 2020-04-01 2020-06-30 0001643615 us-gaap:OperatingSegmentsMember meg:AssessmentPermittingAndResponseMember 2021-01-01 2021-06-30 0001643615 us-gaap:OperatingS</w:t>
      </w:r>
      <w:r>
        <w:rPr>
          <w:rFonts w:eastAsia="Times New Roman"/>
          <w:vanish/>
        </w:rPr>
        <w:t>egmentsMember meg:MeasurementAndAnalysisMember 2021-01-01 2021-06-30 0001643615 us-gaap:OperatingSegmentsMember meg:RemediationAndReuseMember 2021-01-01 2021-06-30 0001643615 us-gaap:OperatingSegmentsMember 2021-01-01 2021-06-30 0001643615 us-gaap:Corporat</w:t>
      </w:r>
      <w:r>
        <w:rPr>
          <w:rFonts w:eastAsia="Times New Roman"/>
          <w:vanish/>
        </w:rPr>
        <w:t>eAndOtherMember 2021-01-01 2021-06-30 0001643615 us-gaap:OperatingSegmentsMember meg:AssessmentPermittingAndResponseMember 2020-01-01 2020-06-30 0001643615 us-gaap:OperatingSegmentsMember meg:MeasurementAndAnalysisMember 2020-01-01 2020-06-30 0001643615 us</w:t>
      </w:r>
      <w:r>
        <w:rPr>
          <w:rFonts w:eastAsia="Times New Roman"/>
          <w:vanish/>
        </w:rPr>
        <w:t>-gaap:OperatingSegmentsMember meg:RemediationAndReuseMember 2020-01-01 2020-06-30 0001643615 us-gaap:OperatingSegmentsMember 2020-01-01 2020-06-30 0001643615 us-gaap:CorporateAndOtherMember 2020-01-01 2020-06-30 0001643615 meg:AcquisitionTargetsMember us-g</w:t>
      </w:r>
      <w:r>
        <w:rPr>
          <w:rFonts w:eastAsia="Times New Roman"/>
          <w:vanish/>
        </w:rPr>
        <w:t>aap:SellingGeneralAndAdministrativeExpensesMember 2021-04-01 2021-06-30 0001643615 meg:AcquisitionTargetsMember us-gaap:SellingGeneralAndAdministrativeExpensesMember 2021-01-01 2021-06-30 0001643615 meg:AcquisitionTargetsMember us-gaap:SellingGeneralAndAdm</w:t>
      </w:r>
      <w:r>
        <w:rPr>
          <w:rFonts w:eastAsia="Times New Roman"/>
          <w:vanish/>
        </w:rPr>
        <w:t>inistrativeExpensesMember 2020-04-01 2020-06-30 0001643615 meg:AcquisitionTargetsMember us-gaap:SellingGeneralAndAdministrativeExpensesMember 2020-01-01 2020-06-30 0001643615 2020-01-01 2020-05-22 0001643615 srt:MinimumMember 2020-01-01 2020-05-22 00016436</w:t>
      </w:r>
      <w:r>
        <w:rPr>
          <w:rFonts w:eastAsia="Times New Roman"/>
          <w:vanish/>
        </w:rPr>
        <w:t>15 srt:MaximumMember 2020-01-01 2020-05-22 0001643615 meg:EnvironmentalIntelligenceLLCMember us-gaap:SubsequentEventMember 2021-07-01 0001643615 meg:SensibleloTLLCMember us-gaap:SubsequentEventMember 2021-08-02 0001643615 meg:EnvironmentalIntelligenceLLCMe</w:t>
      </w:r>
      <w:r>
        <w:rPr>
          <w:rFonts w:eastAsia="Times New Roman"/>
          <w:vanish/>
        </w:rPr>
        <w:t xml:space="preserve">mber us-gaap:SubsequentEventMember 2021-07-01 2021-07-01 0001643615 meg:SensibleloTLLCMember us-gaap:SubsequentEventMember 2021-08-02 2021-08-02 </w:t>
      </w:r>
    </w:p>
    <w:p w14:paraId="4DEB436F" w14:textId="77777777" w:rsidR="00000000" w:rsidRDefault="00582324">
      <w:pPr>
        <w:pStyle w:val="a3"/>
        <w:pBdr>
          <w:top w:val="double" w:sz="6" w:space="1" w:color="auto"/>
        </w:pBdr>
        <w:spacing w:before="0" w:beforeAutospacing="0" w:after="0" w:afterAutospacing="0"/>
        <w:rPr>
          <w:sz w:val="20"/>
          <w:szCs w:val="20"/>
        </w:rPr>
      </w:pPr>
      <w:r>
        <w:rPr>
          <w:sz w:val="20"/>
          <w:szCs w:val="20"/>
        </w:rPr>
        <w:t> </w:t>
      </w:r>
    </w:p>
    <w:p w14:paraId="5586CCA5" w14:textId="77777777" w:rsidR="00000000" w:rsidRDefault="00582324">
      <w:pPr>
        <w:pStyle w:val="a3"/>
        <w:spacing w:before="0" w:beforeAutospacing="0" w:after="0" w:afterAutospacing="0"/>
        <w:jc w:val="center"/>
        <w:rPr>
          <w:b/>
          <w:bCs/>
          <w:sz w:val="36"/>
          <w:szCs w:val="36"/>
        </w:rPr>
      </w:pPr>
      <w:r>
        <w:rPr>
          <w:b/>
          <w:bCs/>
          <w:sz w:val="36"/>
          <w:szCs w:val="36"/>
        </w:rPr>
        <w:t>UNITED STATES</w:t>
      </w:r>
    </w:p>
    <w:p w14:paraId="2F65AF2F" w14:textId="77777777" w:rsidR="00000000" w:rsidRDefault="00582324">
      <w:pPr>
        <w:pStyle w:val="a3"/>
        <w:spacing w:before="0" w:beforeAutospacing="0" w:after="0" w:afterAutospacing="0"/>
        <w:jc w:val="center"/>
        <w:rPr>
          <w:b/>
          <w:bCs/>
          <w:sz w:val="36"/>
          <w:szCs w:val="36"/>
        </w:rPr>
      </w:pPr>
      <w:r>
        <w:rPr>
          <w:b/>
          <w:bCs/>
          <w:sz w:val="36"/>
          <w:szCs w:val="36"/>
        </w:rPr>
        <w:t>SECURITIES AND EXCHANGE COMMISSION</w:t>
      </w:r>
    </w:p>
    <w:p w14:paraId="6AFE5E5C" w14:textId="77777777" w:rsidR="00000000" w:rsidRDefault="00582324">
      <w:pPr>
        <w:pStyle w:val="a3"/>
        <w:spacing w:before="0" w:beforeAutospacing="0" w:after="0" w:afterAutospacing="0"/>
        <w:jc w:val="center"/>
        <w:rPr>
          <w:b/>
          <w:bCs/>
        </w:rPr>
      </w:pPr>
      <w:r>
        <w:rPr>
          <w:b/>
          <w:bCs/>
        </w:rPr>
        <w:t>WASHINGTON, DC 20549</w:t>
      </w:r>
    </w:p>
    <w:p w14:paraId="3B76E9C8" w14:textId="77777777" w:rsidR="00000000" w:rsidRDefault="00582324">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5BF368F5" w14:textId="77777777" w:rsidR="00000000" w:rsidRDefault="00582324">
      <w:pPr>
        <w:pStyle w:val="a3"/>
        <w:spacing w:before="120" w:beforeAutospacing="0" w:after="0" w:afterAutospacing="0"/>
        <w:jc w:val="center"/>
        <w:rPr>
          <w:b/>
          <w:bCs/>
          <w:sz w:val="36"/>
          <w:szCs w:val="36"/>
        </w:rPr>
      </w:pPr>
      <w:r>
        <w:rPr>
          <w:b/>
          <w:bCs/>
          <w:sz w:val="36"/>
          <w:szCs w:val="36"/>
        </w:rPr>
        <w:t>FORM 10-Q</w:t>
      </w:r>
    </w:p>
    <w:p w14:paraId="240E6DE6" w14:textId="77777777" w:rsidR="00000000" w:rsidRDefault="00582324">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589AE3CD" w14:textId="77777777" w:rsidR="00000000" w:rsidRDefault="00582324">
      <w:pPr>
        <w:pStyle w:val="a3"/>
        <w:spacing w:before="80" w:beforeAutospacing="0" w:after="0" w:afterAutospacing="0"/>
        <w:rPr>
          <w:b/>
          <w:bCs/>
          <w:sz w:val="16"/>
          <w:szCs w:val="16"/>
        </w:rPr>
      </w:pPr>
      <w:r>
        <w:rPr>
          <w:b/>
          <w:bCs/>
          <w:sz w:val="16"/>
          <w:szCs w:val="16"/>
        </w:rPr>
        <w:t>(Mark One)</w:t>
      </w:r>
    </w:p>
    <w:tbl>
      <w:tblPr>
        <w:tblW w:w="5000" w:type="pct"/>
        <w:tblCellMar>
          <w:left w:w="0" w:type="dxa"/>
          <w:right w:w="0" w:type="dxa"/>
        </w:tblCellMar>
        <w:tblLook w:val="04A0" w:firstRow="1" w:lastRow="0" w:firstColumn="1" w:lastColumn="0" w:noHBand="0" w:noVBand="1"/>
      </w:tblPr>
      <w:tblGrid>
        <w:gridCol w:w="332"/>
        <w:gridCol w:w="7974"/>
      </w:tblGrid>
      <w:tr w:rsidR="00000000" w14:paraId="635625BA" w14:textId="77777777">
        <w:trPr>
          <w:divId w:val="493762602"/>
        </w:trPr>
        <w:tc>
          <w:tcPr>
            <w:tcW w:w="200" w:type="pct"/>
            <w:hideMark/>
          </w:tcPr>
          <w:p w14:paraId="492201BE" w14:textId="77777777" w:rsidR="00000000" w:rsidRDefault="00582324">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hideMark/>
          </w:tcPr>
          <w:p w14:paraId="38A9C0CC" w14:textId="77777777" w:rsidR="00000000" w:rsidRDefault="00582324">
            <w:pPr>
              <w:pStyle w:val="a3"/>
              <w:spacing w:before="0" w:beforeAutospacing="0" w:after="0" w:afterAutospacing="0"/>
              <w:rPr>
                <w:b/>
                <w:bCs/>
                <w:sz w:val="20"/>
                <w:szCs w:val="20"/>
              </w:rPr>
            </w:pPr>
            <w:r>
              <w:rPr>
                <w:b/>
                <w:bCs/>
                <w:sz w:val="20"/>
                <w:szCs w:val="20"/>
              </w:rPr>
              <w:t>QUARTERLY R</w:t>
            </w:r>
            <w:r>
              <w:rPr>
                <w:b/>
                <w:bCs/>
                <w:sz w:val="20"/>
                <w:szCs w:val="20"/>
              </w:rPr>
              <w:t>EPORT PURSUANT TO SECTION 13 OR 15(d) OF THE SECURITIES EXCHANGE ACT OF 1934</w:t>
            </w:r>
          </w:p>
        </w:tc>
      </w:tr>
    </w:tbl>
    <w:p w14:paraId="7AF245AE" w14:textId="77777777" w:rsidR="00000000" w:rsidRDefault="00582324">
      <w:pPr>
        <w:pStyle w:val="a3"/>
        <w:spacing w:before="120" w:beforeAutospacing="0" w:after="0" w:afterAutospacing="0"/>
        <w:jc w:val="center"/>
        <w:rPr>
          <w:b/>
          <w:bCs/>
          <w:sz w:val="20"/>
          <w:szCs w:val="20"/>
        </w:rPr>
      </w:pPr>
      <w:r>
        <w:rPr>
          <w:b/>
          <w:bCs/>
          <w:sz w:val="20"/>
          <w:szCs w:val="20"/>
        </w:rPr>
        <w:t>For the quarterly period ended June 30, 2021</w:t>
      </w:r>
    </w:p>
    <w:p w14:paraId="3B6820BE" w14:textId="77777777" w:rsidR="00000000" w:rsidRDefault="00582324">
      <w:pPr>
        <w:pStyle w:val="a3"/>
        <w:spacing w:before="1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32"/>
        <w:gridCol w:w="7974"/>
      </w:tblGrid>
      <w:tr w:rsidR="00000000" w14:paraId="11F83B85" w14:textId="77777777">
        <w:trPr>
          <w:divId w:val="1257324190"/>
        </w:trPr>
        <w:tc>
          <w:tcPr>
            <w:tcW w:w="200" w:type="pct"/>
            <w:hideMark/>
          </w:tcPr>
          <w:p w14:paraId="24BCEEAB" w14:textId="77777777" w:rsidR="00000000" w:rsidRDefault="00582324">
            <w:pPr>
              <w:pStyle w:val="a3"/>
              <w:spacing w:before="120" w:beforeAutospacing="0" w:after="0" w:afterAutospacing="0"/>
              <w:rPr>
                <w:rFonts w:ascii="Segoe UI Symbol" w:hAnsi="Segoe UI Symbol"/>
                <w:b/>
                <w:bCs/>
                <w:sz w:val="20"/>
                <w:szCs w:val="20"/>
              </w:rPr>
            </w:pPr>
            <w:r>
              <w:rPr>
                <w:rFonts w:ascii="Segoe UI Symbol" w:hAnsi="Segoe UI Symbol"/>
                <w:b/>
                <w:bCs/>
                <w:sz w:val="20"/>
                <w:szCs w:val="20"/>
              </w:rPr>
              <w:t>☐</w:t>
            </w:r>
          </w:p>
        </w:tc>
        <w:tc>
          <w:tcPr>
            <w:tcW w:w="4800" w:type="pct"/>
            <w:vAlign w:val="bottom"/>
            <w:hideMark/>
          </w:tcPr>
          <w:p w14:paraId="7F1CE132" w14:textId="77777777" w:rsidR="00000000" w:rsidRDefault="00582324">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14:paraId="7B1016A2" w14:textId="77777777" w:rsidR="00000000" w:rsidRDefault="00582324">
      <w:pPr>
        <w:pStyle w:val="a3"/>
        <w:spacing w:before="120" w:beforeAutospacing="0" w:after="0" w:afterAutospacing="0"/>
        <w:jc w:val="center"/>
        <w:rPr>
          <w:b/>
          <w:bCs/>
          <w:sz w:val="20"/>
          <w:szCs w:val="20"/>
        </w:rPr>
      </w:pPr>
      <w:r>
        <w:rPr>
          <w:b/>
          <w:bCs/>
          <w:sz w:val="20"/>
          <w:szCs w:val="20"/>
        </w:rPr>
        <w:t xml:space="preserve">For the transition period from          to          </w:t>
      </w:r>
    </w:p>
    <w:p w14:paraId="33414355" w14:textId="77777777" w:rsidR="00000000" w:rsidRDefault="00582324">
      <w:pPr>
        <w:pStyle w:val="a3"/>
        <w:spacing w:before="120" w:beforeAutospacing="0" w:after="0" w:afterAutospacing="0"/>
        <w:jc w:val="center"/>
        <w:rPr>
          <w:b/>
          <w:bCs/>
          <w:sz w:val="20"/>
          <w:szCs w:val="20"/>
        </w:rPr>
      </w:pPr>
      <w:r>
        <w:rPr>
          <w:b/>
          <w:bCs/>
          <w:sz w:val="20"/>
          <w:szCs w:val="20"/>
        </w:rPr>
        <w:t>Commission File Number: 001-39394</w:t>
      </w:r>
    </w:p>
    <w:p w14:paraId="69C0DEBB" w14:textId="77777777" w:rsidR="00000000" w:rsidRDefault="00582324">
      <w:pPr>
        <w:pStyle w:val="a3"/>
        <w:pBdr>
          <w:bottom w:val="single" w:sz="6" w:space="1" w:color="auto"/>
        </w:pBdr>
        <w:spacing w:before="60" w:beforeAutospacing="0" w:after="120" w:afterAutospacing="0"/>
        <w:ind w:left="4762" w:right="4762"/>
        <w:jc w:val="center"/>
        <w:rPr>
          <w:sz w:val="6"/>
          <w:szCs w:val="6"/>
        </w:rPr>
      </w:pPr>
      <w:r>
        <w:rPr>
          <w:sz w:val="6"/>
          <w:szCs w:val="6"/>
        </w:rPr>
        <w:t> </w:t>
      </w:r>
    </w:p>
    <w:p w14:paraId="272D9762" w14:textId="77777777" w:rsidR="00000000" w:rsidRDefault="00582324">
      <w:pPr>
        <w:pStyle w:val="a3"/>
        <w:spacing w:before="0" w:beforeAutospacing="0" w:after="0" w:afterAutospacing="0"/>
        <w:jc w:val="center"/>
        <w:rPr>
          <w:b/>
          <w:bCs/>
          <w:sz w:val="48"/>
          <w:szCs w:val="48"/>
        </w:rPr>
      </w:pPr>
      <w:r>
        <w:rPr>
          <w:b/>
          <w:bCs/>
          <w:sz w:val="48"/>
          <w:szCs w:val="48"/>
        </w:rPr>
        <w:t>Montrose Environmental Group, Inc.</w:t>
      </w:r>
    </w:p>
    <w:p w14:paraId="1B155036" w14:textId="77777777" w:rsidR="00000000" w:rsidRDefault="00582324">
      <w:pPr>
        <w:pStyle w:val="a3"/>
        <w:spacing w:before="0" w:beforeAutospacing="0" w:after="0" w:afterAutospacing="0"/>
        <w:jc w:val="center"/>
        <w:rPr>
          <w:b/>
          <w:bCs/>
          <w:sz w:val="20"/>
          <w:szCs w:val="20"/>
        </w:rPr>
      </w:pPr>
      <w:r>
        <w:rPr>
          <w:b/>
          <w:bCs/>
          <w:sz w:val="20"/>
          <w:szCs w:val="20"/>
        </w:rPr>
        <w:t xml:space="preserve">(Exact Name of Registrant as Specified in </w:t>
      </w:r>
      <w:r>
        <w:rPr>
          <w:b/>
          <w:bCs/>
          <w:sz w:val="20"/>
          <w:szCs w:val="20"/>
        </w:rPr>
        <w:t>its Charter)</w:t>
      </w:r>
    </w:p>
    <w:p w14:paraId="1BB2F7A5" w14:textId="77777777" w:rsidR="00000000" w:rsidRDefault="00582324">
      <w:pPr>
        <w:pStyle w:val="a3"/>
        <w:pBdr>
          <w:bottom w:val="single" w:sz="6" w:space="1" w:color="auto"/>
        </w:pBdr>
        <w:spacing w:before="60" w:beforeAutospacing="0" w:after="0" w:afterAutospacing="0"/>
        <w:ind w:left="4762" w:right="4762"/>
        <w:jc w:val="center"/>
        <w:rPr>
          <w:sz w:val="6"/>
          <w:szCs w:val="6"/>
        </w:rPr>
      </w:pPr>
      <w:r>
        <w:rPr>
          <w:sz w:val="6"/>
          <w:szCs w:val="6"/>
        </w:rPr>
        <w:t> </w:t>
      </w:r>
    </w:p>
    <w:p w14:paraId="3BD3281E" w14:textId="77777777" w:rsidR="00000000" w:rsidRDefault="00582324">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53"/>
        <w:gridCol w:w="4153"/>
      </w:tblGrid>
      <w:tr w:rsidR="00000000" w14:paraId="3FE05CE1" w14:textId="77777777">
        <w:trPr>
          <w:divId w:val="32656198"/>
        </w:trPr>
        <w:tc>
          <w:tcPr>
            <w:tcW w:w="2500" w:type="pct"/>
            <w:vAlign w:val="bottom"/>
            <w:hideMark/>
          </w:tcPr>
          <w:p w14:paraId="2EB6E310" w14:textId="77777777" w:rsidR="00000000" w:rsidRDefault="00582324">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14:paraId="3931A053" w14:textId="77777777" w:rsidR="00000000" w:rsidRDefault="00582324">
            <w:pPr>
              <w:pStyle w:val="a3"/>
              <w:spacing w:before="0" w:beforeAutospacing="0" w:after="0" w:afterAutospacing="0"/>
              <w:jc w:val="center"/>
              <w:rPr>
                <w:b/>
                <w:bCs/>
                <w:sz w:val="20"/>
                <w:szCs w:val="20"/>
              </w:rPr>
            </w:pPr>
            <w:r>
              <w:rPr>
                <w:b/>
                <w:bCs/>
                <w:sz w:val="20"/>
                <w:szCs w:val="20"/>
              </w:rPr>
              <w:t>46-4195044</w:t>
            </w:r>
          </w:p>
        </w:tc>
      </w:tr>
      <w:tr w:rsidR="00000000" w14:paraId="17FCCF7E" w14:textId="77777777">
        <w:trPr>
          <w:divId w:val="32656198"/>
        </w:trPr>
        <w:tc>
          <w:tcPr>
            <w:tcW w:w="2500" w:type="pct"/>
            <w:vAlign w:val="bottom"/>
            <w:hideMark/>
          </w:tcPr>
          <w:p w14:paraId="1D57FD94" w14:textId="77777777" w:rsidR="00000000" w:rsidRDefault="00582324">
            <w:pPr>
              <w:pStyle w:val="a3"/>
              <w:spacing w:before="0" w:beforeAutospacing="0" w:after="0" w:afterAutospacing="0"/>
              <w:jc w:val="center"/>
              <w:rPr>
                <w:b/>
                <w:bCs/>
                <w:sz w:val="14"/>
                <w:szCs w:val="14"/>
              </w:rPr>
            </w:pPr>
            <w:r>
              <w:rPr>
                <w:b/>
                <w:bCs/>
                <w:sz w:val="14"/>
                <w:szCs w:val="14"/>
              </w:rPr>
              <w:t>( State or other jurisdiction of</w:t>
            </w:r>
          </w:p>
          <w:p w14:paraId="53A7E870" w14:textId="77777777" w:rsidR="00000000" w:rsidRDefault="00582324">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14:paraId="6B8CEA13" w14:textId="77777777" w:rsidR="00000000" w:rsidRDefault="00582324">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14:paraId="6768A68B" w14:textId="77777777">
        <w:trPr>
          <w:divId w:val="32656198"/>
        </w:trPr>
        <w:tc>
          <w:tcPr>
            <w:tcW w:w="2500" w:type="pct"/>
            <w:vAlign w:val="bottom"/>
            <w:hideMark/>
          </w:tcPr>
          <w:p w14:paraId="58B0E086" w14:textId="77777777" w:rsidR="00000000" w:rsidRDefault="00582324">
            <w:pPr>
              <w:pStyle w:val="a3"/>
              <w:spacing w:before="0" w:beforeAutospacing="0" w:after="0" w:afterAutospacing="0"/>
              <w:jc w:val="center"/>
              <w:rPr>
                <w:b/>
                <w:bCs/>
                <w:sz w:val="20"/>
                <w:szCs w:val="20"/>
              </w:rPr>
            </w:pPr>
            <w:r>
              <w:rPr>
                <w:b/>
                <w:bCs/>
                <w:sz w:val="20"/>
                <w:szCs w:val="20"/>
              </w:rPr>
              <w:t xml:space="preserve">5120 Northshore Drive, </w:t>
            </w:r>
          </w:p>
          <w:p w14:paraId="14A26706" w14:textId="77777777" w:rsidR="00000000" w:rsidRDefault="00582324">
            <w:pPr>
              <w:pStyle w:val="a3"/>
              <w:spacing w:before="0" w:beforeAutospacing="0" w:after="0" w:afterAutospacing="0"/>
              <w:jc w:val="center"/>
              <w:rPr>
                <w:b/>
                <w:bCs/>
                <w:sz w:val="20"/>
                <w:szCs w:val="20"/>
              </w:rPr>
            </w:pPr>
            <w:r>
              <w:rPr>
                <w:b/>
                <w:bCs/>
                <w:sz w:val="20"/>
                <w:szCs w:val="20"/>
              </w:rPr>
              <w:t>North Little Rock, Arkansas</w:t>
            </w:r>
          </w:p>
        </w:tc>
        <w:tc>
          <w:tcPr>
            <w:tcW w:w="2500" w:type="pct"/>
            <w:vAlign w:val="bottom"/>
            <w:hideMark/>
          </w:tcPr>
          <w:p w14:paraId="35570BB3" w14:textId="77777777" w:rsidR="00000000" w:rsidRDefault="00582324">
            <w:pPr>
              <w:pStyle w:val="a3"/>
              <w:spacing w:before="0" w:beforeAutospacing="0" w:after="0" w:afterAutospacing="0"/>
              <w:jc w:val="center"/>
              <w:rPr>
                <w:b/>
                <w:bCs/>
                <w:sz w:val="20"/>
                <w:szCs w:val="20"/>
              </w:rPr>
            </w:pPr>
            <w:r>
              <w:rPr>
                <w:b/>
                <w:bCs/>
                <w:sz w:val="20"/>
                <w:szCs w:val="20"/>
              </w:rPr>
              <w:t>72118</w:t>
            </w:r>
          </w:p>
        </w:tc>
      </w:tr>
      <w:tr w:rsidR="00000000" w14:paraId="474DC88A" w14:textId="77777777">
        <w:trPr>
          <w:divId w:val="32656198"/>
        </w:trPr>
        <w:tc>
          <w:tcPr>
            <w:tcW w:w="2500" w:type="pct"/>
            <w:vAlign w:val="bottom"/>
            <w:hideMark/>
          </w:tcPr>
          <w:p w14:paraId="34CA1E81" w14:textId="77777777" w:rsidR="00000000" w:rsidRDefault="00582324">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14:paraId="490105F1" w14:textId="77777777" w:rsidR="00000000" w:rsidRDefault="00582324">
            <w:pPr>
              <w:pStyle w:val="a3"/>
              <w:spacing w:before="0" w:beforeAutospacing="0" w:after="0" w:afterAutospacing="0"/>
              <w:jc w:val="center"/>
              <w:rPr>
                <w:b/>
                <w:bCs/>
                <w:sz w:val="14"/>
                <w:szCs w:val="14"/>
              </w:rPr>
            </w:pPr>
            <w:r>
              <w:rPr>
                <w:b/>
                <w:bCs/>
                <w:sz w:val="14"/>
                <w:szCs w:val="14"/>
              </w:rPr>
              <w:t>(Zip Code)</w:t>
            </w:r>
          </w:p>
        </w:tc>
      </w:tr>
    </w:tbl>
    <w:p w14:paraId="0E1335BF" w14:textId="77777777" w:rsidR="00000000" w:rsidRDefault="00582324">
      <w:pPr>
        <w:pStyle w:val="a3"/>
        <w:spacing w:before="0" w:beforeAutospacing="0" w:after="0" w:afterAutospacing="0"/>
        <w:jc w:val="center"/>
        <w:rPr>
          <w:b/>
          <w:bCs/>
          <w:sz w:val="20"/>
          <w:szCs w:val="20"/>
        </w:rPr>
      </w:pPr>
      <w:r>
        <w:rPr>
          <w:b/>
          <w:bCs/>
          <w:sz w:val="20"/>
          <w:szCs w:val="20"/>
        </w:rPr>
        <w:t>Registrant’s telephone number, including area code: (501) 900-6400</w:t>
      </w:r>
    </w:p>
    <w:p w14:paraId="12018B2D" w14:textId="77777777" w:rsidR="00000000" w:rsidRDefault="00582324">
      <w:pPr>
        <w:pStyle w:val="a3"/>
        <w:pBdr>
          <w:bottom w:val="single" w:sz="6" w:space="1" w:color="auto"/>
        </w:pBdr>
        <w:spacing w:before="60" w:beforeAutospacing="0" w:after="0" w:afterAutospacing="0"/>
        <w:ind w:left="4762" w:right="4762"/>
        <w:jc w:val="center"/>
        <w:rPr>
          <w:sz w:val="6"/>
          <w:szCs w:val="6"/>
        </w:rPr>
      </w:pPr>
      <w:r>
        <w:rPr>
          <w:sz w:val="6"/>
          <w:szCs w:val="6"/>
        </w:rPr>
        <w:t> </w:t>
      </w:r>
    </w:p>
    <w:p w14:paraId="6044E5F5" w14:textId="77777777" w:rsidR="00000000" w:rsidRDefault="00582324">
      <w:pPr>
        <w:pStyle w:val="a3"/>
        <w:spacing w:before="80" w:beforeAutospacing="0" w:after="0" w:afterAutospacing="0"/>
        <w:ind w:firstLine="652"/>
        <w:rPr>
          <w:sz w:val="18"/>
          <w:szCs w:val="18"/>
        </w:rPr>
      </w:pPr>
      <w:r>
        <w:rPr>
          <w:sz w:val="18"/>
          <w:szCs w:val="18"/>
        </w:rPr>
        <w:t xml:space="preserve">Securities registered pursuant to Section 12(b) of the Act: </w:t>
      </w:r>
    </w:p>
    <w:p w14:paraId="4E36D313" w14:textId="77777777" w:rsidR="00000000" w:rsidRDefault="00582324">
      <w:pPr>
        <w:pStyle w:val="a3"/>
        <w:spacing w:before="0" w:beforeAutospacing="0" w:after="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14:paraId="207CFF9C" w14:textId="77777777">
        <w:trPr>
          <w:divId w:val="1509557966"/>
        </w:trPr>
        <w:tc>
          <w:tcPr>
            <w:tcW w:w="1900" w:type="pct"/>
            <w:tcBorders>
              <w:bottom w:val="single" w:sz="6" w:space="0" w:color="000000"/>
            </w:tcBorders>
            <w:vAlign w:val="bottom"/>
            <w:hideMark/>
          </w:tcPr>
          <w:p w14:paraId="284C6F66" w14:textId="77777777" w:rsidR="00000000" w:rsidRDefault="00582324">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14:paraId="175A5A53" w14:textId="77777777" w:rsidR="00000000" w:rsidRDefault="00582324">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14:paraId="0047D376" w14:textId="77777777" w:rsidR="00000000" w:rsidRDefault="00582324">
            <w:pPr>
              <w:pStyle w:val="a3"/>
              <w:spacing w:before="0" w:beforeAutospacing="0" w:after="0" w:afterAutospacing="0"/>
              <w:jc w:val="center"/>
              <w:rPr>
                <w:b/>
                <w:bCs/>
                <w:sz w:val="16"/>
                <w:szCs w:val="16"/>
              </w:rPr>
            </w:pPr>
            <w:r>
              <w:rPr>
                <w:b/>
                <w:bCs/>
                <w:sz w:val="16"/>
                <w:szCs w:val="16"/>
              </w:rPr>
              <w:t>Trading</w:t>
            </w:r>
          </w:p>
          <w:p w14:paraId="5E87F6E9" w14:textId="77777777" w:rsidR="00000000" w:rsidRDefault="00582324">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14:paraId="21182675" w14:textId="77777777" w:rsidR="00000000" w:rsidRDefault="00582324">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14:paraId="36882840" w14:textId="77777777" w:rsidR="00000000" w:rsidRDefault="00582324">
            <w:pPr>
              <w:pStyle w:val="a3"/>
              <w:spacing w:before="0" w:beforeAutospacing="0" w:after="0" w:afterAutospacing="0"/>
              <w:jc w:val="center"/>
              <w:rPr>
                <w:b/>
                <w:bCs/>
                <w:sz w:val="16"/>
                <w:szCs w:val="16"/>
              </w:rPr>
            </w:pPr>
            <w:r>
              <w:rPr>
                <w:b/>
                <w:bCs/>
                <w:sz w:val="16"/>
                <w:szCs w:val="16"/>
              </w:rPr>
              <w:t>Name of each exchange on which registered</w:t>
            </w:r>
          </w:p>
        </w:tc>
      </w:tr>
      <w:tr w:rsidR="00000000" w14:paraId="736A58ED" w14:textId="77777777">
        <w:trPr>
          <w:divId w:val="1509557966"/>
          <w:trHeight w:val="260"/>
        </w:trPr>
        <w:tc>
          <w:tcPr>
            <w:tcW w:w="1900" w:type="pct"/>
            <w:tcBorders>
              <w:top w:val="single" w:sz="6" w:space="0" w:color="000000"/>
            </w:tcBorders>
            <w:hideMark/>
          </w:tcPr>
          <w:p w14:paraId="7666CDC6" w14:textId="77777777" w:rsidR="00000000" w:rsidRDefault="00582324">
            <w:pPr>
              <w:pStyle w:val="a3"/>
              <w:spacing w:before="0" w:beforeAutospacing="0" w:after="0" w:afterAutospacing="0"/>
              <w:jc w:val="center"/>
              <w:rPr>
                <w:sz w:val="18"/>
                <w:szCs w:val="18"/>
              </w:rPr>
            </w:pPr>
            <w:r>
              <w:rPr>
                <w:sz w:val="18"/>
                <w:szCs w:val="18"/>
              </w:rPr>
              <w:t>Common Stock, par value $0.000004 per share</w:t>
            </w:r>
          </w:p>
        </w:tc>
        <w:tc>
          <w:tcPr>
            <w:tcW w:w="50" w:type="pct"/>
            <w:vAlign w:val="bottom"/>
            <w:hideMark/>
          </w:tcPr>
          <w:p w14:paraId="60F1176B" w14:textId="77777777" w:rsidR="00000000" w:rsidRDefault="00582324">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14:paraId="1C1C52B1" w14:textId="77777777" w:rsidR="00000000" w:rsidRDefault="00582324">
            <w:pPr>
              <w:pStyle w:val="a3"/>
              <w:spacing w:before="0" w:beforeAutospacing="0" w:after="0" w:afterAutospacing="0"/>
              <w:jc w:val="center"/>
              <w:rPr>
                <w:sz w:val="18"/>
                <w:szCs w:val="18"/>
              </w:rPr>
            </w:pPr>
            <w:r>
              <w:rPr>
                <w:sz w:val="18"/>
                <w:szCs w:val="18"/>
              </w:rPr>
              <w:t>MEG</w:t>
            </w:r>
          </w:p>
        </w:tc>
        <w:tc>
          <w:tcPr>
            <w:tcW w:w="50" w:type="pct"/>
            <w:vAlign w:val="bottom"/>
            <w:hideMark/>
          </w:tcPr>
          <w:p w14:paraId="059D1C95" w14:textId="77777777" w:rsidR="00000000" w:rsidRDefault="00582324">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14:paraId="775E3028" w14:textId="77777777" w:rsidR="00000000" w:rsidRDefault="00582324">
            <w:pPr>
              <w:pStyle w:val="a3"/>
              <w:spacing w:before="0" w:beforeAutospacing="0" w:after="0" w:afterAutospacing="0"/>
              <w:jc w:val="center"/>
              <w:rPr>
                <w:sz w:val="18"/>
                <w:szCs w:val="18"/>
              </w:rPr>
            </w:pPr>
            <w:r>
              <w:rPr>
                <w:sz w:val="18"/>
                <w:szCs w:val="18"/>
              </w:rPr>
              <w:t>The New York Stock Exchange</w:t>
            </w:r>
          </w:p>
        </w:tc>
      </w:tr>
    </w:tbl>
    <w:p w14:paraId="51E2799A" w14:textId="77777777" w:rsidR="00000000" w:rsidRDefault="00582324">
      <w:pPr>
        <w:pStyle w:val="a3"/>
        <w:spacing w:before="120" w:beforeAutospacing="0" w:after="0" w:afterAutospacing="0"/>
        <w:ind w:firstLine="556"/>
        <w:rPr>
          <w:sz w:val="18"/>
          <w:szCs w:val="18"/>
        </w:rPr>
      </w:pPr>
      <w:r>
        <w:rPr>
          <w:sz w:val="18"/>
          <w:szCs w:val="18"/>
        </w:rPr>
        <w:t>Indicate by check mark whether the registrant (1) has filed all reports required to be filed by Section 13 or 15(d) of the Securitie</w:t>
      </w:r>
      <w:r>
        <w:rPr>
          <w:sz w:val="18"/>
          <w:szCs w:val="18"/>
        </w:rPr>
        <w:t>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14:paraId="785FEC5F" w14:textId="77777777" w:rsidR="00000000" w:rsidRDefault="00582324">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8"/>
          <w:szCs w:val="18"/>
        </w:rPr>
        <w:t>t the registrant was required to submit such files).     Yes  </w:t>
      </w:r>
      <w:r>
        <w:rPr>
          <w:rFonts w:ascii="Segoe UI Symbol" w:hAnsi="Segoe UI Symbol"/>
          <w:sz w:val="18"/>
          <w:szCs w:val="18"/>
        </w:rPr>
        <w:t>☒</w:t>
      </w:r>
      <w:r>
        <w:rPr>
          <w:rFonts w:ascii="Segoe UI Symbol" w:hAnsi="Segoe UI Symbol"/>
          <w:sz w:val="18"/>
          <w:szCs w:val="18"/>
        </w:rPr>
        <w:t> </w:t>
      </w:r>
      <w:r>
        <w:rPr>
          <w:sz w:val="18"/>
          <w:szCs w:val="18"/>
        </w:rPr>
        <w:t>   No  </w:t>
      </w:r>
      <w:r>
        <w:rPr>
          <w:rFonts w:ascii="Segoe UI Symbol" w:hAnsi="Segoe UI Symbol"/>
          <w:sz w:val="18"/>
          <w:szCs w:val="18"/>
        </w:rPr>
        <w:t>☐</w:t>
      </w:r>
    </w:p>
    <w:p w14:paraId="12FBFA24" w14:textId="77777777" w:rsidR="00000000" w:rsidRDefault="00582324">
      <w:pPr>
        <w:pStyle w:val="a3"/>
        <w:spacing w:before="80" w:beforeAutospacing="0" w:after="0" w:afterAutospacing="0"/>
        <w:ind w:firstLine="556"/>
        <w:rPr>
          <w:sz w:val="18"/>
          <w:szCs w:val="18"/>
        </w:rPr>
      </w:pPr>
      <w:r>
        <w:rPr>
          <w:sz w:val="18"/>
          <w:szCs w:val="18"/>
        </w:rPr>
        <w:t>Indicate by check mark whether the registrant is a large accelerated filer, an accelerated filer, a non-accelerated filer, smaller reporting company, or an emerging growth company. Se</w:t>
      </w:r>
      <w:r>
        <w:rPr>
          <w:sz w:val="18"/>
          <w:szCs w:val="18"/>
        </w:rPr>
        <w:t>e the definitions of “large accelerated filer,” “accelerated filer,” “smaller reporting company,” and “emerging growth company” in Rule 12b-2 of the Exchange Act.</w:t>
      </w:r>
    </w:p>
    <w:p w14:paraId="67B7F3D8" w14:textId="77777777" w:rsidR="00000000" w:rsidRDefault="00582324">
      <w:pPr>
        <w:pStyle w:val="a3"/>
        <w:spacing w:before="0" w:beforeAutospacing="0" w:after="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14:paraId="3D8A1A50" w14:textId="77777777">
        <w:trPr>
          <w:divId w:val="1790664376"/>
          <w:trHeight w:val="216"/>
        </w:trPr>
        <w:tc>
          <w:tcPr>
            <w:tcW w:w="965" w:type="pct"/>
            <w:hideMark/>
          </w:tcPr>
          <w:p w14:paraId="17128B39" w14:textId="77777777" w:rsidR="00000000" w:rsidRDefault="00582324">
            <w:pPr>
              <w:pStyle w:val="a3"/>
              <w:spacing w:before="0" w:beforeAutospacing="0" w:after="0" w:afterAutospacing="0"/>
              <w:rPr>
                <w:sz w:val="18"/>
                <w:szCs w:val="18"/>
              </w:rPr>
            </w:pPr>
            <w:r>
              <w:rPr>
                <w:sz w:val="18"/>
                <w:szCs w:val="18"/>
              </w:rPr>
              <w:t>Large accelerated filer</w:t>
            </w:r>
          </w:p>
        </w:tc>
        <w:tc>
          <w:tcPr>
            <w:tcW w:w="30" w:type="pct"/>
            <w:hideMark/>
          </w:tcPr>
          <w:p w14:paraId="3D73D6CF" w14:textId="77777777" w:rsidR="00000000" w:rsidRDefault="00582324">
            <w:pPr>
              <w:pStyle w:val="a3"/>
              <w:spacing w:before="0" w:beforeAutospacing="0" w:after="0" w:afterAutospacing="0"/>
              <w:rPr>
                <w:sz w:val="18"/>
                <w:szCs w:val="18"/>
              </w:rPr>
            </w:pPr>
            <w:r>
              <w:rPr>
                <w:sz w:val="18"/>
                <w:szCs w:val="18"/>
              </w:rPr>
              <w:t> </w:t>
            </w:r>
          </w:p>
        </w:tc>
        <w:tc>
          <w:tcPr>
            <w:tcW w:w="2792" w:type="pct"/>
            <w:hideMark/>
          </w:tcPr>
          <w:p w14:paraId="20049985" w14:textId="77777777" w:rsidR="00000000" w:rsidRDefault="0058232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6B824061" w14:textId="77777777" w:rsidR="00000000" w:rsidRDefault="00582324">
            <w:pPr>
              <w:pStyle w:val="a3"/>
              <w:spacing w:before="0" w:beforeAutospacing="0" w:after="0" w:afterAutospacing="0"/>
              <w:rPr>
                <w:sz w:val="18"/>
                <w:szCs w:val="18"/>
              </w:rPr>
            </w:pPr>
            <w:r>
              <w:rPr>
                <w:sz w:val="18"/>
                <w:szCs w:val="18"/>
              </w:rPr>
              <w:t>  </w:t>
            </w:r>
          </w:p>
        </w:tc>
        <w:tc>
          <w:tcPr>
            <w:tcW w:w="1024" w:type="pct"/>
            <w:hideMark/>
          </w:tcPr>
          <w:p w14:paraId="7EECCADC" w14:textId="77777777" w:rsidR="00000000" w:rsidRDefault="00582324">
            <w:pPr>
              <w:pStyle w:val="a3"/>
              <w:spacing w:before="0" w:beforeAutospacing="0" w:after="0" w:afterAutospacing="0"/>
              <w:rPr>
                <w:sz w:val="18"/>
                <w:szCs w:val="18"/>
              </w:rPr>
            </w:pPr>
            <w:r>
              <w:rPr>
                <w:sz w:val="18"/>
                <w:szCs w:val="18"/>
              </w:rPr>
              <w:t>Accelerated filer</w:t>
            </w:r>
          </w:p>
        </w:tc>
        <w:tc>
          <w:tcPr>
            <w:tcW w:w="30" w:type="pct"/>
            <w:hideMark/>
          </w:tcPr>
          <w:p w14:paraId="5D2F636A" w14:textId="77777777" w:rsidR="00000000" w:rsidRDefault="00582324">
            <w:pPr>
              <w:pStyle w:val="a3"/>
              <w:spacing w:before="0" w:beforeAutospacing="0" w:after="0" w:afterAutospacing="0"/>
              <w:rPr>
                <w:sz w:val="18"/>
                <w:szCs w:val="18"/>
              </w:rPr>
            </w:pPr>
            <w:r>
              <w:rPr>
                <w:sz w:val="18"/>
                <w:szCs w:val="18"/>
              </w:rPr>
              <w:t> </w:t>
            </w:r>
          </w:p>
        </w:tc>
        <w:tc>
          <w:tcPr>
            <w:tcW w:w="106" w:type="pct"/>
            <w:hideMark/>
          </w:tcPr>
          <w:p w14:paraId="7E05BF55" w14:textId="77777777" w:rsidR="00000000" w:rsidRDefault="0058232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14:paraId="0C1D772C" w14:textId="77777777">
        <w:trPr>
          <w:divId w:val="1790664376"/>
          <w:trHeight w:val="75"/>
        </w:trPr>
        <w:tc>
          <w:tcPr>
            <w:tcW w:w="965" w:type="pct"/>
            <w:hideMark/>
          </w:tcPr>
          <w:p w14:paraId="76204168" w14:textId="77777777" w:rsidR="00000000" w:rsidRDefault="00582324">
            <w:pPr>
              <w:pStyle w:val="a3"/>
              <w:spacing w:before="0" w:beforeAutospacing="0" w:after="0" w:afterAutospacing="0"/>
              <w:rPr>
                <w:sz w:val="4"/>
                <w:szCs w:val="4"/>
              </w:rPr>
            </w:pPr>
            <w:r>
              <w:rPr>
                <w:sz w:val="4"/>
                <w:szCs w:val="4"/>
              </w:rPr>
              <w:t> </w:t>
            </w:r>
          </w:p>
        </w:tc>
        <w:tc>
          <w:tcPr>
            <w:tcW w:w="2822" w:type="pct"/>
            <w:gridSpan w:val="2"/>
            <w:hideMark/>
          </w:tcPr>
          <w:p w14:paraId="4E7A2486" w14:textId="77777777" w:rsidR="00000000" w:rsidRDefault="00582324">
            <w:pPr>
              <w:pStyle w:val="a3"/>
              <w:spacing w:before="0" w:beforeAutospacing="0" w:after="0" w:afterAutospacing="0"/>
              <w:rPr>
                <w:sz w:val="4"/>
                <w:szCs w:val="4"/>
              </w:rPr>
            </w:pPr>
            <w:r>
              <w:rPr>
                <w:sz w:val="4"/>
                <w:szCs w:val="4"/>
              </w:rPr>
              <w:t> </w:t>
            </w:r>
          </w:p>
        </w:tc>
        <w:tc>
          <w:tcPr>
            <w:tcW w:w="1078" w:type="pct"/>
            <w:gridSpan w:val="2"/>
            <w:hideMark/>
          </w:tcPr>
          <w:p w14:paraId="3ED7F854" w14:textId="77777777" w:rsidR="00000000" w:rsidRDefault="00582324">
            <w:pPr>
              <w:pStyle w:val="a3"/>
              <w:spacing w:before="0" w:beforeAutospacing="0" w:after="0" w:afterAutospacing="0"/>
              <w:rPr>
                <w:sz w:val="4"/>
                <w:szCs w:val="4"/>
              </w:rPr>
            </w:pPr>
            <w:r>
              <w:rPr>
                <w:sz w:val="4"/>
                <w:szCs w:val="4"/>
              </w:rPr>
              <w:t> </w:t>
            </w:r>
          </w:p>
        </w:tc>
        <w:tc>
          <w:tcPr>
            <w:tcW w:w="136" w:type="pct"/>
            <w:gridSpan w:val="2"/>
            <w:hideMark/>
          </w:tcPr>
          <w:p w14:paraId="7E5E8B93" w14:textId="77777777" w:rsidR="00000000" w:rsidRDefault="00582324">
            <w:pPr>
              <w:pStyle w:val="a3"/>
              <w:spacing w:before="0" w:beforeAutospacing="0" w:after="0" w:afterAutospacing="0"/>
              <w:rPr>
                <w:sz w:val="4"/>
                <w:szCs w:val="4"/>
              </w:rPr>
            </w:pPr>
            <w:r>
              <w:rPr>
                <w:sz w:val="4"/>
                <w:szCs w:val="4"/>
              </w:rPr>
              <w:t> </w:t>
            </w:r>
          </w:p>
        </w:tc>
      </w:tr>
      <w:tr w:rsidR="00000000" w14:paraId="3760F67A" w14:textId="77777777">
        <w:trPr>
          <w:divId w:val="1790664376"/>
        </w:trPr>
        <w:tc>
          <w:tcPr>
            <w:tcW w:w="965" w:type="pct"/>
            <w:hideMark/>
          </w:tcPr>
          <w:p w14:paraId="617194B2" w14:textId="77777777" w:rsidR="00000000" w:rsidRDefault="00582324">
            <w:pPr>
              <w:pStyle w:val="a3"/>
              <w:spacing w:before="0" w:beforeAutospacing="0" w:after="0" w:afterAutospacing="0"/>
              <w:rPr>
                <w:sz w:val="18"/>
                <w:szCs w:val="18"/>
              </w:rPr>
            </w:pPr>
            <w:r>
              <w:rPr>
                <w:sz w:val="18"/>
                <w:szCs w:val="18"/>
              </w:rPr>
              <w:t>Non-accelerated filer</w:t>
            </w:r>
          </w:p>
        </w:tc>
        <w:tc>
          <w:tcPr>
            <w:tcW w:w="30" w:type="pct"/>
            <w:hideMark/>
          </w:tcPr>
          <w:p w14:paraId="5D6255F7" w14:textId="77777777" w:rsidR="00000000" w:rsidRDefault="00582324">
            <w:pPr>
              <w:pStyle w:val="a3"/>
              <w:spacing w:before="0" w:beforeAutospacing="0" w:after="0" w:afterAutospacing="0"/>
              <w:rPr>
                <w:sz w:val="18"/>
                <w:szCs w:val="18"/>
              </w:rPr>
            </w:pPr>
            <w:r>
              <w:rPr>
                <w:sz w:val="18"/>
                <w:szCs w:val="18"/>
              </w:rPr>
              <w:t> </w:t>
            </w:r>
          </w:p>
        </w:tc>
        <w:tc>
          <w:tcPr>
            <w:tcW w:w="2792" w:type="pct"/>
            <w:hideMark/>
          </w:tcPr>
          <w:p w14:paraId="2088D4C0" w14:textId="77777777" w:rsidR="00000000" w:rsidRDefault="0058232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3C56926E" w14:textId="77777777" w:rsidR="00000000" w:rsidRDefault="00582324">
            <w:pPr>
              <w:pStyle w:val="a3"/>
              <w:spacing w:before="0" w:beforeAutospacing="0" w:after="0" w:afterAutospacing="0"/>
              <w:rPr>
                <w:sz w:val="18"/>
                <w:szCs w:val="18"/>
              </w:rPr>
            </w:pPr>
            <w:r>
              <w:rPr>
                <w:sz w:val="18"/>
                <w:szCs w:val="18"/>
              </w:rPr>
              <w:t>  </w:t>
            </w:r>
          </w:p>
        </w:tc>
        <w:tc>
          <w:tcPr>
            <w:tcW w:w="1024" w:type="pct"/>
            <w:hideMark/>
          </w:tcPr>
          <w:p w14:paraId="603C6724" w14:textId="77777777" w:rsidR="00000000" w:rsidRDefault="00582324">
            <w:pPr>
              <w:pStyle w:val="a3"/>
              <w:spacing w:before="0" w:beforeAutospacing="0" w:after="0" w:afterAutospacing="0"/>
              <w:rPr>
                <w:sz w:val="18"/>
                <w:szCs w:val="18"/>
              </w:rPr>
            </w:pPr>
            <w:r>
              <w:rPr>
                <w:sz w:val="18"/>
                <w:szCs w:val="18"/>
              </w:rPr>
              <w:t>Smaller reporting company</w:t>
            </w:r>
          </w:p>
        </w:tc>
        <w:tc>
          <w:tcPr>
            <w:tcW w:w="30" w:type="pct"/>
            <w:hideMark/>
          </w:tcPr>
          <w:p w14:paraId="084DC079" w14:textId="77777777" w:rsidR="00000000" w:rsidRDefault="00582324">
            <w:pPr>
              <w:pStyle w:val="a3"/>
              <w:spacing w:before="0" w:beforeAutospacing="0" w:after="0" w:afterAutospacing="0"/>
              <w:rPr>
                <w:sz w:val="18"/>
                <w:szCs w:val="18"/>
              </w:rPr>
            </w:pPr>
            <w:r>
              <w:rPr>
                <w:sz w:val="18"/>
                <w:szCs w:val="18"/>
              </w:rPr>
              <w:t> </w:t>
            </w:r>
          </w:p>
        </w:tc>
        <w:tc>
          <w:tcPr>
            <w:tcW w:w="106" w:type="pct"/>
            <w:hideMark/>
          </w:tcPr>
          <w:p w14:paraId="29DDA71E" w14:textId="77777777" w:rsidR="00000000" w:rsidRDefault="0058232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14:paraId="74AFB412" w14:textId="77777777">
        <w:trPr>
          <w:divId w:val="1790664376"/>
        </w:trPr>
        <w:tc>
          <w:tcPr>
            <w:tcW w:w="965" w:type="pct"/>
            <w:hideMark/>
          </w:tcPr>
          <w:p w14:paraId="1DDC723A" w14:textId="77777777" w:rsidR="00000000" w:rsidRDefault="00582324">
            <w:pPr>
              <w:pStyle w:val="a3"/>
              <w:spacing w:before="0" w:beforeAutospacing="0" w:after="0" w:afterAutospacing="0"/>
              <w:rPr>
                <w:sz w:val="4"/>
                <w:szCs w:val="4"/>
              </w:rPr>
            </w:pPr>
            <w:r>
              <w:rPr>
                <w:sz w:val="4"/>
                <w:szCs w:val="4"/>
              </w:rPr>
              <w:t> </w:t>
            </w:r>
          </w:p>
        </w:tc>
        <w:tc>
          <w:tcPr>
            <w:tcW w:w="30" w:type="pct"/>
            <w:hideMark/>
          </w:tcPr>
          <w:p w14:paraId="2D16CE9F" w14:textId="77777777" w:rsidR="00000000" w:rsidRDefault="00582324">
            <w:pPr>
              <w:pStyle w:val="a3"/>
              <w:spacing w:before="0" w:beforeAutospacing="0" w:after="0" w:afterAutospacing="0"/>
              <w:rPr>
                <w:sz w:val="4"/>
                <w:szCs w:val="4"/>
              </w:rPr>
            </w:pPr>
            <w:r>
              <w:rPr>
                <w:sz w:val="4"/>
                <w:szCs w:val="4"/>
              </w:rPr>
              <w:t> </w:t>
            </w:r>
          </w:p>
        </w:tc>
        <w:tc>
          <w:tcPr>
            <w:tcW w:w="2792" w:type="pct"/>
            <w:hideMark/>
          </w:tcPr>
          <w:p w14:paraId="5F018266" w14:textId="77777777" w:rsidR="00000000" w:rsidRDefault="00582324">
            <w:pPr>
              <w:pStyle w:val="a3"/>
              <w:spacing w:before="0" w:beforeAutospacing="0" w:after="0" w:afterAutospacing="0"/>
              <w:rPr>
                <w:sz w:val="4"/>
                <w:szCs w:val="4"/>
              </w:rPr>
            </w:pPr>
            <w:r>
              <w:rPr>
                <w:sz w:val="4"/>
                <w:szCs w:val="4"/>
              </w:rPr>
              <w:t> </w:t>
            </w:r>
          </w:p>
        </w:tc>
        <w:tc>
          <w:tcPr>
            <w:tcW w:w="53" w:type="pct"/>
            <w:hideMark/>
          </w:tcPr>
          <w:p w14:paraId="57F47EAF" w14:textId="77777777" w:rsidR="00000000" w:rsidRDefault="00582324">
            <w:pPr>
              <w:pStyle w:val="a3"/>
              <w:spacing w:before="0" w:beforeAutospacing="0" w:after="0" w:afterAutospacing="0"/>
              <w:rPr>
                <w:sz w:val="4"/>
                <w:szCs w:val="4"/>
              </w:rPr>
            </w:pPr>
            <w:r>
              <w:rPr>
                <w:sz w:val="4"/>
                <w:szCs w:val="4"/>
              </w:rPr>
              <w:t> </w:t>
            </w:r>
          </w:p>
        </w:tc>
        <w:tc>
          <w:tcPr>
            <w:tcW w:w="1024" w:type="pct"/>
            <w:hideMark/>
          </w:tcPr>
          <w:p w14:paraId="59ACF489" w14:textId="77777777" w:rsidR="00000000" w:rsidRDefault="00582324">
            <w:pPr>
              <w:pStyle w:val="a3"/>
              <w:spacing w:before="0" w:beforeAutospacing="0" w:after="0" w:afterAutospacing="0"/>
              <w:rPr>
                <w:sz w:val="4"/>
                <w:szCs w:val="4"/>
              </w:rPr>
            </w:pPr>
            <w:r>
              <w:rPr>
                <w:sz w:val="4"/>
                <w:szCs w:val="4"/>
              </w:rPr>
              <w:t> </w:t>
            </w:r>
          </w:p>
        </w:tc>
        <w:tc>
          <w:tcPr>
            <w:tcW w:w="30" w:type="pct"/>
            <w:hideMark/>
          </w:tcPr>
          <w:p w14:paraId="5B2E1A5D" w14:textId="77777777" w:rsidR="00000000" w:rsidRDefault="00582324">
            <w:pPr>
              <w:pStyle w:val="a3"/>
              <w:spacing w:before="0" w:beforeAutospacing="0" w:after="0" w:afterAutospacing="0"/>
              <w:rPr>
                <w:sz w:val="4"/>
                <w:szCs w:val="4"/>
              </w:rPr>
            </w:pPr>
            <w:r>
              <w:rPr>
                <w:sz w:val="4"/>
                <w:szCs w:val="4"/>
              </w:rPr>
              <w:t> </w:t>
            </w:r>
          </w:p>
        </w:tc>
        <w:tc>
          <w:tcPr>
            <w:tcW w:w="106" w:type="pct"/>
            <w:hideMark/>
          </w:tcPr>
          <w:p w14:paraId="12B63F86" w14:textId="77777777" w:rsidR="00000000" w:rsidRDefault="00582324">
            <w:pPr>
              <w:pStyle w:val="a3"/>
              <w:spacing w:before="0" w:beforeAutospacing="0" w:after="0" w:afterAutospacing="0"/>
              <w:rPr>
                <w:sz w:val="4"/>
                <w:szCs w:val="4"/>
              </w:rPr>
            </w:pPr>
            <w:r>
              <w:rPr>
                <w:sz w:val="4"/>
                <w:szCs w:val="4"/>
              </w:rPr>
              <w:t> </w:t>
            </w:r>
          </w:p>
        </w:tc>
      </w:tr>
      <w:tr w:rsidR="00000000" w14:paraId="301ABAAE" w14:textId="77777777">
        <w:trPr>
          <w:divId w:val="1790664376"/>
        </w:trPr>
        <w:tc>
          <w:tcPr>
            <w:tcW w:w="965" w:type="pct"/>
            <w:hideMark/>
          </w:tcPr>
          <w:p w14:paraId="139BFFD1" w14:textId="77777777" w:rsidR="00000000" w:rsidRDefault="00582324">
            <w:pPr>
              <w:pStyle w:val="a3"/>
              <w:spacing w:before="0" w:beforeAutospacing="0" w:after="0" w:afterAutospacing="0"/>
              <w:rPr>
                <w:sz w:val="18"/>
                <w:szCs w:val="18"/>
              </w:rPr>
            </w:pPr>
            <w:r>
              <w:rPr>
                <w:sz w:val="18"/>
                <w:szCs w:val="18"/>
              </w:rPr>
              <w:t>Emerging growth company</w:t>
            </w:r>
          </w:p>
        </w:tc>
        <w:tc>
          <w:tcPr>
            <w:tcW w:w="30" w:type="pct"/>
            <w:hideMark/>
          </w:tcPr>
          <w:p w14:paraId="62B1B058" w14:textId="77777777" w:rsidR="00000000" w:rsidRDefault="00582324">
            <w:pPr>
              <w:pStyle w:val="a3"/>
              <w:spacing w:before="0" w:beforeAutospacing="0" w:after="0" w:afterAutospacing="0"/>
              <w:rPr>
                <w:sz w:val="18"/>
                <w:szCs w:val="18"/>
              </w:rPr>
            </w:pPr>
            <w:r>
              <w:rPr>
                <w:sz w:val="18"/>
                <w:szCs w:val="18"/>
              </w:rPr>
              <w:t> </w:t>
            </w:r>
          </w:p>
        </w:tc>
        <w:tc>
          <w:tcPr>
            <w:tcW w:w="2792" w:type="pct"/>
            <w:hideMark/>
          </w:tcPr>
          <w:p w14:paraId="55C6FB61" w14:textId="77777777" w:rsidR="00000000" w:rsidRDefault="0058232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4DA6A928" w14:textId="77777777" w:rsidR="00000000" w:rsidRDefault="00582324">
            <w:pPr>
              <w:pStyle w:val="a3"/>
              <w:spacing w:before="0" w:beforeAutospacing="0" w:after="0" w:afterAutospacing="0"/>
              <w:rPr>
                <w:sz w:val="18"/>
                <w:szCs w:val="18"/>
              </w:rPr>
            </w:pPr>
            <w:r>
              <w:rPr>
                <w:sz w:val="18"/>
                <w:szCs w:val="18"/>
              </w:rPr>
              <w:t> </w:t>
            </w:r>
          </w:p>
        </w:tc>
        <w:tc>
          <w:tcPr>
            <w:tcW w:w="1024" w:type="pct"/>
            <w:hideMark/>
          </w:tcPr>
          <w:p w14:paraId="0DB4331C" w14:textId="77777777" w:rsidR="00000000" w:rsidRDefault="00582324">
            <w:pPr>
              <w:pStyle w:val="a3"/>
              <w:spacing w:before="0" w:beforeAutospacing="0" w:after="0" w:afterAutospacing="0"/>
              <w:rPr>
                <w:sz w:val="18"/>
                <w:szCs w:val="18"/>
              </w:rPr>
            </w:pPr>
            <w:r>
              <w:rPr>
                <w:sz w:val="18"/>
                <w:szCs w:val="18"/>
              </w:rPr>
              <w:t> </w:t>
            </w:r>
          </w:p>
        </w:tc>
        <w:tc>
          <w:tcPr>
            <w:tcW w:w="30" w:type="pct"/>
            <w:hideMark/>
          </w:tcPr>
          <w:p w14:paraId="551968E6" w14:textId="77777777" w:rsidR="00000000" w:rsidRDefault="00582324">
            <w:pPr>
              <w:pStyle w:val="a3"/>
              <w:spacing w:before="0" w:beforeAutospacing="0" w:after="0" w:afterAutospacing="0"/>
              <w:rPr>
                <w:sz w:val="18"/>
                <w:szCs w:val="18"/>
              </w:rPr>
            </w:pPr>
            <w:r>
              <w:rPr>
                <w:sz w:val="18"/>
                <w:szCs w:val="18"/>
              </w:rPr>
              <w:t> </w:t>
            </w:r>
          </w:p>
        </w:tc>
        <w:tc>
          <w:tcPr>
            <w:tcW w:w="106" w:type="pct"/>
            <w:hideMark/>
          </w:tcPr>
          <w:p w14:paraId="4ADA3471" w14:textId="77777777" w:rsidR="00000000" w:rsidRDefault="00582324">
            <w:pPr>
              <w:pStyle w:val="a3"/>
              <w:spacing w:before="0" w:beforeAutospacing="0" w:after="0" w:afterAutospacing="0"/>
              <w:rPr>
                <w:sz w:val="18"/>
                <w:szCs w:val="18"/>
              </w:rPr>
            </w:pPr>
            <w:r>
              <w:rPr>
                <w:sz w:val="18"/>
                <w:szCs w:val="18"/>
              </w:rPr>
              <w:t> </w:t>
            </w:r>
          </w:p>
        </w:tc>
      </w:tr>
    </w:tbl>
    <w:p w14:paraId="0C7860B5" w14:textId="77777777" w:rsidR="00000000" w:rsidRDefault="00582324">
      <w:pPr>
        <w:pStyle w:val="a3"/>
        <w:spacing w:before="0" w:beforeAutospacing="0" w:after="0" w:afterAutospacing="0"/>
        <w:rPr>
          <w:sz w:val="8"/>
          <w:szCs w:val="8"/>
        </w:rPr>
      </w:pPr>
      <w:r>
        <w:rPr>
          <w:sz w:val="8"/>
          <w:szCs w:val="8"/>
        </w:rPr>
        <w:t> </w:t>
      </w:r>
    </w:p>
    <w:p w14:paraId="0122BBC7" w14:textId="77777777" w:rsidR="00000000" w:rsidRDefault="00582324">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2C8A615D" w14:textId="77777777" w:rsidR="00000000" w:rsidRDefault="00582324">
      <w:pPr>
        <w:pStyle w:val="a3"/>
        <w:spacing w:before="80" w:beforeAutospacing="0" w:after="0" w:afterAutospacing="0"/>
        <w:ind w:firstLine="556"/>
        <w:rPr>
          <w:sz w:val="18"/>
          <w:szCs w:val="18"/>
        </w:rPr>
      </w:pPr>
      <w:r>
        <w:rPr>
          <w:sz w:val="18"/>
          <w:szCs w:val="18"/>
        </w:rPr>
        <w:lastRenderedPageBreak/>
        <w:t>Ind</w:t>
      </w:r>
      <w:r>
        <w:rPr>
          <w:sz w:val="18"/>
          <w:szCs w:val="18"/>
        </w:rPr>
        <w:t>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14:paraId="53C5FCBC" w14:textId="77777777" w:rsidR="00000000" w:rsidRDefault="00582324">
      <w:pPr>
        <w:pStyle w:val="a3"/>
        <w:spacing w:before="80" w:beforeAutospacing="0" w:after="0" w:afterAutospacing="0"/>
        <w:ind w:firstLine="556"/>
        <w:rPr>
          <w:sz w:val="18"/>
          <w:szCs w:val="18"/>
        </w:rPr>
      </w:pPr>
      <w:r>
        <w:rPr>
          <w:sz w:val="18"/>
          <w:szCs w:val="18"/>
        </w:rPr>
        <w:t>As of August 6, 2021, the registrant had 26,199,377 shares of common stock, $0.000004 par value per share, outstanding.</w:t>
      </w:r>
    </w:p>
    <w:p w14:paraId="6D7D965E" w14:textId="77777777" w:rsidR="00000000" w:rsidRDefault="00582324">
      <w:pPr>
        <w:pStyle w:val="a3"/>
        <w:pBdr>
          <w:bottom w:val="double" w:sz="6" w:space="1" w:color="auto"/>
        </w:pBdr>
        <w:spacing w:before="0" w:beforeAutospacing="0" w:after="0" w:afterAutospacing="0"/>
        <w:rPr>
          <w:sz w:val="12"/>
          <w:szCs w:val="12"/>
        </w:rPr>
      </w:pPr>
      <w:r>
        <w:rPr>
          <w:sz w:val="12"/>
          <w:szCs w:val="12"/>
        </w:rPr>
        <w:t> </w:t>
      </w:r>
    </w:p>
    <w:p w14:paraId="05FE830C" w14:textId="77777777" w:rsidR="00000000" w:rsidRDefault="00582324">
      <w:pPr>
        <w:pStyle w:val="a3"/>
        <w:spacing w:before="0" w:beforeAutospacing="0" w:after="0" w:afterAutospacing="0"/>
        <w:rPr>
          <w:sz w:val="20"/>
          <w:szCs w:val="20"/>
        </w:rPr>
      </w:pPr>
      <w:r>
        <w:rPr>
          <w:sz w:val="20"/>
          <w:szCs w:val="20"/>
        </w:rPr>
        <w:t> </w:t>
      </w:r>
    </w:p>
    <w:p w14:paraId="0FF6103F" w14:textId="77777777" w:rsidR="00000000" w:rsidRDefault="00582324">
      <w:pPr>
        <w:pStyle w:val="a3"/>
        <w:spacing w:before="0" w:beforeAutospacing="0" w:after="0" w:afterAutospacing="0" w:line="20" w:lineRule="atLeast"/>
        <w:jc w:val="center"/>
        <w:rPr>
          <w:sz w:val="20"/>
          <w:szCs w:val="20"/>
        </w:rPr>
      </w:pPr>
      <w:r>
        <w:rPr>
          <w:sz w:val="20"/>
          <w:szCs w:val="20"/>
        </w:rPr>
        <w:t> </w:t>
      </w:r>
    </w:p>
    <w:p w14:paraId="6DD9ECCB" w14:textId="77777777" w:rsidR="00000000" w:rsidRDefault="00582324">
      <w:pPr>
        <w:rPr>
          <w:rFonts w:eastAsia="Times New Roman"/>
        </w:rPr>
      </w:pPr>
      <w:r>
        <w:rPr>
          <w:rFonts w:eastAsia="Times New Roman"/>
        </w:rPr>
        <w:pict w14:anchorId="2375CCDC">
          <v:rect id="_x0000_i1025" style="width:0;height:1.5pt" o:hralign="center" o:hrstd="t" o:hr="t" fillcolor="#a0a0a0" stroked="f"/>
        </w:pict>
      </w:r>
    </w:p>
    <w:p w14:paraId="5C5E1284" w14:textId="77777777" w:rsidR="00000000" w:rsidRDefault="00582324">
      <w:pPr>
        <w:pStyle w:val="a3"/>
        <w:spacing w:before="0" w:beforeAutospacing="0" w:after="0" w:afterAutospacing="0"/>
        <w:rPr>
          <w:sz w:val="20"/>
          <w:szCs w:val="20"/>
        </w:rPr>
      </w:pPr>
      <w:r>
        <w:rPr>
          <w:sz w:val="20"/>
          <w:szCs w:val="20"/>
        </w:rPr>
        <w:t> </w:t>
      </w:r>
    </w:p>
    <w:p w14:paraId="1FF94C03" w14:textId="77777777" w:rsidR="00000000" w:rsidRDefault="00582324">
      <w:pPr>
        <w:pStyle w:val="a3"/>
        <w:spacing w:before="0" w:beforeAutospacing="0" w:after="0" w:afterAutospacing="0"/>
        <w:jc w:val="center"/>
        <w:rPr>
          <w:b/>
          <w:bCs/>
          <w:sz w:val="20"/>
          <w:szCs w:val="20"/>
        </w:rPr>
      </w:pPr>
      <w:r>
        <w:rPr>
          <w:b/>
          <w:bCs/>
          <w:sz w:val="20"/>
          <w:szCs w:val="20"/>
        </w:rPr>
        <w:t>Table of Contents</w:t>
      </w:r>
    </w:p>
    <w:p w14:paraId="39E5E4CF" w14:textId="77777777" w:rsidR="00000000" w:rsidRDefault="00582324">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39"/>
        <w:gridCol w:w="6894"/>
        <w:gridCol w:w="573"/>
      </w:tblGrid>
      <w:tr w:rsidR="00000000" w14:paraId="5DF0F5B5" w14:textId="77777777">
        <w:trPr>
          <w:divId w:val="1951204836"/>
        </w:trPr>
        <w:tc>
          <w:tcPr>
            <w:tcW w:w="505" w:type="pct"/>
            <w:shd w:val="clear" w:color="auto" w:fill="FFFFFF"/>
            <w:tcMar>
              <w:top w:w="15" w:type="dxa"/>
              <w:left w:w="0" w:type="dxa"/>
              <w:bottom w:w="0" w:type="dxa"/>
              <w:right w:w="15" w:type="dxa"/>
            </w:tcMar>
            <w:vAlign w:val="center"/>
            <w:hideMark/>
          </w:tcPr>
          <w:p w14:paraId="4387AB3F" w14:textId="77777777" w:rsidR="00000000" w:rsidRDefault="00582324">
            <w:pPr>
              <w:pStyle w:val="a3"/>
              <w:spacing w:before="0" w:beforeAutospacing="0" w:after="0" w:afterAutospacing="0"/>
              <w:ind w:left="137"/>
              <w:rPr>
                <w:color w:val="000000"/>
                <w:sz w:val="16"/>
                <w:szCs w:val="16"/>
              </w:rPr>
            </w:pPr>
            <w:r>
              <w:rPr>
                <w:color w:val="000000"/>
                <w:sz w:val="16"/>
                <w:szCs w:val="16"/>
              </w:rPr>
              <w:t> </w:t>
            </w:r>
          </w:p>
        </w:tc>
        <w:tc>
          <w:tcPr>
            <w:tcW w:w="4150" w:type="pct"/>
            <w:shd w:val="clear" w:color="auto" w:fill="FFFFFF"/>
            <w:tcMar>
              <w:top w:w="15" w:type="dxa"/>
              <w:left w:w="0" w:type="dxa"/>
              <w:bottom w:w="0" w:type="dxa"/>
              <w:right w:w="15" w:type="dxa"/>
            </w:tcMar>
            <w:vAlign w:val="center"/>
            <w:hideMark/>
          </w:tcPr>
          <w:p w14:paraId="46C165C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345" w:type="pct"/>
            <w:tcBorders>
              <w:bottom w:val="single" w:sz="6" w:space="0" w:color="000000"/>
            </w:tcBorders>
            <w:shd w:val="clear" w:color="auto" w:fill="FFFFFF"/>
            <w:tcMar>
              <w:top w:w="15" w:type="dxa"/>
              <w:left w:w="0" w:type="dxa"/>
              <w:bottom w:w="0" w:type="dxa"/>
              <w:right w:w="15" w:type="dxa"/>
            </w:tcMar>
            <w:vAlign w:val="center"/>
            <w:hideMark/>
          </w:tcPr>
          <w:p w14:paraId="04697D1A"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Page</w:t>
            </w:r>
          </w:p>
        </w:tc>
      </w:tr>
      <w:tr w:rsidR="00000000" w14:paraId="64F3C0DC" w14:textId="77777777">
        <w:trPr>
          <w:divId w:val="1951204836"/>
        </w:trPr>
        <w:tc>
          <w:tcPr>
            <w:tcW w:w="505" w:type="pct"/>
            <w:shd w:val="clear" w:color="auto" w:fill="FFFFFF"/>
            <w:tcMar>
              <w:top w:w="15" w:type="dxa"/>
              <w:left w:w="0" w:type="dxa"/>
              <w:bottom w:w="0" w:type="dxa"/>
              <w:right w:w="15" w:type="dxa"/>
            </w:tcMar>
            <w:vAlign w:val="center"/>
            <w:hideMark/>
          </w:tcPr>
          <w:p w14:paraId="000F017E" w14:textId="77777777" w:rsidR="00000000" w:rsidRDefault="00582324">
            <w:pPr>
              <w:pStyle w:val="a3"/>
              <w:spacing w:before="0" w:beforeAutospacing="0" w:after="0" w:afterAutospacing="0"/>
              <w:rPr>
                <w:b/>
                <w:bCs/>
                <w:sz w:val="20"/>
                <w:szCs w:val="20"/>
              </w:rPr>
            </w:pPr>
            <w:r>
              <w:rPr>
                <w:b/>
                <w:bCs/>
                <w:sz w:val="20"/>
                <w:szCs w:val="20"/>
              </w:rPr>
              <w:t>PART I.</w:t>
            </w:r>
          </w:p>
        </w:tc>
        <w:tc>
          <w:tcPr>
            <w:tcW w:w="4150" w:type="pct"/>
            <w:shd w:val="clear" w:color="auto" w:fill="FFFFFF"/>
            <w:tcMar>
              <w:top w:w="15" w:type="dxa"/>
              <w:left w:w="0" w:type="dxa"/>
              <w:bottom w:w="0" w:type="dxa"/>
              <w:right w:w="15" w:type="dxa"/>
            </w:tcMar>
            <w:vAlign w:val="center"/>
            <w:hideMark/>
          </w:tcPr>
          <w:p w14:paraId="5AB8DEFE" w14:textId="77777777" w:rsidR="00000000" w:rsidRDefault="00582324">
            <w:pPr>
              <w:pStyle w:val="a3"/>
              <w:spacing w:before="0" w:beforeAutospacing="0" w:after="0" w:afterAutospacing="0"/>
              <w:rPr>
                <w:sz w:val="20"/>
                <w:szCs w:val="20"/>
              </w:rPr>
            </w:pPr>
            <w:hyperlink w:anchor="PART_IFINANCIAL_INFORMATION" w:history="1">
              <w:r>
                <w:rPr>
                  <w:rStyle w:val="a4"/>
                  <w:sz w:val="20"/>
                  <w:szCs w:val="20"/>
                </w:rPr>
                <w:t>FINANCIAL INFORMATION</w:t>
              </w:r>
            </w:hyperlink>
          </w:p>
        </w:tc>
        <w:tc>
          <w:tcPr>
            <w:tcW w:w="345" w:type="pct"/>
            <w:tcBorders>
              <w:top w:val="single" w:sz="6" w:space="0" w:color="000000"/>
            </w:tcBorders>
            <w:shd w:val="clear" w:color="auto" w:fill="FFFFFF"/>
            <w:tcMar>
              <w:top w:w="15" w:type="dxa"/>
              <w:left w:w="0" w:type="dxa"/>
              <w:bottom w:w="0" w:type="dxa"/>
              <w:right w:w="15" w:type="dxa"/>
            </w:tcMar>
            <w:vAlign w:val="bottom"/>
            <w:hideMark/>
          </w:tcPr>
          <w:p w14:paraId="014F942A" w14:textId="77777777" w:rsidR="00000000" w:rsidRDefault="00582324">
            <w:pPr>
              <w:pStyle w:val="a3"/>
              <w:spacing w:before="0" w:beforeAutospacing="0" w:after="0" w:afterAutospacing="0"/>
              <w:jc w:val="right"/>
              <w:rPr>
                <w:color w:val="000000"/>
                <w:sz w:val="20"/>
                <w:szCs w:val="20"/>
              </w:rPr>
            </w:pPr>
            <w:r>
              <w:rPr>
                <w:color w:val="000000"/>
                <w:sz w:val="20"/>
                <w:szCs w:val="20"/>
              </w:rPr>
              <w:t> </w:t>
            </w:r>
          </w:p>
        </w:tc>
      </w:tr>
      <w:tr w:rsidR="00000000" w14:paraId="36930F1A" w14:textId="77777777">
        <w:trPr>
          <w:divId w:val="1951204836"/>
        </w:trPr>
        <w:tc>
          <w:tcPr>
            <w:tcW w:w="505" w:type="pct"/>
            <w:shd w:val="clear" w:color="auto" w:fill="FFFFFF"/>
            <w:tcMar>
              <w:top w:w="15" w:type="dxa"/>
              <w:left w:w="0" w:type="dxa"/>
              <w:bottom w:w="0" w:type="dxa"/>
              <w:right w:w="15" w:type="dxa"/>
            </w:tcMar>
            <w:vAlign w:val="center"/>
            <w:hideMark/>
          </w:tcPr>
          <w:p w14:paraId="763A9B33" w14:textId="77777777" w:rsidR="00000000" w:rsidRDefault="00582324">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14:paraId="4160F2AE" w14:textId="77777777" w:rsidR="00000000" w:rsidRDefault="00582324">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345" w:type="pct"/>
            <w:shd w:val="clear" w:color="auto" w:fill="FFFFFF"/>
            <w:tcMar>
              <w:top w:w="15" w:type="dxa"/>
              <w:left w:w="0" w:type="dxa"/>
              <w:bottom w:w="0" w:type="dxa"/>
              <w:right w:w="15" w:type="dxa"/>
            </w:tcMar>
            <w:vAlign w:val="bottom"/>
            <w:hideMark/>
          </w:tcPr>
          <w:p w14:paraId="3F4AE07E" w14:textId="77777777" w:rsidR="00000000" w:rsidRDefault="00582324">
            <w:pPr>
              <w:pStyle w:val="a3"/>
              <w:spacing w:before="0" w:beforeAutospacing="0" w:after="0" w:afterAutospacing="0"/>
              <w:jc w:val="right"/>
              <w:rPr>
                <w:color w:val="000000"/>
                <w:sz w:val="20"/>
                <w:szCs w:val="20"/>
              </w:rPr>
            </w:pPr>
            <w:r>
              <w:rPr>
                <w:color w:val="000000"/>
                <w:sz w:val="20"/>
                <w:szCs w:val="20"/>
              </w:rPr>
              <w:t>1</w:t>
            </w:r>
          </w:p>
        </w:tc>
      </w:tr>
      <w:tr w:rsidR="00000000" w14:paraId="05BD8641" w14:textId="77777777">
        <w:trPr>
          <w:divId w:val="1951204836"/>
          <w:trHeight w:val="138"/>
        </w:trPr>
        <w:tc>
          <w:tcPr>
            <w:tcW w:w="505" w:type="pct"/>
            <w:shd w:val="clear" w:color="auto" w:fill="FFFFFF"/>
            <w:tcMar>
              <w:top w:w="15" w:type="dxa"/>
              <w:left w:w="0" w:type="dxa"/>
              <w:bottom w:w="0" w:type="dxa"/>
              <w:right w:w="15" w:type="dxa"/>
            </w:tcMar>
            <w:vAlign w:val="center"/>
            <w:hideMark/>
          </w:tcPr>
          <w:p w14:paraId="42B71D4E" w14:textId="77777777" w:rsidR="00000000" w:rsidRDefault="00582324">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05EC1068" w14:textId="77777777" w:rsidR="00000000" w:rsidRDefault="00582324">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Position</w:t>
              </w:r>
            </w:hyperlink>
          </w:p>
        </w:tc>
        <w:tc>
          <w:tcPr>
            <w:tcW w:w="345" w:type="pct"/>
            <w:shd w:val="clear" w:color="auto" w:fill="FFFFFF"/>
            <w:tcMar>
              <w:top w:w="15" w:type="dxa"/>
              <w:left w:w="0" w:type="dxa"/>
              <w:bottom w:w="0" w:type="dxa"/>
              <w:right w:w="15" w:type="dxa"/>
            </w:tcMar>
            <w:vAlign w:val="bottom"/>
            <w:hideMark/>
          </w:tcPr>
          <w:p w14:paraId="4C3E1BCE" w14:textId="77777777" w:rsidR="00000000" w:rsidRDefault="00582324">
            <w:pPr>
              <w:pStyle w:val="a3"/>
              <w:spacing w:before="0" w:beforeAutospacing="0" w:after="0" w:afterAutospacing="0"/>
              <w:jc w:val="right"/>
              <w:rPr>
                <w:color w:val="000000"/>
                <w:sz w:val="20"/>
                <w:szCs w:val="20"/>
              </w:rPr>
            </w:pPr>
            <w:r>
              <w:rPr>
                <w:color w:val="000000"/>
                <w:sz w:val="20"/>
                <w:szCs w:val="20"/>
              </w:rPr>
              <w:t>1</w:t>
            </w:r>
          </w:p>
        </w:tc>
      </w:tr>
      <w:tr w:rsidR="00000000" w14:paraId="17D6B1EE" w14:textId="77777777">
        <w:trPr>
          <w:divId w:val="1951204836"/>
        </w:trPr>
        <w:tc>
          <w:tcPr>
            <w:tcW w:w="505" w:type="pct"/>
            <w:shd w:val="clear" w:color="auto" w:fill="FFFFFF"/>
            <w:tcMar>
              <w:top w:w="15" w:type="dxa"/>
              <w:left w:w="0" w:type="dxa"/>
              <w:bottom w:w="0" w:type="dxa"/>
              <w:right w:w="15" w:type="dxa"/>
            </w:tcMar>
            <w:vAlign w:val="center"/>
            <w:hideMark/>
          </w:tcPr>
          <w:p w14:paraId="52D42BFA" w14:textId="77777777" w:rsidR="00000000" w:rsidRDefault="00582324">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30A7F0C9" w14:textId="77777777" w:rsidR="00000000" w:rsidRDefault="00582324">
            <w:pPr>
              <w:pStyle w:val="a3"/>
              <w:spacing w:before="0" w:beforeAutospacing="0" w:after="0" w:afterAutospacing="0"/>
              <w:rPr>
                <w:sz w:val="20"/>
                <w:szCs w:val="20"/>
              </w:rPr>
            </w:pPr>
            <w:hyperlink w:anchor="UNAUDITED_CONDENSED_CONSOLIDATED_STATE" w:history="1">
              <w:r>
                <w:rPr>
                  <w:rStyle w:val="a4"/>
                  <w:sz w:val="20"/>
                  <w:szCs w:val="20"/>
                </w:rPr>
                <w:t xml:space="preserve">Unaudited Condensed Consolidated Statements of Operations and Comprehensive Loss </w:t>
              </w:r>
            </w:hyperlink>
          </w:p>
        </w:tc>
        <w:tc>
          <w:tcPr>
            <w:tcW w:w="345" w:type="pct"/>
            <w:shd w:val="clear" w:color="auto" w:fill="FFFFFF"/>
            <w:tcMar>
              <w:top w:w="15" w:type="dxa"/>
              <w:left w:w="0" w:type="dxa"/>
              <w:bottom w:w="0" w:type="dxa"/>
              <w:right w:w="15" w:type="dxa"/>
            </w:tcMar>
            <w:vAlign w:val="bottom"/>
            <w:hideMark/>
          </w:tcPr>
          <w:p w14:paraId="35CD1621" w14:textId="77777777" w:rsidR="00000000" w:rsidRDefault="00582324">
            <w:pPr>
              <w:pStyle w:val="a3"/>
              <w:spacing w:before="0" w:beforeAutospacing="0" w:after="0" w:afterAutospacing="0"/>
              <w:jc w:val="right"/>
              <w:rPr>
                <w:color w:val="000000"/>
                <w:sz w:val="20"/>
                <w:szCs w:val="20"/>
              </w:rPr>
            </w:pPr>
            <w:r>
              <w:rPr>
                <w:color w:val="000000"/>
                <w:sz w:val="20"/>
                <w:szCs w:val="20"/>
              </w:rPr>
              <w:t>2</w:t>
            </w:r>
          </w:p>
        </w:tc>
      </w:tr>
      <w:tr w:rsidR="00000000" w14:paraId="43F70224" w14:textId="77777777">
        <w:trPr>
          <w:divId w:val="1951204836"/>
        </w:trPr>
        <w:tc>
          <w:tcPr>
            <w:tcW w:w="505" w:type="pct"/>
            <w:shd w:val="clear" w:color="auto" w:fill="FFFFFF"/>
            <w:tcMar>
              <w:top w:w="15" w:type="dxa"/>
              <w:left w:w="0" w:type="dxa"/>
              <w:bottom w:w="0" w:type="dxa"/>
              <w:right w:w="15" w:type="dxa"/>
            </w:tcMar>
            <w:vAlign w:val="center"/>
            <w:hideMark/>
          </w:tcPr>
          <w:p w14:paraId="2274A4F2" w14:textId="77777777" w:rsidR="00000000" w:rsidRDefault="00582324">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6FE89534" w14:textId="77777777" w:rsidR="00000000" w:rsidRDefault="00582324">
            <w:pPr>
              <w:pStyle w:val="a3"/>
              <w:spacing w:before="0" w:beforeAutospacing="0" w:after="0" w:afterAutospacing="0"/>
              <w:rPr>
                <w:sz w:val="20"/>
                <w:szCs w:val="20"/>
              </w:rPr>
            </w:pPr>
            <w:hyperlink w:anchor="UNAUDITED_CONSOLIDATED_STATEMENTS_REDEE" w:history="1">
              <w:r>
                <w:rPr>
                  <w:rStyle w:val="a4"/>
                  <w:sz w:val="20"/>
                  <w:szCs w:val="20"/>
                </w:rPr>
                <w:t>Unaudited Condensed Consolidated Statements of Redeemable Series A-1 Preferred Stock, Convertible and Redee</w:t>
              </w:r>
              <w:r>
                <w:rPr>
                  <w:rStyle w:val="a4"/>
                  <w:sz w:val="20"/>
                  <w:szCs w:val="20"/>
                </w:rPr>
                <w:t xml:space="preserve">mable Series A-2 Preferred Stock and Stockholders’ (Deficit) Equity </w:t>
              </w:r>
            </w:hyperlink>
          </w:p>
        </w:tc>
        <w:tc>
          <w:tcPr>
            <w:tcW w:w="345" w:type="pct"/>
            <w:shd w:val="clear" w:color="auto" w:fill="FFFFFF"/>
            <w:tcMar>
              <w:top w:w="15" w:type="dxa"/>
              <w:left w:w="0" w:type="dxa"/>
              <w:bottom w:w="0" w:type="dxa"/>
              <w:right w:w="15" w:type="dxa"/>
            </w:tcMar>
            <w:vAlign w:val="bottom"/>
            <w:hideMark/>
          </w:tcPr>
          <w:p w14:paraId="48B0DC0F" w14:textId="77777777" w:rsidR="00000000" w:rsidRDefault="00582324">
            <w:pPr>
              <w:pStyle w:val="a3"/>
              <w:spacing w:before="0" w:beforeAutospacing="0" w:after="0" w:afterAutospacing="0"/>
              <w:jc w:val="right"/>
              <w:rPr>
                <w:color w:val="000000"/>
                <w:sz w:val="20"/>
                <w:szCs w:val="20"/>
              </w:rPr>
            </w:pPr>
            <w:r>
              <w:rPr>
                <w:color w:val="000000"/>
                <w:sz w:val="20"/>
                <w:szCs w:val="20"/>
              </w:rPr>
              <w:t>3</w:t>
            </w:r>
          </w:p>
        </w:tc>
      </w:tr>
      <w:tr w:rsidR="00000000" w14:paraId="27FFF07D" w14:textId="77777777">
        <w:trPr>
          <w:divId w:val="1951204836"/>
        </w:trPr>
        <w:tc>
          <w:tcPr>
            <w:tcW w:w="505" w:type="pct"/>
            <w:shd w:val="clear" w:color="auto" w:fill="FFFFFF"/>
            <w:tcMar>
              <w:top w:w="15" w:type="dxa"/>
              <w:left w:w="0" w:type="dxa"/>
              <w:bottom w:w="0" w:type="dxa"/>
              <w:right w:w="15" w:type="dxa"/>
            </w:tcMar>
            <w:vAlign w:val="center"/>
            <w:hideMark/>
          </w:tcPr>
          <w:p w14:paraId="7619FEFC" w14:textId="77777777" w:rsidR="00000000" w:rsidRDefault="00582324">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5E57F691" w14:textId="77777777" w:rsidR="00000000" w:rsidRDefault="00582324">
            <w:pPr>
              <w:pStyle w:val="a3"/>
              <w:spacing w:before="0" w:beforeAutospacing="0" w:after="0" w:afterAutospacing="0"/>
              <w:rPr>
                <w:sz w:val="20"/>
                <w:szCs w:val="20"/>
              </w:rPr>
            </w:pPr>
            <w:hyperlink w:anchor="CF_2" w:history="1">
              <w:r>
                <w:rPr>
                  <w:rStyle w:val="a4"/>
                  <w:sz w:val="20"/>
                  <w:szCs w:val="20"/>
                </w:rPr>
                <w:t>Unaudited Condensed Consolidated Statements of Cash Flows</w:t>
              </w:r>
            </w:hyperlink>
          </w:p>
        </w:tc>
        <w:tc>
          <w:tcPr>
            <w:tcW w:w="345" w:type="pct"/>
            <w:shd w:val="clear" w:color="auto" w:fill="FFFFFF"/>
            <w:tcMar>
              <w:top w:w="15" w:type="dxa"/>
              <w:left w:w="0" w:type="dxa"/>
              <w:bottom w:w="0" w:type="dxa"/>
              <w:right w:w="15" w:type="dxa"/>
            </w:tcMar>
            <w:vAlign w:val="bottom"/>
            <w:hideMark/>
          </w:tcPr>
          <w:p w14:paraId="6F9AFD9A" w14:textId="77777777" w:rsidR="00000000" w:rsidRDefault="00582324">
            <w:pPr>
              <w:pStyle w:val="a3"/>
              <w:spacing w:before="0" w:beforeAutospacing="0" w:after="0" w:afterAutospacing="0"/>
              <w:jc w:val="right"/>
              <w:rPr>
                <w:color w:val="000000"/>
                <w:sz w:val="20"/>
                <w:szCs w:val="20"/>
              </w:rPr>
            </w:pPr>
            <w:r>
              <w:rPr>
                <w:color w:val="000000"/>
                <w:sz w:val="20"/>
                <w:szCs w:val="20"/>
              </w:rPr>
              <w:t>4</w:t>
            </w:r>
          </w:p>
        </w:tc>
      </w:tr>
      <w:tr w:rsidR="00000000" w14:paraId="3556B7C4" w14:textId="77777777">
        <w:trPr>
          <w:divId w:val="1951204836"/>
        </w:trPr>
        <w:tc>
          <w:tcPr>
            <w:tcW w:w="505" w:type="pct"/>
            <w:shd w:val="clear" w:color="auto" w:fill="FFFFFF"/>
            <w:tcMar>
              <w:top w:w="15" w:type="dxa"/>
              <w:left w:w="0" w:type="dxa"/>
              <w:bottom w:w="0" w:type="dxa"/>
              <w:right w:w="15" w:type="dxa"/>
            </w:tcMar>
            <w:vAlign w:val="center"/>
            <w:hideMark/>
          </w:tcPr>
          <w:p w14:paraId="20B9A27C" w14:textId="77777777" w:rsidR="00000000" w:rsidRDefault="00582324">
            <w:pPr>
              <w:pStyle w:val="a3"/>
              <w:spacing w:before="0" w:beforeAutospacing="0" w:after="0" w:afterAutospacing="0"/>
              <w:ind w:left="137"/>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0C9B35EF" w14:textId="77777777" w:rsidR="00000000" w:rsidRDefault="00582324">
            <w:pPr>
              <w:pStyle w:val="a3"/>
              <w:spacing w:before="0" w:beforeAutospacing="0" w:after="0" w:afterAutospacing="0"/>
              <w:rPr>
                <w:rFonts w:ascii="TimesNewRomanPS" w:hAnsi="TimesNewRomanPS"/>
                <w:sz w:val="20"/>
                <w:szCs w:val="20"/>
              </w:rPr>
            </w:pPr>
            <w:hyperlink w:anchor="NOTES_TO_UNAUDITED_CONDENSED_CONSOLIDAT" w:history="1">
              <w:r>
                <w:rPr>
                  <w:rStyle w:val="a4"/>
                  <w:rFonts w:ascii="TimesNewRomanPS" w:hAnsi="TimesNewRomanPS"/>
                  <w:sz w:val="20"/>
                  <w:szCs w:val="20"/>
                </w:rPr>
                <w:t>Notes to Unaudited Condensed C</w:t>
              </w:r>
              <w:r>
                <w:rPr>
                  <w:rStyle w:val="a4"/>
                  <w:rFonts w:ascii="TimesNewRomanPS" w:hAnsi="TimesNewRomanPS"/>
                  <w:sz w:val="20"/>
                  <w:szCs w:val="20"/>
                </w:rPr>
                <w:t>onsolidated Financial Statements</w:t>
              </w:r>
            </w:hyperlink>
          </w:p>
        </w:tc>
        <w:tc>
          <w:tcPr>
            <w:tcW w:w="345" w:type="pct"/>
            <w:shd w:val="clear" w:color="auto" w:fill="FFFFFF"/>
            <w:tcMar>
              <w:top w:w="15" w:type="dxa"/>
              <w:left w:w="0" w:type="dxa"/>
              <w:bottom w:w="0" w:type="dxa"/>
              <w:right w:w="15" w:type="dxa"/>
            </w:tcMar>
            <w:vAlign w:val="bottom"/>
            <w:hideMark/>
          </w:tcPr>
          <w:p w14:paraId="3970BEDB" w14:textId="77777777" w:rsidR="00000000" w:rsidRDefault="00582324">
            <w:pPr>
              <w:pStyle w:val="a3"/>
              <w:spacing w:before="0" w:beforeAutospacing="0" w:after="0" w:afterAutospacing="0"/>
              <w:jc w:val="right"/>
              <w:rPr>
                <w:color w:val="000000"/>
                <w:sz w:val="20"/>
                <w:szCs w:val="20"/>
              </w:rPr>
            </w:pPr>
            <w:r>
              <w:rPr>
                <w:color w:val="000000"/>
                <w:sz w:val="20"/>
                <w:szCs w:val="20"/>
              </w:rPr>
              <w:t>5</w:t>
            </w:r>
          </w:p>
        </w:tc>
      </w:tr>
      <w:tr w:rsidR="00000000" w14:paraId="30A2AF56" w14:textId="77777777">
        <w:trPr>
          <w:divId w:val="1951204836"/>
        </w:trPr>
        <w:tc>
          <w:tcPr>
            <w:tcW w:w="505" w:type="pct"/>
            <w:shd w:val="clear" w:color="auto" w:fill="FFFFFF"/>
            <w:tcMar>
              <w:top w:w="15" w:type="dxa"/>
              <w:left w:w="0" w:type="dxa"/>
              <w:bottom w:w="0" w:type="dxa"/>
              <w:right w:w="15" w:type="dxa"/>
            </w:tcMar>
            <w:vAlign w:val="center"/>
            <w:hideMark/>
          </w:tcPr>
          <w:p w14:paraId="5AD4BCBC" w14:textId="77777777" w:rsidR="00000000" w:rsidRDefault="00582324">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14:paraId="2E594CAB" w14:textId="77777777" w:rsidR="00000000" w:rsidRDefault="00582324">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345" w:type="pct"/>
            <w:shd w:val="clear" w:color="auto" w:fill="FFFFFF"/>
            <w:tcMar>
              <w:top w:w="15" w:type="dxa"/>
              <w:left w:w="0" w:type="dxa"/>
              <w:bottom w:w="0" w:type="dxa"/>
              <w:right w:w="15" w:type="dxa"/>
            </w:tcMar>
            <w:vAlign w:val="bottom"/>
            <w:hideMark/>
          </w:tcPr>
          <w:p w14:paraId="32DF03D4" w14:textId="77777777" w:rsidR="00000000" w:rsidRDefault="00582324">
            <w:pPr>
              <w:pStyle w:val="a3"/>
              <w:spacing w:before="0" w:beforeAutospacing="0" w:after="0" w:afterAutospacing="0"/>
              <w:jc w:val="right"/>
              <w:rPr>
                <w:color w:val="000000"/>
                <w:sz w:val="20"/>
                <w:szCs w:val="20"/>
              </w:rPr>
            </w:pPr>
            <w:r>
              <w:rPr>
                <w:color w:val="000000"/>
                <w:sz w:val="20"/>
                <w:szCs w:val="20"/>
              </w:rPr>
              <w:t>33</w:t>
            </w:r>
          </w:p>
        </w:tc>
      </w:tr>
      <w:tr w:rsidR="00000000" w14:paraId="3C927221" w14:textId="77777777">
        <w:trPr>
          <w:divId w:val="1951204836"/>
        </w:trPr>
        <w:tc>
          <w:tcPr>
            <w:tcW w:w="505" w:type="pct"/>
            <w:shd w:val="clear" w:color="auto" w:fill="FFFFFF"/>
            <w:tcMar>
              <w:top w:w="15" w:type="dxa"/>
              <w:left w:w="0" w:type="dxa"/>
              <w:bottom w:w="0" w:type="dxa"/>
              <w:right w:w="15" w:type="dxa"/>
            </w:tcMar>
            <w:vAlign w:val="center"/>
            <w:hideMark/>
          </w:tcPr>
          <w:p w14:paraId="6C2D4F7B" w14:textId="77777777" w:rsidR="00000000" w:rsidRDefault="00582324">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14:paraId="214F0856" w14:textId="77777777" w:rsidR="00000000" w:rsidRDefault="00582324">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345" w:type="pct"/>
            <w:shd w:val="clear" w:color="auto" w:fill="FFFFFF"/>
            <w:tcMar>
              <w:top w:w="15" w:type="dxa"/>
              <w:left w:w="0" w:type="dxa"/>
              <w:bottom w:w="0" w:type="dxa"/>
              <w:right w:w="15" w:type="dxa"/>
            </w:tcMar>
            <w:vAlign w:val="bottom"/>
            <w:hideMark/>
          </w:tcPr>
          <w:p w14:paraId="6FFF9F62" w14:textId="77777777" w:rsidR="00000000" w:rsidRDefault="00582324">
            <w:pPr>
              <w:pStyle w:val="a3"/>
              <w:spacing w:before="0" w:beforeAutospacing="0" w:after="0" w:afterAutospacing="0"/>
              <w:jc w:val="right"/>
              <w:rPr>
                <w:color w:val="000000"/>
                <w:sz w:val="20"/>
                <w:szCs w:val="20"/>
              </w:rPr>
            </w:pPr>
            <w:r>
              <w:rPr>
                <w:color w:val="000000"/>
                <w:sz w:val="20"/>
                <w:szCs w:val="20"/>
              </w:rPr>
              <w:t>51</w:t>
            </w:r>
          </w:p>
        </w:tc>
      </w:tr>
      <w:tr w:rsidR="00000000" w14:paraId="5BC5F8F6" w14:textId="77777777">
        <w:trPr>
          <w:divId w:val="1951204836"/>
        </w:trPr>
        <w:tc>
          <w:tcPr>
            <w:tcW w:w="505" w:type="pct"/>
            <w:shd w:val="clear" w:color="auto" w:fill="FFFFFF"/>
            <w:tcMar>
              <w:top w:w="15" w:type="dxa"/>
              <w:left w:w="0" w:type="dxa"/>
              <w:bottom w:w="0" w:type="dxa"/>
              <w:right w:w="15" w:type="dxa"/>
            </w:tcMar>
            <w:vAlign w:val="center"/>
            <w:hideMark/>
          </w:tcPr>
          <w:p w14:paraId="59313BD2" w14:textId="77777777" w:rsidR="00000000" w:rsidRDefault="00582324">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hideMark/>
          </w:tcPr>
          <w:p w14:paraId="50D0CD57" w14:textId="77777777" w:rsidR="00000000" w:rsidRDefault="00582324">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345" w:type="pct"/>
            <w:shd w:val="clear" w:color="auto" w:fill="FFFFFF"/>
            <w:tcMar>
              <w:top w:w="15" w:type="dxa"/>
              <w:left w:w="0" w:type="dxa"/>
              <w:bottom w:w="0" w:type="dxa"/>
              <w:right w:w="15" w:type="dxa"/>
            </w:tcMar>
            <w:vAlign w:val="bottom"/>
            <w:hideMark/>
          </w:tcPr>
          <w:p w14:paraId="75626B94" w14:textId="77777777" w:rsidR="00000000" w:rsidRDefault="00582324">
            <w:pPr>
              <w:pStyle w:val="a3"/>
              <w:spacing w:before="0" w:beforeAutospacing="0" w:after="0" w:afterAutospacing="0"/>
              <w:jc w:val="right"/>
              <w:rPr>
                <w:color w:val="000000"/>
                <w:sz w:val="20"/>
                <w:szCs w:val="20"/>
              </w:rPr>
            </w:pPr>
            <w:r>
              <w:rPr>
                <w:color w:val="000000"/>
                <w:sz w:val="20"/>
                <w:szCs w:val="20"/>
              </w:rPr>
              <w:t>51</w:t>
            </w:r>
          </w:p>
        </w:tc>
      </w:tr>
      <w:tr w:rsidR="00000000" w14:paraId="2D7C0DA5" w14:textId="77777777">
        <w:trPr>
          <w:divId w:val="1951204836"/>
        </w:trPr>
        <w:tc>
          <w:tcPr>
            <w:tcW w:w="505" w:type="pct"/>
            <w:shd w:val="clear" w:color="auto" w:fill="FFFFFF"/>
            <w:tcMar>
              <w:top w:w="15" w:type="dxa"/>
              <w:left w:w="0" w:type="dxa"/>
              <w:bottom w:w="0" w:type="dxa"/>
              <w:right w:w="15" w:type="dxa"/>
            </w:tcMar>
            <w:vAlign w:val="center"/>
            <w:hideMark/>
          </w:tcPr>
          <w:p w14:paraId="54ECDA4B" w14:textId="77777777" w:rsidR="00000000" w:rsidRDefault="00582324">
            <w:pPr>
              <w:pStyle w:val="a3"/>
              <w:spacing w:before="0" w:beforeAutospacing="0" w:after="0" w:afterAutospacing="0"/>
              <w:rPr>
                <w:sz w:val="20"/>
                <w:szCs w:val="20"/>
              </w:rPr>
            </w:pPr>
            <w:r>
              <w:rPr>
                <w:sz w:val="20"/>
                <w:szCs w:val="20"/>
              </w:rPr>
              <w:t> </w:t>
            </w:r>
          </w:p>
        </w:tc>
        <w:tc>
          <w:tcPr>
            <w:tcW w:w="4150" w:type="pct"/>
            <w:shd w:val="clear" w:color="auto" w:fill="FFFFFF"/>
            <w:tcMar>
              <w:top w:w="15" w:type="dxa"/>
              <w:left w:w="0" w:type="dxa"/>
              <w:bottom w:w="0" w:type="dxa"/>
              <w:right w:w="15" w:type="dxa"/>
            </w:tcMar>
            <w:vAlign w:val="center"/>
            <w:hideMark/>
          </w:tcPr>
          <w:p w14:paraId="1D7F62CA" w14:textId="77777777" w:rsidR="00000000" w:rsidRDefault="00582324">
            <w:pPr>
              <w:pStyle w:val="a3"/>
              <w:spacing w:before="0" w:beforeAutospacing="0" w:after="0" w:afterAutospacing="0"/>
              <w:rPr>
                <w:sz w:val="20"/>
                <w:szCs w:val="20"/>
              </w:rPr>
            </w:pPr>
            <w:r>
              <w:rPr>
                <w:sz w:val="20"/>
                <w:szCs w:val="20"/>
              </w:rPr>
              <w:t> </w:t>
            </w:r>
          </w:p>
        </w:tc>
        <w:tc>
          <w:tcPr>
            <w:tcW w:w="345" w:type="pct"/>
            <w:shd w:val="clear" w:color="auto" w:fill="FFFFFF"/>
            <w:tcMar>
              <w:top w:w="15" w:type="dxa"/>
              <w:left w:w="0" w:type="dxa"/>
              <w:bottom w:w="0" w:type="dxa"/>
              <w:right w:w="15" w:type="dxa"/>
            </w:tcMar>
            <w:vAlign w:val="bottom"/>
            <w:hideMark/>
          </w:tcPr>
          <w:p w14:paraId="3AFD964E" w14:textId="77777777" w:rsidR="00000000" w:rsidRDefault="00582324">
            <w:pPr>
              <w:pStyle w:val="a3"/>
              <w:spacing w:before="0" w:beforeAutospacing="0" w:after="0" w:afterAutospacing="0"/>
              <w:jc w:val="right"/>
              <w:rPr>
                <w:sz w:val="20"/>
                <w:szCs w:val="20"/>
              </w:rPr>
            </w:pPr>
            <w:r>
              <w:rPr>
                <w:sz w:val="20"/>
                <w:szCs w:val="20"/>
              </w:rPr>
              <w:t> </w:t>
            </w:r>
          </w:p>
        </w:tc>
      </w:tr>
      <w:tr w:rsidR="00000000" w14:paraId="61DE805F" w14:textId="77777777">
        <w:trPr>
          <w:divId w:val="1951204836"/>
        </w:trPr>
        <w:tc>
          <w:tcPr>
            <w:tcW w:w="505" w:type="pct"/>
            <w:shd w:val="clear" w:color="auto" w:fill="FFFFFF"/>
            <w:tcMar>
              <w:top w:w="15" w:type="dxa"/>
              <w:left w:w="0" w:type="dxa"/>
              <w:bottom w:w="0" w:type="dxa"/>
              <w:right w:w="15" w:type="dxa"/>
            </w:tcMar>
            <w:vAlign w:val="center"/>
            <w:hideMark/>
          </w:tcPr>
          <w:p w14:paraId="0B244E95" w14:textId="77777777" w:rsidR="00000000" w:rsidRDefault="00582324">
            <w:pPr>
              <w:pStyle w:val="a3"/>
              <w:spacing w:before="0" w:beforeAutospacing="0" w:after="0" w:afterAutospacing="0"/>
              <w:rPr>
                <w:b/>
                <w:bCs/>
                <w:sz w:val="20"/>
                <w:szCs w:val="20"/>
              </w:rPr>
            </w:pPr>
            <w:r>
              <w:rPr>
                <w:b/>
                <w:bCs/>
                <w:sz w:val="20"/>
                <w:szCs w:val="20"/>
              </w:rPr>
              <w:t>PART II.</w:t>
            </w:r>
          </w:p>
        </w:tc>
        <w:tc>
          <w:tcPr>
            <w:tcW w:w="4150" w:type="pct"/>
            <w:shd w:val="clear" w:color="auto" w:fill="FFFFFF"/>
            <w:tcMar>
              <w:top w:w="15" w:type="dxa"/>
              <w:left w:w="0" w:type="dxa"/>
              <w:bottom w:w="0" w:type="dxa"/>
              <w:right w:w="15" w:type="dxa"/>
            </w:tcMar>
            <w:vAlign w:val="center"/>
            <w:hideMark/>
          </w:tcPr>
          <w:p w14:paraId="0AE7633A" w14:textId="77777777" w:rsidR="00000000" w:rsidRDefault="00582324">
            <w:pPr>
              <w:pStyle w:val="a3"/>
              <w:spacing w:before="0" w:beforeAutospacing="0" w:after="0" w:afterAutospacing="0"/>
              <w:rPr>
                <w:sz w:val="20"/>
                <w:szCs w:val="20"/>
              </w:rPr>
            </w:pPr>
            <w:hyperlink w:anchor="PART_IIOR_INFORMATION" w:history="1">
              <w:r>
                <w:rPr>
                  <w:rStyle w:val="a4"/>
                  <w:sz w:val="20"/>
                  <w:szCs w:val="20"/>
                </w:rPr>
                <w:t>OTHER INFORMATION</w:t>
              </w:r>
            </w:hyperlink>
          </w:p>
        </w:tc>
        <w:tc>
          <w:tcPr>
            <w:tcW w:w="345" w:type="pct"/>
            <w:shd w:val="clear" w:color="auto" w:fill="FFFFFF"/>
            <w:tcMar>
              <w:top w:w="15" w:type="dxa"/>
              <w:left w:w="0" w:type="dxa"/>
              <w:bottom w:w="0" w:type="dxa"/>
              <w:right w:w="15" w:type="dxa"/>
            </w:tcMar>
            <w:vAlign w:val="bottom"/>
            <w:hideMark/>
          </w:tcPr>
          <w:p w14:paraId="69D66B47" w14:textId="77777777" w:rsidR="00000000" w:rsidRDefault="00582324">
            <w:pPr>
              <w:pStyle w:val="a3"/>
              <w:spacing w:before="0" w:beforeAutospacing="0" w:after="0" w:afterAutospacing="0"/>
              <w:jc w:val="right"/>
              <w:rPr>
                <w:sz w:val="20"/>
                <w:szCs w:val="20"/>
              </w:rPr>
            </w:pPr>
            <w:r>
              <w:rPr>
                <w:sz w:val="20"/>
                <w:szCs w:val="20"/>
              </w:rPr>
              <w:t> </w:t>
            </w:r>
          </w:p>
        </w:tc>
      </w:tr>
      <w:tr w:rsidR="00000000" w14:paraId="6D1467F7" w14:textId="77777777">
        <w:trPr>
          <w:divId w:val="1951204836"/>
        </w:trPr>
        <w:tc>
          <w:tcPr>
            <w:tcW w:w="505" w:type="pct"/>
            <w:shd w:val="clear" w:color="auto" w:fill="FFFFFF"/>
            <w:tcMar>
              <w:top w:w="15" w:type="dxa"/>
              <w:left w:w="0" w:type="dxa"/>
              <w:bottom w:w="0" w:type="dxa"/>
              <w:right w:w="15" w:type="dxa"/>
            </w:tcMar>
            <w:vAlign w:val="center"/>
            <w:hideMark/>
          </w:tcPr>
          <w:p w14:paraId="2FEFA6D6" w14:textId="77777777" w:rsidR="00000000" w:rsidRDefault="00582324">
            <w:pPr>
              <w:pStyle w:val="a3"/>
              <w:spacing w:before="0" w:beforeAutospacing="0" w:after="0" w:afterAutospacing="0"/>
              <w:rPr>
                <w:sz w:val="20"/>
                <w:szCs w:val="20"/>
              </w:rPr>
            </w:pPr>
            <w:r>
              <w:rPr>
                <w:sz w:val="20"/>
                <w:szCs w:val="20"/>
              </w:rPr>
              <w:t>Item 1.</w:t>
            </w:r>
          </w:p>
        </w:tc>
        <w:tc>
          <w:tcPr>
            <w:tcW w:w="4150" w:type="pct"/>
            <w:shd w:val="clear" w:color="auto" w:fill="FFFFFF"/>
            <w:tcMar>
              <w:top w:w="15" w:type="dxa"/>
              <w:left w:w="0" w:type="dxa"/>
              <w:bottom w:w="0" w:type="dxa"/>
              <w:right w:w="15" w:type="dxa"/>
            </w:tcMar>
            <w:vAlign w:val="center"/>
            <w:hideMark/>
          </w:tcPr>
          <w:p w14:paraId="17E02FEB" w14:textId="77777777" w:rsidR="00000000" w:rsidRDefault="00582324">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345" w:type="pct"/>
            <w:shd w:val="clear" w:color="auto" w:fill="FFFFFF"/>
            <w:tcMar>
              <w:top w:w="15" w:type="dxa"/>
              <w:left w:w="0" w:type="dxa"/>
              <w:bottom w:w="0" w:type="dxa"/>
              <w:right w:w="15" w:type="dxa"/>
            </w:tcMar>
            <w:vAlign w:val="bottom"/>
            <w:hideMark/>
          </w:tcPr>
          <w:p w14:paraId="0E9B0B7D"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3EBC4DEA" w14:textId="77777777">
        <w:trPr>
          <w:divId w:val="1951204836"/>
        </w:trPr>
        <w:tc>
          <w:tcPr>
            <w:tcW w:w="505" w:type="pct"/>
            <w:shd w:val="clear" w:color="auto" w:fill="FFFFFF"/>
            <w:tcMar>
              <w:top w:w="15" w:type="dxa"/>
              <w:left w:w="0" w:type="dxa"/>
              <w:bottom w:w="0" w:type="dxa"/>
              <w:right w:w="15" w:type="dxa"/>
            </w:tcMar>
            <w:vAlign w:val="center"/>
            <w:hideMark/>
          </w:tcPr>
          <w:p w14:paraId="42E5595B" w14:textId="77777777" w:rsidR="00000000" w:rsidRDefault="00582324">
            <w:pPr>
              <w:pStyle w:val="a3"/>
              <w:spacing w:before="0" w:beforeAutospacing="0" w:after="0" w:afterAutospacing="0"/>
              <w:rPr>
                <w:sz w:val="20"/>
                <w:szCs w:val="20"/>
              </w:rPr>
            </w:pPr>
            <w:r>
              <w:rPr>
                <w:sz w:val="20"/>
                <w:szCs w:val="20"/>
              </w:rPr>
              <w:t>Item 1A.</w:t>
            </w:r>
          </w:p>
        </w:tc>
        <w:tc>
          <w:tcPr>
            <w:tcW w:w="4150" w:type="pct"/>
            <w:shd w:val="clear" w:color="auto" w:fill="FFFFFF"/>
            <w:tcMar>
              <w:top w:w="15" w:type="dxa"/>
              <w:left w:w="0" w:type="dxa"/>
              <w:bottom w:w="0" w:type="dxa"/>
              <w:right w:w="15" w:type="dxa"/>
            </w:tcMar>
            <w:vAlign w:val="center"/>
            <w:hideMark/>
          </w:tcPr>
          <w:p w14:paraId="73A1BDD0" w14:textId="77777777" w:rsidR="00000000" w:rsidRDefault="00582324">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345" w:type="pct"/>
            <w:shd w:val="clear" w:color="auto" w:fill="FFFFFF"/>
            <w:tcMar>
              <w:top w:w="15" w:type="dxa"/>
              <w:left w:w="0" w:type="dxa"/>
              <w:bottom w:w="0" w:type="dxa"/>
              <w:right w:w="15" w:type="dxa"/>
            </w:tcMar>
            <w:vAlign w:val="bottom"/>
            <w:hideMark/>
          </w:tcPr>
          <w:p w14:paraId="1EFBD8E3"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7931ED0C" w14:textId="77777777">
        <w:trPr>
          <w:divId w:val="1951204836"/>
        </w:trPr>
        <w:tc>
          <w:tcPr>
            <w:tcW w:w="505" w:type="pct"/>
            <w:shd w:val="clear" w:color="auto" w:fill="FFFFFF"/>
            <w:tcMar>
              <w:top w:w="15" w:type="dxa"/>
              <w:left w:w="0" w:type="dxa"/>
              <w:bottom w:w="0" w:type="dxa"/>
              <w:right w:w="15" w:type="dxa"/>
            </w:tcMar>
            <w:vAlign w:val="center"/>
            <w:hideMark/>
          </w:tcPr>
          <w:p w14:paraId="5905CE7E" w14:textId="77777777" w:rsidR="00000000" w:rsidRDefault="00582324">
            <w:pPr>
              <w:pStyle w:val="a3"/>
              <w:spacing w:before="0" w:beforeAutospacing="0" w:after="0" w:afterAutospacing="0"/>
              <w:rPr>
                <w:sz w:val="20"/>
                <w:szCs w:val="20"/>
              </w:rPr>
            </w:pPr>
            <w:r>
              <w:rPr>
                <w:sz w:val="20"/>
                <w:szCs w:val="20"/>
              </w:rPr>
              <w:t>Item 2.</w:t>
            </w:r>
          </w:p>
        </w:tc>
        <w:tc>
          <w:tcPr>
            <w:tcW w:w="4150" w:type="pct"/>
            <w:shd w:val="clear" w:color="auto" w:fill="FFFFFF"/>
            <w:tcMar>
              <w:top w:w="15" w:type="dxa"/>
              <w:left w:w="0" w:type="dxa"/>
              <w:bottom w:w="0" w:type="dxa"/>
              <w:right w:w="15" w:type="dxa"/>
            </w:tcMar>
            <w:vAlign w:val="center"/>
            <w:hideMark/>
          </w:tcPr>
          <w:p w14:paraId="4ECF925C" w14:textId="77777777" w:rsidR="00000000" w:rsidRDefault="00582324">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345" w:type="pct"/>
            <w:shd w:val="clear" w:color="auto" w:fill="FFFFFF"/>
            <w:tcMar>
              <w:top w:w="15" w:type="dxa"/>
              <w:left w:w="0" w:type="dxa"/>
              <w:bottom w:w="0" w:type="dxa"/>
              <w:right w:w="15" w:type="dxa"/>
            </w:tcMar>
            <w:vAlign w:val="bottom"/>
            <w:hideMark/>
          </w:tcPr>
          <w:p w14:paraId="0C2EC46B"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7255260D" w14:textId="77777777">
        <w:trPr>
          <w:divId w:val="1951204836"/>
        </w:trPr>
        <w:tc>
          <w:tcPr>
            <w:tcW w:w="505" w:type="pct"/>
            <w:shd w:val="clear" w:color="auto" w:fill="FFFFFF"/>
            <w:tcMar>
              <w:top w:w="15" w:type="dxa"/>
              <w:left w:w="0" w:type="dxa"/>
              <w:bottom w:w="0" w:type="dxa"/>
              <w:right w:w="15" w:type="dxa"/>
            </w:tcMar>
            <w:vAlign w:val="center"/>
            <w:hideMark/>
          </w:tcPr>
          <w:p w14:paraId="0B5FDDB3" w14:textId="77777777" w:rsidR="00000000" w:rsidRDefault="00582324">
            <w:pPr>
              <w:pStyle w:val="a3"/>
              <w:spacing w:before="0" w:beforeAutospacing="0" w:after="0" w:afterAutospacing="0"/>
              <w:rPr>
                <w:sz w:val="20"/>
                <w:szCs w:val="20"/>
              </w:rPr>
            </w:pPr>
            <w:r>
              <w:rPr>
                <w:sz w:val="20"/>
                <w:szCs w:val="20"/>
              </w:rPr>
              <w:t>Item 3.</w:t>
            </w:r>
          </w:p>
        </w:tc>
        <w:tc>
          <w:tcPr>
            <w:tcW w:w="4150" w:type="pct"/>
            <w:shd w:val="clear" w:color="auto" w:fill="FFFFFF"/>
            <w:tcMar>
              <w:top w:w="15" w:type="dxa"/>
              <w:left w:w="0" w:type="dxa"/>
              <w:bottom w:w="0" w:type="dxa"/>
              <w:right w:w="15" w:type="dxa"/>
            </w:tcMar>
            <w:vAlign w:val="center"/>
            <w:hideMark/>
          </w:tcPr>
          <w:p w14:paraId="77C8C4B6" w14:textId="77777777" w:rsidR="00000000" w:rsidRDefault="00582324">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345" w:type="pct"/>
            <w:shd w:val="clear" w:color="auto" w:fill="FFFFFF"/>
            <w:tcMar>
              <w:top w:w="15" w:type="dxa"/>
              <w:left w:w="0" w:type="dxa"/>
              <w:bottom w:w="0" w:type="dxa"/>
              <w:right w:w="15" w:type="dxa"/>
            </w:tcMar>
            <w:vAlign w:val="bottom"/>
            <w:hideMark/>
          </w:tcPr>
          <w:p w14:paraId="6C2F6C28"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64356E6E" w14:textId="77777777">
        <w:trPr>
          <w:divId w:val="1951204836"/>
        </w:trPr>
        <w:tc>
          <w:tcPr>
            <w:tcW w:w="505" w:type="pct"/>
            <w:shd w:val="clear" w:color="auto" w:fill="FFFFFF"/>
            <w:tcMar>
              <w:top w:w="15" w:type="dxa"/>
              <w:left w:w="0" w:type="dxa"/>
              <w:bottom w:w="0" w:type="dxa"/>
              <w:right w:w="15" w:type="dxa"/>
            </w:tcMar>
            <w:vAlign w:val="center"/>
            <w:hideMark/>
          </w:tcPr>
          <w:p w14:paraId="47A1B3BD" w14:textId="77777777" w:rsidR="00000000" w:rsidRDefault="00582324">
            <w:pPr>
              <w:pStyle w:val="a3"/>
              <w:spacing w:before="0" w:beforeAutospacing="0" w:after="0" w:afterAutospacing="0"/>
              <w:rPr>
                <w:sz w:val="20"/>
                <w:szCs w:val="20"/>
              </w:rPr>
            </w:pPr>
            <w:r>
              <w:rPr>
                <w:sz w:val="20"/>
                <w:szCs w:val="20"/>
              </w:rPr>
              <w:t>Item 4.</w:t>
            </w:r>
          </w:p>
        </w:tc>
        <w:tc>
          <w:tcPr>
            <w:tcW w:w="4150" w:type="pct"/>
            <w:shd w:val="clear" w:color="auto" w:fill="FFFFFF"/>
            <w:tcMar>
              <w:top w:w="15" w:type="dxa"/>
              <w:left w:w="0" w:type="dxa"/>
              <w:bottom w:w="0" w:type="dxa"/>
              <w:right w:w="15" w:type="dxa"/>
            </w:tcMar>
            <w:vAlign w:val="center"/>
            <w:hideMark/>
          </w:tcPr>
          <w:p w14:paraId="21792C9C" w14:textId="77777777" w:rsidR="00000000" w:rsidRDefault="00582324">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345" w:type="pct"/>
            <w:shd w:val="clear" w:color="auto" w:fill="FFFFFF"/>
            <w:tcMar>
              <w:top w:w="15" w:type="dxa"/>
              <w:left w:w="0" w:type="dxa"/>
              <w:bottom w:w="0" w:type="dxa"/>
              <w:right w:w="15" w:type="dxa"/>
            </w:tcMar>
            <w:vAlign w:val="bottom"/>
            <w:hideMark/>
          </w:tcPr>
          <w:p w14:paraId="40B11312"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708EE167" w14:textId="77777777">
        <w:trPr>
          <w:divId w:val="1951204836"/>
        </w:trPr>
        <w:tc>
          <w:tcPr>
            <w:tcW w:w="505" w:type="pct"/>
            <w:shd w:val="clear" w:color="auto" w:fill="FFFFFF"/>
            <w:tcMar>
              <w:top w:w="15" w:type="dxa"/>
              <w:left w:w="0" w:type="dxa"/>
              <w:bottom w:w="0" w:type="dxa"/>
              <w:right w:w="15" w:type="dxa"/>
            </w:tcMar>
            <w:vAlign w:val="center"/>
            <w:hideMark/>
          </w:tcPr>
          <w:p w14:paraId="70DA6A71" w14:textId="77777777" w:rsidR="00000000" w:rsidRDefault="00582324">
            <w:pPr>
              <w:pStyle w:val="a3"/>
              <w:spacing w:before="0" w:beforeAutospacing="0" w:after="0" w:afterAutospacing="0"/>
              <w:rPr>
                <w:sz w:val="20"/>
                <w:szCs w:val="20"/>
              </w:rPr>
            </w:pPr>
            <w:r>
              <w:rPr>
                <w:sz w:val="20"/>
                <w:szCs w:val="20"/>
              </w:rPr>
              <w:t>Item 5.</w:t>
            </w:r>
          </w:p>
        </w:tc>
        <w:tc>
          <w:tcPr>
            <w:tcW w:w="4150" w:type="pct"/>
            <w:shd w:val="clear" w:color="auto" w:fill="FFFFFF"/>
            <w:tcMar>
              <w:top w:w="15" w:type="dxa"/>
              <w:left w:w="0" w:type="dxa"/>
              <w:bottom w:w="0" w:type="dxa"/>
              <w:right w:w="15" w:type="dxa"/>
            </w:tcMar>
            <w:vAlign w:val="center"/>
            <w:hideMark/>
          </w:tcPr>
          <w:p w14:paraId="06327441" w14:textId="77777777" w:rsidR="00000000" w:rsidRDefault="00582324">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345" w:type="pct"/>
            <w:shd w:val="clear" w:color="auto" w:fill="FFFFFF"/>
            <w:tcMar>
              <w:top w:w="15" w:type="dxa"/>
              <w:left w:w="0" w:type="dxa"/>
              <w:bottom w:w="0" w:type="dxa"/>
              <w:right w:w="15" w:type="dxa"/>
            </w:tcMar>
            <w:vAlign w:val="bottom"/>
            <w:hideMark/>
          </w:tcPr>
          <w:p w14:paraId="58A29730" w14:textId="77777777" w:rsidR="00000000" w:rsidRDefault="00582324">
            <w:pPr>
              <w:pStyle w:val="a3"/>
              <w:spacing w:before="0" w:beforeAutospacing="0" w:after="0" w:afterAutospacing="0"/>
              <w:jc w:val="right"/>
              <w:rPr>
                <w:color w:val="000000"/>
                <w:sz w:val="20"/>
                <w:szCs w:val="20"/>
              </w:rPr>
            </w:pPr>
            <w:r>
              <w:rPr>
                <w:color w:val="000000"/>
                <w:sz w:val="20"/>
                <w:szCs w:val="20"/>
              </w:rPr>
              <w:t>52</w:t>
            </w:r>
          </w:p>
        </w:tc>
      </w:tr>
      <w:tr w:rsidR="00000000" w14:paraId="57749A91" w14:textId="77777777">
        <w:trPr>
          <w:divId w:val="1951204836"/>
        </w:trPr>
        <w:tc>
          <w:tcPr>
            <w:tcW w:w="505" w:type="pct"/>
            <w:shd w:val="clear" w:color="auto" w:fill="FFFFFF"/>
            <w:tcMar>
              <w:top w:w="15" w:type="dxa"/>
              <w:left w:w="0" w:type="dxa"/>
              <w:bottom w:w="0" w:type="dxa"/>
              <w:right w:w="15" w:type="dxa"/>
            </w:tcMar>
            <w:vAlign w:val="center"/>
            <w:hideMark/>
          </w:tcPr>
          <w:p w14:paraId="346A2BDF" w14:textId="77777777" w:rsidR="00000000" w:rsidRDefault="00582324">
            <w:pPr>
              <w:pStyle w:val="a3"/>
              <w:spacing w:before="0" w:beforeAutospacing="0" w:after="0" w:afterAutospacing="0"/>
              <w:rPr>
                <w:sz w:val="20"/>
                <w:szCs w:val="20"/>
              </w:rPr>
            </w:pPr>
            <w:r>
              <w:rPr>
                <w:sz w:val="20"/>
                <w:szCs w:val="20"/>
              </w:rPr>
              <w:t>Item 6.</w:t>
            </w:r>
          </w:p>
        </w:tc>
        <w:tc>
          <w:tcPr>
            <w:tcW w:w="4150" w:type="pct"/>
            <w:shd w:val="clear" w:color="auto" w:fill="FFFFFF"/>
            <w:tcMar>
              <w:top w:w="15" w:type="dxa"/>
              <w:left w:w="0" w:type="dxa"/>
              <w:bottom w:w="0" w:type="dxa"/>
              <w:right w:w="15" w:type="dxa"/>
            </w:tcMar>
            <w:vAlign w:val="center"/>
            <w:hideMark/>
          </w:tcPr>
          <w:p w14:paraId="6821E2CD" w14:textId="77777777" w:rsidR="00000000" w:rsidRDefault="00582324">
            <w:pPr>
              <w:pStyle w:val="a3"/>
              <w:spacing w:before="0" w:beforeAutospacing="0" w:after="0" w:afterAutospacing="0"/>
              <w:rPr>
                <w:sz w:val="20"/>
                <w:szCs w:val="20"/>
              </w:rPr>
            </w:pPr>
            <w:hyperlink w:anchor="ITEM_6_EXHIBITS" w:history="1">
              <w:r>
                <w:rPr>
                  <w:rStyle w:val="a4"/>
                  <w:sz w:val="20"/>
                  <w:szCs w:val="20"/>
                </w:rPr>
                <w:t>Exhibits</w:t>
              </w:r>
            </w:hyperlink>
          </w:p>
        </w:tc>
        <w:tc>
          <w:tcPr>
            <w:tcW w:w="345" w:type="pct"/>
            <w:shd w:val="clear" w:color="auto" w:fill="FFFFFF"/>
            <w:tcMar>
              <w:top w:w="15" w:type="dxa"/>
              <w:left w:w="0" w:type="dxa"/>
              <w:bottom w:w="0" w:type="dxa"/>
              <w:right w:w="15" w:type="dxa"/>
            </w:tcMar>
            <w:vAlign w:val="bottom"/>
            <w:hideMark/>
          </w:tcPr>
          <w:p w14:paraId="7706B5AD" w14:textId="77777777" w:rsidR="00000000" w:rsidRDefault="00582324">
            <w:pPr>
              <w:pStyle w:val="a3"/>
              <w:spacing w:before="0" w:beforeAutospacing="0" w:after="0" w:afterAutospacing="0"/>
              <w:jc w:val="right"/>
              <w:rPr>
                <w:color w:val="000000"/>
                <w:sz w:val="20"/>
                <w:szCs w:val="20"/>
              </w:rPr>
            </w:pPr>
            <w:r>
              <w:rPr>
                <w:color w:val="000000"/>
                <w:sz w:val="20"/>
                <w:szCs w:val="20"/>
              </w:rPr>
              <w:t>53</w:t>
            </w:r>
          </w:p>
        </w:tc>
      </w:tr>
      <w:tr w:rsidR="00000000" w14:paraId="58EABF06" w14:textId="77777777">
        <w:trPr>
          <w:divId w:val="1951204836"/>
        </w:trPr>
        <w:tc>
          <w:tcPr>
            <w:tcW w:w="4655" w:type="pct"/>
            <w:gridSpan w:val="2"/>
            <w:shd w:val="clear" w:color="auto" w:fill="FFFFFF"/>
            <w:tcMar>
              <w:top w:w="15" w:type="dxa"/>
              <w:left w:w="0" w:type="dxa"/>
              <w:bottom w:w="0" w:type="dxa"/>
              <w:right w:w="15" w:type="dxa"/>
            </w:tcMar>
            <w:vAlign w:val="center"/>
            <w:hideMark/>
          </w:tcPr>
          <w:p w14:paraId="2F5A9C18" w14:textId="77777777" w:rsidR="00000000" w:rsidRDefault="00582324">
            <w:pPr>
              <w:pStyle w:val="a3"/>
              <w:spacing w:before="0" w:beforeAutospacing="0" w:after="0" w:afterAutospacing="0"/>
              <w:rPr>
                <w:sz w:val="20"/>
                <w:szCs w:val="20"/>
              </w:rPr>
            </w:pPr>
            <w:hyperlink w:anchor="SIGNATURES" w:history="1">
              <w:r>
                <w:rPr>
                  <w:rStyle w:val="a4"/>
                  <w:sz w:val="20"/>
                  <w:szCs w:val="20"/>
                </w:rPr>
                <w:t>Signatures</w:t>
              </w:r>
            </w:hyperlink>
          </w:p>
        </w:tc>
        <w:tc>
          <w:tcPr>
            <w:tcW w:w="345" w:type="pct"/>
            <w:shd w:val="clear" w:color="auto" w:fill="FFFFFF"/>
            <w:tcMar>
              <w:top w:w="15" w:type="dxa"/>
              <w:left w:w="0" w:type="dxa"/>
              <w:bottom w:w="0" w:type="dxa"/>
              <w:right w:w="15" w:type="dxa"/>
            </w:tcMar>
            <w:vAlign w:val="bottom"/>
            <w:hideMark/>
          </w:tcPr>
          <w:p w14:paraId="42232261" w14:textId="77777777" w:rsidR="00000000" w:rsidRDefault="00582324">
            <w:pPr>
              <w:pStyle w:val="a3"/>
              <w:spacing w:before="0" w:beforeAutospacing="0" w:after="0" w:afterAutospacing="0"/>
              <w:jc w:val="right"/>
              <w:rPr>
                <w:color w:val="000000"/>
                <w:sz w:val="20"/>
                <w:szCs w:val="20"/>
              </w:rPr>
            </w:pPr>
            <w:r>
              <w:rPr>
                <w:color w:val="000000"/>
                <w:sz w:val="20"/>
                <w:szCs w:val="20"/>
              </w:rPr>
              <w:t>54</w:t>
            </w:r>
          </w:p>
        </w:tc>
      </w:tr>
    </w:tbl>
    <w:p w14:paraId="40AF3693" w14:textId="77777777" w:rsidR="00000000" w:rsidRDefault="00582324">
      <w:pPr>
        <w:pStyle w:val="a3"/>
        <w:spacing w:before="240" w:beforeAutospacing="0" w:after="0" w:afterAutospacing="0"/>
        <w:rPr>
          <w:sz w:val="20"/>
          <w:szCs w:val="20"/>
        </w:rPr>
      </w:pPr>
      <w:r>
        <w:rPr>
          <w:sz w:val="20"/>
          <w:szCs w:val="20"/>
        </w:rPr>
        <w:t> </w:t>
      </w:r>
    </w:p>
    <w:p w14:paraId="1CCD86BD" w14:textId="77777777" w:rsidR="00000000" w:rsidRDefault="00582324">
      <w:pPr>
        <w:pStyle w:val="a3"/>
        <w:spacing w:before="0" w:beforeAutospacing="0" w:after="0" w:afterAutospacing="0"/>
        <w:rPr>
          <w:sz w:val="20"/>
          <w:szCs w:val="20"/>
        </w:rPr>
      </w:pPr>
      <w:r>
        <w:rPr>
          <w:sz w:val="20"/>
          <w:szCs w:val="20"/>
        </w:rPr>
        <w:t> </w:t>
      </w:r>
    </w:p>
    <w:p w14:paraId="13B6B244" w14:textId="77777777" w:rsidR="00000000" w:rsidRDefault="00582324">
      <w:pPr>
        <w:pStyle w:val="a3"/>
        <w:spacing w:before="0" w:beforeAutospacing="0" w:after="0" w:afterAutospacing="0"/>
        <w:rPr>
          <w:sz w:val="20"/>
          <w:szCs w:val="20"/>
        </w:rPr>
      </w:pPr>
      <w:r>
        <w:rPr>
          <w:sz w:val="20"/>
          <w:szCs w:val="20"/>
        </w:rPr>
        <w:t> </w:t>
      </w:r>
    </w:p>
    <w:p w14:paraId="62E1979E" w14:textId="77777777" w:rsidR="00000000" w:rsidRDefault="00582324">
      <w:pPr>
        <w:pStyle w:val="a3"/>
        <w:spacing w:before="0" w:beforeAutospacing="0" w:after="0" w:afterAutospacing="0"/>
        <w:rPr>
          <w:sz w:val="20"/>
          <w:szCs w:val="20"/>
        </w:rPr>
      </w:pPr>
      <w:r>
        <w:rPr>
          <w:sz w:val="20"/>
          <w:szCs w:val="20"/>
        </w:rPr>
        <w:t> </w:t>
      </w:r>
    </w:p>
    <w:p w14:paraId="03827C17" w14:textId="77777777" w:rsidR="00000000" w:rsidRDefault="00582324">
      <w:pPr>
        <w:pStyle w:val="a3"/>
        <w:spacing w:before="240" w:beforeAutospacing="0" w:after="0" w:afterAutospacing="0"/>
        <w:jc w:val="center"/>
        <w:rPr>
          <w:sz w:val="20"/>
          <w:szCs w:val="20"/>
        </w:rPr>
      </w:pPr>
      <w:r>
        <w:rPr>
          <w:sz w:val="20"/>
          <w:szCs w:val="20"/>
        </w:rPr>
        <w:t>i</w:t>
      </w:r>
    </w:p>
    <w:p w14:paraId="3FDF4337" w14:textId="77777777" w:rsidR="00000000" w:rsidRDefault="00582324">
      <w:pPr>
        <w:rPr>
          <w:rFonts w:eastAsia="Times New Roman"/>
        </w:rPr>
      </w:pPr>
      <w:r>
        <w:rPr>
          <w:rFonts w:eastAsia="Times New Roman"/>
        </w:rPr>
        <w:pict w14:anchorId="7940DF5F">
          <v:rect id="_x0000_i1026" style="width:0;height:1.5pt" o:hralign="center" o:hrstd="t" o:hr="t" fillcolor="#a0a0a0" stroked="f"/>
        </w:pict>
      </w:r>
    </w:p>
    <w:p w14:paraId="73226C0B" w14:textId="77777777" w:rsidR="00000000" w:rsidRDefault="00582324">
      <w:pPr>
        <w:pStyle w:val="a3"/>
        <w:spacing w:before="0" w:beforeAutospacing="0" w:after="0" w:afterAutospacing="0"/>
        <w:rPr>
          <w:sz w:val="20"/>
          <w:szCs w:val="20"/>
        </w:rPr>
      </w:pPr>
      <w:r>
        <w:rPr>
          <w:sz w:val="20"/>
          <w:szCs w:val="20"/>
        </w:rPr>
        <w:t> </w:t>
      </w:r>
    </w:p>
    <w:p w14:paraId="0A97E4C0" w14:textId="77777777" w:rsidR="00000000" w:rsidRDefault="00582324">
      <w:pPr>
        <w:pStyle w:val="a3"/>
        <w:spacing w:before="0" w:beforeAutospacing="0" w:after="0" w:afterAutospacing="0"/>
        <w:rPr>
          <w:sz w:val="20"/>
          <w:szCs w:val="20"/>
        </w:rPr>
      </w:pPr>
      <w:r>
        <w:rPr>
          <w:sz w:val="20"/>
          <w:szCs w:val="20"/>
        </w:rPr>
        <w:t> </w:t>
      </w:r>
    </w:p>
    <w:p w14:paraId="002F4BE2" w14:textId="77777777" w:rsidR="00000000" w:rsidRDefault="00582324">
      <w:pPr>
        <w:pStyle w:val="a3"/>
        <w:spacing w:before="0" w:beforeAutospacing="0" w:after="0" w:afterAutospacing="0"/>
        <w:jc w:val="center"/>
        <w:rPr>
          <w:b/>
          <w:bCs/>
          <w:sz w:val="20"/>
          <w:szCs w:val="20"/>
        </w:rPr>
      </w:pPr>
      <w:r>
        <w:rPr>
          <w:b/>
          <w:bCs/>
          <w:sz w:val="20"/>
          <w:szCs w:val="20"/>
        </w:rPr>
        <w:t>PART I—FINANCIAL INFORMATION</w:t>
      </w:r>
    </w:p>
    <w:p w14:paraId="317EBE12" w14:textId="77777777" w:rsidR="00000000" w:rsidRDefault="00582324">
      <w:pPr>
        <w:pStyle w:val="a3"/>
        <w:spacing w:before="120" w:beforeAutospacing="0" w:after="0" w:afterAutospacing="0"/>
        <w:jc w:val="center"/>
        <w:rPr>
          <w:b/>
          <w:bCs/>
          <w:sz w:val="20"/>
          <w:szCs w:val="20"/>
        </w:rPr>
      </w:pPr>
      <w:r>
        <w:rPr>
          <w:b/>
          <w:bCs/>
          <w:sz w:val="20"/>
          <w:szCs w:val="20"/>
        </w:rPr>
        <w:t>Item 1. Financial Statements.</w:t>
      </w:r>
    </w:p>
    <w:p w14:paraId="664E8F61" w14:textId="77777777" w:rsidR="00000000" w:rsidRDefault="00582324">
      <w:pPr>
        <w:pStyle w:val="a3"/>
        <w:spacing w:before="120" w:beforeAutospacing="0" w:after="0" w:afterAutospacing="0"/>
        <w:jc w:val="center"/>
        <w:rPr>
          <w:b/>
          <w:bCs/>
          <w:color w:val="000000"/>
          <w:sz w:val="20"/>
          <w:szCs w:val="20"/>
        </w:rPr>
      </w:pPr>
      <w:r>
        <w:rPr>
          <w:b/>
          <w:bCs/>
          <w:color w:val="000000"/>
          <w:sz w:val="20"/>
          <w:szCs w:val="20"/>
        </w:rPr>
        <w:t xml:space="preserve">MONTROSE ENVIRONMENTAL GROUP, INC. </w:t>
      </w:r>
    </w:p>
    <w:p w14:paraId="6EDF7878"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UNAUDITED CONDENSED CONSOLIDATED STATEMENTS OF FINANCIAL POSITION</w:t>
      </w:r>
    </w:p>
    <w:p w14:paraId="0E1D7395" w14:textId="77777777" w:rsidR="00000000" w:rsidRDefault="00582324">
      <w:pPr>
        <w:pStyle w:val="a3"/>
        <w:spacing w:before="0" w:beforeAutospacing="0" w:after="0" w:afterAutospacing="0"/>
        <w:jc w:val="center"/>
        <w:rPr>
          <w:b/>
          <w:bCs/>
          <w:sz w:val="20"/>
          <w:szCs w:val="20"/>
        </w:rPr>
      </w:pPr>
      <w:r>
        <w:rPr>
          <w:b/>
          <w:bCs/>
          <w:sz w:val="20"/>
          <w:szCs w:val="20"/>
        </w:rPr>
        <w:t>(In thousands, except share data)</w:t>
      </w:r>
    </w:p>
    <w:tbl>
      <w:tblPr>
        <w:tblW w:w="5000" w:type="pct"/>
        <w:tblCellMar>
          <w:left w:w="0" w:type="dxa"/>
          <w:right w:w="0" w:type="dxa"/>
        </w:tblCellMar>
        <w:tblLook w:val="04A0" w:firstRow="1" w:lastRow="0" w:firstColumn="1" w:lastColumn="0" w:noHBand="0" w:noVBand="1"/>
      </w:tblPr>
      <w:tblGrid>
        <w:gridCol w:w="5569"/>
        <w:gridCol w:w="128"/>
        <w:gridCol w:w="95"/>
        <w:gridCol w:w="1065"/>
        <w:gridCol w:w="80"/>
        <w:gridCol w:w="128"/>
        <w:gridCol w:w="96"/>
        <w:gridCol w:w="1065"/>
        <w:gridCol w:w="80"/>
      </w:tblGrid>
      <w:tr w:rsidR="00000000" w14:paraId="2D299207" w14:textId="77777777">
        <w:trPr>
          <w:divId w:val="950667589"/>
        </w:trPr>
        <w:tc>
          <w:tcPr>
            <w:tcW w:w="3354" w:type="pct"/>
            <w:shd w:val="clear" w:color="auto" w:fill="FFFFFF"/>
            <w:tcMar>
              <w:top w:w="15" w:type="dxa"/>
              <w:left w:w="0" w:type="dxa"/>
              <w:bottom w:w="0" w:type="dxa"/>
              <w:right w:w="15" w:type="dxa"/>
            </w:tcMar>
            <w:vAlign w:val="bottom"/>
            <w:hideMark/>
          </w:tcPr>
          <w:p w14:paraId="1AE7C278" w14:textId="77777777" w:rsidR="00000000" w:rsidRDefault="00582324">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481C36EE"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7D743148"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6D939BC7"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52CC0E9D"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79597778"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78494002"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788FED47" w14:textId="77777777">
        <w:trPr>
          <w:divId w:val="950667589"/>
        </w:trPr>
        <w:tc>
          <w:tcPr>
            <w:tcW w:w="3354" w:type="pct"/>
            <w:shd w:val="clear" w:color="auto" w:fill="FFFFFF"/>
            <w:tcMar>
              <w:top w:w="15" w:type="dxa"/>
              <w:left w:w="0" w:type="dxa"/>
              <w:bottom w:w="0" w:type="dxa"/>
              <w:right w:w="15" w:type="dxa"/>
            </w:tcMar>
            <w:vAlign w:val="bottom"/>
            <w:hideMark/>
          </w:tcPr>
          <w:p w14:paraId="2ED3CF6A"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0EC8EA2E"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4CCCA3ED"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61B9A44C"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29E0D259"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30F278E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114DDDA"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078A38E4" w14:textId="77777777">
        <w:trPr>
          <w:divId w:val="950667589"/>
        </w:trPr>
        <w:tc>
          <w:tcPr>
            <w:tcW w:w="3354" w:type="pct"/>
            <w:shd w:val="clear" w:color="auto" w:fill="CFF0FC"/>
            <w:tcMar>
              <w:top w:w="15" w:type="dxa"/>
              <w:left w:w="0" w:type="dxa"/>
              <w:bottom w:w="0" w:type="dxa"/>
              <w:right w:w="15" w:type="dxa"/>
            </w:tcMar>
            <w:hideMark/>
          </w:tcPr>
          <w:p w14:paraId="448EAB03" w14:textId="77777777" w:rsidR="00000000" w:rsidRDefault="00582324">
            <w:pPr>
              <w:pStyle w:val="a3"/>
              <w:spacing w:before="0" w:beforeAutospacing="0" w:after="0" w:afterAutospacing="0"/>
              <w:rPr>
                <w:b/>
                <w:bCs/>
                <w:color w:val="000000"/>
                <w:sz w:val="16"/>
                <w:szCs w:val="16"/>
              </w:rPr>
            </w:pPr>
            <w:r>
              <w:rPr>
                <w:b/>
                <w:bCs/>
                <w:color w:val="000000"/>
                <w:sz w:val="16"/>
                <w:szCs w:val="16"/>
              </w:rPr>
              <w:t>ASSETS</w:t>
            </w:r>
          </w:p>
        </w:tc>
        <w:tc>
          <w:tcPr>
            <w:tcW w:w="79" w:type="pct"/>
            <w:shd w:val="clear" w:color="auto" w:fill="CFF0FC"/>
            <w:tcMar>
              <w:top w:w="15" w:type="dxa"/>
              <w:left w:w="0" w:type="dxa"/>
              <w:bottom w:w="0" w:type="dxa"/>
              <w:right w:w="15" w:type="dxa"/>
            </w:tcMar>
            <w:vAlign w:val="bottom"/>
            <w:hideMark/>
          </w:tcPr>
          <w:p w14:paraId="3043736C"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AFCE3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1865DCF"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AC99B8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03604EE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BFCAF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8DB01EE"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4E6063E"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293240C" w14:textId="77777777">
        <w:trPr>
          <w:divId w:val="950667589"/>
        </w:trPr>
        <w:tc>
          <w:tcPr>
            <w:tcW w:w="3354" w:type="pct"/>
            <w:shd w:val="clear" w:color="auto" w:fill="FFFFFF"/>
            <w:tcMar>
              <w:top w:w="15" w:type="dxa"/>
              <w:left w:w="0" w:type="dxa"/>
              <w:bottom w:w="0" w:type="dxa"/>
              <w:right w:w="15" w:type="dxa"/>
            </w:tcMar>
            <w:hideMark/>
          </w:tcPr>
          <w:p w14:paraId="5CB5376D" w14:textId="77777777" w:rsidR="00000000" w:rsidRDefault="00582324">
            <w:pPr>
              <w:pStyle w:val="a3"/>
              <w:spacing w:before="0" w:beforeAutospacing="0" w:after="0" w:afterAutospacing="0"/>
              <w:rPr>
                <w:color w:val="000000"/>
                <w:sz w:val="16"/>
                <w:szCs w:val="16"/>
              </w:rPr>
            </w:pPr>
            <w:r>
              <w:rPr>
                <w:color w:val="000000"/>
                <w:sz w:val="16"/>
                <w:szCs w:val="16"/>
              </w:rPr>
              <w:t>CURRENT ASSETS:</w:t>
            </w:r>
          </w:p>
        </w:tc>
        <w:tc>
          <w:tcPr>
            <w:tcW w:w="79" w:type="pct"/>
            <w:shd w:val="clear" w:color="auto" w:fill="FFFFFF"/>
            <w:tcMar>
              <w:top w:w="15" w:type="dxa"/>
              <w:left w:w="0" w:type="dxa"/>
              <w:bottom w:w="0" w:type="dxa"/>
              <w:right w:w="15" w:type="dxa"/>
            </w:tcMar>
            <w:vAlign w:val="bottom"/>
            <w:hideMark/>
          </w:tcPr>
          <w:p w14:paraId="2F1C3E1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85FA7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53E6EE2A"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D4BA4E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A026ED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61F82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6B7AD5A6"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2633272"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1B7BA96" w14:textId="77777777">
        <w:trPr>
          <w:divId w:val="950667589"/>
        </w:trPr>
        <w:tc>
          <w:tcPr>
            <w:tcW w:w="3354" w:type="pct"/>
            <w:shd w:val="clear" w:color="auto" w:fill="CFF0FC"/>
            <w:tcMar>
              <w:top w:w="15" w:type="dxa"/>
              <w:left w:w="0" w:type="dxa"/>
              <w:bottom w:w="0" w:type="dxa"/>
              <w:right w:w="15" w:type="dxa"/>
            </w:tcMar>
            <w:hideMark/>
          </w:tcPr>
          <w:p w14:paraId="31DA91AA" w14:textId="77777777" w:rsidR="00000000" w:rsidRDefault="00582324">
            <w:pPr>
              <w:pStyle w:val="a3"/>
              <w:spacing w:before="0" w:beforeAutospacing="0" w:after="0" w:afterAutospacing="0"/>
              <w:ind w:left="274"/>
              <w:rPr>
                <w:color w:val="000000"/>
                <w:sz w:val="16"/>
                <w:szCs w:val="16"/>
              </w:rPr>
            </w:pPr>
            <w:r>
              <w:rPr>
                <w:color w:val="000000"/>
                <w:sz w:val="16"/>
                <w:szCs w:val="16"/>
              </w:rPr>
              <w:t>Cash and restricted cash</w:t>
            </w:r>
          </w:p>
        </w:tc>
        <w:tc>
          <w:tcPr>
            <w:tcW w:w="79" w:type="pct"/>
            <w:shd w:val="clear" w:color="auto" w:fill="CFF0FC"/>
            <w:tcMar>
              <w:top w:w="15" w:type="dxa"/>
              <w:left w:w="0" w:type="dxa"/>
              <w:bottom w:w="0" w:type="dxa"/>
              <w:right w:w="15" w:type="dxa"/>
            </w:tcMar>
            <w:vAlign w:val="bottom"/>
            <w:hideMark/>
          </w:tcPr>
          <w:p w14:paraId="2912EE2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6479F11"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shd w:val="clear" w:color="auto" w:fill="CFF0FC"/>
            <w:noWrap/>
            <w:tcMar>
              <w:top w:w="15" w:type="dxa"/>
              <w:left w:w="0" w:type="dxa"/>
              <w:bottom w:w="0" w:type="dxa"/>
              <w:right w:w="15" w:type="dxa"/>
            </w:tcMar>
            <w:vAlign w:val="bottom"/>
            <w:hideMark/>
          </w:tcPr>
          <w:p w14:paraId="14AE38E7" w14:textId="77777777" w:rsidR="00000000" w:rsidRDefault="00582324">
            <w:pPr>
              <w:pStyle w:val="a3"/>
              <w:spacing w:before="0" w:beforeAutospacing="0" w:after="0" w:afterAutospacing="0"/>
              <w:jc w:val="right"/>
              <w:rPr>
                <w:color w:val="000000"/>
                <w:sz w:val="16"/>
                <w:szCs w:val="16"/>
              </w:rPr>
            </w:pPr>
            <w:r>
              <w:rPr>
                <w:color w:val="000000"/>
                <w:sz w:val="16"/>
                <w:szCs w:val="16"/>
              </w:rPr>
              <w:t>40,189</w:t>
            </w:r>
          </w:p>
        </w:tc>
        <w:tc>
          <w:tcPr>
            <w:tcW w:w="50" w:type="pct"/>
            <w:shd w:val="clear" w:color="auto" w:fill="CFF0FC"/>
            <w:noWrap/>
            <w:tcMar>
              <w:top w:w="15" w:type="dxa"/>
              <w:left w:w="0" w:type="dxa"/>
              <w:bottom w:w="0" w:type="dxa"/>
              <w:right w:w="15" w:type="dxa"/>
            </w:tcMar>
            <w:vAlign w:val="bottom"/>
            <w:hideMark/>
          </w:tcPr>
          <w:p w14:paraId="7AC9B4B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272665D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71D93BE"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shd w:val="clear" w:color="auto" w:fill="CFF0FC"/>
            <w:noWrap/>
            <w:tcMar>
              <w:top w:w="15" w:type="dxa"/>
              <w:left w:w="0" w:type="dxa"/>
              <w:bottom w:w="0" w:type="dxa"/>
              <w:right w:w="15" w:type="dxa"/>
            </w:tcMar>
            <w:vAlign w:val="bottom"/>
            <w:hideMark/>
          </w:tcPr>
          <w:p w14:paraId="14B9A110" w14:textId="77777777" w:rsidR="00000000" w:rsidRDefault="00582324">
            <w:pPr>
              <w:pStyle w:val="a3"/>
              <w:spacing w:before="0" w:beforeAutospacing="0" w:after="0" w:afterAutospacing="0"/>
              <w:jc w:val="right"/>
              <w:rPr>
                <w:color w:val="000000"/>
                <w:sz w:val="16"/>
                <w:szCs w:val="16"/>
              </w:rPr>
            </w:pPr>
            <w:r>
              <w:rPr>
                <w:color w:val="000000"/>
                <w:sz w:val="16"/>
                <w:szCs w:val="16"/>
              </w:rPr>
              <w:t>34,881</w:t>
            </w:r>
          </w:p>
        </w:tc>
        <w:tc>
          <w:tcPr>
            <w:tcW w:w="50" w:type="pct"/>
            <w:shd w:val="clear" w:color="auto" w:fill="CFF0FC"/>
            <w:noWrap/>
            <w:tcMar>
              <w:top w:w="15" w:type="dxa"/>
              <w:left w:w="0" w:type="dxa"/>
              <w:bottom w:w="0" w:type="dxa"/>
              <w:right w:w="15" w:type="dxa"/>
            </w:tcMar>
            <w:vAlign w:val="bottom"/>
            <w:hideMark/>
          </w:tcPr>
          <w:p w14:paraId="3064AFC4"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7D8069EA" w14:textId="77777777">
        <w:trPr>
          <w:divId w:val="950667589"/>
        </w:trPr>
        <w:tc>
          <w:tcPr>
            <w:tcW w:w="3354" w:type="pct"/>
            <w:shd w:val="clear" w:color="auto" w:fill="FFFFFF"/>
            <w:tcMar>
              <w:top w:w="15" w:type="dxa"/>
              <w:left w:w="0" w:type="dxa"/>
              <w:bottom w:w="0" w:type="dxa"/>
              <w:right w:w="15" w:type="dxa"/>
            </w:tcMar>
            <w:hideMark/>
          </w:tcPr>
          <w:p w14:paraId="207DD1CE" w14:textId="77777777" w:rsidR="00000000" w:rsidRDefault="00582324">
            <w:pPr>
              <w:pStyle w:val="a3"/>
              <w:spacing w:before="0" w:beforeAutospacing="0" w:after="0" w:afterAutospacing="0"/>
              <w:ind w:left="274"/>
              <w:rPr>
                <w:color w:val="000000"/>
                <w:sz w:val="16"/>
                <w:szCs w:val="16"/>
              </w:rPr>
            </w:pPr>
            <w:r>
              <w:rPr>
                <w:color w:val="000000"/>
                <w:sz w:val="16"/>
                <w:szCs w:val="16"/>
              </w:rPr>
              <w:t>Accounts receivable—net</w:t>
            </w:r>
          </w:p>
        </w:tc>
        <w:tc>
          <w:tcPr>
            <w:tcW w:w="79" w:type="pct"/>
            <w:shd w:val="clear" w:color="auto" w:fill="FFFFFF"/>
            <w:tcMar>
              <w:top w:w="15" w:type="dxa"/>
              <w:left w:w="0" w:type="dxa"/>
              <w:bottom w:w="0" w:type="dxa"/>
              <w:right w:w="15" w:type="dxa"/>
            </w:tcMar>
            <w:vAlign w:val="bottom"/>
            <w:hideMark/>
          </w:tcPr>
          <w:p w14:paraId="15E67FF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6C8D09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20F64BB4" w14:textId="77777777" w:rsidR="00000000" w:rsidRDefault="00582324">
            <w:pPr>
              <w:pStyle w:val="a3"/>
              <w:spacing w:before="0" w:beforeAutospacing="0" w:after="0" w:afterAutospacing="0"/>
              <w:jc w:val="right"/>
              <w:rPr>
                <w:color w:val="000000"/>
                <w:sz w:val="16"/>
                <w:szCs w:val="16"/>
              </w:rPr>
            </w:pPr>
            <w:r>
              <w:rPr>
                <w:color w:val="000000"/>
                <w:sz w:val="16"/>
                <w:szCs w:val="16"/>
              </w:rPr>
              <w:t>72,351</w:t>
            </w:r>
          </w:p>
        </w:tc>
        <w:tc>
          <w:tcPr>
            <w:tcW w:w="50" w:type="pct"/>
            <w:shd w:val="clear" w:color="auto" w:fill="FFFFFF"/>
            <w:noWrap/>
            <w:tcMar>
              <w:top w:w="15" w:type="dxa"/>
              <w:left w:w="0" w:type="dxa"/>
              <w:bottom w:w="0" w:type="dxa"/>
              <w:right w:w="15" w:type="dxa"/>
            </w:tcMar>
            <w:vAlign w:val="bottom"/>
            <w:hideMark/>
          </w:tcPr>
          <w:p w14:paraId="23C309F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C63015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36EC3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4F113873" w14:textId="77777777" w:rsidR="00000000" w:rsidRDefault="00582324">
            <w:pPr>
              <w:pStyle w:val="a3"/>
              <w:spacing w:before="0" w:beforeAutospacing="0" w:after="0" w:afterAutospacing="0"/>
              <w:jc w:val="right"/>
              <w:rPr>
                <w:color w:val="000000"/>
                <w:sz w:val="16"/>
                <w:szCs w:val="16"/>
              </w:rPr>
            </w:pPr>
            <w:r>
              <w:rPr>
                <w:color w:val="000000"/>
                <w:sz w:val="16"/>
                <w:szCs w:val="16"/>
              </w:rPr>
              <w:t>54,102</w:t>
            </w:r>
          </w:p>
        </w:tc>
        <w:tc>
          <w:tcPr>
            <w:tcW w:w="50" w:type="pct"/>
            <w:shd w:val="clear" w:color="auto" w:fill="FFFFFF"/>
            <w:noWrap/>
            <w:tcMar>
              <w:top w:w="15" w:type="dxa"/>
              <w:left w:w="0" w:type="dxa"/>
              <w:bottom w:w="0" w:type="dxa"/>
              <w:right w:w="15" w:type="dxa"/>
            </w:tcMar>
            <w:vAlign w:val="bottom"/>
            <w:hideMark/>
          </w:tcPr>
          <w:p w14:paraId="62AF6346"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05E71535" w14:textId="77777777">
        <w:trPr>
          <w:divId w:val="950667589"/>
        </w:trPr>
        <w:tc>
          <w:tcPr>
            <w:tcW w:w="3354" w:type="pct"/>
            <w:shd w:val="clear" w:color="auto" w:fill="CFF0FC"/>
            <w:tcMar>
              <w:top w:w="15" w:type="dxa"/>
              <w:left w:w="0" w:type="dxa"/>
              <w:bottom w:w="0" w:type="dxa"/>
              <w:right w:w="15" w:type="dxa"/>
            </w:tcMar>
            <w:hideMark/>
          </w:tcPr>
          <w:p w14:paraId="426C2F04" w14:textId="77777777" w:rsidR="00000000" w:rsidRDefault="00582324">
            <w:pPr>
              <w:pStyle w:val="a3"/>
              <w:spacing w:before="0" w:beforeAutospacing="0" w:after="0" w:afterAutospacing="0"/>
              <w:ind w:left="274"/>
              <w:rPr>
                <w:color w:val="000000"/>
                <w:sz w:val="16"/>
                <w:szCs w:val="16"/>
              </w:rPr>
            </w:pPr>
            <w:r>
              <w:rPr>
                <w:color w:val="000000"/>
                <w:sz w:val="16"/>
                <w:szCs w:val="16"/>
              </w:rPr>
              <w:t>Contract assets</w:t>
            </w:r>
          </w:p>
        </w:tc>
        <w:tc>
          <w:tcPr>
            <w:tcW w:w="79" w:type="pct"/>
            <w:shd w:val="clear" w:color="auto" w:fill="CFF0FC"/>
            <w:tcMar>
              <w:top w:w="15" w:type="dxa"/>
              <w:left w:w="0" w:type="dxa"/>
              <w:bottom w:w="0" w:type="dxa"/>
              <w:right w:w="15" w:type="dxa"/>
            </w:tcMar>
            <w:vAlign w:val="bottom"/>
            <w:hideMark/>
          </w:tcPr>
          <w:p w14:paraId="4B5493C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6B625A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14CED115" w14:textId="77777777" w:rsidR="00000000" w:rsidRDefault="00582324">
            <w:pPr>
              <w:pStyle w:val="a3"/>
              <w:spacing w:before="0" w:beforeAutospacing="0" w:after="0" w:afterAutospacing="0"/>
              <w:jc w:val="right"/>
              <w:rPr>
                <w:color w:val="000000"/>
                <w:sz w:val="16"/>
                <w:szCs w:val="16"/>
              </w:rPr>
            </w:pPr>
            <w:r>
              <w:rPr>
                <w:color w:val="000000"/>
                <w:sz w:val="16"/>
                <w:szCs w:val="16"/>
              </w:rPr>
              <w:t>55,033</w:t>
            </w:r>
          </w:p>
        </w:tc>
        <w:tc>
          <w:tcPr>
            <w:tcW w:w="50" w:type="pct"/>
            <w:shd w:val="clear" w:color="auto" w:fill="CFF0FC"/>
            <w:noWrap/>
            <w:tcMar>
              <w:top w:w="15" w:type="dxa"/>
              <w:left w:w="0" w:type="dxa"/>
              <w:bottom w:w="0" w:type="dxa"/>
              <w:right w:w="15" w:type="dxa"/>
            </w:tcMar>
            <w:vAlign w:val="bottom"/>
            <w:hideMark/>
          </w:tcPr>
          <w:p w14:paraId="5D37D79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42558D5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71C679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47BF315F" w14:textId="77777777" w:rsidR="00000000" w:rsidRDefault="00582324">
            <w:pPr>
              <w:pStyle w:val="a3"/>
              <w:spacing w:before="0" w:beforeAutospacing="0" w:after="0" w:afterAutospacing="0"/>
              <w:jc w:val="right"/>
              <w:rPr>
                <w:color w:val="000000"/>
                <w:sz w:val="16"/>
                <w:szCs w:val="16"/>
              </w:rPr>
            </w:pPr>
            <w:r>
              <w:rPr>
                <w:color w:val="000000"/>
                <w:sz w:val="16"/>
                <w:szCs w:val="16"/>
              </w:rPr>
              <w:t>38,576</w:t>
            </w:r>
          </w:p>
        </w:tc>
        <w:tc>
          <w:tcPr>
            <w:tcW w:w="50" w:type="pct"/>
            <w:shd w:val="clear" w:color="auto" w:fill="CFF0FC"/>
            <w:noWrap/>
            <w:tcMar>
              <w:top w:w="15" w:type="dxa"/>
              <w:left w:w="0" w:type="dxa"/>
              <w:bottom w:w="0" w:type="dxa"/>
              <w:right w:w="15" w:type="dxa"/>
            </w:tcMar>
            <w:vAlign w:val="bottom"/>
            <w:hideMark/>
          </w:tcPr>
          <w:p w14:paraId="0CD5ECB8"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D38F4EC" w14:textId="77777777">
        <w:trPr>
          <w:divId w:val="950667589"/>
        </w:trPr>
        <w:tc>
          <w:tcPr>
            <w:tcW w:w="3354" w:type="pct"/>
            <w:shd w:val="clear" w:color="auto" w:fill="FFFFFF"/>
            <w:tcMar>
              <w:top w:w="15" w:type="dxa"/>
              <w:left w:w="0" w:type="dxa"/>
              <w:bottom w:w="0" w:type="dxa"/>
              <w:right w:w="15" w:type="dxa"/>
            </w:tcMar>
            <w:hideMark/>
          </w:tcPr>
          <w:p w14:paraId="0D2534E0" w14:textId="77777777" w:rsidR="00000000" w:rsidRDefault="00582324">
            <w:pPr>
              <w:pStyle w:val="a3"/>
              <w:spacing w:before="0" w:beforeAutospacing="0" w:after="0" w:afterAutospacing="0"/>
              <w:ind w:left="274"/>
              <w:rPr>
                <w:color w:val="000000"/>
                <w:sz w:val="16"/>
                <w:szCs w:val="16"/>
              </w:rPr>
            </w:pPr>
            <w:r>
              <w:rPr>
                <w:color w:val="000000"/>
                <w:sz w:val="16"/>
                <w:szCs w:val="16"/>
              </w:rPr>
              <w:lastRenderedPageBreak/>
              <w:t>Prepaid and other current assets</w:t>
            </w:r>
          </w:p>
        </w:tc>
        <w:tc>
          <w:tcPr>
            <w:tcW w:w="79" w:type="pct"/>
            <w:shd w:val="clear" w:color="auto" w:fill="FFFFFF"/>
            <w:tcMar>
              <w:top w:w="15" w:type="dxa"/>
              <w:left w:w="0" w:type="dxa"/>
              <w:bottom w:w="0" w:type="dxa"/>
              <w:right w:w="15" w:type="dxa"/>
            </w:tcMar>
            <w:vAlign w:val="bottom"/>
            <w:hideMark/>
          </w:tcPr>
          <w:p w14:paraId="676A25B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E354A4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D7032A2" w14:textId="77777777" w:rsidR="00000000" w:rsidRDefault="00582324">
            <w:pPr>
              <w:pStyle w:val="a3"/>
              <w:spacing w:before="0" w:beforeAutospacing="0" w:after="0" w:afterAutospacing="0"/>
              <w:jc w:val="right"/>
              <w:rPr>
                <w:color w:val="000000"/>
                <w:sz w:val="16"/>
                <w:szCs w:val="16"/>
              </w:rPr>
            </w:pPr>
            <w:r>
              <w:rPr>
                <w:color w:val="000000"/>
                <w:sz w:val="16"/>
                <w:szCs w:val="16"/>
              </w:rPr>
              <w:t>7,706</w:t>
            </w:r>
          </w:p>
        </w:tc>
        <w:tc>
          <w:tcPr>
            <w:tcW w:w="50" w:type="pct"/>
            <w:shd w:val="clear" w:color="auto" w:fill="FFFFFF"/>
            <w:noWrap/>
            <w:tcMar>
              <w:top w:w="15" w:type="dxa"/>
              <w:left w:w="0" w:type="dxa"/>
              <w:bottom w:w="0" w:type="dxa"/>
              <w:right w:w="15" w:type="dxa"/>
            </w:tcMar>
            <w:vAlign w:val="bottom"/>
            <w:hideMark/>
          </w:tcPr>
          <w:p w14:paraId="24532F6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264EE90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4F4EA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988EF40" w14:textId="77777777" w:rsidR="00000000" w:rsidRDefault="00582324">
            <w:pPr>
              <w:pStyle w:val="a3"/>
              <w:spacing w:before="0" w:beforeAutospacing="0" w:after="0" w:afterAutospacing="0"/>
              <w:jc w:val="right"/>
              <w:rPr>
                <w:color w:val="000000"/>
                <w:sz w:val="16"/>
                <w:szCs w:val="16"/>
              </w:rPr>
            </w:pPr>
            <w:r>
              <w:rPr>
                <w:color w:val="000000"/>
                <w:sz w:val="16"/>
                <w:szCs w:val="16"/>
              </w:rPr>
              <w:t>6,709</w:t>
            </w:r>
          </w:p>
        </w:tc>
        <w:tc>
          <w:tcPr>
            <w:tcW w:w="50" w:type="pct"/>
            <w:shd w:val="clear" w:color="auto" w:fill="FFFFFF"/>
            <w:noWrap/>
            <w:tcMar>
              <w:top w:w="15" w:type="dxa"/>
              <w:left w:w="0" w:type="dxa"/>
              <w:bottom w:w="0" w:type="dxa"/>
              <w:right w:w="15" w:type="dxa"/>
            </w:tcMar>
            <w:vAlign w:val="bottom"/>
            <w:hideMark/>
          </w:tcPr>
          <w:p w14:paraId="254F45E4"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CDC5644" w14:textId="77777777">
        <w:trPr>
          <w:divId w:val="950667589"/>
        </w:trPr>
        <w:tc>
          <w:tcPr>
            <w:tcW w:w="3354" w:type="pct"/>
            <w:shd w:val="clear" w:color="auto" w:fill="CFF0FC"/>
            <w:tcMar>
              <w:top w:w="15" w:type="dxa"/>
              <w:left w:w="0" w:type="dxa"/>
              <w:bottom w:w="0" w:type="dxa"/>
              <w:right w:w="15" w:type="dxa"/>
            </w:tcMar>
            <w:hideMark/>
          </w:tcPr>
          <w:p w14:paraId="3D18EB4F" w14:textId="77777777" w:rsidR="00000000" w:rsidRDefault="00582324">
            <w:pPr>
              <w:pStyle w:val="a3"/>
              <w:spacing w:before="0" w:beforeAutospacing="0" w:after="0" w:afterAutospacing="0"/>
              <w:ind w:left="547"/>
              <w:rPr>
                <w:color w:val="000000"/>
                <w:sz w:val="16"/>
                <w:szCs w:val="16"/>
              </w:rPr>
            </w:pPr>
            <w:r>
              <w:rPr>
                <w:color w:val="000000"/>
                <w:sz w:val="16"/>
                <w:szCs w:val="16"/>
              </w:rPr>
              <w:t>Total current assets</w:t>
            </w:r>
          </w:p>
        </w:tc>
        <w:tc>
          <w:tcPr>
            <w:tcW w:w="79" w:type="pct"/>
            <w:shd w:val="clear" w:color="auto" w:fill="CFF0FC"/>
            <w:tcMar>
              <w:top w:w="15" w:type="dxa"/>
              <w:left w:w="0" w:type="dxa"/>
              <w:bottom w:w="0" w:type="dxa"/>
              <w:right w:w="15" w:type="dxa"/>
            </w:tcMar>
            <w:vAlign w:val="bottom"/>
            <w:hideMark/>
          </w:tcPr>
          <w:p w14:paraId="00080CF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E7373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3D91F1" w14:textId="77777777" w:rsidR="00000000" w:rsidRDefault="00582324">
            <w:pPr>
              <w:pStyle w:val="a3"/>
              <w:spacing w:before="0" w:beforeAutospacing="0" w:after="0" w:afterAutospacing="0"/>
              <w:jc w:val="right"/>
              <w:rPr>
                <w:color w:val="000000"/>
                <w:sz w:val="16"/>
                <w:szCs w:val="16"/>
              </w:rPr>
            </w:pPr>
            <w:r>
              <w:rPr>
                <w:color w:val="000000"/>
                <w:sz w:val="16"/>
                <w:szCs w:val="16"/>
              </w:rPr>
              <w:t>175,279</w:t>
            </w:r>
          </w:p>
        </w:tc>
        <w:tc>
          <w:tcPr>
            <w:tcW w:w="50" w:type="pct"/>
            <w:shd w:val="clear" w:color="auto" w:fill="CFF0FC"/>
            <w:noWrap/>
            <w:tcMar>
              <w:top w:w="15" w:type="dxa"/>
              <w:left w:w="0" w:type="dxa"/>
              <w:bottom w:w="0" w:type="dxa"/>
              <w:right w:w="15" w:type="dxa"/>
            </w:tcMar>
            <w:vAlign w:val="bottom"/>
            <w:hideMark/>
          </w:tcPr>
          <w:p w14:paraId="7914C00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2C18124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82151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710C3F" w14:textId="77777777" w:rsidR="00000000" w:rsidRDefault="00582324">
            <w:pPr>
              <w:pStyle w:val="a3"/>
              <w:spacing w:before="0" w:beforeAutospacing="0" w:after="0" w:afterAutospacing="0"/>
              <w:jc w:val="right"/>
              <w:rPr>
                <w:color w:val="000000"/>
                <w:sz w:val="16"/>
                <w:szCs w:val="16"/>
              </w:rPr>
            </w:pPr>
            <w:r>
              <w:rPr>
                <w:color w:val="000000"/>
                <w:sz w:val="16"/>
                <w:szCs w:val="16"/>
              </w:rPr>
              <w:t>134,268</w:t>
            </w:r>
          </w:p>
        </w:tc>
        <w:tc>
          <w:tcPr>
            <w:tcW w:w="50" w:type="pct"/>
            <w:shd w:val="clear" w:color="auto" w:fill="CFF0FC"/>
            <w:noWrap/>
            <w:tcMar>
              <w:top w:w="15" w:type="dxa"/>
              <w:left w:w="0" w:type="dxa"/>
              <w:bottom w:w="0" w:type="dxa"/>
              <w:right w:w="15" w:type="dxa"/>
            </w:tcMar>
            <w:vAlign w:val="bottom"/>
            <w:hideMark/>
          </w:tcPr>
          <w:p w14:paraId="62EF9963"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2570FD6" w14:textId="77777777">
        <w:trPr>
          <w:divId w:val="950667589"/>
        </w:trPr>
        <w:tc>
          <w:tcPr>
            <w:tcW w:w="3354" w:type="pct"/>
            <w:shd w:val="clear" w:color="auto" w:fill="FFFFFF"/>
            <w:tcMar>
              <w:top w:w="15" w:type="dxa"/>
              <w:left w:w="0" w:type="dxa"/>
              <w:bottom w:w="0" w:type="dxa"/>
              <w:right w:w="15" w:type="dxa"/>
            </w:tcMar>
            <w:hideMark/>
          </w:tcPr>
          <w:p w14:paraId="4BE62660" w14:textId="77777777" w:rsidR="00000000" w:rsidRDefault="00582324">
            <w:pPr>
              <w:pStyle w:val="a3"/>
              <w:spacing w:before="0" w:beforeAutospacing="0" w:after="0" w:afterAutospacing="0"/>
              <w:rPr>
                <w:color w:val="000000"/>
                <w:sz w:val="16"/>
                <w:szCs w:val="16"/>
              </w:rPr>
            </w:pPr>
            <w:r>
              <w:rPr>
                <w:color w:val="000000"/>
                <w:sz w:val="16"/>
                <w:szCs w:val="16"/>
              </w:rPr>
              <w:t>NON-CURRENT ASSETS:</w:t>
            </w:r>
          </w:p>
        </w:tc>
        <w:tc>
          <w:tcPr>
            <w:tcW w:w="79" w:type="pct"/>
            <w:shd w:val="clear" w:color="auto" w:fill="FFFFFF"/>
            <w:tcMar>
              <w:top w:w="15" w:type="dxa"/>
              <w:left w:w="0" w:type="dxa"/>
              <w:bottom w:w="0" w:type="dxa"/>
              <w:right w:w="15" w:type="dxa"/>
            </w:tcMar>
            <w:vAlign w:val="bottom"/>
            <w:hideMark/>
          </w:tcPr>
          <w:p w14:paraId="575B092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A7A82D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28FB61DB"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EE5D4E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6226045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81C76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8CB00DF"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ED5809"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441DEB79" w14:textId="77777777">
        <w:trPr>
          <w:divId w:val="950667589"/>
        </w:trPr>
        <w:tc>
          <w:tcPr>
            <w:tcW w:w="3354" w:type="pct"/>
            <w:shd w:val="clear" w:color="auto" w:fill="CFF0FC"/>
            <w:tcMar>
              <w:top w:w="15" w:type="dxa"/>
              <w:left w:w="0" w:type="dxa"/>
              <w:bottom w:w="0" w:type="dxa"/>
              <w:right w:w="15" w:type="dxa"/>
            </w:tcMar>
            <w:hideMark/>
          </w:tcPr>
          <w:p w14:paraId="310751EB" w14:textId="77777777" w:rsidR="00000000" w:rsidRDefault="00582324">
            <w:pPr>
              <w:pStyle w:val="a3"/>
              <w:spacing w:before="0" w:beforeAutospacing="0" w:after="0" w:afterAutospacing="0"/>
              <w:ind w:left="274"/>
              <w:rPr>
                <w:color w:val="000000"/>
                <w:sz w:val="16"/>
                <w:szCs w:val="16"/>
              </w:rPr>
            </w:pPr>
            <w:r>
              <w:rPr>
                <w:color w:val="000000"/>
                <w:sz w:val="16"/>
                <w:szCs w:val="16"/>
              </w:rPr>
              <w:t>Property and equipment—net</w:t>
            </w:r>
          </w:p>
        </w:tc>
        <w:tc>
          <w:tcPr>
            <w:tcW w:w="79" w:type="pct"/>
            <w:shd w:val="clear" w:color="auto" w:fill="CFF0FC"/>
            <w:tcMar>
              <w:top w:w="15" w:type="dxa"/>
              <w:left w:w="0" w:type="dxa"/>
              <w:bottom w:w="0" w:type="dxa"/>
              <w:right w:w="15" w:type="dxa"/>
            </w:tcMar>
            <w:vAlign w:val="bottom"/>
            <w:hideMark/>
          </w:tcPr>
          <w:p w14:paraId="00DE81A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320E95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50A48A3E" w14:textId="77777777" w:rsidR="00000000" w:rsidRDefault="00582324">
            <w:pPr>
              <w:pStyle w:val="a3"/>
              <w:spacing w:before="0" w:beforeAutospacing="0" w:after="0" w:afterAutospacing="0"/>
              <w:jc w:val="right"/>
              <w:rPr>
                <w:color w:val="000000"/>
                <w:sz w:val="16"/>
                <w:szCs w:val="16"/>
              </w:rPr>
            </w:pPr>
            <w:r>
              <w:rPr>
                <w:color w:val="000000"/>
                <w:sz w:val="16"/>
                <w:szCs w:val="16"/>
              </w:rPr>
              <w:t>29,552</w:t>
            </w:r>
          </w:p>
        </w:tc>
        <w:tc>
          <w:tcPr>
            <w:tcW w:w="50" w:type="pct"/>
            <w:shd w:val="clear" w:color="auto" w:fill="CFF0FC"/>
            <w:noWrap/>
            <w:tcMar>
              <w:top w:w="15" w:type="dxa"/>
              <w:left w:w="0" w:type="dxa"/>
              <w:bottom w:w="0" w:type="dxa"/>
              <w:right w:w="15" w:type="dxa"/>
            </w:tcMar>
            <w:vAlign w:val="bottom"/>
            <w:hideMark/>
          </w:tcPr>
          <w:p w14:paraId="5358579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7F2551B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5BC97B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3F165221" w14:textId="77777777" w:rsidR="00000000" w:rsidRDefault="00582324">
            <w:pPr>
              <w:pStyle w:val="a3"/>
              <w:spacing w:before="0" w:beforeAutospacing="0" w:after="0" w:afterAutospacing="0"/>
              <w:jc w:val="right"/>
              <w:rPr>
                <w:color w:val="000000"/>
                <w:sz w:val="16"/>
                <w:szCs w:val="16"/>
              </w:rPr>
            </w:pPr>
            <w:r>
              <w:rPr>
                <w:color w:val="000000"/>
                <w:sz w:val="16"/>
                <w:szCs w:val="16"/>
              </w:rPr>
              <w:t>34,399</w:t>
            </w:r>
          </w:p>
        </w:tc>
        <w:tc>
          <w:tcPr>
            <w:tcW w:w="50" w:type="pct"/>
            <w:shd w:val="clear" w:color="auto" w:fill="CFF0FC"/>
            <w:noWrap/>
            <w:tcMar>
              <w:top w:w="15" w:type="dxa"/>
              <w:left w:w="0" w:type="dxa"/>
              <w:bottom w:w="0" w:type="dxa"/>
              <w:right w:w="15" w:type="dxa"/>
            </w:tcMar>
            <w:vAlign w:val="bottom"/>
            <w:hideMark/>
          </w:tcPr>
          <w:p w14:paraId="56598A5D"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0C232048" w14:textId="77777777">
        <w:trPr>
          <w:divId w:val="950667589"/>
        </w:trPr>
        <w:tc>
          <w:tcPr>
            <w:tcW w:w="3354" w:type="pct"/>
            <w:shd w:val="clear" w:color="auto" w:fill="FFFFFF"/>
            <w:tcMar>
              <w:top w:w="15" w:type="dxa"/>
              <w:left w:w="0" w:type="dxa"/>
              <w:bottom w:w="0" w:type="dxa"/>
              <w:right w:w="15" w:type="dxa"/>
            </w:tcMar>
            <w:hideMark/>
          </w:tcPr>
          <w:p w14:paraId="4ADF6B0E" w14:textId="77777777" w:rsidR="00000000" w:rsidRDefault="00582324">
            <w:pPr>
              <w:pStyle w:val="a3"/>
              <w:spacing w:before="0" w:beforeAutospacing="0" w:after="0" w:afterAutospacing="0"/>
              <w:ind w:left="274"/>
              <w:rPr>
                <w:color w:val="000000"/>
                <w:sz w:val="16"/>
                <w:szCs w:val="16"/>
              </w:rPr>
            </w:pPr>
            <w:r>
              <w:rPr>
                <w:color w:val="000000"/>
                <w:sz w:val="16"/>
                <w:szCs w:val="16"/>
              </w:rPr>
              <w:t>Operating lease right-of-use asset—net</w:t>
            </w:r>
          </w:p>
        </w:tc>
        <w:tc>
          <w:tcPr>
            <w:tcW w:w="79" w:type="pct"/>
            <w:shd w:val="clear" w:color="auto" w:fill="FFFFFF"/>
            <w:tcMar>
              <w:top w:w="15" w:type="dxa"/>
              <w:left w:w="0" w:type="dxa"/>
              <w:bottom w:w="0" w:type="dxa"/>
              <w:right w:w="15" w:type="dxa"/>
            </w:tcMar>
            <w:vAlign w:val="bottom"/>
            <w:hideMark/>
          </w:tcPr>
          <w:p w14:paraId="781AD9B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91F355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7D4D5DBB" w14:textId="77777777" w:rsidR="00000000" w:rsidRDefault="00582324">
            <w:pPr>
              <w:pStyle w:val="a3"/>
              <w:spacing w:before="0" w:beforeAutospacing="0" w:after="0" w:afterAutospacing="0"/>
              <w:jc w:val="right"/>
              <w:rPr>
                <w:color w:val="000000"/>
                <w:sz w:val="16"/>
                <w:szCs w:val="16"/>
              </w:rPr>
            </w:pPr>
            <w:r>
              <w:rPr>
                <w:color w:val="000000"/>
                <w:sz w:val="16"/>
                <w:szCs w:val="16"/>
              </w:rPr>
              <w:t>25,823</w:t>
            </w:r>
          </w:p>
        </w:tc>
        <w:tc>
          <w:tcPr>
            <w:tcW w:w="50" w:type="pct"/>
            <w:shd w:val="clear" w:color="auto" w:fill="FFFFFF"/>
            <w:noWrap/>
            <w:tcMar>
              <w:top w:w="15" w:type="dxa"/>
              <w:left w:w="0" w:type="dxa"/>
              <w:bottom w:w="0" w:type="dxa"/>
              <w:right w:w="15" w:type="dxa"/>
            </w:tcMar>
            <w:vAlign w:val="bottom"/>
            <w:hideMark/>
          </w:tcPr>
          <w:p w14:paraId="1C11D21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72B45E7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C99E7D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075FAB20"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C34AECE"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3E15D55" w14:textId="77777777">
        <w:trPr>
          <w:divId w:val="950667589"/>
        </w:trPr>
        <w:tc>
          <w:tcPr>
            <w:tcW w:w="3354" w:type="pct"/>
            <w:shd w:val="clear" w:color="auto" w:fill="CFF0FC"/>
            <w:tcMar>
              <w:top w:w="15" w:type="dxa"/>
              <w:left w:w="0" w:type="dxa"/>
              <w:bottom w:w="0" w:type="dxa"/>
              <w:right w:w="15" w:type="dxa"/>
            </w:tcMar>
            <w:hideMark/>
          </w:tcPr>
          <w:p w14:paraId="3A9A1EFB" w14:textId="77777777" w:rsidR="00000000" w:rsidRDefault="00582324">
            <w:pPr>
              <w:pStyle w:val="a3"/>
              <w:spacing w:before="0" w:beforeAutospacing="0" w:after="0" w:afterAutospacing="0"/>
              <w:ind w:left="274"/>
              <w:rPr>
                <w:color w:val="000000"/>
                <w:sz w:val="16"/>
                <w:szCs w:val="16"/>
              </w:rPr>
            </w:pPr>
            <w:r>
              <w:rPr>
                <w:color w:val="000000"/>
                <w:sz w:val="16"/>
                <w:szCs w:val="16"/>
              </w:rPr>
              <w:t>Finance lease right-of-use asset—net</w:t>
            </w:r>
          </w:p>
        </w:tc>
        <w:tc>
          <w:tcPr>
            <w:tcW w:w="79" w:type="pct"/>
            <w:shd w:val="clear" w:color="auto" w:fill="CFF0FC"/>
            <w:tcMar>
              <w:top w:w="15" w:type="dxa"/>
              <w:left w:w="0" w:type="dxa"/>
              <w:bottom w:w="0" w:type="dxa"/>
              <w:right w:w="15" w:type="dxa"/>
            </w:tcMar>
            <w:vAlign w:val="bottom"/>
            <w:hideMark/>
          </w:tcPr>
          <w:p w14:paraId="45A35F3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787DD1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223A036B" w14:textId="77777777" w:rsidR="00000000" w:rsidRDefault="00582324">
            <w:pPr>
              <w:pStyle w:val="a3"/>
              <w:spacing w:before="0" w:beforeAutospacing="0" w:after="0" w:afterAutospacing="0"/>
              <w:jc w:val="right"/>
              <w:rPr>
                <w:color w:val="000000"/>
                <w:sz w:val="16"/>
                <w:szCs w:val="16"/>
              </w:rPr>
            </w:pPr>
            <w:r>
              <w:rPr>
                <w:color w:val="000000"/>
                <w:sz w:val="16"/>
                <w:szCs w:val="16"/>
              </w:rPr>
              <w:t>7,439</w:t>
            </w:r>
          </w:p>
        </w:tc>
        <w:tc>
          <w:tcPr>
            <w:tcW w:w="50" w:type="pct"/>
            <w:shd w:val="clear" w:color="auto" w:fill="CFF0FC"/>
            <w:noWrap/>
            <w:tcMar>
              <w:top w:w="15" w:type="dxa"/>
              <w:left w:w="0" w:type="dxa"/>
              <w:bottom w:w="0" w:type="dxa"/>
              <w:right w:w="15" w:type="dxa"/>
            </w:tcMar>
            <w:vAlign w:val="bottom"/>
            <w:hideMark/>
          </w:tcPr>
          <w:p w14:paraId="26A1D29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2919104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1930FD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41D3C250"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3D23FAA"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0A784ACC" w14:textId="77777777">
        <w:trPr>
          <w:divId w:val="950667589"/>
        </w:trPr>
        <w:tc>
          <w:tcPr>
            <w:tcW w:w="3354" w:type="pct"/>
            <w:shd w:val="clear" w:color="auto" w:fill="FFFFFF"/>
            <w:tcMar>
              <w:top w:w="15" w:type="dxa"/>
              <w:left w:w="0" w:type="dxa"/>
              <w:bottom w:w="0" w:type="dxa"/>
              <w:right w:w="15" w:type="dxa"/>
            </w:tcMar>
            <w:hideMark/>
          </w:tcPr>
          <w:p w14:paraId="57C67A64" w14:textId="77777777" w:rsidR="00000000" w:rsidRDefault="00582324">
            <w:pPr>
              <w:pStyle w:val="a3"/>
              <w:spacing w:before="0" w:beforeAutospacing="0" w:after="0" w:afterAutospacing="0"/>
              <w:ind w:left="274"/>
              <w:rPr>
                <w:color w:val="000000"/>
                <w:sz w:val="16"/>
                <w:szCs w:val="16"/>
              </w:rPr>
            </w:pPr>
            <w:r>
              <w:rPr>
                <w:color w:val="000000"/>
                <w:sz w:val="16"/>
                <w:szCs w:val="16"/>
              </w:rPr>
              <w:t>Goodwill</w:t>
            </w:r>
          </w:p>
        </w:tc>
        <w:tc>
          <w:tcPr>
            <w:tcW w:w="79" w:type="pct"/>
            <w:shd w:val="clear" w:color="auto" w:fill="FFFFFF"/>
            <w:tcMar>
              <w:top w:w="15" w:type="dxa"/>
              <w:left w:w="0" w:type="dxa"/>
              <w:bottom w:w="0" w:type="dxa"/>
              <w:right w:w="15" w:type="dxa"/>
            </w:tcMar>
            <w:vAlign w:val="bottom"/>
            <w:hideMark/>
          </w:tcPr>
          <w:p w14:paraId="7452397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173CD6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229C6275" w14:textId="77777777" w:rsidR="00000000" w:rsidRDefault="00582324">
            <w:pPr>
              <w:pStyle w:val="a3"/>
              <w:spacing w:before="0" w:beforeAutospacing="0" w:after="0" w:afterAutospacing="0"/>
              <w:jc w:val="right"/>
              <w:rPr>
                <w:color w:val="000000"/>
                <w:sz w:val="16"/>
                <w:szCs w:val="16"/>
              </w:rPr>
            </w:pPr>
            <w:r>
              <w:rPr>
                <w:color w:val="000000"/>
                <w:sz w:val="16"/>
                <w:szCs w:val="16"/>
              </w:rPr>
              <w:t>287,293</w:t>
            </w:r>
          </w:p>
        </w:tc>
        <w:tc>
          <w:tcPr>
            <w:tcW w:w="50" w:type="pct"/>
            <w:shd w:val="clear" w:color="auto" w:fill="FFFFFF"/>
            <w:noWrap/>
            <w:tcMar>
              <w:top w:w="15" w:type="dxa"/>
              <w:left w:w="0" w:type="dxa"/>
              <w:bottom w:w="0" w:type="dxa"/>
              <w:right w:w="15" w:type="dxa"/>
            </w:tcMar>
            <w:vAlign w:val="bottom"/>
            <w:hideMark/>
          </w:tcPr>
          <w:p w14:paraId="6479DB2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1D926E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2B7686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012D1F7F" w14:textId="77777777" w:rsidR="00000000" w:rsidRDefault="00582324">
            <w:pPr>
              <w:pStyle w:val="a3"/>
              <w:spacing w:before="0" w:beforeAutospacing="0" w:after="0" w:afterAutospacing="0"/>
              <w:jc w:val="right"/>
              <w:rPr>
                <w:color w:val="000000"/>
                <w:sz w:val="16"/>
                <w:szCs w:val="16"/>
              </w:rPr>
            </w:pPr>
            <w:r>
              <w:rPr>
                <w:color w:val="000000"/>
                <w:sz w:val="16"/>
                <w:szCs w:val="16"/>
              </w:rPr>
              <w:t>274,667</w:t>
            </w:r>
          </w:p>
        </w:tc>
        <w:tc>
          <w:tcPr>
            <w:tcW w:w="50" w:type="pct"/>
            <w:shd w:val="clear" w:color="auto" w:fill="FFFFFF"/>
            <w:noWrap/>
            <w:tcMar>
              <w:top w:w="15" w:type="dxa"/>
              <w:left w:w="0" w:type="dxa"/>
              <w:bottom w:w="0" w:type="dxa"/>
              <w:right w:w="15" w:type="dxa"/>
            </w:tcMar>
            <w:vAlign w:val="bottom"/>
            <w:hideMark/>
          </w:tcPr>
          <w:p w14:paraId="3B1E0A2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479D16A4" w14:textId="77777777">
        <w:trPr>
          <w:divId w:val="950667589"/>
        </w:trPr>
        <w:tc>
          <w:tcPr>
            <w:tcW w:w="3354" w:type="pct"/>
            <w:shd w:val="clear" w:color="auto" w:fill="CFF0FC"/>
            <w:tcMar>
              <w:top w:w="15" w:type="dxa"/>
              <w:left w:w="0" w:type="dxa"/>
              <w:bottom w:w="0" w:type="dxa"/>
              <w:right w:w="15" w:type="dxa"/>
            </w:tcMar>
            <w:hideMark/>
          </w:tcPr>
          <w:p w14:paraId="43DA1DC5" w14:textId="77777777" w:rsidR="00000000" w:rsidRDefault="00582324">
            <w:pPr>
              <w:pStyle w:val="a3"/>
              <w:spacing w:before="0" w:beforeAutospacing="0" w:after="0" w:afterAutospacing="0"/>
              <w:ind w:left="274"/>
              <w:rPr>
                <w:color w:val="000000"/>
                <w:sz w:val="16"/>
                <w:szCs w:val="16"/>
              </w:rPr>
            </w:pPr>
            <w:r>
              <w:rPr>
                <w:color w:val="000000"/>
                <w:sz w:val="16"/>
                <w:szCs w:val="16"/>
              </w:rPr>
              <w:t>Other intangible assets—net</w:t>
            </w:r>
          </w:p>
        </w:tc>
        <w:tc>
          <w:tcPr>
            <w:tcW w:w="79" w:type="pct"/>
            <w:shd w:val="clear" w:color="auto" w:fill="CFF0FC"/>
            <w:tcMar>
              <w:top w:w="15" w:type="dxa"/>
              <w:left w:w="0" w:type="dxa"/>
              <w:bottom w:w="0" w:type="dxa"/>
              <w:right w:w="15" w:type="dxa"/>
            </w:tcMar>
            <w:vAlign w:val="bottom"/>
            <w:hideMark/>
          </w:tcPr>
          <w:p w14:paraId="21B4E81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392FF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10F226F8" w14:textId="77777777" w:rsidR="00000000" w:rsidRDefault="00582324">
            <w:pPr>
              <w:pStyle w:val="a3"/>
              <w:spacing w:before="0" w:beforeAutospacing="0" w:after="0" w:afterAutospacing="0"/>
              <w:jc w:val="right"/>
              <w:rPr>
                <w:color w:val="000000"/>
                <w:sz w:val="16"/>
                <w:szCs w:val="16"/>
              </w:rPr>
            </w:pPr>
            <w:r>
              <w:rPr>
                <w:color w:val="000000"/>
                <w:sz w:val="16"/>
                <w:szCs w:val="16"/>
              </w:rPr>
              <w:t>152,740</w:t>
            </w:r>
          </w:p>
        </w:tc>
        <w:tc>
          <w:tcPr>
            <w:tcW w:w="50" w:type="pct"/>
            <w:shd w:val="clear" w:color="auto" w:fill="CFF0FC"/>
            <w:noWrap/>
            <w:tcMar>
              <w:top w:w="15" w:type="dxa"/>
              <w:left w:w="0" w:type="dxa"/>
              <w:bottom w:w="0" w:type="dxa"/>
              <w:right w:w="15" w:type="dxa"/>
            </w:tcMar>
            <w:vAlign w:val="bottom"/>
            <w:hideMark/>
          </w:tcPr>
          <w:p w14:paraId="34CDC4D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5504862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99A71A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250739C9" w14:textId="77777777" w:rsidR="00000000" w:rsidRDefault="00582324">
            <w:pPr>
              <w:pStyle w:val="a3"/>
              <w:spacing w:before="0" w:beforeAutospacing="0" w:after="0" w:afterAutospacing="0"/>
              <w:jc w:val="right"/>
              <w:rPr>
                <w:color w:val="000000"/>
                <w:sz w:val="16"/>
                <w:szCs w:val="16"/>
              </w:rPr>
            </w:pPr>
            <w:r>
              <w:rPr>
                <w:color w:val="000000"/>
                <w:sz w:val="16"/>
                <w:szCs w:val="16"/>
              </w:rPr>
              <w:t>154,854</w:t>
            </w:r>
          </w:p>
        </w:tc>
        <w:tc>
          <w:tcPr>
            <w:tcW w:w="50" w:type="pct"/>
            <w:shd w:val="clear" w:color="auto" w:fill="CFF0FC"/>
            <w:noWrap/>
            <w:tcMar>
              <w:top w:w="15" w:type="dxa"/>
              <w:left w:w="0" w:type="dxa"/>
              <w:bottom w:w="0" w:type="dxa"/>
              <w:right w:w="15" w:type="dxa"/>
            </w:tcMar>
            <w:vAlign w:val="bottom"/>
            <w:hideMark/>
          </w:tcPr>
          <w:p w14:paraId="2140A23F"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BBE38E5" w14:textId="77777777">
        <w:trPr>
          <w:divId w:val="950667589"/>
        </w:trPr>
        <w:tc>
          <w:tcPr>
            <w:tcW w:w="3354" w:type="pct"/>
            <w:shd w:val="clear" w:color="auto" w:fill="FFFFFF"/>
            <w:tcMar>
              <w:top w:w="15" w:type="dxa"/>
              <w:left w:w="0" w:type="dxa"/>
              <w:bottom w:w="0" w:type="dxa"/>
              <w:right w:w="15" w:type="dxa"/>
            </w:tcMar>
            <w:hideMark/>
          </w:tcPr>
          <w:p w14:paraId="707A5D8E" w14:textId="77777777" w:rsidR="00000000" w:rsidRDefault="00582324">
            <w:pPr>
              <w:pStyle w:val="a3"/>
              <w:spacing w:before="0" w:beforeAutospacing="0" w:after="0" w:afterAutospacing="0"/>
              <w:ind w:left="274"/>
              <w:rPr>
                <w:color w:val="000000"/>
                <w:sz w:val="16"/>
                <w:szCs w:val="16"/>
              </w:rPr>
            </w:pPr>
            <w:r>
              <w:rPr>
                <w:color w:val="000000"/>
                <w:sz w:val="16"/>
                <w:szCs w:val="16"/>
              </w:rPr>
              <w:t>Other assets</w:t>
            </w:r>
          </w:p>
        </w:tc>
        <w:tc>
          <w:tcPr>
            <w:tcW w:w="79" w:type="pct"/>
            <w:shd w:val="clear" w:color="auto" w:fill="FFFFFF"/>
            <w:tcMar>
              <w:top w:w="15" w:type="dxa"/>
              <w:left w:w="0" w:type="dxa"/>
              <w:bottom w:w="0" w:type="dxa"/>
              <w:right w:w="15" w:type="dxa"/>
            </w:tcMar>
            <w:vAlign w:val="bottom"/>
            <w:hideMark/>
          </w:tcPr>
          <w:p w14:paraId="2163F17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335D3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78AD70C" w14:textId="77777777" w:rsidR="00000000" w:rsidRDefault="00582324">
            <w:pPr>
              <w:pStyle w:val="a3"/>
              <w:spacing w:before="0" w:beforeAutospacing="0" w:after="0" w:afterAutospacing="0"/>
              <w:jc w:val="right"/>
              <w:rPr>
                <w:color w:val="000000"/>
                <w:sz w:val="16"/>
                <w:szCs w:val="16"/>
              </w:rPr>
            </w:pPr>
            <w:r>
              <w:rPr>
                <w:color w:val="000000"/>
                <w:sz w:val="16"/>
                <w:szCs w:val="16"/>
              </w:rPr>
              <w:t>3,390</w:t>
            </w:r>
          </w:p>
        </w:tc>
        <w:tc>
          <w:tcPr>
            <w:tcW w:w="50" w:type="pct"/>
            <w:shd w:val="clear" w:color="auto" w:fill="FFFFFF"/>
            <w:noWrap/>
            <w:tcMar>
              <w:top w:w="15" w:type="dxa"/>
              <w:left w:w="0" w:type="dxa"/>
              <w:bottom w:w="0" w:type="dxa"/>
              <w:right w:w="15" w:type="dxa"/>
            </w:tcMar>
            <w:vAlign w:val="bottom"/>
            <w:hideMark/>
          </w:tcPr>
          <w:p w14:paraId="0468D4A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44B3F19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47707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DB34E51" w14:textId="77777777" w:rsidR="00000000" w:rsidRDefault="00582324">
            <w:pPr>
              <w:pStyle w:val="a3"/>
              <w:spacing w:before="0" w:beforeAutospacing="0" w:after="0" w:afterAutospacing="0"/>
              <w:jc w:val="right"/>
              <w:rPr>
                <w:color w:val="000000"/>
                <w:sz w:val="16"/>
                <w:szCs w:val="16"/>
              </w:rPr>
            </w:pPr>
            <w:r>
              <w:rPr>
                <w:color w:val="000000"/>
                <w:sz w:val="16"/>
                <w:szCs w:val="16"/>
              </w:rPr>
              <w:t>4,538</w:t>
            </w:r>
          </w:p>
        </w:tc>
        <w:tc>
          <w:tcPr>
            <w:tcW w:w="50" w:type="pct"/>
            <w:shd w:val="clear" w:color="auto" w:fill="FFFFFF"/>
            <w:noWrap/>
            <w:tcMar>
              <w:top w:w="15" w:type="dxa"/>
              <w:left w:w="0" w:type="dxa"/>
              <w:bottom w:w="0" w:type="dxa"/>
              <w:right w:w="15" w:type="dxa"/>
            </w:tcMar>
            <w:vAlign w:val="bottom"/>
            <w:hideMark/>
          </w:tcPr>
          <w:p w14:paraId="22D04A4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5F61D62D" w14:textId="77777777">
        <w:trPr>
          <w:divId w:val="950667589"/>
        </w:trPr>
        <w:tc>
          <w:tcPr>
            <w:tcW w:w="3354" w:type="pct"/>
            <w:shd w:val="clear" w:color="auto" w:fill="CFF0FC"/>
            <w:tcMar>
              <w:top w:w="15" w:type="dxa"/>
              <w:left w:w="0" w:type="dxa"/>
              <w:bottom w:w="0" w:type="dxa"/>
              <w:right w:w="15" w:type="dxa"/>
            </w:tcMar>
            <w:hideMark/>
          </w:tcPr>
          <w:p w14:paraId="3B997E63" w14:textId="77777777" w:rsidR="00000000" w:rsidRDefault="00582324">
            <w:pPr>
              <w:pStyle w:val="a3"/>
              <w:spacing w:before="0" w:beforeAutospacing="0" w:after="0" w:afterAutospacing="0"/>
              <w:rPr>
                <w:color w:val="000000"/>
                <w:sz w:val="16"/>
                <w:szCs w:val="16"/>
              </w:rPr>
            </w:pPr>
            <w:r>
              <w:rPr>
                <w:color w:val="000000"/>
                <w:sz w:val="16"/>
                <w:szCs w:val="16"/>
              </w:rPr>
              <w:t>TOTAL ASSETS</w:t>
            </w:r>
          </w:p>
        </w:tc>
        <w:tc>
          <w:tcPr>
            <w:tcW w:w="79" w:type="pct"/>
            <w:shd w:val="clear" w:color="auto" w:fill="CFF0FC"/>
            <w:tcMar>
              <w:top w:w="15" w:type="dxa"/>
              <w:left w:w="0" w:type="dxa"/>
              <w:bottom w:w="0" w:type="dxa"/>
              <w:right w:w="15" w:type="dxa"/>
            </w:tcMar>
            <w:vAlign w:val="bottom"/>
            <w:hideMark/>
          </w:tcPr>
          <w:p w14:paraId="0A92639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03B0EF"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A79E30" w14:textId="77777777" w:rsidR="00000000" w:rsidRDefault="00582324">
            <w:pPr>
              <w:pStyle w:val="a3"/>
              <w:spacing w:before="0" w:beforeAutospacing="0" w:after="0" w:afterAutospacing="0"/>
              <w:jc w:val="right"/>
              <w:rPr>
                <w:color w:val="000000"/>
                <w:sz w:val="16"/>
                <w:szCs w:val="16"/>
              </w:rPr>
            </w:pPr>
            <w:r>
              <w:rPr>
                <w:color w:val="000000"/>
                <w:sz w:val="16"/>
                <w:szCs w:val="16"/>
              </w:rPr>
              <w:t>681,516</w:t>
            </w:r>
          </w:p>
        </w:tc>
        <w:tc>
          <w:tcPr>
            <w:tcW w:w="50" w:type="pct"/>
            <w:shd w:val="clear" w:color="auto" w:fill="CFF0FC"/>
            <w:noWrap/>
            <w:tcMar>
              <w:top w:w="15" w:type="dxa"/>
              <w:left w:w="0" w:type="dxa"/>
              <w:bottom w:w="0" w:type="dxa"/>
              <w:right w:w="15" w:type="dxa"/>
            </w:tcMar>
            <w:vAlign w:val="bottom"/>
            <w:hideMark/>
          </w:tcPr>
          <w:p w14:paraId="166C575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555FEF3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68D5F3"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E4C004" w14:textId="77777777" w:rsidR="00000000" w:rsidRDefault="00582324">
            <w:pPr>
              <w:pStyle w:val="a3"/>
              <w:spacing w:before="0" w:beforeAutospacing="0" w:after="0" w:afterAutospacing="0"/>
              <w:jc w:val="right"/>
              <w:rPr>
                <w:color w:val="000000"/>
                <w:sz w:val="16"/>
                <w:szCs w:val="16"/>
              </w:rPr>
            </w:pPr>
            <w:r>
              <w:rPr>
                <w:color w:val="000000"/>
                <w:sz w:val="16"/>
                <w:szCs w:val="16"/>
              </w:rPr>
              <w:t>602,726</w:t>
            </w:r>
          </w:p>
        </w:tc>
        <w:tc>
          <w:tcPr>
            <w:tcW w:w="50" w:type="pct"/>
            <w:shd w:val="clear" w:color="auto" w:fill="CFF0FC"/>
            <w:noWrap/>
            <w:tcMar>
              <w:top w:w="15" w:type="dxa"/>
              <w:left w:w="0" w:type="dxa"/>
              <w:bottom w:w="0" w:type="dxa"/>
              <w:right w:w="15" w:type="dxa"/>
            </w:tcMar>
            <w:vAlign w:val="bottom"/>
            <w:hideMark/>
          </w:tcPr>
          <w:p w14:paraId="2EA73325"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5245D50" w14:textId="77777777">
        <w:trPr>
          <w:divId w:val="950667589"/>
        </w:trPr>
        <w:tc>
          <w:tcPr>
            <w:tcW w:w="3354" w:type="pct"/>
            <w:shd w:val="clear" w:color="auto" w:fill="FFFFFF"/>
            <w:tcMar>
              <w:top w:w="15" w:type="dxa"/>
              <w:left w:w="0" w:type="dxa"/>
              <w:bottom w:w="0" w:type="dxa"/>
              <w:right w:w="15" w:type="dxa"/>
            </w:tcMar>
            <w:hideMark/>
          </w:tcPr>
          <w:p w14:paraId="47625DFB" w14:textId="77777777" w:rsidR="00000000" w:rsidRDefault="00582324">
            <w:pPr>
              <w:pStyle w:val="a3"/>
              <w:spacing w:before="0" w:beforeAutospacing="0" w:after="0" w:afterAutospacing="0"/>
              <w:rPr>
                <w:b/>
                <w:bCs/>
                <w:color w:val="000000"/>
                <w:sz w:val="16"/>
                <w:szCs w:val="16"/>
              </w:rPr>
            </w:pPr>
            <w:r>
              <w:rPr>
                <w:b/>
                <w:bCs/>
                <w:color w:val="000000"/>
                <w:sz w:val="16"/>
                <w:szCs w:val="16"/>
              </w:rPr>
              <w:t>LIABILITIES, CONVERTIBLE AND REDEEMABLE SERIES A-2 PREFERRED STOCK AND</w:t>
            </w:r>
          </w:p>
          <w:p w14:paraId="23BC33A9" w14:textId="77777777" w:rsidR="00000000" w:rsidRDefault="00582324">
            <w:pPr>
              <w:pStyle w:val="a3"/>
              <w:spacing w:before="0" w:beforeAutospacing="0" w:after="0" w:afterAutospacing="0"/>
              <w:rPr>
                <w:b/>
                <w:bCs/>
                <w:color w:val="000000"/>
                <w:sz w:val="16"/>
                <w:szCs w:val="16"/>
              </w:rPr>
            </w:pPr>
            <w:r>
              <w:rPr>
                <w:b/>
                <w:bCs/>
                <w:color w:val="000000"/>
                <w:sz w:val="16"/>
                <w:szCs w:val="16"/>
              </w:rPr>
              <w:t>   STOCKHOLDERS’ EQUITY</w:t>
            </w:r>
          </w:p>
        </w:tc>
        <w:tc>
          <w:tcPr>
            <w:tcW w:w="79" w:type="pct"/>
            <w:shd w:val="clear" w:color="auto" w:fill="FFFFFF"/>
            <w:tcMar>
              <w:top w:w="15" w:type="dxa"/>
              <w:left w:w="0" w:type="dxa"/>
              <w:bottom w:w="0" w:type="dxa"/>
              <w:right w:w="15" w:type="dxa"/>
            </w:tcMar>
            <w:vAlign w:val="bottom"/>
            <w:hideMark/>
          </w:tcPr>
          <w:p w14:paraId="0616AD32"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EFEFFA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07A17A44"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DC2DB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11D2830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3F84F5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7808D395"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A9FB8F"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531A6B78" w14:textId="77777777">
        <w:trPr>
          <w:divId w:val="950667589"/>
        </w:trPr>
        <w:tc>
          <w:tcPr>
            <w:tcW w:w="3354" w:type="pct"/>
            <w:shd w:val="clear" w:color="auto" w:fill="CFF0FC"/>
            <w:tcMar>
              <w:top w:w="15" w:type="dxa"/>
              <w:left w:w="0" w:type="dxa"/>
              <w:bottom w:w="0" w:type="dxa"/>
              <w:right w:w="15" w:type="dxa"/>
            </w:tcMar>
            <w:hideMark/>
          </w:tcPr>
          <w:p w14:paraId="3F1CA107" w14:textId="77777777" w:rsidR="00000000" w:rsidRDefault="00582324">
            <w:pPr>
              <w:pStyle w:val="a3"/>
              <w:spacing w:before="0" w:beforeAutospacing="0" w:after="0" w:afterAutospacing="0"/>
              <w:rPr>
                <w:color w:val="000000"/>
                <w:sz w:val="16"/>
                <w:szCs w:val="16"/>
              </w:rPr>
            </w:pPr>
            <w:r>
              <w:rPr>
                <w:color w:val="000000"/>
                <w:sz w:val="16"/>
                <w:szCs w:val="16"/>
              </w:rPr>
              <w:t>CURRENT LIABILITIES:</w:t>
            </w:r>
          </w:p>
        </w:tc>
        <w:tc>
          <w:tcPr>
            <w:tcW w:w="79" w:type="pct"/>
            <w:shd w:val="clear" w:color="auto" w:fill="CFF0FC"/>
            <w:tcMar>
              <w:top w:w="15" w:type="dxa"/>
              <w:left w:w="0" w:type="dxa"/>
              <w:bottom w:w="0" w:type="dxa"/>
              <w:right w:w="15" w:type="dxa"/>
            </w:tcMar>
            <w:vAlign w:val="bottom"/>
            <w:hideMark/>
          </w:tcPr>
          <w:p w14:paraId="485A50A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BD4D89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3F868627"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6D569D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64498D7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4C4981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350CB634"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3B6B3BE"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5CF0D9D0" w14:textId="77777777">
        <w:trPr>
          <w:divId w:val="950667589"/>
        </w:trPr>
        <w:tc>
          <w:tcPr>
            <w:tcW w:w="3354" w:type="pct"/>
            <w:shd w:val="clear" w:color="auto" w:fill="FFFFFF"/>
            <w:tcMar>
              <w:top w:w="15" w:type="dxa"/>
              <w:left w:w="0" w:type="dxa"/>
              <w:bottom w:w="0" w:type="dxa"/>
              <w:right w:w="15" w:type="dxa"/>
            </w:tcMar>
            <w:hideMark/>
          </w:tcPr>
          <w:p w14:paraId="3799C691" w14:textId="77777777" w:rsidR="00000000" w:rsidRDefault="00582324">
            <w:pPr>
              <w:pStyle w:val="a3"/>
              <w:spacing w:before="0" w:beforeAutospacing="0" w:after="0" w:afterAutospacing="0"/>
              <w:ind w:left="274"/>
              <w:rPr>
                <w:color w:val="000000"/>
                <w:sz w:val="16"/>
                <w:szCs w:val="16"/>
              </w:rPr>
            </w:pPr>
            <w:r>
              <w:rPr>
                <w:color w:val="000000"/>
                <w:sz w:val="16"/>
                <w:szCs w:val="16"/>
              </w:rPr>
              <w:t>Accounts payable and other accrued liabilities</w:t>
            </w:r>
          </w:p>
        </w:tc>
        <w:tc>
          <w:tcPr>
            <w:tcW w:w="79" w:type="pct"/>
            <w:shd w:val="clear" w:color="auto" w:fill="FFFFFF"/>
            <w:tcMar>
              <w:top w:w="15" w:type="dxa"/>
              <w:left w:w="0" w:type="dxa"/>
              <w:bottom w:w="0" w:type="dxa"/>
              <w:right w:w="15" w:type="dxa"/>
            </w:tcMar>
            <w:vAlign w:val="bottom"/>
            <w:hideMark/>
          </w:tcPr>
          <w:p w14:paraId="216378B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1A4492"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shd w:val="clear" w:color="auto" w:fill="FFFFFF"/>
            <w:noWrap/>
            <w:tcMar>
              <w:top w:w="15" w:type="dxa"/>
              <w:left w:w="0" w:type="dxa"/>
              <w:bottom w:w="0" w:type="dxa"/>
              <w:right w:w="15" w:type="dxa"/>
            </w:tcMar>
            <w:vAlign w:val="bottom"/>
            <w:hideMark/>
          </w:tcPr>
          <w:p w14:paraId="0AC54AD7" w14:textId="77777777" w:rsidR="00000000" w:rsidRDefault="00582324">
            <w:pPr>
              <w:pStyle w:val="a3"/>
              <w:spacing w:before="0" w:beforeAutospacing="0" w:after="0" w:afterAutospacing="0"/>
              <w:jc w:val="right"/>
              <w:rPr>
                <w:color w:val="000000"/>
                <w:sz w:val="16"/>
                <w:szCs w:val="16"/>
              </w:rPr>
            </w:pPr>
            <w:r>
              <w:rPr>
                <w:color w:val="000000"/>
                <w:sz w:val="16"/>
                <w:szCs w:val="16"/>
              </w:rPr>
              <w:t>40,995</w:t>
            </w:r>
          </w:p>
        </w:tc>
        <w:tc>
          <w:tcPr>
            <w:tcW w:w="50" w:type="pct"/>
            <w:shd w:val="clear" w:color="auto" w:fill="FFFFFF"/>
            <w:noWrap/>
            <w:tcMar>
              <w:top w:w="15" w:type="dxa"/>
              <w:left w:w="0" w:type="dxa"/>
              <w:bottom w:w="0" w:type="dxa"/>
              <w:right w:w="15" w:type="dxa"/>
            </w:tcMar>
            <w:vAlign w:val="bottom"/>
            <w:hideMark/>
          </w:tcPr>
          <w:p w14:paraId="4DD4DD9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7A46D18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E007A0"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shd w:val="clear" w:color="auto" w:fill="FFFFFF"/>
            <w:noWrap/>
            <w:tcMar>
              <w:top w:w="15" w:type="dxa"/>
              <w:left w:w="0" w:type="dxa"/>
              <w:bottom w:w="0" w:type="dxa"/>
              <w:right w:w="15" w:type="dxa"/>
            </w:tcMar>
            <w:vAlign w:val="bottom"/>
            <w:hideMark/>
          </w:tcPr>
          <w:p w14:paraId="72913CCB" w14:textId="77777777" w:rsidR="00000000" w:rsidRDefault="00582324">
            <w:pPr>
              <w:pStyle w:val="a3"/>
              <w:spacing w:before="0" w:beforeAutospacing="0" w:after="0" w:afterAutospacing="0"/>
              <w:jc w:val="right"/>
              <w:rPr>
                <w:color w:val="000000"/>
                <w:sz w:val="16"/>
                <w:szCs w:val="16"/>
              </w:rPr>
            </w:pPr>
            <w:r>
              <w:rPr>
                <w:color w:val="000000"/>
                <w:sz w:val="16"/>
                <w:szCs w:val="16"/>
              </w:rPr>
              <w:t>34,877</w:t>
            </w:r>
          </w:p>
        </w:tc>
        <w:tc>
          <w:tcPr>
            <w:tcW w:w="50" w:type="pct"/>
            <w:shd w:val="clear" w:color="auto" w:fill="FFFFFF"/>
            <w:noWrap/>
            <w:tcMar>
              <w:top w:w="15" w:type="dxa"/>
              <w:left w:w="0" w:type="dxa"/>
              <w:bottom w:w="0" w:type="dxa"/>
              <w:right w:w="15" w:type="dxa"/>
            </w:tcMar>
            <w:vAlign w:val="bottom"/>
            <w:hideMark/>
          </w:tcPr>
          <w:p w14:paraId="48D63660"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BCE8657" w14:textId="77777777">
        <w:trPr>
          <w:divId w:val="950667589"/>
        </w:trPr>
        <w:tc>
          <w:tcPr>
            <w:tcW w:w="3354" w:type="pct"/>
            <w:shd w:val="clear" w:color="auto" w:fill="CFF0FC"/>
            <w:tcMar>
              <w:top w:w="15" w:type="dxa"/>
              <w:left w:w="0" w:type="dxa"/>
              <w:bottom w:w="0" w:type="dxa"/>
              <w:right w:w="15" w:type="dxa"/>
            </w:tcMar>
            <w:hideMark/>
          </w:tcPr>
          <w:p w14:paraId="1EE0F1B5" w14:textId="77777777" w:rsidR="00000000" w:rsidRDefault="00582324">
            <w:pPr>
              <w:pStyle w:val="a3"/>
              <w:spacing w:before="0" w:beforeAutospacing="0" w:after="0" w:afterAutospacing="0"/>
              <w:ind w:left="274"/>
              <w:rPr>
                <w:color w:val="000000"/>
                <w:sz w:val="16"/>
                <w:szCs w:val="16"/>
              </w:rPr>
            </w:pPr>
            <w:r>
              <w:rPr>
                <w:color w:val="000000"/>
                <w:sz w:val="16"/>
                <w:szCs w:val="16"/>
              </w:rPr>
              <w:t>Accrued payroll and benefits</w:t>
            </w:r>
          </w:p>
        </w:tc>
        <w:tc>
          <w:tcPr>
            <w:tcW w:w="79" w:type="pct"/>
            <w:shd w:val="clear" w:color="auto" w:fill="CFF0FC"/>
            <w:tcMar>
              <w:top w:w="15" w:type="dxa"/>
              <w:left w:w="0" w:type="dxa"/>
              <w:bottom w:w="0" w:type="dxa"/>
              <w:right w:w="15" w:type="dxa"/>
            </w:tcMar>
            <w:vAlign w:val="bottom"/>
            <w:hideMark/>
          </w:tcPr>
          <w:p w14:paraId="36A56AD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301B6B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73CC66AB" w14:textId="77777777" w:rsidR="00000000" w:rsidRDefault="00582324">
            <w:pPr>
              <w:pStyle w:val="a3"/>
              <w:spacing w:before="0" w:beforeAutospacing="0" w:after="0" w:afterAutospacing="0"/>
              <w:jc w:val="right"/>
              <w:rPr>
                <w:color w:val="000000"/>
                <w:sz w:val="16"/>
                <w:szCs w:val="16"/>
              </w:rPr>
            </w:pPr>
            <w:r>
              <w:rPr>
                <w:color w:val="000000"/>
                <w:sz w:val="16"/>
                <w:szCs w:val="16"/>
              </w:rPr>
              <w:t>19,279</w:t>
            </w:r>
          </w:p>
        </w:tc>
        <w:tc>
          <w:tcPr>
            <w:tcW w:w="50" w:type="pct"/>
            <w:shd w:val="clear" w:color="auto" w:fill="CFF0FC"/>
            <w:noWrap/>
            <w:tcMar>
              <w:top w:w="15" w:type="dxa"/>
              <w:left w:w="0" w:type="dxa"/>
              <w:bottom w:w="0" w:type="dxa"/>
              <w:right w:w="15" w:type="dxa"/>
            </w:tcMar>
            <w:vAlign w:val="bottom"/>
            <w:hideMark/>
          </w:tcPr>
          <w:p w14:paraId="038BB18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2127295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669D48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550A5A43" w14:textId="77777777" w:rsidR="00000000" w:rsidRDefault="00582324">
            <w:pPr>
              <w:pStyle w:val="a3"/>
              <w:spacing w:before="0" w:beforeAutospacing="0" w:after="0" w:afterAutospacing="0"/>
              <w:jc w:val="right"/>
              <w:rPr>
                <w:color w:val="000000"/>
                <w:sz w:val="16"/>
                <w:szCs w:val="16"/>
              </w:rPr>
            </w:pPr>
            <w:r>
              <w:rPr>
                <w:color w:val="000000"/>
                <w:sz w:val="16"/>
                <w:szCs w:val="16"/>
              </w:rPr>
              <w:t>21,181</w:t>
            </w:r>
          </w:p>
        </w:tc>
        <w:tc>
          <w:tcPr>
            <w:tcW w:w="50" w:type="pct"/>
            <w:shd w:val="clear" w:color="auto" w:fill="CFF0FC"/>
            <w:noWrap/>
            <w:tcMar>
              <w:top w:w="15" w:type="dxa"/>
              <w:left w:w="0" w:type="dxa"/>
              <w:bottom w:w="0" w:type="dxa"/>
              <w:right w:w="15" w:type="dxa"/>
            </w:tcMar>
            <w:vAlign w:val="bottom"/>
            <w:hideMark/>
          </w:tcPr>
          <w:p w14:paraId="0935B0DB"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3C82B9BE" w14:textId="77777777">
        <w:trPr>
          <w:divId w:val="950667589"/>
        </w:trPr>
        <w:tc>
          <w:tcPr>
            <w:tcW w:w="3354" w:type="pct"/>
            <w:shd w:val="clear" w:color="auto" w:fill="FFFFFF"/>
            <w:tcMar>
              <w:top w:w="15" w:type="dxa"/>
              <w:left w:w="0" w:type="dxa"/>
              <w:bottom w:w="0" w:type="dxa"/>
              <w:right w:w="15" w:type="dxa"/>
            </w:tcMar>
            <w:hideMark/>
          </w:tcPr>
          <w:p w14:paraId="6D04AE11" w14:textId="77777777" w:rsidR="00000000" w:rsidRDefault="00582324">
            <w:pPr>
              <w:pStyle w:val="a3"/>
              <w:spacing w:before="0" w:beforeAutospacing="0" w:after="0" w:afterAutospacing="0"/>
              <w:ind w:left="274"/>
              <w:rPr>
                <w:color w:val="000000"/>
                <w:sz w:val="16"/>
                <w:szCs w:val="16"/>
              </w:rPr>
            </w:pPr>
            <w:r>
              <w:rPr>
                <w:color w:val="000000"/>
                <w:sz w:val="16"/>
                <w:szCs w:val="16"/>
              </w:rPr>
              <w:t>Business acquisitions contingent consideration, current</w:t>
            </w:r>
          </w:p>
        </w:tc>
        <w:tc>
          <w:tcPr>
            <w:tcW w:w="79" w:type="pct"/>
            <w:shd w:val="clear" w:color="auto" w:fill="FFFFFF"/>
            <w:tcMar>
              <w:top w:w="15" w:type="dxa"/>
              <w:left w:w="0" w:type="dxa"/>
              <w:bottom w:w="0" w:type="dxa"/>
              <w:right w:w="15" w:type="dxa"/>
            </w:tcMar>
            <w:vAlign w:val="bottom"/>
            <w:hideMark/>
          </w:tcPr>
          <w:p w14:paraId="6796A2C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EECB9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1C041A0C" w14:textId="77777777" w:rsidR="00000000" w:rsidRDefault="00582324">
            <w:pPr>
              <w:pStyle w:val="a3"/>
              <w:spacing w:before="0" w:beforeAutospacing="0" w:after="0" w:afterAutospacing="0"/>
              <w:jc w:val="right"/>
              <w:rPr>
                <w:color w:val="000000"/>
                <w:sz w:val="16"/>
                <w:szCs w:val="16"/>
              </w:rPr>
            </w:pPr>
            <w:r>
              <w:rPr>
                <w:color w:val="000000"/>
                <w:sz w:val="16"/>
                <w:szCs w:val="16"/>
              </w:rPr>
              <w:t>30,152</w:t>
            </w:r>
          </w:p>
        </w:tc>
        <w:tc>
          <w:tcPr>
            <w:tcW w:w="50" w:type="pct"/>
            <w:shd w:val="clear" w:color="auto" w:fill="FFFFFF"/>
            <w:noWrap/>
            <w:tcMar>
              <w:top w:w="15" w:type="dxa"/>
              <w:left w:w="0" w:type="dxa"/>
              <w:bottom w:w="0" w:type="dxa"/>
              <w:right w:w="15" w:type="dxa"/>
            </w:tcMar>
            <w:vAlign w:val="bottom"/>
            <w:hideMark/>
          </w:tcPr>
          <w:p w14:paraId="646803D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567516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A9B1A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74115571" w14:textId="77777777" w:rsidR="00000000" w:rsidRDefault="00582324">
            <w:pPr>
              <w:pStyle w:val="a3"/>
              <w:spacing w:before="0" w:beforeAutospacing="0" w:after="0" w:afterAutospacing="0"/>
              <w:jc w:val="right"/>
              <w:rPr>
                <w:color w:val="000000"/>
                <w:sz w:val="16"/>
                <w:szCs w:val="16"/>
              </w:rPr>
            </w:pPr>
            <w:r>
              <w:rPr>
                <w:color w:val="000000"/>
                <w:sz w:val="16"/>
                <w:szCs w:val="16"/>
              </w:rPr>
              <w:t>49,902</w:t>
            </w:r>
          </w:p>
        </w:tc>
        <w:tc>
          <w:tcPr>
            <w:tcW w:w="50" w:type="pct"/>
            <w:shd w:val="clear" w:color="auto" w:fill="FFFFFF"/>
            <w:noWrap/>
            <w:tcMar>
              <w:top w:w="15" w:type="dxa"/>
              <w:left w:w="0" w:type="dxa"/>
              <w:bottom w:w="0" w:type="dxa"/>
              <w:right w:w="15" w:type="dxa"/>
            </w:tcMar>
            <w:vAlign w:val="bottom"/>
            <w:hideMark/>
          </w:tcPr>
          <w:p w14:paraId="5807C0F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7B92C051" w14:textId="77777777">
        <w:trPr>
          <w:divId w:val="950667589"/>
        </w:trPr>
        <w:tc>
          <w:tcPr>
            <w:tcW w:w="3354" w:type="pct"/>
            <w:shd w:val="clear" w:color="auto" w:fill="CFF0FC"/>
            <w:tcMar>
              <w:top w:w="15" w:type="dxa"/>
              <w:left w:w="0" w:type="dxa"/>
              <w:bottom w:w="0" w:type="dxa"/>
              <w:right w:w="15" w:type="dxa"/>
            </w:tcMar>
            <w:hideMark/>
          </w:tcPr>
          <w:p w14:paraId="7E1C8B15" w14:textId="77777777" w:rsidR="00000000" w:rsidRDefault="00582324">
            <w:pPr>
              <w:pStyle w:val="a3"/>
              <w:spacing w:before="0" w:beforeAutospacing="0" w:after="0" w:afterAutospacing="0"/>
              <w:ind w:left="274"/>
              <w:rPr>
                <w:color w:val="000000"/>
                <w:sz w:val="16"/>
                <w:szCs w:val="16"/>
              </w:rPr>
            </w:pPr>
            <w:r>
              <w:rPr>
                <w:color w:val="000000"/>
                <w:sz w:val="16"/>
                <w:szCs w:val="16"/>
              </w:rPr>
              <w:t>Current portion of operating lease liabilities</w:t>
            </w:r>
          </w:p>
        </w:tc>
        <w:tc>
          <w:tcPr>
            <w:tcW w:w="79" w:type="pct"/>
            <w:shd w:val="clear" w:color="auto" w:fill="CFF0FC"/>
            <w:tcMar>
              <w:top w:w="15" w:type="dxa"/>
              <w:left w:w="0" w:type="dxa"/>
              <w:bottom w:w="0" w:type="dxa"/>
              <w:right w:w="15" w:type="dxa"/>
            </w:tcMar>
            <w:vAlign w:val="bottom"/>
            <w:hideMark/>
          </w:tcPr>
          <w:p w14:paraId="2810956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F402BC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7BDBE381" w14:textId="77777777" w:rsidR="00000000" w:rsidRDefault="00582324">
            <w:pPr>
              <w:pStyle w:val="a3"/>
              <w:spacing w:before="0" w:beforeAutospacing="0" w:after="0" w:afterAutospacing="0"/>
              <w:jc w:val="right"/>
              <w:rPr>
                <w:color w:val="000000"/>
                <w:sz w:val="16"/>
                <w:szCs w:val="16"/>
              </w:rPr>
            </w:pPr>
            <w:r>
              <w:rPr>
                <w:color w:val="000000"/>
                <w:sz w:val="16"/>
                <w:szCs w:val="16"/>
              </w:rPr>
              <w:t>7,268</w:t>
            </w:r>
          </w:p>
        </w:tc>
        <w:tc>
          <w:tcPr>
            <w:tcW w:w="50" w:type="pct"/>
            <w:shd w:val="clear" w:color="auto" w:fill="CFF0FC"/>
            <w:noWrap/>
            <w:tcMar>
              <w:top w:w="15" w:type="dxa"/>
              <w:left w:w="0" w:type="dxa"/>
              <w:bottom w:w="0" w:type="dxa"/>
              <w:right w:w="15" w:type="dxa"/>
            </w:tcMar>
            <w:vAlign w:val="bottom"/>
            <w:hideMark/>
          </w:tcPr>
          <w:p w14:paraId="3DB3BBE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333B95D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FF0DAB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26033E07"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56F5813"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412B9A22" w14:textId="77777777">
        <w:trPr>
          <w:divId w:val="950667589"/>
        </w:trPr>
        <w:tc>
          <w:tcPr>
            <w:tcW w:w="3354" w:type="pct"/>
            <w:shd w:val="clear" w:color="auto" w:fill="FFFFFF"/>
            <w:tcMar>
              <w:top w:w="15" w:type="dxa"/>
              <w:left w:w="0" w:type="dxa"/>
              <w:bottom w:w="0" w:type="dxa"/>
              <w:right w:w="15" w:type="dxa"/>
            </w:tcMar>
            <w:hideMark/>
          </w:tcPr>
          <w:p w14:paraId="47E8E773" w14:textId="77777777" w:rsidR="00000000" w:rsidRDefault="00582324">
            <w:pPr>
              <w:pStyle w:val="a3"/>
              <w:spacing w:before="0" w:beforeAutospacing="0" w:after="0" w:afterAutospacing="0"/>
              <w:ind w:left="274"/>
              <w:rPr>
                <w:color w:val="000000"/>
                <w:sz w:val="16"/>
                <w:szCs w:val="16"/>
              </w:rPr>
            </w:pPr>
            <w:r>
              <w:rPr>
                <w:color w:val="000000"/>
                <w:sz w:val="16"/>
                <w:szCs w:val="16"/>
              </w:rPr>
              <w:t>Current portion of finance lease liabilities</w:t>
            </w:r>
          </w:p>
        </w:tc>
        <w:tc>
          <w:tcPr>
            <w:tcW w:w="79" w:type="pct"/>
            <w:shd w:val="clear" w:color="auto" w:fill="FFFFFF"/>
            <w:tcMar>
              <w:top w:w="15" w:type="dxa"/>
              <w:left w:w="0" w:type="dxa"/>
              <w:bottom w:w="0" w:type="dxa"/>
              <w:right w:w="15" w:type="dxa"/>
            </w:tcMar>
            <w:vAlign w:val="bottom"/>
            <w:hideMark/>
          </w:tcPr>
          <w:p w14:paraId="4D0402B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DE8FB7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5E0343DE" w14:textId="77777777" w:rsidR="00000000" w:rsidRDefault="00582324">
            <w:pPr>
              <w:pStyle w:val="a3"/>
              <w:spacing w:before="0" w:beforeAutospacing="0" w:after="0" w:afterAutospacing="0"/>
              <w:jc w:val="right"/>
              <w:rPr>
                <w:color w:val="000000"/>
                <w:sz w:val="16"/>
                <w:szCs w:val="16"/>
              </w:rPr>
            </w:pPr>
            <w:r>
              <w:rPr>
                <w:color w:val="000000"/>
                <w:sz w:val="16"/>
                <w:szCs w:val="16"/>
              </w:rPr>
              <w:t>2,966</w:t>
            </w:r>
          </w:p>
        </w:tc>
        <w:tc>
          <w:tcPr>
            <w:tcW w:w="50" w:type="pct"/>
            <w:shd w:val="clear" w:color="auto" w:fill="FFFFFF"/>
            <w:noWrap/>
            <w:tcMar>
              <w:top w:w="15" w:type="dxa"/>
              <w:left w:w="0" w:type="dxa"/>
              <w:bottom w:w="0" w:type="dxa"/>
              <w:right w:w="15" w:type="dxa"/>
            </w:tcMar>
            <w:vAlign w:val="bottom"/>
            <w:hideMark/>
          </w:tcPr>
          <w:p w14:paraId="3E4F745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92FF00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F17E0A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22127C01"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A2BE63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355946F5" w14:textId="77777777">
        <w:trPr>
          <w:divId w:val="950667589"/>
        </w:trPr>
        <w:tc>
          <w:tcPr>
            <w:tcW w:w="3354" w:type="pct"/>
            <w:shd w:val="clear" w:color="auto" w:fill="CFF0FC"/>
            <w:tcMar>
              <w:top w:w="15" w:type="dxa"/>
              <w:left w:w="0" w:type="dxa"/>
              <w:bottom w:w="0" w:type="dxa"/>
              <w:right w:w="15" w:type="dxa"/>
            </w:tcMar>
            <w:hideMark/>
          </w:tcPr>
          <w:p w14:paraId="40C4CF23" w14:textId="77777777" w:rsidR="00000000" w:rsidRDefault="00582324">
            <w:pPr>
              <w:pStyle w:val="a3"/>
              <w:spacing w:before="0" w:beforeAutospacing="0" w:after="0" w:afterAutospacing="0"/>
              <w:ind w:left="274"/>
              <w:rPr>
                <w:color w:val="000000"/>
                <w:sz w:val="16"/>
                <w:szCs w:val="16"/>
              </w:rPr>
            </w:pPr>
            <w:r>
              <w:rPr>
                <w:color w:val="000000"/>
                <w:sz w:val="16"/>
                <w:szCs w:val="16"/>
              </w:rPr>
              <w:t>Current portion of long-term debt</w:t>
            </w:r>
          </w:p>
        </w:tc>
        <w:tc>
          <w:tcPr>
            <w:tcW w:w="79" w:type="pct"/>
            <w:shd w:val="clear" w:color="auto" w:fill="CFF0FC"/>
            <w:tcMar>
              <w:top w:w="15" w:type="dxa"/>
              <w:left w:w="0" w:type="dxa"/>
              <w:bottom w:w="0" w:type="dxa"/>
              <w:right w:w="15" w:type="dxa"/>
            </w:tcMar>
            <w:vAlign w:val="bottom"/>
            <w:hideMark/>
          </w:tcPr>
          <w:p w14:paraId="594B41D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28A91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DEAEF95" w14:textId="77777777" w:rsidR="00000000" w:rsidRDefault="00582324">
            <w:pPr>
              <w:pStyle w:val="a3"/>
              <w:spacing w:before="0" w:beforeAutospacing="0" w:after="0" w:afterAutospacing="0"/>
              <w:jc w:val="right"/>
              <w:rPr>
                <w:color w:val="000000"/>
                <w:sz w:val="16"/>
                <w:szCs w:val="16"/>
              </w:rPr>
            </w:pPr>
            <w:r>
              <w:rPr>
                <w:color w:val="000000"/>
                <w:sz w:val="16"/>
                <w:szCs w:val="16"/>
              </w:rPr>
              <w:t>6,563</w:t>
            </w:r>
          </w:p>
        </w:tc>
        <w:tc>
          <w:tcPr>
            <w:tcW w:w="50" w:type="pct"/>
            <w:shd w:val="clear" w:color="auto" w:fill="CFF0FC"/>
            <w:noWrap/>
            <w:tcMar>
              <w:top w:w="15" w:type="dxa"/>
              <w:left w:w="0" w:type="dxa"/>
              <w:bottom w:w="0" w:type="dxa"/>
              <w:right w:w="15" w:type="dxa"/>
            </w:tcMar>
            <w:vAlign w:val="bottom"/>
            <w:hideMark/>
          </w:tcPr>
          <w:p w14:paraId="28F5EB0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7D45C1A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2335A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79CD3508" w14:textId="77777777" w:rsidR="00000000" w:rsidRDefault="00582324">
            <w:pPr>
              <w:pStyle w:val="a3"/>
              <w:spacing w:before="0" w:beforeAutospacing="0" w:after="0" w:afterAutospacing="0"/>
              <w:jc w:val="right"/>
              <w:rPr>
                <w:color w:val="000000"/>
                <w:sz w:val="16"/>
                <w:szCs w:val="16"/>
              </w:rPr>
            </w:pPr>
            <w:r>
              <w:rPr>
                <w:color w:val="000000"/>
                <w:sz w:val="16"/>
                <w:szCs w:val="16"/>
              </w:rPr>
              <w:t>5,583</w:t>
            </w:r>
          </w:p>
        </w:tc>
        <w:tc>
          <w:tcPr>
            <w:tcW w:w="50" w:type="pct"/>
            <w:shd w:val="clear" w:color="auto" w:fill="CFF0FC"/>
            <w:noWrap/>
            <w:tcMar>
              <w:top w:w="15" w:type="dxa"/>
              <w:left w:w="0" w:type="dxa"/>
              <w:bottom w:w="0" w:type="dxa"/>
              <w:right w:w="15" w:type="dxa"/>
            </w:tcMar>
            <w:vAlign w:val="bottom"/>
            <w:hideMark/>
          </w:tcPr>
          <w:p w14:paraId="50786220"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5C10B34" w14:textId="77777777">
        <w:trPr>
          <w:divId w:val="950667589"/>
        </w:trPr>
        <w:tc>
          <w:tcPr>
            <w:tcW w:w="3354" w:type="pct"/>
            <w:shd w:val="clear" w:color="auto" w:fill="FFFFFF"/>
            <w:tcMar>
              <w:top w:w="15" w:type="dxa"/>
              <w:left w:w="0" w:type="dxa"/>
              <w:bottom w:w="0" w:type="dxa"/>
              <w:right w:w="15" w:type="dxa"/>
            </w:tcMar>
            <w:hideMark/>
          </w:tcPr>
          <w:p w14:paraId="3D03FCF8" w14:textId="77777777" w:rsidR="00000000" w:rsidRDefault="00582324">
            <w:pPr>
              <w:pStyle w:val="a3"/>
              <w:spacing w:before="0" w:beforeAutospacing="0" w:after="0" w:afterAutospacing="0"/>
              <w:ind w:left="547"/>
              <w:rPr>
                <w:color w:val="000000"/>
                <w:sz w:val="16"/>
                <w:szCs w:val="16"/>
              </w:rPr>
            </w:pPr>
            <w:r>
              <w:rPr>
                <w:color w:val="000000"/>
                <w:sz w:val="16"/>
                <w:szCs w:val="16"/>
              </w:rPr>
              <w:t>Total current liabilities</w:t>
            </w:r>
          </w:p>
        </w:tc>
        <w:tc>
          <w:tcPr>
            <w:tcW w:w="79" w:type="pct"/>
            <w:shd w:val="clear" w:color="auto" w:fill="FFFFFF"/>
            <w:tcMar>
              <w:top w:w="15" w:type="dxa"/>
              <w:left w:w="0" w:type="dxa"/>
              <w:bottom w:w="0" w:type="dxa"/>
              <w:right w:w="15" w:type="dxa"/>
            </w:tcMar>
            <w:vAlign w:val="bottom"/>
            <w:hideMark/>
          </w:tcPr>
          <w:p w14:paraId="5D0C995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764C53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FEE20BF" w14:textId="77777777" w:rsidR="00000000" w:rsidRDefault="00582324">
            <w:pPr>
              <w:pStyle w:val="a3"/>
              <w:spacing w:before="0" w:beforeAutospacing="0" w:after="0" w:afterAutospacing="0"/>
              <w:jc w:val="right"/>
              <w:rPr>
                <w:color w:val="000000"/>
                <w:sz w:val="16"/>
                <w:szCs w:val="16"/>
              </w:rPr>
            </w:pPr>
            <w:r>
              <w:rPr>
                <w:color w:val="000000"/>
                <w:sz w:val="16"/>
                <w:szCs w:val="16"/>
              </w:rPr>
              <w:t>107,223</w:t>
            </w:r>
          </w:p>
        </w:tc>
        <w:tc>
          <w:tcPr>
            <w:tcW w:w="50" w:type="pct"/>
            <w:shd w:val="clear" w:color="auto" w:fill="FFFFFF"/>
            <w:noWrap/>
            <w:tcMar>
              <w:top w:w="15" w:type="dxa"/>
              <w:left w:w="0" w:type="dxa"/>
              <w:bottom w:w="0" w:type="dxa"/>
              <w:right w:w="15" w:type="dxa"/>
            </w:tcMar>
            <w:vAlign w:val="bottom"/>
            <w:hideMark/>
          </w:tcPr>
          <w:p w14:paraId="6D6B3CD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4608FA7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7D674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22F08DB3" w14:textId="77777777" w:rsidR="00000000" w:rsidRDefault="00582324">
            <w:pPr>
              <w:pStyle w:val="a3"/>
              <w:spacing w:before="0" w:beforeAutospacing="0" w:after="0" w:afterAutospacing="0"/>
              <w:jc w:val="right"/>
              <w:rPr>
                <w:color w:val="000000"/>
                <w:sz w:val="16"/>
                <w:szCs w:val="16"/>
              </w:rPr>
            </w:pPr>
            <w:r>
              <w:rPr>
                <w:color w:val="000000"/>
                <w:sz w:val="16"/>
                <w:szCs w:val="16"/>
              </w:rPr>
              <w:t>111,543</w:t>
            </w:r>
          </w:p>
        </w:tc>
        <w:tc>
          <w:tcPr>
            <w:tcW w:w="50" w:type="pct"/>
            <w:shd w:val="clear" w:color="auto" w:fill="FFFFFF"/>
            <w:noWrap/>
            <w:tcMar>
              <w:top w:w="15" w:type="dxa"/>
              <w:left w:w="0" w:type="dxa"/>
              <w:bottom w:w="0" w:type="dxa"/>
              <w:right w:w="15" w:type="dxa"/>
            </w:tcMar>
            <w:vAlign w:val="bottom"/>
            <w:hideMark/>
          </w:tcPr>
          <w:p w14:paraId="0178E39F"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04E88B4" w14:textId="77777777">
        <w:trPr>
          <w:divId w:val="950667589"/>
        </w:trPr>
        <w:tc>
          <w:tcPr>
            <w:tcW w:w="3354" w:type="pct"/>
            <w:shd w:val="clear" w:color="auto" w:fill="CFF0FC"/>
            <w:tcMar>
              <w:top w:w="15" w:type="dxa"/>
              <w:left w:w="0" w:type="dxa"/>
              <w:bottom w:w="0" w:type="dxa"/>
              <w:right w:w="15" w:type="dxa"/>
            </w:tcMar>
            <w:hideMark/>
          </w:tcPr>
          <w:p w14:paraId="29D78576" w14:textId="77777777" w:rsidR="00000000" w:rsidRDefault="00582324">
            <w:pPr>
              <w:pStyle w:val="a3"/>
              <w:spacing w:before="0" w:beforeAutospacing="0" w:after="0" w:afterAutospacing="0"/>
              <w:rPr>
                <w:color w:val="000000"/>
                <w:sz w:val="16"/>
                <w:szCs w:val="16"/>
              </w:rPr>
            </w:pPr>
            <w:r>
              <w:rPr>
                <w:color w:val="000000"/>
                <w:sz w:val="16"/>
                <w:szCs w:val="16"/>
              </w:rPr>
              <w:t>NON-CURRENT LIABILITIES:</w:t>
            </w:r>
          </w:p>
        </w:tc>
        <w:tc>
          <w:tcPr>
            <w:tcW w:w="79" w:type="pct"/>
            <w:shd w:val="clear" w:color="auto" w:fill="CFF0FC"/>
            <w:tcMar>
              <w:top w:w="15" w:type="dxa"/>
              <w:left w:w="0" w:type="dxa"/>
              <w:bottom w:w="0" w:type="dxa"/>
              <w:right w:w="15" w:type="dxa"/>
            </w:tcMar>
            <w:vAlign w:val="bottom"/>
            <w:hideMark/>
          </w:tcPr>
          <w:p w14:paraId="4C27CE5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E244A0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41387297"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D90DD5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29889F0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948FD5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002C0F36"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5503002"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0EB578C2" w14:textId="77777777">
        <w:trPr>
          <w:divId w:val="950667589"/>
        </w:trPr>
        <w:tc>
          <w:tcPr>
            <w:tcW w:w="3354" w:type="pct"/>
            <w:shd w:val="clear" w:color="auto" w:fill="FFFFFF"/>
            <w:tcMar>
              <w:top w:w="15" w:type="dxa"/>
              <w:left w:w="0" w:type="dxa"/>
              <w:bottom w:w="0" w:type="dxa"/>
              <w:right w:w="15" w:type="dxa"/>
            </w:tcMar>
            <w:hideMark/>
          </w:tcPr>
          <w:p w14:paraId="3FDF50A9" w14:textId="77777777" w:rsidR="00000000" w:rsidRDefault="00582324">
            <w:pPr>
              <w:pStyle w:val="a3"/>
              <w:spacing w:before="0" w:beforeAutospacing="0" w:after="0" w:afterAutospacing="0"/>
              <w:ind w:left="274"/>
              <w:rPr>
                <w:color w:val="000000"/>
                <w:sz w:val="16"/>
                <w:szCs w:val="16"/>
              </w:rPr>
            </w:pPr>
            <w:r>
              <w:rPr>
                <w:color w:val="000000"/>
                <w:sz w:val="16"/>
                <w:szCs w:val="16"/>
              </w:rPr>
              <w:t>Business acquisitions contingent consideration, long-term</w:t>
            </w:r>
          </w:p>
        </w:tc>
        <w:tc>
          <w:tcPr>
            <w:tcW w:w="79" w:type="pct"/>
            <w:shd w:val="clear" w:color="auto" w:fill="FFFFFF"/>
            <w:tcMar>
              <w:top w:w="15" w:type="dxa"/>
              <w:left w:w="0" w:type="dxa"/>
              <w:bottom w:w="0" w:type="dxa"/>
              <w:right w:w="15" w:type="dxa"/>
            </w:tcMar>
            <w:vAlign w:val="bottom"/>
            <w:hideMark/>
          </w:tcPr>
          <w:p w14:paraId="7526331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583E9E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40B215D2" w14:textId="77777777" w:rsidR="00000000" w:rsidRDefault="00582324">
            <w:pPr>
              <w:pStyle w:val="a3"/>
              <w:spacing w:before="0" w:beforeAutospacing="0" w:after="0" w:afterAutospacing="0"/>
              <w:jc w:val="right"/>
              <w:rPr>
                <w:color w:val="000000"/>
                <w:sz w:val="16"/>
                <w:szCs w:val="16"/>
              </w:rPr>
            </w:pPr>
            <w:r>
              <w:rPr>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0AFBE24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7C2447C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6E1BD6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6D2B459F" w14:textId="77777777" w:rsidR="00000000" w:rsidRDefault="00582324">
            <w:pPr>
              <w:pStyle w:val="a3"/>
              <w:spacing w:before="0" w:beforeAutospacing="0" w:after="0" w:afterAutospacing="0"/>
              <w:jc w:val="right"/>
              <w:rPr>
                <w:color w:val="000000"/>
                <w:sz w:val="16"/>
                <w:szCs w:val="16"/>
              </w:rPr>
            </w:pPr>
            <w:r>
              <w:rPr>
                <w:color w:val="000000"/>
                <w:sz w:val="16"/>
                <w:szCs w:val="16"/>
              </w:rPr>
              <w:t>4,565</w:t>
            </w:r>
          </w:p>
        </w:tc>
        <w:tc>
          <w:tcPr>
            <w:tcW w:w="50" w:type="pct"/>
            <w:shd w:val="clear" w:color="auto" w:fill="FFFFFF"/>
            <w:noWrap/>
            <w:tcMar>
              <w:top w:w="15" w:type="dxa"/>
              <w:left w:w="0" w:type="dxa"/>
              <w:bottom w:w="0" w:type="dxa"/>
              <w:right w:w="15" w:type="dxa"/>
            </w:tcMar>
            <w:vAlign w:val="bottom"/>
            <w:hideMark/>
          </w:tcPr>
          <w:p w14:paraId="301AC99E"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48495142" w14:textId="77777777">
        <w:trPr>
          <w:divId w:val="950667589"/>
        </w:trPr>
        <w:tc>
          <w:tcPr>
            <w:tcW w:w="3354" w:type="pct"/>
            <w:shd w:val="clear" w:color="auto" w:fill="CFF0FC"/>
            <w:tcMar>
              <w:top w:w="15" w:type="dxa"/>
              <w:left w:w="0" w:type="dxa"/>
              <w:bottom w:w="0" w:type="dxa"/>
              <w:right w:w="15" w:type="dxa"/>
            </w:tcMar>
            <w:hideMark/>
          </w:tcPr>
          <w:p w14:paraId="62E67374" w14:textId="77777777" w:rsidR="00000000" w:rsidRDefault="00582324">
            <w:pPr>
              <w:pStyle w:val="a3"/>
              <w:spacing w:before="0" w:beforeAutospacing="0" w:after="0" w:afterAutospacing="0"/>
              <w:ind w:left="274"/>
              <w:rPr>
                <w:color w:val="000000"/>
                <w:sz w:val="16"/>
                <w:szCs w:val="16"/>
              </w:rPr>
            </w:pPr>
            <w:r>
              <w:rPr>
                <w:color w:val="000000"/>
                <w:sz w:val="16"/>
                <w:szCs w:val="16"/>
              </w:rPr>
              <w:t>Other non-current liabilities</w:t>
            </w:r>
          </w:p>
        </w:tc>
        <w:tc>
          <w:tcPr>
            <w:tcW w:w="79" w:type="pct"/>
            <w:shd w:val="clear" w:color="auto" w:fill="CFF0FC"/>
            <w:tcMar>
              <w:top w:w="15" w:type="dxa"/>
              <w:left w:w="0" w:type="dxa"/>
              <w:bottom w:w="0" w:type="dxa"/>
              <w:right w:w="15" w:type="dxa"/>
            </w:tcMar>
            <w:vAlign w:val="bottom"/>
            <w:hideMark/>
          </w:tcPr>
          <w:p w14:paraId="3DE8263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E0E2C1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50BD9B8F" w14:textId="77777777" w:rsidR="00000000" w:rsidRDefault="00582324">
            <w:pPr>
              <w:pStyle w:val="a3"/>
              <w:spacing w:before="0" w:beforeAutospacing="0" w:after="0" w:afterAutospacing="0"/>
              <w:jc w:val="right"/>
              <w:rPr>
                <w:color w:val="000000"/>
                <w:sz w:val="16"/>
                <w:szCs w:val="16"/>
              </w:rPr>
            </w:pPr>
            <w:r>
              <w:rPr>
                <w:color w:val="000000"/>
                <w:sz w:val="16"/>
                <w:szCs w:val="16"/>
              </w:rPr>
              <w:t>2,505</w:t>
            </w:r>
          </w:p>
        </w:tc>
        <w:tc>
          <w:tcPr>
            <w:tcW w:w="50" w:type="pct"/>
            <w:shd w:val="clear" w:color="auto" w:fill="CFF0FC"/>
            <w:noWrap/>
            <w:tcMar>
              <w:top w:w="15" w:type="dxa"/>
              <w:left w:w="0" w:type="dxa"/>
              <w:bottom w:w="0" w:type="dxa"/>
              <w:right w:w="15" w:type="dxa"/>
            </w:tcMar>
            <w:vAlign w:val="bottom"/>
            <w:hideMark/>
          </w:tcPr>
          <w:p w14:paraId="1505A1C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141D220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CAFE16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42670B5A" w14:textId="77777777" w:rsidR="00000000" w:rsidRDefault="00582324">
            <w:pPr>
              <w:pStyle w:val="a3"/>
              <w:spacing w:before="0" w:beforeAutospacing="0" w:after="0" w:afterAutospacing="0"/>
              <w:jc w:val="right"/>
              <w:rPr>
                <w:color w:val="000000"/>
                <w:sz w:val="16"/>
                <w:szCs w:val="16"/>
              </w:rPr>
            </w:pPr>
            <w:r>
              <w:rPr>
                <w:color w:val="000000"/>
                <w:sz w:val="16"/>
                <w:szCs w:val="16"/>
              </w:rPr>
              <w:t>2,523</w:t>
            </w:r>
          </w:p>
        </w:tc>
        <w:tc>
          <w:tcPr>
            <w:tcW w:w="50" w:type="pct"/>
            <w:shd w:val="clear" w:color="auto" w:fill="CFF0FC"/>
            <w:noWrap/>
            <w:tcMar>
              <w:top w:w="15" w:type="dxa"/>
              <w:left w:w="0" w:type="dxa"/>
              <w:bottom w:w="0" w:type="dxa"/>
              <w:right w:w="15" w:type="dxa"/>
            </w:tcMar>
            <w:vAlign w:val="bottom"/>
            <w:hideMark/>
          </w:tcPr>
          <w:p w14:paraId="062B5ADC"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3676F88D" w14:textId="77777777">
        <w:trPr>
          <w:divId w:val="950667589"/>
        </w:trPr>
        <w:tc>
          <w:tcPr>
            <w:tcW w:w="3354" w:type="pct"/>
            <w:shd w:val="clear" w:color="auto" w:fill="FFFFFF"/>
            <w:tcMar>
              <w:top w:w="15" w:type="dxa"/>
              <w:left w:w="0" w:type="dxa"/>
              <w:bottom w:w="0" w:type="dxa"/>
              <w:right w:w="15" w:type="dxa"/>
            </w:tcMar>
            <w:hideMark/>
          </w:tcPr>
          <w:p w14:paraId="3FBF38AD" w14:textId="77777777" w:rsidR="00000000" w:rsidRDefault="00582324">
            <w:pPr>
              <w:pStyle w:val="a3"/>
              <w:spacing w:before="0" w:beforeAutospacing="0" w:after="0" w:afterAutospacing="0"/>
              <w:ind w:left="274"/>
              <w:rPr>
                <w:color w:val="000000"/>
                <w:sz w:val="16"/>
                <w:szCs w:val="16"/>
              </w:rPr>
            </w:pPr>
            <w:r>
              <w:rPr>
                <w:color w:val="000000"/>
                <w:sz w:val="16"/>
                <w:szCs w:val="16"/>
              </w:rPr>
              <w:t>Deferred tax liabilities—net</w:t>
            </w:r>
          </w:p>
        </w:tc>
        <w:tc>
          <w:tcPr>
            <w:tcW w:w="79" w:type="pct"/>
            <w:shd w:val="clear" w:color="auto" w:fill="FFFFFF"/>
            <w:tcMar>
              <w:top w:w="15" w:type="dxa"/>
              <w:left w:w="0" w:type="dxa"/>
              <w:bottom w:w="0" w:type="dxa"/>
              <w:right w:w="15" w:type="dxa"/>
            </w:tcMar>
            <w:vAlign w:val="bottom"/>
            <w:hideMark/>
          </w:tcPr>
          <w:p w14:paraId="25EE2DA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D5AFDB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66C54F31" w14:textId="77777777" w:rsidR="00000000" w:rsidRDefault="00582324">
            <w:pPr>
              <w:pStyle w:val="a3"/>
              <w:spacing w:before="0" w:beforeAutospacing="0" w:after="0" w:afterAutospacing="0"/>
              <w:jc w:val="right"/>
              <w:rPr>
                <w:color w:val="000000"/>
                <w:sz w:val="16"/>
                <w:szCs w:val="16"/>
              </w:rPr>
            </w:pPr>
            <w:r>
              <w:rPr>
                <w:color w:val="000000"/>
                <w:sz w:val="16"/>
                <w:szCs w:val="16"/>
              </w:rPr>
              <w:t>2,431</w:t>
            </w:r>
          </w:p>
        </w:tc>
        <w:tc>
          <w:tcPr>
            <w:tcW w:w="50" w:type="pct"/>
            <w:shd w:val="clear" w:color="auto" w:fill="FFFFFF"/>
            <w:noWrap/>
            <w:tcMar>
              <w:top w:w="15" w:type="dxa"/>
              <w:left w:w="0" w:type="dxa"/>
              <w:bottom w:w="0" w:type="dxa"/>
              <w:right w:w="15" w:type="dxa"/>
            </w:tcMar>
            <w:vAlign w:val="bottom"/>
            <w:hideMark/>
          </w:tcPr>
          <w:p w14:paraId="3A7BFD9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41BC6E2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DBE33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32A92653" w14:textId="77777777" w:rsidR="00000000" w:rsidRDefault="00582324">
            <w:pPr>
              <w:pStyle w:val="a3"/>
              <w:spacing w:before="0" w:beforeAutospacing="0" w:after="0" w:afterAutospacing="0"/>
              <w:jc w:val="right"/>
              <w:rPr>
                <w:color w:val="000000"/>
                <w:sz w:val="16"/>
                <w:szCs w:val="16"/>
              </w:rPr>
            </w:pPr>
            <w:r>
              <w:rPr>
                <w:color w:val="000000"/>
                <w:sz w:val="16"/>
                <w:szCs w:val="16"/>
              </w:rPr>
              <w:t>2,815</w:t>
            </w:r>
          </w:p>
        </w:tc>
        <w:tc>
          <w:tcPr>
            <w:tcW w:w="50" w:type="pct"/>
            <w:shd w:val="clear" w:color="auto" w:fill="FFFFFF"/>
            <w:noWrap/>
            <w:tcMar>
              <w:top w:w="15" w:type="dxa"/>
              <w:left w:w="0" w:type="dxa"/>
              <w:bottom w:w="0" w:type="dxa"/>
              <w:right w:w="15" w:type="dxa"/>
            </w:tcMar>
            <w:vAlign w:val="bottom"/>
            <w:hideMark/>
          </w:tcPr>
          <w:p w14:paraId="1E301A8B"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4BF91DA" w14:textId="77777777">
        <w:trPr>
          <w:divId w:val="950667589"/>
        </w:trPr>
        <w:tc>
          <w:tcPr>
            <w:tcW w:w="3354" w:type="pct"/>
            <w:shd w:val="clear" w:color="auto" w:fill="CFF0FC"/>
            <w:tcMar>
              <w:top w:w="15" w:type="dxa"/>
              <w:left w:w="0" w:type="dxa"/>
              <w:bottom w:w="0" w:type="dxa"/>
              <w:right w:w="15" w:type="dxa"/>
            </w:tcMar>
            <w:hideMark/>
          </w:tcPr>
          <w:p w14:paraId="0D29F997" w14:textId="77777777" w:rsidR="00000000" w:rsidRDefault="00582324">
            <w:pPr>
              <w:pStyle w:val="a3"/>
              <w:spacing w:before="0" w:beforeAutospacing="0" w:after="0" w:afterAutospacing="0"/>
              <w:ind w:left="274"/>
              <w:rPr>
                <w:color w:val="000000"/>
                <w:sz w:val="16"/>
                <w:szCs w:val="16"/>
              </w:rPr>
            </w:pPr>
            <w:r>
              <w:rPr>
                <w:color w:val="000000"/>
                <w:sz w:val="16"/>
                <w:szCs w:val="16"/>
              </w:rPr>
              <w:t>Conversion option</w:t>
            </w:r>
          </w:p>
        </w:tc>
        <w:tc>
          <w:tcPr>
            <w:tcW w:w="79" w:type="pct"/>
            <w:shd w:val="clear" w:color="auto" w:fill="CFF0FC"/>
            <w:tcMar>
              <w:top w:w="15" w:type="dxa"/>
              <w:left w:w="0" w:type="dxa"/>
              <w:bottom w:w="0" w:type="dxa"/>
              <w:right w:w="15" w:type="dxa"/>
            </w:tcMar>
            <w:vAlign w:val="bottom"/>
            <w:hideMark/>
          </w:tcPr>
          <w:p w14:paraId="1E58CA7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F5BB19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0BB995FA" w14:textId="77777777" w:rsidR="00000000" w:rsidRDefault="00582324">
            <w:pPr>
              <w:pStyle w:val="a3"/>
              <w:spacing w:before="0" w:beforeAutospacing="0" w:after="0" w:afterAutospacing="0"/>
              <w:jc w:val="right"/>
              <w:rPr>
                <w:color w:val="000000"/>
                <w:sz w:val="16"/>
                <w:szCs w:val="16"/>
              </w:rPr>
            </w:pPr>
            <w:r>
              <w:rPr>
                <w:color w:val="000000"/>
                <w:sz w:val="16"/>
                <w:szCs w:val="16"/>
              </w:rPr>
              <w:t>22,006</w:t>
            </w:r>
          </w:p>
        </w:tc>
        <w:tc>
          <w:tcPr>
            <w:tcW w:w="50" w:type="pct"/>
            <w:shd w:val="clear" w:color="auto" w:fill="CFF0FC"/>
            <w:noWrap/>
            <w:tcMar>
              <w:top w:w="15" w:type="dxa"/>
              <w:left w:w="0" w:type="dxa"/>
              <w:bottom w:w="0" w:type="dxa"/>
              <w:right w:w="15" w:type="dxa"/>
            </w:tcMar>
            <w:vAlign w:val="bottom"/>
            <w:hideMark/>
          </w:tcPr>
          <w:p w14:paraId="69BB454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505E7EA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2CB04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517403DD" w14:textId="77777777" w:rsidR="00000000" w:rsidRDefault="00582324">
            <w:pPr>
              <w:pStyle w:val="a3"/>
              <w:spacing w:before="0" w:beforeAutospacing="0" w:after="0" w:afterAutospacing="0"/>
              <w:jc w:val="right"/>
              <w:rPr>
                <w:color w:val="000000"/>
                <w:sz w:val="16"/>
                <w:szCs w:val="16"/>
              </w:rPr>
            </w:pPr>
            <w:r>
              <w:rPr>
                <w:color w:val="000000"/>
                <w:sz w:val="16"/>
                <w:szCs w:val="16"/>
              </w:rPr>
              <w:t>20,886</w:t>
            </w:r>
          </w:p>
        </w:tc>
        <w:tc>
          <w:tcPr>
            <w:tcW w:w="50" w:type="pct"/>
            <w:shd w:val="clear" w:color="auto" w:fill="CFF0FC"/>
            <w:noWrap/>
            <w:tcMar>
              <w:top w:w="15" w:type="dxa"/>
              <w:left w:w="0" w:type="dxa"/>
              <w:bottom w:w="0" w:type="dxa"/>
              <w:right w:w="15" w:type="dxa"/>
            </w:tcMar>
            <w:vAlign w:val="bottom"/>
            <w:hideMark/>
          </w:tcPr>
          <w:p w14:paraId="6AC50E39"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7559037C" w14:textId="77777777">
        <w:trPr>
          <w:divId w:val="950667589"/>
        </w:trPr>
        <w:tc>
          <w:tcPr>
            <w:tcW w:w="3354" w:type="pct"/>
            <w:shd w:val="clear" w:color="auto" w:fill="FFFFFF"/>
            <w:tcMar>
              <w:top w:w="15" w:type="dxa"/>
              <w:left w:w="0" w:type="dxa"/>
              <w:bottom w:w="0" w:type="dxa"/>
              <w:right w:w="15" w:type="dxa"/>
            </w:tcMar>
            <w:hideMark/>
          </w:tcPr>
          <w:p w14:paraId="644B1675" w14:textId="77777777" w:rsidR="00000000" w:rsidRDefault="00582324">
            <w:pPr>
              <w:pStyle w:val="a3"/>
              <w:spacing w:before="0" w:beforeAutospacing="0" w:after="0" w:afterAutospacing="0"/>
              <w:ind w:left="274"/>
              <w:rPr>
                <w:color w:val="000000"/>
                <w:sz w:val="16"/>
                <w:szCs w:val="16"/>
              </w:rPr>
            </w:pPr>
            <w:r>
              <w:rPr>
                <w:color w:val="000000"/>
                <w:sz w:val="16"/>
                <w:szCs w:val="16"/>
              </w:rPr>
              <w:t>Operating lease liability—net of current portion</w:t>
            </w:r>
          </w:p>
        </w:tc>
        <w:tc>
          <w:tcPr>
            <w:tcW w:w="79" w:type="pct"/>
            <w:shd w:val="clear" w:color="auto" w:fill="FFFFFF"/>
            <w:tcMar>
              <w:top w:w="15" w:type="dxa"/>
              <w:left w:w="0" w:type="dxa"/>
              <w:bottom w:w="0" w:type="dxa"/>
              <w:right w:w="15" w:type="dxa"/>
            </w:tcMar>
            <w:vAlign w:val="bottom"/>
            <w:hideMark/>
          </w:tcPr>
          <w:p w14:paraId="2FA9848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4E432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7673F328" w14:textId="77777777" w:rsidR="00000000" w:rsidRDefault="00582324">
            <w:pPr>
              <w:pStyle w:val="a3"/>
              <w:spacing w:before="0" w:beforeAutospacing="0" w:after="0" w:afterAutospacing="0"/>
              <w:jc w:val="right"/>
              <w:rPr>
                <w:color w:val="000000"/>
                <w:sz w:val="16"/>
                <w:szCs w:val="16"/>
              </w:rPr>
            </w:pPr>
            <w:r>
              <w:rPr>
                <w:color w:val="000000"/>
                <w:sz w:val="16"/>
                <w:szCs w:val="16"/>
              </w:rPr>
              <w:t>18,643</w:t>
            </w:r>
          </w:p>
        </w:tc>
        <w:tc>
          <w:tcPr>
            <w:tcW w:w="50" w:type="pct"/>
            <w:shd w:val="clear" w:color="auto" w:fill="FFFFFF"/>
            <w:noWrap/>
            <w:tcMar>
              <w:top w:w="15" w:type="dxa"/>
              <w:left w:w="0" w:type="dxa"/>
              <w:bottom w:w="0" w:type="dxa"/>
              <w:right w:w="15" w:type="dxa"/>
            </w:tcMar>
            <w:vAlign w:val="bottom"/>
            <w:hideMark/>
          </w:tcPr>
          <w:p w14:paraId="59442F4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27D5B5D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CADE22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45C9E555"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D6FCEAF"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853B9E4" w14:textId="77777777">
        <w:trPr>
          <w:divId w:val="950667589"/>
        </w:trPr>
        <w:tc>
          <w:tcPr>
            <w:tcW w:w="3354" w:type="pct"/>
            <w:shd w:val="clear" w:color="auto" w:fill="CFF0FC"/>
            <w:tcMar>
              <w:top w:w="15" w:type="dxa"/>
              <w:left w:w="0" w:type="dxa"/>
              <w:bottom w:w="0" w:type="dxa"/>
              <w:right w:w="15" w:type="dxa"/>
            </w:tcMar>
            <w:hideMark/>
          </w:tcPr>
          <w:p w14:paraId="72E7AC3F" w14:textId="77777777" w:rsidR="00000000" w:rsidRDefault="00582324">
            <w:pPr>
              <w:pStyle w:val="a3"/>
              <w:spacing w:before="0" w:beforeAutospacing="0" w:after="0" w:afterAutospacing="0"/>
              <w:ind w:left="274"/>
              <w:rPr>
                <w:color w:val="000000"/>
                <w:sz w:val="16"/>
                <w:szCs w:val="16"/>
              </w:rPr>
            </w:pPr>
            <w:r>
              <w:rPr>
                <w:color w:val="000000"/>
                <w:sz w:val="16"/>
                <w:szCs w:val="16"/>
              </w:rPr>
              <w:t>Finance lease liability—net of current portion</w:t>
            </w:r>
          </w:p>
        </w:tc>
        <w:tc>
          <w:tcPr>
            <w:tcW w:w="79" w:type="pct"/>
            <w:shd w:val="clear" w:color="auto" w:fill="CFF0FC"/>
            <w:tcMar>
              <w:top w:w="15" w:type="dxa"/>
              <w:left w:w="0" w:type="dxa"/>
              <w:bottom w:w="0" w:type="dxa"/>
              <w:right w:w="15" w:type="dxa"/>
            </w:tcMar>
            <w:vAlign w:val="bottom"/>
            <w:hideMark/>
          </w:tcPr>
          <w:p w14:paraId="3CC7E4F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BA8EB1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7A4EE29C" w14:textId="77777777" w:rsidR="00000000" w:rsidRDefault="00582324">
            <w:pPr>
              <w:pStyle w:val="a3"/>
              <w:spacing w:before="0" w:beforeAutospacing="0" w:after="0" w:afterAutospacing="0"/>
              <w:jc w:val="right"/>
              <w:rPr>
                <w:color w:val="000000"/>
                <w:sz w:val="16"/>
                <w:szCs w:val="16"/>
              </w:rPr>
            </w:pPr>
            <w:r>
              <w:rPr>
                <w:color w:val="000000"/>
                <w:sz w:val="16"/>
                <w:szCs w:val="16"/>
              </w:rPr>
              <w:t>4,785</w:t>
            </w:r>
          </w:p>
        </w:tc>
        <w:tc>
          <w:tcPr>
            <w:tcW w:w="50" w:type="pct"/>
            <w:shd w:val="clear" w:color="auto" w:fill="CFF0FC"/>
            <w:noWrap/>
            <w:tcMar>
              <w:top w:w="15" w:type="dxa"/>
              <w:left w:w="0" w:type="dxa"/>
              <w:bottom w:w="0" w:type="dxa"/>
              <w:right w:w="15" w:type="dxa"/>
            </w:tcMar>
            <w:vAlign w:val="bottom"/>
            <w:hideMark/>
          </w:tcPr>
          <w:p w14:paraId="3F58690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3DC293E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CB0D4A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56DA7B9B"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6C4D608"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4AB5B6C2" w14:textId="77777777">
        <w:trPr>
          <w:divId w:val="950667589"/>
        </w:trPr>
        <w:tc>
          <w:tcPr>
            <w:tcW w:w="3354" w:type="pct"/>
            <w:shd w:val="clear" w:color="auto" w:fill="FFFFFF"/>
            <w:tcMar>
              <w:top w:w="15" w:type="dxa"/>
              <w:left w:w="0" w:type="dxa"/>
              <w:bottom w:w="0" w:type="dxa"/>
              <w:right w:w="15" w:type="dxa"/>
            </w:tcMar>
            <w:hideMark/>
          </w:tcPr>
          <w:p w14:paraId="5F0F1028" w14:textId="77777777" w:rsidR="00000000" w:rsidRDefault="00582324">
            <w:pPr>
              <w:pStyle w:val="a3"/>
              <w:spacing w:before="0" w:beforeAutospacing="0" w:after="0" w:afterAutospacing="0"/>
              <w:ind w:left="274"/>
              <w:rPr>
                <w:color w:val="000000"/>
                <w:sz w:val="16"/>
                <w:szCs w:val="16"/>
              </w:rPr>
            </w:pPr>
            <w:r>
              <w:rPr>
                <w:color w:val="000000"/>
                <w:sz w:val="16"/>
                <w:szCs w:val="16"/>
              </w:rPr>
              <w:t>Long-term debt—net of deferred financing fees</w:t>
            </w:r>
          </w:p>
        </w:tc>
        <w:tc>
          <w:tcPr>
            <w:tcW w:w="79" w:type="pct"/>
            <w:shd w:val="clear" w:color="auto" w:fill="FFFFFF"/>
            <w:tcMar>
              <w:top w:w="15" w:type="dxa"/>
              <w:left w:w="0" w:type="dxa"/>
              <w:bottom w:w="0" w:type="dxa"/>
              <w:right w:w="15" w:type="dxa"/>
            </w:tcMar>
            <w:vAlign w:val="bottom"/>
            <w:hideMark/>
          </w:tcPr>
          <w:p w14:paraId="5FEBAE70"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8FEBB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F52639B" w14:textId="77777777" w:rsidR="00000000" w:rsidRDefault="00582324">
            <w:pPr>
              <w:pStyle w:val="a3"/>
              <w:spacing w:before="0" w:beforeAutospacing="0" w:after="0" w:afterAutospacing="0"/>
              <w:jc w:val="right"/>
              <w:rPr>
                <w:color w:val="000000"/>
                <w:sz w:val="16"/>
                <w:szCs w:val="16"/>
              </w:rPr>
            </w:pPr>
            <w:r>
              <w:rPr>
                <w:color w:val="000000"/>
                <w:sz w:val="16"/>
                <w:szCs w:val="16"/>
              </w:rPr>
              <w:t>230,934</w:t>
            </w:r>
          </w:p>
        </w:tc>
        <w:tc>
          <w:tcPr>
            <w:tcW w:w="50" w:type="pct"/>
            <w:shd w:val="clear" w:color="auto" w:fill="FFFFFF"/>
            <w:noWrap/>
            <w:tcMar>
              <w:top w:w="15" w:type="dxa"/>
              <w:left w:w="0" w:type="dxa"/>
              <w:bottom w:w="0" w:type="dxa"/>
              <w:right w:w="15" w:type="dxa"/>
            </w:tcMar>
            <w:vAlign w:val="bottom"/>
            <w:hideMark/>
          </w:tcPr>
          <w:p w14:paraId="16C41E0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7CC0E1F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A9780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66E807C" w14:textId="77777777" w:rsidR="00000000" w:rsidRDefault="00582324">
            <w:pPr>
              <w:pStyle w:val="a3"/>
              <w:spacing w:before="0" w:beforeAutospacing="0" w:after="0" w:afterAutospacing="0"/>
              <w:jc w:val="right"/>
              <w:rPr>
                <w:color w:val="000000"/>
                <w:sz w:val="16"/>
                <w:szCs w:val="16"/>
              </w:rPr>
            </w:pPr>
            <w:r>
              <w:rPr>
                <w:color w:val="000000"/>
                <w:sz w:val="16"/>
                <w:szCs w:val="16"/>
              </w:rPr>
              <w:t>170,321</w:t>
            </w:r>
          </w:p>
        </w:tc>
        <w:tc>
          <w:tcPr>
            <w:tcW w:w="50" w:type="pct"/>
            <w:shd w:val="clear" w:color="auto" w:fill="FFFFFF"/>
            <w:noWrap/>
            <w:tcMar>
              <w:top w:w="15" w:type="dxa"/>
              <w:left w:w="0" w:type="dxa"/>
              <w:bottom w:w="0" w:type="dxa"/>
              <w:right w:w="15" w:type="dxa"/>
            </w:tcMar>
            <w:vAlign w:val="bottom"/>
            <w:hideMark/>
          </w:tcPr>
          <w:p w14:paraId="2843C3A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1F0BE01" w14:textId="77777777">
        <w:trPr>
          <w:divId w:val="950667589"/>
        </w:trPr>
        <w:tc>
          <w:tcPr>
            <w:tcW w:w="3354" w:type="pct"/>
            <w:shd w:val="clear" w:color="auto" w:fill="CFF0FC"/>
            <w:tcMar>
              <w:top w:w="15" w:type="dxa"/>
              <w:left w:w="0" w:type="dxa"/>
              <w:bottom w:w="0" w:type="dxa"/>
              <w:right w:w="15" w:type="dxa"/>
            </w:tcMar>
            <w:hideMark/>
          </w:tcPr>
          <w:p w14:paraId="38310931" w14:textId="77777777" w:rsidR="00000000" w:rsidRDefault="00582324">
            <w:pPr>
              <w:pStyle w:val="a3"/>
              <w:spacing w:before="0" w:beforeAutospacing="0" w:after="0" w:afterAutospacing="0"/>
              <w:ind w:left="547"/>
              <w:rPr>
                <w:color w:val="000000"/>
                <w:sz w:val="16"/>
                <w:szCs w:val="16"/>
              </w:rPr>
            </w:pPr>
            <w:r>
              <w:rPr>
                <w:color w:val="000000"/>
                <w:sz w:val="16"/>
                <w:szCs w:val="16"/>
              </w:rPr>
              <w:t>Total liabilities</w:t>
            </w:r>
          </w:p>
        </w:tc>
        <w:tc>
          <w:tcPr>
            <w:tcW w:w="79" w:type="pct"/>
            <w:shd w:val="clear" w:color="auto" w:fill="CFF0FC"/>
            <w:tcMar>
              <w:top w:w="15" w:type="dxa"/>
              <w:left w:w="0" w:type="dxa"/>
              <w:bottom w:w="0" w:type="dxa"/>
              <w:right w:w="15" w:type="dxa"/>
            </w:tcMar>
            <w:vAlign w:val="bottom"/>
            <w:hideMark/>
          </w:tcPr>
          <w:p w14:paraId="4C3A790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423F1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7C0424" w14:textId="77777777" w:rsidR="00000000" w:rsidRDefault="00582324">
            <w:pPr>
              <w:pStyle w:val="a3"/>
              <w:spacing w:before="0" w:beforeAutospacing="0" w:after="0" w:afterAutospacing="0"/>
              <w:jc w:val="right"/>
              <w:rPr>
                <w:color w:val="000000"/>
                <w:sz w:val="16"/>
                <w:szCs w:val="16"/>
              </w:rPr>
            </w:pPr>
            <w:r>
              <w:rPr>
                <w:color w:val="000000"/>
                <w:sz w:val="16"/>
                <w:szCs w:val="16"/>
              </w:rPr>
              <w:t>389,527</w:t>
            </w:r>
          </w:p>
        </w:tc>
        <w:tc>
          <w:tcPr>
            <w:tcW w:w="50" w:type="pct"/>
            <w:shd w:val="clear" w:color="auto" w:fill="CFF0FC"/>
            <w:noWrap/>
            <w:tcMar>
              <w:top w:w="15" w:type="dxa"/>
              <w:left w:w="0" w:type="dxa"/>
              <w:bottom w:w="0" w:type="dxa"/>
              <w:right w:w="15" w:type="dxa"/>
            </w:tcMar>
            <w:vAlign w:val="bottom"/>
            <w:hideMark/>
          </w:tcPr>
          <w:p w14:paraId="62B7B35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3C68F24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2301B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063368" w14:textId="77777777" w:rsidR="00000000" w:rsidRDefault="00582324">
            <w:pPr>
              <w:pStyle w:val="a3"/>
              <w:spacing w:before="0" w:beforeAutospacing="0" w:after="0" w:afterAutospacing="0"/>
              <w:jc w:val="right"/>
              <w:rPr>
                <w:color w:val="000000"/>
                <w:sz w:val="16"/>
                <w:szCs w:val="16"/>
              </w:rPr>
            </w:pPr>
            <w:r>
              <w:rPr>
                <w:color w:val="000000"/>
                <w:sz w:val="16"/>
                <w:szCs w:val="16"/>
              </w:rPr>
              <w:t>312,653</w:t>
            </w:r>
          </w:p>
        </w:tc>
        <w:tc>
          <w:tcPr>
            <w:tcW w:w="50" w:type="pct"/>
            <w:shd w:val="clear" w:color="auto" w:fill="CFF0FC"/>
            <w:noWrap/>
            <w:tcMar>
              <w:top w:w="15" w:type="dxa"/>
              <w:left w:w="0" w:type="dxa"/>
              <w:bottom w:w="0" w:type="dxa"/>
              <w:right w:w="15" w:type="dxa"/>
            </w:tcMar>
            <w:vAlign w:val="bottom"/>
            <w:hideMark/>
          </w:tcPr>
          <w:p w14:paraId="23EEF9C5"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09E4ECD1" w14:textId="77777777">
        <w:trPr>
          <w:divId w:val="950667589"/>
        </w:trPr>
        <w:tc>
          <w:tcPr>
            <w:tcW w:w="3354" w:type="pct"/>
            <w:shd w:val="clear" w:color="auto" w:fill="FFFFFF"/>
            <w:tcMar>
              <w:top w:w="15" w:type="dxa"/>
              <w:left w:w="0" w:type="dxa"/>
              <w:bottom w:w="0" w:type="dxa"/>
              <w:right w:w="15" w:type="dxa"/>
            </w:tcMar>
            <w:hideMark/>
          </w:tcPr>
          <w:p w14:paraId="2BB5F220" w14:textId="77777777" w:rsidR="00000000" w:rsidRDefault="00582324">
            <w:pPr>
              <w:pStyle w:val="a3"/>
              <w:spacing w:before="0" w:beforeAutospacing="0" w:after="0" w:afterAutospacing="0"/>
              <w:rPr>
                <w:color w:val="000000"/>
                <w:sz w:val="16"/>
                <w:szCs w:val="16"/>
              </w:rPr>
            </w:pPr>
            <w:r>
              <w:rPr>
                <w:color w:val="000000"/>
                <w:sz w:val="16"/>
                <w:szCs w:val="16"/>
              </w:rPr>
              <w:t>COMMITMENTS AND CONTINGENCIES</w:t>
            </w:r>
          </w:p>
        </w:tc>
        <w:tc>
          <w:tcPr>
            <w:tcW w:w="79" w:type="pct"/>
            <w:shd w:val="clear" w:color="auto" w:fill="FFFFFF"/>
            <w:tcMar>
              <w:top w:w="15" w:type="dxa"/>
              <w:left w:w="0" w:type="dxa"/>
              <w:bottom w:w="0" w:type="dxa"/>
              <w:right w:w="15" w:type="dxa"/>
            </w:tcMar>
            <w:vAlign w:val="bottom"/>
            <w:hideMark/>
          </w:tcPr>
          <w:p w14:paraId="7E166D3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D68F50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E8C0459"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8FB42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FFE421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83B0A2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C008BA5"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FA3C37"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799065C4" w14:textId="77777777">
        <w:trPr>
          <w:divId w:val="950667589"/>
        </w:trPr>
        <w:tc>
          <w:tcPr>
            <w:tcW w:w="3354" w:type="pct"/>
            <w:shd w:val="clear" w:color="auto" w:fill="CFF0FC"/>
            <w:tcMar>
              <w:top w:w="15" w:type="dxa"/>
              <w:left w:w="0" w:type="dxa"/>
              <w:bottom w:w="0" w:type="dxa"/>
              <w:right w:w="15" w:type="dxa"/>
            </w:tcMar>
            <w:hideMark/>
          </w:tcPr>
          <w:p w14:paraId="2E5DB171" w14:textId="77777777" w:rsidR="00000000" w:rsidRDefault="00582324">
            <w:pPr>
              <w:pStyle w:val="a3"/>
              <w:spacing w:before="0" w:beforeAutospacing="0" w:after="0" w:afterAutospacing="0"/>
              <w:rPr>
                <w:color w:val="000000"/>
                <w:sz w:val="16"/>
                <w:szCs w:val="16"/>
              </w:rPr>
            </w:pPr>
            <w:r>
              <w:rPr>
                <w:color w:val="000000"/>
                <w:sz w:val="16"/>
                <w:szCs w:val="16"/>
              </w:rPr>
              <w:t>CONVERTIBLE AND REDEEMABLE SERIES A-2 PREFERRED STOCK $0.0001</w:t>
            </w:r>
          </w:p>
          <w:p w14:paraId="5B6D19A3" w14:textId="77777777" w:rsidR="00000000" w:rsidRDefault="00582324">
            <w:pPr>
              <w:pStyle w:val="a3"/>
              <w:spacing w:before="0" w:beforeAutospacing="0" w:after="0" w:afterAutospacing="0"/>
              <w:rPr>
                <w:color w:val="000000"/>
                <w:sz w:val="16"/>
                <w:szCs w:val="16"/>
              </w:rPr>
            </w:pPr>
            <w:r>
              <w:rPr>
                <w:color w:val="000000"/>
                <w:sz w:val="16"/>
                <w:szCs w:val="16"/>
              </w:rPr>
              <w:t>   PAR VALUE—</w:t>
            </w:r>
          </w:p>
        </w:tc>
        <w:tc>
          <w:tcPr>
            <w:tcW w:w="79" w:type="pct"/>
            <w:shd w:val="clear" w:color="auto" w:fill="CFF0FC"/>
            <w:tcMar>
              <w:top w:w="15" w:type="dxa"/>
              <w:left w:w="0" w:type="dxa"/>
              <w:bottom w:w="0" w:type="dxa"/>
              <w:right w:w="15" w:type="dxa"/>
            </w:tcMar>
            <w:vAlign w:val="bottom"/>
            <w:hideMark/>
          </w:tcPr>
          <w:p w14:paraId="037D570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A80BF6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383C7331"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21BFA7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06637A2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151C70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294CD2AA"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33A95C5"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120D7B7" w14:textId="77777777">
        <w:trPr>
          <w:divId w:val="950667589"/>
        </w:trPr>
        <w:tc>
          <w:tcPr>
            <w:tcW w:w="3354" w:type="pct"/>
            <w:shd w:val="clear" w:color="auto" w:fill="FFFFFF"/>
            <w:tcMar>
              <w:top w:w="15" w:type="dxa"/>
              <w:left w:w="0" w:type="dxa"/>
              <w:bottom w:w="0" w:type="dxa"/>
              <w:right w:w="15" w:type="dxa"/>
            </w:tcMar>
            <w:hideMark/>
          </w:tcPr>
          <w:p w14:paraId="339D056F" w14:textId="77777777" w:rsidR="00000000" w:rsidRDefault="00582324">
            <w:pPr>
              <w:pStyle w:val="a3"/>
              <w:spacing w:before="0" w:beforeAutospacing="0" w:after="0" w:afterAutospacing="0"/>
              <w:ind w:left="274"/>
              <w:rPr>
                <w:color w:val="000000"/>
                <w:sz w:val="16"/>
                <w:szCs w:val="16"/>
              </w:rPr>
            </w:pPr>
            <w:r>
              <w:rPr>
                <w:color w:val="000000"/>
                <w:sz w:val="16"/>
                <w:szCs w:val="16"/>
              </w:rPr>
              <w:t>Authorized, issued and outstanding shares: 17,500 at June 30, 2021 and</w:t>
            </w:r>
          </w:p>
          <w:p w14:paraId="29E63171" w14:textId="77777777" w:rsidR="00000000" w:rsidRDefault="00582324">
            <w:pPr>
              <w:pStyle w:val="a3"/>
              <w:spacing w:before="0" w:beforeAutospacing="0" w:after="0" w:afterAutospacing="0"/>
              <w:ind w:left="274"/>
              <w:rPr>
                <w:color w:val="000000"/>
                <w:sz w:val="16"/>
                <w:szCs w:val="16"/>
              </w:rPr>
            </w:pPr>
            <w:r>
              <w:rPr>
                <w:color w:val="000000"/>
                <w:sz w:val="16"/>
                <w:szCs w:val="16"/>
              </w:rPr>
              <w:t xml:space="preserve">   </w:t>
            </w:r>
            <w:r>
              <w:rPr>
                <w:color w:val="000000"/>
                <w:sz w:val="16"/>
                <w:szCs w:val="16"/>
              </w:rPr>
              <w:t>December 31, 2020; aggregate liquidation preference of $182.2 million at June 30, 2021 and</w:t>
            </w:r>
          </w:p>
          <w:p w14:paraId="7F0385C7" w14:textId="77777777" w:rsidR="00000000" w:rsidRDefault="00582324">
            <w:pPr>
              <w:pStyle w:val="a3"/>
              <w:spacing w:before="0" w:beforeAutospacing="0" w:after="0" w:afterAutospacing="0"/>
              <w:ind w:left="274"/>
              <w:rPr>
                <w:color w:val="000000"/>
                <w:sz w:val="16"/>
                <w:szCs w:val="16"/>
              </w:rPr>
            </w:pPr>
            <w:r>
              <w:rPr>
                <w:color w:val="000000"/>
                <w:sz w:val="16"/>
                <w:szCs w:val="16"/>
              </w:rPr>
              <w:t>   December 31, 2020</w:t>
            </w:r>
          </w:p>
        </w:tc>
        <w:tc>
          <w:tcPr>
            <w:tcW w:w="79" w:type="pct"/>
            <w:shd w:val="clear" w:color="auto" w:fill="FFFFFF"/>
            <w:tcMar>
              <w:top w:w="15" w:type="dxa"/>
              <w:left w:w="0" w:type="dxa"/>
              <w:bottom w:w="0" w:type="dxa"/>
              <w:right w:w="15" w:type="dxa"/>
            </w:tcMar>
            <w:vAlign w:val="bottom"/>
            <w:hideMark/>
          </w:tcPr>
          <w:p w14:paraId="4530194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47A27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1430CD55" w14:textId="77777777" w:rsidR="00000000" w:rsidRDefault="00582324">
            <w:pPr>
              <w:pStyle w:val="a3"/>
              <w:spacing w:before="0" w:beforeAutospacing="0" w:after="0" w:afterAutospacing="0"/>
              <w:jc w:val="right"/>
              <w:rPr>
                <w:color w:val="000000"/>
                <w:sz w:val="16"/>
                <w:szCs w:val="16"/>
              </w:rPr>
            </w:pPr>
            <w:r>
              <w:rPr>
                <w:color w:val="000000"/>
                <w:sz w:val="16"/>
                <w:szCs w:val="16"/>
              </w:rPr>
              <w:t>152,928</w:t>
            </w:r>
          </w:p>
        </w:tc>
        <w:tc>
          <w:tcPr>
            <w:tcW w:w="50" w:type="pct"/>
            <w:shd w:val="clear" w:color="auto" w:fill="FFFFFF"/>
            <w:noWrap/>
            <w:tcMar>
              <w:top w:w="15" w:type="dxa"/>
              <w:left w:w="0" w:type="dxa"/>
              <w:bottom w:w="0" w:type="dxa"/>
              <w:right w:w="15" w:type="dxa"/>
            </w:tcMar>
            <w:vAlign w:val="bottom"/>
            <w:hideMark/>
          </w:tcPr>
          <w:p w14:paraId="2F41F36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10234867"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9D61A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14B8DD8D" w14:textId="77777777" w:rsidR="00000000" w:rsidRDefault="00582324">
            <w:pPr>
              <w:pStyle w:val="a3"/>
              <w:spacing w:before="0" w:beforeAutospacing="0" w:after="0" w:afterAutospacing="0"/>
              <w:jc w:val="right"/>
              <w:rPr>
                <w:color w:val="000000"/>
                <w:sz w:val="16"/>
                <w:szCs w:val="16"/>
              </w:rPr>
            </w:pPr>
            <w:r>
              <w:rPr>
                <w:color w:val="000000"/>
                <w:sz w:val="16"/>
                <w:szCs w:val="16"/>
              </w:rPr>
              <w:t>152,928</w:t>
            </w:r>
          </w:p>
        </w:tc>
        <w:tc>
          <w:tcPr>
            <w:tcW w:w="50" w:type="pct"/>
            <w:shd w:val="clear" w:color="auto" w:fill="FFFFFF"/>
            <w:noWrap/>
            <w:tcMar>
              <w:top w:w="15" w:type="dxa"/>
              <w:left w:w="0" w:type="dxa"/>
              <w:bottom w:w="0" w:type="dxa"/>
              <w:right w:w="15" w:type="dxa"/>
            </w:tcMar>
            <w:vAlign w:val="bottom"/>
            <w:hideMark/>
          </w:tcPr>
          <w:p w14:paraId="13182A70"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37DB9E8C" w14:textId="77777777">
        <w:trPr>
          <w:divId w:val="950667589"/>
        </w:trPr>
        <w:tc>
          <w:tcPr>
            <w:tcW w:w="3354" w:type="pct"/>
            <w:shd w:val="clear" w:color="auto" w:fill="CFF0FC"/>
            <w:tcMar>
              <w:top w:w="15" w:type="dxa"/>
              <w:left w:w="0" w:type="dxa"/>
              <w:bottom w:w="0" w:type="dxa"/>
              <w:right w:w="15" w:type="dxa"/>
            </w:tcMar>
            <w:hideMark/>
          </w:tcPr>
          <w:p w14:paraId="040056D5" w14:textId="77777777" w:rsidR="00000000" w:rsidRDefault="00582324">
            <w:pPr>
              <w:pStyle w:val="a3"/>
              <w:spacing w:before="0" w:beforeAutospacing="0" w:after="0" w:afterAutospacing="0"/>
              <w:rPr>
                <w:color w:val="000000"/>
                <w:sz w:val="16"/>
                <w:szCs w:val="16"/>
              </w:rPr>
            </w:pPr>
            <w:r>
              <w:rPr>
                <w:color w:val="000000"/>
                <w:sz w:val="16"/>
                <w:szCs w:val="16"/>
              </w:rPr>
              <w:t>STOCKHOLDERS’ EQUITY:</w:t>
            </w:r>
          </w:p>
        </w:tc>
        <w:tc>
          <w:tcPr>
            <w:tcW w:w="79" w:type="pct"/>
            <w:shd w:val="clear" w:color="auto" w:fill="CFF0FC"/>
            <w:tcMar>
              <w:top w:w="15" w:type="dxa"/>
              <w:left w:w="0" w:type="dxa"/>
              <w:bottom w:w="0" w:type="dxa"/>
              <w:right w:w="15" w:type="dxa"/>
            </w:tcMar>
            <w:vAlign w:val="bottom"/>
            <w:hideMark/>
          </w:tcPr>
          <w:p w14:paraId="1C0FEA9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9A6979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771155D0"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F15F8F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38FDAF1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732F39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78B72FA8" w14:textId="77777777" w:rsidR="00000000" w:rsidRDefault="00582324">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6AC378B"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3986EBBC" w14:textId="77777777">
        <w:trPr>
          <w:divId w:val="950667589"/>
        </w:trPr>
        <w:tc>
          <w:tcPr>
            <w:tcW w:w="3354" w:type="pct"/>
            <w:shd w:val="clear" w:color="auto" w:fill="FFFFFF"/>
            <w:tcMar>
              <w:top w:w="15" w:type="dxa"/>
              <w:left w:w="0" w:type="dxa"/>
              <w:bottom w:w="0" w:type="dxa"/>
              <w:right w:w="15" w:type="dxa"/>
            </w:tcMar>
            <w:hideMark/>
          </w:tcPr>
          <w:p w14:paraId="7F5E2C89" w14:textId="77777777" w:rsidR="00000000" w:rsidRDefault="00582324">
            <w:pPr>
              <w:pStyle w:val="a3"/>
              <w:spacing w:before="0" w:beforeAutospacing="0" w:after="0" w:afterAutospacing="0"/>
              <w:ind w:left="274"/>
              <w:rPr>
                <w:color w:val="000000"/>
                <w:sz w:val="16"/>
                <w:szCs w:val="16"/>
              </w:rPr>
            </w:pPr>
            <w:r>
              <w:rPr>
                <w:color w:val="000000"/>
                <w:sz w:val="16"/>
                <w:szCs w:val="16"/>
              </w:rPr>
              <w:t>Common stock, $0.000004 par value; authorized shares: 190,000,000 at</w:t>
            </w:r>
          </w:p>
          <w:p w14:paraId="5ADF6F24" w14:textId="77777777" w:rsidR="00000000" w:rsidRDefault="00582324">
            <w:pPr>
              <w:pStyle w:val="a3"/>
              <w:spacing w:before="0" w:beforeAutospacing="0" w:after="0" w:afterAutospacing="0"/>
              <w:ind w:left="274"/>
              <w:rPr>
                <w:color w:val="000000"/>
                <w:sz w:val="16"/>
                <w:szCs w:val="16"/>
              </w:rPr>
            </w:pPr>
            <w:r>
              <w:rPr>
                <w:color w:val="000000"/>
                <w:sz w:val="16"/>
                <w:szCs w:val="16"/>
              </w:rPr>
              <w:t>    </w:t>
            </w:r>
            <w:r>
              <w:rPr>
                <w:color w:val="000000"/>
                <w:sz w:val="16"/>
                <w:szCs w:val="16"/>
              </w:rPr>
              <w:t>June 30, 2021 and December 31, 2020; issued and outstanding shares: 26,108,188 and</w:t>
            </w:r>
          </w:p>
          <w:p w14:paraId="48B79D28" w14:textId="77777777" w:rsidR="00000000" w:rsidRDefault="00582324">
            <w:pPr>
              <w:pStyle w:val="a3"/>
              <w:spacing w:before="0" w:beforeAutospacing="0" w:after="0" w:afterAutospacing="0"/>
              <w:ind w:left="274"/>
              <w:rPr>
                <w:color w:val="000000"/>
                <w:sz w:val="16"/>
                <w:szCs w:val="16"/>
              </w:rPr>
            </w:pPr>
            <w:r>
              <w:rPr>
                <w:color w:val="000000"/>
                <w:sz w:val="16"/>
                <w:szCs w:val="16"/>
              </w:rPr>
              <w:t>    24,932,527 at June 30, 2021 and December 31, 2020, respectively</w:t>
            </w:r>
          </w:p>
        </w:tc>
        <w:tc>
          <w:tcPr>
            <w:tcW w:w="79" w:type="pct"/>
            <w:shd w:val="clear" w:color="auto" w:fill="FFFFFF"/>
            <w:tcMar>
              <w:top w:w="15" w:type="dxa"/>
              <w:left w:w="0" w:type="dxa"/>
              <w:bottom w:w="0" w:type="dxa"/>
              <w:right w:w="15" w:type="dxa"/>
            </w:tcMar>
            <w:vAlign w:val="bottom"/>
            <w:hideMark/>
          </w:tcPr>
          <w:p w14:paraId="4714E2A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747A8F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632AAB9A"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7062DE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431BD38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D8ECF5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0AB5FD27" w14:textId="77777777" w:rsidR="00000000" w:rsidRDefault="00582324">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2BD76E5"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C94E864" w14:textId="77777777">
        <w:trPr>
          <w:divId w:val="950667589"/>
        </w:trPr>
        <w:tc>
          <w:tcPr>
            <w:tcW w:w="3354" w:type="pct"/>
            <w:shd w:val="clear" w:color="auto" w:fill="CFF0FC"/>
            <w:tcMar>
              <w:top w:w="15" w:type="dxa"/>
              <w:left w:w="0" w:type="dxa"/>
              <w:bottom w:w="0" w:type="dxa"/>
              <w:right w:w="15" w:type="dxa"/>
            </w:tcMar>
            <w:hideMark/>
          </w:tcPr>
          <w:p w14:paraId="080E5C27" w14:textId="77777777" w:rsidR="00000000" w:rsidRDefault="00582324">
            <w:pPr>
              <w:pStyle w:val="a3"/>
              <w:spacing w:before="0" w:beforeAutospacing="0" w:after="0" w:afterAutospacing="0"/>
              <w:ind w:left="274"/>
              <w:rPr>
                <w:color w:val="000000"/>
                <w:sz w:val="16"/>
                <w:szCs w:val="16"/>
              </w:rPr>
            </w:pPr>
            <w:r>
              <w:rPr>
                <w:color w:val="000000"/>
                <w:sz w:val="16"/>
                <w:szCs w:val="16"/>
              </w:rPr>
              <w:t>Additional paid-in-capital</w:t>
            </w:r>
          </w:p>
        </w:tc>
        <w:tc>
          <w:tcPr>
            <w:tcW w:w="79" w:type="pct"/>
            <w:shd w:val="clear" w:color="auto" w:fill="CFF0FC"/>
            <w:tcMar>
              <w:top w:w="15" w:type="dxa"/>
              <w:left w:w="0" w:type="dxa"/>
              <w:bottom w:w="0" w:type="dxa"/>
              <w:right w:w="15" w:type="dxa"/>
            </w:tcMar>
            <w:vAlign w:val="bottom"/>
            <w:hideMark/>
          </w:tcPr>
          <w:p w14:paraId="29F1E7E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05AA1C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6FFCF162" w14:textId="77777777" w:rsidR="00000000" w:rsidRDefault="00582324">
            <w:pPr>
              <w:pStyle w:val="a3"/>
              <w:spacing w:before="0" w:beforeAutospacing="0" w:after="0" w:afterAutospacing="0"/>
              <w:jc w:val="right"/>
              <w:rPr>
                <w:color w:val="000000"/>
                <w:sz w:val="16"/>
                <w:szCs w:val="16"/>
              </w:rPr>
            </w:pPr>
            <w:r>
              <w:rPr>
                <w:color w:val="000000"/>
                <w:sz w:val="16"/>
                <w:szCs w:val="16"/>
              </w:rPr>
              <w:t>287,365</w:t>
            </w:r>
          </w:p>
        </w:tc>
        <w:tc>
          <w:tcPr>
            <w:tcW w:w="50" w:type="pct"/>
            <w:shd w:val="clear" w:color="auto" w:fill="CFF0FC"/>
            <w:noWrap/>
            <w:tcMar>
              <w:top w:w="15" w:type="dxa"/>
              <w:left w:w="0" w:type="dxa"/>
              <w:bottom w:w="0" w:type="dxa"/>
              <w:right w:w="15" w:type="dxa"/>
            </w:tcMar>
            <w:vAlign w:val="bottom"/>
            <w:hideMark/>
          </w:tcPr>
          <w:p w14:paraId="55C52F3E"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08B23412"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84422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CFF0FC"/>
            <w:noWrap/>
            <w:tcMar>
              <w:top w:w="15" w:type="dxa"/>
              <w:left w:w="0" w:type="dxa"/>
              <w:bottom w:w="0" w:type="dxa"/>
              <w:right w:w="15" w:type="dxa"/>
            </w:tcMar>
            <w:vAlign w:val="bottom"/>
            <w:hideMark/>
          </w:tcPr>
          <w:p w14:paraId="67EA7AB4" w14:textId="77777777" w:rsidR="00000000" w:rsidRDefault="00582324">
            <w:pPr>
              <w:pStyle w:val="a3"/>
              <w:spacing w:before="0" w:beforeAutospacing="0" w:after="0" w:afterAutospacing="0"/>
              <w:jc w:val="right"/>
              <w:rPr>
                <w:color w:val="000000"/>
                <w:sz w:val="16"/>
                <w:szCs w:val="16"/>
              </w:rPr>
            </w:pPr>
            <w:r>
              <w:rPr>
                <w:color w:val="000000"/>
                <w:sz w:val="16"/>
                <w:szCs w:val="16"/>
              </w:rPr>
              <w:t>259,427</w:t>
            </w:r>
          </w:p>
        </w:tc>
        <w:tc>
          <w:tcPr>
            <w:tcW w:w="50" w:type="pct"/>
            <w:shd w:val="clear" w:color="auto" w:fill="CFF0FC"/>
            <w:noWrap/>
            <w:tcMar>
              <w:top w:w="15" w:type="dxa"/>
              <w:left w:w="0" w:type="dxa"/>
              <w:bottom w:w="0" w:type="dxa"/>
              <w:right w:w="15" w:type="dxa"/>
            </w:tcMar>
            <w:vAlign w:val="bottom"/>
            <w:hideMark/>
          </w:tcPr>
          <w:p w14:paraId="29722F7F"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6B058A36" w14:textId="77777777">
        <w:trPr>
          <w:divId w:val="950667589"/>
        </w:trPr>
        <w:tc>
          <w:tcPr>
            <w:tcW w:w="3354" w:type="pct"/>
            <w:shd w:val="clear" w:color="auto" w:fill="FFFFFF"/>
            <w:tcMar>
              <w:top w:w="15" w:type="dxa"/>
              <w:left w:w="0" w:type="dxa"/>
              <w:bottom w:w="0" w:type="dxa"/>
              <w:right w:w="15" w:type="dxa"/>
            </w:tcMar>
            <w:hideMark/>
          </w:tcPr>
          <w:p w14:paraId="17A40239" w14:textId="77777777" w:rsidR="00000000" w:rsidRDefault="00582324">
            <w:pPr>
              <w:pStyle w:val="a3"/>
              <w:spacing w:before="0" w:beforeAutospacing="0" w:after="0" w:afterAutospacing="0"/>
              <w:ind w:left="274"/>
              <w:rPr>
                <w:color w:val="000000"/>
                <w:sz w:val="16"/>
                <w:szCs w:val="16"/>
              </w:rPr>
            </w:pPr>
            <w:r>
              <w:rPr>
                <w:color w:val="000000"/>
                <w:sz w:val="16"/>
                <w:szCs w:val="16"/>
              </w:rPr>
              <w:t>Accumulated deficit</w:t>
            </w:r>
          </w:p>
        </w:tc>
        <w:tc>
          <w:tcPr>
            <w:tcW w:w="79" w:type="pct"/>
            <w:shd w:val="clear" w:color="auto" w:fill="FFFFFF"/>
            <w:tcMar>
              <w:top w:w="15" w:type="dxa"/>
              <w:left w:w="0" w:type="dxa"/>
              <w:bottom w:w="0" w:type="dxa"/>
              <w:right w:w="15" w:type="dxa"/>
            </w:tcMar>
            <w:vAlign w:val="bottom"/>
            <w:hideMark/>
          </w:tcPr>
          <w:p w14:paraId="09F5F989"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72B26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17338ED0" w14:textId="77777777" w:rsidR="00000000" w:rsidRDefault="00582324">
            <w:pPr>
              <w:pStyle w:val="a3"/>
              <w:spacing w:before="0" w:beforeAutospacing="0" w:after="0" w:afterAutospacing="0"/>
              <w:jc w:val="right"/>
              <w:rPr>
                <w:color w:val="000000"/>
                <w:sz w:val="16"/>
                <w:szCs w:val="16"/>
              </w:rPr>
            </w:pPr>
            <w:r>
              <w:rPr>
                <w:color w:val="000000"/>
                <w:sz w:val="16"/>
                <w:szCs w:val="16"/>
              </w:rPr>
              <w:t>(148,432</w:t>
            </w:r>
          </w:p>
        </w:tc>
        <w:tc>
          <w:tcPr>
            <w:tcW w:w="50" w:type="pct"/>
            <w:shd w:val="clear" w:color="auto" w:fill="FFFFFF"/>
            <w:noWrap/>
            <w:tcMar>
              <w:top w:w="15" w:type="dxa"/>
              <w:left w:w="0" w:type="dxa"/>
              <w:bottom w:w="0" w:type="dxa"/>
              <w:right w:w="15" w:type="dxa"/>
            </w:tcMar>
            <w:vAlign w:val="bottom"/>
            <w:hideMark/>
          </w:tcPr>
          <w:p w14:paraId="2FFA702B"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79" w:type="pct"/>
            <w:shd w:val="clear" w:color="auto" w:fill="FFFFFF"/>
            <w:tcMar>
              <w:top w:w="15" w:type="dxa"/>
              <w:left w:w="0" w:type="dxa"/>
              <w:bottom w:w="0" w:type="dxa"/>
              <w:right w:w="15" w:type="dxa"/>
            </w:tcMar>
            <w:vAlign w:val="bottom"/>
            <w:hideMark/>
          </w:tcPr>
          <w:p w14:paraId="35ADFAB6"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E77F0D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shd w:val="clear" w:color="auto" w:fill="FFFFFF"/>
            <w:noWrap/>
            <w:tcMar>
              <w:top w:w="15" w:type="dxa"/>
              <w:left w:w="0" w:type="dxa"/>
              <w:bottom w:w="0" w:type="dxa"/>
              <w:right w:w="15" w:type="dxa"/>
            </w:tcMar>
            <w:vAlign w:val="bottom"/>
            <w:hideMark/>
          </w:tcPr>
          <w:p w14:paraId="0A5EF79F" w14:textId="77777777" w:rsidR="00000000" w:rsidRDefault="00582324">
            <w:pPr>
              <w:pStyle w:val="a3"/>
              <w:spacing w:before="0" w:beforeAutospacing="0" w:after="0" w:afterAutospacing="0"/>
              <w:jc w:val="right"/>
              <w:rPr>
                <w:color w:val="000000"/>
                <w:sz w:val="16"/>
                <w:szCs w:val="16"/>
              </w:rPr>
            </w:pPr>
            <w:r>
              <w:rPr>
                <w:color w:val="000000"/>
                <w:sz w:val="16"/>
                <w:szCs w:val="16"/>
              </w:rPr>
              <w:t>(122,353</w:t>
            </w:r>
          </w:p>
        </w:tc>
        <w:tc>
          <w:tcPr>
            <w:tcW w:w="50" w:type="pct"/>
            <w:shd w:val="clear" w:color="auto" w:fill="FFFFFF"/>
            <w:noWrap/>
            <w:tcMar>
              <w:top w:w="15" w:type="dxa"/>
              <w:left w:w="0" w:type="dxa"/>
              <w:bottom w:w="0" w:type="dxa"/>
              <w:right w:w="15" w:type="dxa"/>
            </w:tcMar>
            <w:vAlign w:val="bottom"/>
            <w:hideMark/>
          </w:tcPr>
          <w:p w14:paraId="784E32F3" w14:textId="77777777" w:rsidR="00000000" w:rsidRDefault="00582324">
            <w:pPr>
              <w:pStyle w:val="a3"/>
              <w:spacing w:before="0" w:beforeAutospacing="0" w:after="0" w:afterAutospacing="0"/>
              <w:rPr>
                <w:color w:val="000000"/>
                <w:sz w:val="16"/>
                <w:szCs w:val="16"/>
              </w:rPr>
            </w:pPr>
            <w:r>
              <w:rPr>
                <w:color w:val="000000"/>
                <w:sz w:val="16"/>
                <w:szCs w:val="16"/>
              </w:rPr>
              <w:t>)</w:t>
            </w:r>
          </w:p>
        </w:tc>
      </w:tr>
      <w:tr w:rsidR="00000000" w14:paraId="3A26EA84" w14:textId="77777777">
        <w:trPr>
          <w:divId w:val="950667589"/>
        </w:trPr>
        <w:tc>
          <w:tcPr>
            <w:tcW w:w="3354" w:type="pct"/>
            <w:shd w:val="clear" w:color="auto" w:fill="CFF0FC"/>
            <w:tcMar>
              <w:top w:w="15" w:type="dxa"/>
              <w:left w:w="0" w:type="dxa"/>
              <w:bottom w:w="0" w:type="dxa"/>
              <w:right w:w="15" w:type="dxa"/>
            </w:tcMar>
            <w:hideMark/>
          </w:tcPr>
          <w:p w14:paraId="4E943639" w14:textId="77777777" w:rsidR="00000000" w:rsidRDefault="00582324">
            <w:pPr>
              <w:pStyle w:val="a3"/>
              <w:spacing w:before="0" w:beforeAutospacing="0" w:after="0" w:afterAutospacing="0"/>
              <w:ind w:left="274"/>
              <w:rPr>
                <w:color w:val="000000"/>
                <w:sz w:val="16"/>
                <w:szCs w:val="16"/>
              </w:rPr>
            </w:pPr>
            <w:r>
              <w:rPr>
                <w:color w:val="000000"/>
                <w:sz w:val="16"/>
                <w:szCs w:val="16"/>
              </w:rPr>
              <w:t>Accumulated other comprehensive income</w:t>
            </w:r>
          </w:p>
        </w:tc>
        <w:tc>
          <w:tcPr>
            <w:tcW w:w="79" w:type="pct"/>
            <w:shd w:val="clear" w:color="auto" w:fill="CFF0FC"/>
            <w:tcMar>
              <w:top w:w="15" w:type="dxa"/>
              <w:left w:w="0" w:type="dxa"/>
              <w:bottom w:w="0" w:type="dxa"/>
              <w:right w:w="15" w:type="dxa"/>
            </w:tcMar>
            <w:vAlign w:val="bottom"/>
            <w:hideMark/>
          </w:tcPr>
          <w:p w14:paraId="26F1053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6301E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7C4BCCDB" w14:textId="77777777" w:rsidR="00000000" w:rsidRDefault="00582324">
            <w:pPr>
              <w:pStyle w:val="a3"/>
              <w:spacing w:before="0" w:beforeAutospacing="0" w:after="0" w:afterAutospacing="0"/>
              <w:jc w:val="right"/>
              <w:rPr>
                <w:color w:val="000000"/>
                <w:sz w:val="16"/>
                <w:szCs w:val="16"/>
              </w:rPr>
            </w:pPr>
            <w:r>
              <w:rPr>
                <w:color w:val="000000"/>
                <w:sz w:val="16"/>
                <w:szCs w:val="16"/>
              </w:rPr>
              <w:t>128</w:t>
            </w:r>
          </w:p>
        </w:tc>
        <w:tc>
          <w:tcPr>
            <w:tcW w:w="50" w:type="pct"/>
            <w:shd w:val="clear" w:color="auto" w:fill="CFF0FC"/>
            <w:noWrap/>
            <w:tcMar>
              <w:top w:w="15" w:type="dxa"/>
              <w:left w:w="0" w:type="dxa"/>
              <w:bottom w:w="0" w:type="dxa"/>
              <w:right w:w="15" w:type="dxa"/>
            </w:tcMar>
            <w:vAlign w:val="bottom"/>
            <w:hideMark/>
          </w:tcPr>
          <w:p w14:paraId="02FEEFA3"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093C004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E3893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7D152478" w14:textId="77777777" w:rsidR="00000000" w:rsidRDefault="00582324">
            <w:pPr>
              <w:pStyle w:val="a3"/>
              <w:spacing w:before="0" w:beforeAutospacing="0" w:after="0" w:afterAutospacing="0"/>
              <w:jc w:val="right"/>
              <w:rPr>
                <w:color w:val="000000"/>
                <w:sz w:val="16"/>
                <w:szCs w:val="16"/>
              </w:rPr>
            </w:pPr>
            <w:r>
              <w:rPr>
                <w:color w:val="000000"/>
                <w:sz w:val="16"/>
                <w:szCs w:val="16"/>
              </w:rPr>
              <w:t>71</w:t>
            </w:r>
          </w:p>
        </w:tc>
        <w:tc>
          <w:tcPr>
            <w:tcW w:w="50" w:type="pct"/>
            <w:shd w:val="clear" w:color="auto" w:fill="CFF0FC"/>
            <w:noWrap/>
            <w:tcMar>
              <w:top w:w="15" w:type="dxa"/>
              <w:left w:w="0" w:type="dxa"/>
              <w:bottom w:w="0" w:type="dxa"/>
              <w:right w:w="15" w:type="dxa"/>
            </w:tcMar>
            <w:vAlign w:val="bottom"/>
            <w:hideMark/>
          </w:tcPr>
          <w:p w14:paraId="2F250469"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20650009" w14:textId="77777777">
        <w:trPr>
          <w:divId w:val="950667589"/>
        </w:trPr>
        <w:tc>
          <w:tcPr>
            <w:tcW w:w="3354" w:type="pct"/>
            <w:shd w:val="clear" w:color="auto" w:fill="FFFFFF"/>
            <w:tcMar>
              <w:top w:w="15" w:type="dxa"/>
              <w:left w:w="0" w:type="dxa"/>
              <w:bottom w:w="0" w:type="dxa"/>
              <w:right w:w="15" w:type="dxa"/>
            </w:tcMar>
            <w:hideMark/>
          </w:tcPr>
          <w:p w14:paraId="01FF908A" w14:textId="77777777" w:rsidR="00000000" w:rsidRDefault="00582324">
            <w:pPr>
              <w:pStyle w:val="a3"/>
              <w:spacing w:before="0" w:beforeAutospacing="0" w:after="0" w:afterAutospacing="0"/>
              <w:ind w:left="547"/>
              <w:rPr>
                <w:color w:val="000000"/>
                <w:sz w:val="16"/>
                <w:szCs w:val="16"/>
              </w:rPr>
            </w:pPr>
            <w:r>
              <w:rPr>
                <w:color w:val="000000"/>
                <w:sz w:val="16"/>
                <w:szCs w:val="16"/>
              </w:rPr>
              <w:t>Total stockholders’ equity</w:t>
            </w:r>
          </w:p>
        </w:tc>
        <w:tc>
          <w:tcPr>
            <w:tcW w:w="79" w:type="pct"/>
            <w:shd w:val="clear" w:color="auto" w:fill="FFFFFF"/>
            <w:tcMar>
              <w:top w:w="15" w:type="dxa"/>
              <w:left w:w="0" w:type="dxa"/>
              <w:bottom w:w="0" w:type="dxa"/>
              <w:right w:w="15" w:type="dxa"/>
            </w:tcMar>
            <w:vAlign w:val="bottom"/>
            <w:hideMark/>
          </w:tcPr>
          <w:p w14:paraId="4458B5A8"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A3DB85D"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D69975" w14:textId="77777777" w:rsidR="00000000" w:rsidRDefault="00582324">
            <w:pPr>
              <w:pStyle w:val="a3"/>
              <w:spacing w:before="0" w:beforeAutospacing="0" w:after="0" w:afterAutospacing="0"/>
              <w:jc w:val="right"/>
              <w:rPr>
                <w:color w:val="000000"/>
                <w:sz w:val="16"/>
                <w:szCs w:val="16"/>
              </w:rPr>
            </w:pPr>
            <w:r>
              <w:rPr>
                <w:color w:val="000000"/>
                <w:sz w:val="16"/>
                <w:szCs w:val="16"/>
              </w:rPr>
              <w:t>139,061</w:t>
            </w:r>
          </w:p>
        </w:tc>
        <w:tc>
          <w:tcPr>
            <w:tcW w:w="50" w:type="pct"/>
            <w:shd w:val="clear" w:color="auto" w:fill="FFFFFF"/>
            <w:noWrap/>
            <w:tcMar>
              <w:top w:w="15" w:type="dxa"/>
              <w:left w:w="0" w:type="dxa"/>
              <w:bottom w:w="0" w:type="dxa"/>
              <w:right w:w="15" w:type="dxa"/>
            </w:tcMar>
            <w:vAlign w:val="bottom"/>
            <w:hideMark/>
          </w:tcPr>
          <w:p w14:paraId="5FC9F6E4"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62117D6A"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053D9F"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19EF1A" w14:textId="77777777" w:rsidR="00000000" w:rsidRDefault="00582324">
            <w:pPr>
              <w:pStyle w:val="a3"/>
              <w:spacing w:before="0" w:beforeAutospacing="0" w:after="0" w:afterAutospacing="0"/>
              <w:jc w:val="right"/>
              <w:rPr>
                <w:color w:val="000000"/>
                <w:sz w:val="16"/>
                <w:szCs w:val="16"/>
              </w:rPr>
            </w:pPr>
            <w:r>
              <w:rPr>
                <w:color w:val="000000"/>
                <w:sz w:val="16"/>
                <w:szCs w:val="16"/>
              </w:rPr>
              <w:t>137,145</w:t>
            </w:r>
          </w:p>
        </w:tc>
        <w:tc>
          <w:tcPr>
            <w:tcW w:w="50" w:type="pct"/>
            <w:shd w:val="clear" w:color="auto" w:fill="FFFFFF"/>
            <w:noWrap/>
            <w:tcMar>
              <w:top w:w="15" w:type="dxa"/>
              <w:left w:w="0" w:type="dxa"/>
              <w:bottom w:w="0" w:type="dxa"/>
              <w:right w:w="15" w:type="dxa"/>
            </w:tcMar>
            <w:vAlign w:val="bottom"/>
            <w:hideMark/>
          </w:tcPr>
          <w:p w14:paraId="45F69954" w14:textId="77777777" w:rsidR="00000000" w:rsidRDefault="00582324">
            <w:pPr>
              <w:pStyle w:val="a3"/>
              <w:spacing w:before="0" w:beforeAutospacing="0" w:after="0" w:afterAutospacing="0"/>
              <w:rPr>
                <w:color w:val="000000"/>
                <w:sz w:val="16"/>
                <w:szCs w:val="16"/>
              </w:rPr>
            </w:pPr>
            <w:r>
              <w:rPr>
                <w:color w:val="000000"/>
                <w:sz w:val="16"/>
                <w:szCs w:val="16"/>
              </w:rPr>
              <w:t> </w:t>
            </w:r>
          </w:p>
        </w:tc>
      </w:tr>
      <w:tr w:rsidR="00000000" w14:paraId="16F75CFB" w14:textId="77777777">
        <w:trPr>
          <w:divId w:val="950667589"/>
        </w:trPr>
        <w:tc>
          <w:tcPr>
            <w:tcW w:w="3354" w:type="pct"/>
            <w:shd w:val="clear" w:color="auto" w:fill="CFF0FC"/>
            <w:tcMar>
              <w:top w:w="15" w:type="dxa"/>
              <w:left w:w="0" w:type="dxa"/>
              <w:bottom w:w="0" w:type="dxa"/>
              <w:right w:w="15" w:type="dxa"/>
            </w:tcMar>
            <w:hideMark/>
          </w:tcPr>
          <w:p w14:paraId="5DBF2EE9" w14:textId="77777777" w:rsidR="00000000" w:rsidRDefault="00582324">
            <w:pPr>
              <w:pStyle w:val="a3"/>
              <w:spacing w:before="0" w:beforeAutospacing="0" w:after="0" w:afterAutospacing="0"/>
              <w:rPr>
                <w:color w:val="000000"/>
                <w:sz w:val="16"/>
                <w:szCs w:val="16"/>
              </w:rPr>
            </w:pPr>
            <w:r>
              <w:rPr>
                <w:color w:val="000000"/>
                <w:sz w:val="16"/>
                <w:szCs w:val="16"/>
              </w:rPr>
              <w:t>TOTAL LIABILITIES, CONVERTIBLE AND REDEEMABLE SERIES A-2 PREFERRED STOCK</w:t>
            </w:r>
          </w:p>
          <w:p w14:paraId="0A779217" w14:textId="77777777" w:rsidR="00000000" w:rsidRDefault="00582324">
            <w:pPr>
              <w:pStyle w:val="a3"/>
              <w:spacing w:before="0" w:beforeAutospacing="0" w:after="0" w:afterAutospacing="0"/>
              <w:rPr>
                <w:color w:val="000000"/>
                <w:sz w:val="16"/>
                <w:szCs w:val="16"/>
              </w:rPr>
            </w:pPr>
            <w:r>
              <w:rPr>
                <w:color w:val="000000"/>
                <w:sz w:val="16"/>
                <w:szCs w:val="16"/>
              </w:rPr>
              <w:t>   AND STOCKHOLDERS’ EQUITY</w:t>
            </w:r>
          </w:p>
        </w:tc>
        <w:tc>
          <w:tcPr>
            <w:tcW w:w="79" w:type="pct"/>
            <w:shd w:val="clear" w:color="auto" w:fill="CFF0FC"/>
            <w:tcMar>
              <w:top w:w="15" w:type="dxa"/>
              <w:left w:w="0" w:type="dxa"/>
              <w:bottom w:w="0" w:type="dxa"/>
              <w:right w:w="15" w:type="dxa"/>
            </w:tcMar>
            <w:vAlign w:val="bottom"/>
            <w:hideMark/>
          </w:tcPr>
          <w:p w14:paraId="282C2FFC"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398FCB"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4E2FE5" w14:textId="77777777" w:rsidR="00000000" w:rsidRDefault="00582324">
            <w:pPr>
              <w:pStyle w:val="a3"/>
              <w:spacing w:before="0" w:beforeAutospacing="0" w:after="0" w:afterAutospacing="0"/>
              <w:jc w:val="right"/>
              <w:rPr>
                <w:color w:val="000000"/>
                <w:sz w:val="16"/>
                <w:szCs w:val="16"/>
              </w:rPr>
            </w:pPr>
            <w:r>
              <w:rPr>
                <w:color w:val="000000"/>
                <w:sz w:val="16"/>
                <w:szCs w:val="16"/>
              </w:rPr>
              <w:t>681,516</w:t>
            </w:r>
          </w:p>
        </w:tc>
        <w:tc>
          <w:tcPr>
            <w:tcW w:w="50" w:type="pct"/>
            <w:shd w:val="clear" w:color="auto" w:fill="CFF0FC"/>
            <w:noWrap/>
            <w:tcMar>
              <w:top w:w="15" w:type="dxa"/>
              <w:left w:w="0" w:type="dxa"/>
              <w:bottom w:w="0" w:type="dxa"/>
              <w:right w:w="15" w:type="dxa"/>
            </w:tcMar>
            <w:vAlign w:val="bottom"/>
            <w:hideMark/>
          </w:tcPr>
          <w:p w14:paraId="1390332B"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79" w:type="pct"/>
            <w:shd w:val="clear" w:color="auto" w:fill="CFF0FC"/>
            <w:tcMar>
              <w:top w:w="15" w:type="dxa"/>
              <w:left w:w="0" w:type="dxa"/>
              <w:bottom w:w="0" w:type="dxa"/>
              <w:right w:w="15" w:type="dxa"/>
            </w:tcMar>
            <w:vAlign w:val="bottom"/>
            <w:hideMark/>
          </w:tcPr>
          <w:p w14:paraId="1E07BD55"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F72F03" w14:textId="77777777" w:rsidR="00000000" w:rsidRDefault="00582324">
            <w:pPr>
              <w:pStyle w:val="a3"/>
              <w:spacing w:before="0" w:beforeAutospacing="0" w:after="0" w:afterAutospacing="0"/>
              <w:rPr>
                <w:color w:val="000000"/>
                <w:sz w:val="16"/>
                <w:szCs w:val="16"/>
              </w:rPr>
            </w:pPr>
            <w:r>
              <w:rPr>
                <w:color w:val="000000"/>
                <w:sz w:val="16"/>
                <w:szCs w:val="16"/>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D3445C" w14:textId="77777777" w:rsidR="00000000" w:rsidRDefault="00582324">
            <w:pPr>
              <w:pStyle w:val="a3"/>
              <w:spacing w:before="0" w:beforeAutospacing="0" w:after="0" w:afterAutospacing="0"/>
              <w:jc w:val="right"/>
              <w:rPr>
                <w:color w:val="000000"/>
                <w:sz w:val="16"/>
                <w:szCs w:val="16"/>
              </w:rPr>
            </w:pPr>
            <w:r>
              <w:rPr>
                <w:color w:val="000000"/>
                <w:sz w:val="16"/>
                <w:szCs w:val="16"/>
              </w:rPr>
              <w:t>602,726</w:t>
            </w:r>
          </w:p>
        </w:tc>
        <w:tc>
          <w:tcPr>
            <w:tcW w:w="50" w:type="pct"/>
            <w:shd w:val="clear" w:color="auto" w:fill="CFF0FC"/>
            <w:noWrap/>
            <w:tcMar>
              <w:top w:w="15" w:type="dxa"/>
              <w:left w:w="0" w:type="dxa"/>
              <w:bottom w:w="0" w:type="dxa"/>
              <w:right w:w="15" w:type="dxa"/>
            </w:tcMar>
            <w:vAlign w:val="bottom"/>
            <w:hideMark/>
          </w:tcPr>
          <w:p w14:paraId="65F22EB9"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AB6C0A2" w14:textId="77777777" w:rsidR="00000000" w:rsidRDefault="00582324">
      <w:pPr>
        <w:pStyle w:val="a3"/>
        <w:spacing w:before="0" w:beforeAutospacing="0" w:after="0" w:afterAutospacing="0"/>
        <w:jc w:val="center"/>
        <w:rPr>
          <w:sz w:val="20"/>
          <w:szCs w:val="20"/>
        </w:rPr>
      </w:pPr>
      <w:r>
        <w:rPr>
          <w:sz w:val="20"/>
          <w:szCs w:val="20"/>
        </w:rPr>
        <w:t> </w:t>
      </w:r>
    </w:p>
    <w:p w14:paraId="4008CA36" w14:textId="77777777" w:rsidR="00000000" w:rsidRDefault="00582324">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14:paraId="2C425EC6" w14:textId="77777777" w:rsidR="00000000" w:rsidRDefault="00582324">
      <w:pPr>
        <w:pStyle w:val="a3"/>
        <w:spacing w:before="240" w:beforeAutospacing="0" w:after="0" w:afterAutospacing="0"/>
        <w:jc w:val="center"/>
        <w:rPr>
          <w:sz w:val="20"/>
          <w:szCs w:val="20"/>
        </w:rPr>
      </w:pPr>
      <w:r>
        <w:rPr>
          <w:sz w:val="20"/>
          <w:szCs w:val="20"/>
        </w:rPr>
        <w:t>1</w:t>
      </w:r>
    </w:p>
    <w:p w14:paraId="093A8DA7" w14:textId="77777777" w:rsidR="00000000" w:rsidRDefault="00582324">
      <w:pPr>
        <w:rPr>
          <w:rFonts w:eastAsia="Times New Roman"/>
        </w:rPr>
      </w:pPr>
      <w:r>
        <w:rPr>
          <w:rFonts w:eastAsia="Times New Roman"/>
        </w:rPr>
        <w:pict w14:anchorId="48C63C58">
          <v:rect id="_x0000_i1027" style="width:0;height:1.5pt" o:hralign="center" o:hrstd="t" o:hr="t" fillcolor="#a0a0a0" stroked="f"/>
        </w:pict>
      </w:r>
    </w:p>
    <w:p w14:paraId="2658EA3B" w14:textId="77777777" w:rsidR="00000000" w:rsidRDefault="00582324">
      <w:pPr>
        <w:pStyle w:val="a3"/>
        <w:spacing w:before="0" w:beforeAutospacing="0" w:after="0" w:afterAutospacing="0"/>
        <w:rPr>
          <w:sz w:val="20"/>
          <w:szCs w:val="20"/>
        </w:rPr>
      </w:pPr>
      <w:r>
        <w:rPr>
          <w:sz w:val="20"/>
          <w:szCs w:val="20"/>
        </w:rPr>
        <w:t> </w:t>
      </w:r>
    </w:p>
    <w:p w14:paraId="3C1E9381"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 xml:space="preserve">MONTROSE ENVIRONMENTAL GROUP, INC. </w:t>
      </w:r>
    </w:p>
    <w:p w14:paraId="7C0D8CEF"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UNAUDITED CONDENSED CONSOLIDATED STATEMENTS OF OPERATIONS AND</w:t>
      </w:r>
    </w:p>
    <w:p w14:paraId="2EE49B32"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COMPREHENS</w:t>
      </w:r>
      <w:r>
        <w:rPr>
          <w:b/>
          <w:bCs/>
          <w:color w:val="000000"/>
          <w:sz w:val="20"/>
          <w:szCs w:val="20"/>
        </w:rPr>
        <w:t>IVE (LOSS) INCOME</w:t>
      </w:r>
    </w:p>
    <w:p w14:paraId="13229613"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(In thousands, except per share data)</w:t>
      </w:r>
    </w:p>
    <w:p w14:paraId="30E40044"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84"/>
        <w:gridCol w:w="87"/>
        <w:gridCol w:w="115"/>
        <w:gridCol w:w="751"/>
        <w:gridCol w:w="82"/>
        <w:gridCol w:w="78"/>
        <w:gridCol w:w="115"/>
        <w:gridCol w:w="753"/>
        <w:gridCol w:w="82"/>
        <w:gridCol w:w="78"/>
        <w:gridCol w:w="115"/>
        <w:gridCol w:w="752"/>
        <w:gridCol w:w="82"/>
        <w:gridCol w:w="80"/>
        <w:gridCol w:w="115"/>
        <w:gridCol w:w="755"/>
        <w:gridCol w:w="82"/>
      </w:tblGrid>
      <w:tr w:rsidR="00000000" w14:paraId="17F2F4BA" w14:textId="77777777">
        <w:trPr>
          <w:divId w:val="1826240181"/>
        </w:trPr>
        <w:tc>
          <w:tcPr>
            <w:tcW w:w="2523" w:type="pct"/>
            <w:shd w:val="clear" w:color="auto" w:fill="FFFFFF"/>
            <w:tcMar>
              <w:top w:w="15" w:type="dxa"/>
              <w:left w:w="0" w:type="dxa"/>
              <w:bottom w:w="0" w:type="dxa"/>
              <w:right w:w="15" w:type="dxa"/>
            </w:tcMar>
            <w:vAlign w:val="bottom"/>
            <w:hideMark/>
          </w:tcPr>
          <w:p w14:paraId="35EAEE5F" w14:textId="77777777" w:rsidR="00000000" w:rsidRDefault="00582324">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10C778CC"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4F71EC1F"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14:paraId="607C3C1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19198470"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02FA86DF"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14:paraId="6014C5BE"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5658C230" w14:textId="77777777">
        <w:trPr>
          <w:divId w:val="1826240181"/>
        </w:trPr>
        <w:tc>
          <w:tcPr>
            <w:tcW w:w="2523" w:type="pct"/>
            <w:shd w:val="clear" w:color="auto" w:fill="FFFFFF"/>
            <w:tcMar>
              <w:top w:w="15" w:type="dxa"/>
              <w:left w:w="0" w:type="dxa"/>
              <w:bottom w:w="0" w:type="dxa"/>
              <w:right w:w="15" w:type="dxa"/>
            </w:tcMar>
            <w:vAlign w:val="bottom"/>
            <w:hideMark/>
          </w:tcPr>
          <w:p w14:paraId="5EA340DC"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37FC2817"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5F9AD0F9"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14FB965"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7A8848D4"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595EF7DB"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2B577CBA"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16A7CC86" w14:textId="77777777">
        <w:trPr>
          <w:divId w:val="1826240181"/>
        </w:trPr>
        <w:tc>
          <w:tcPr>
            <w:tcW w:w="2523" w:type="pct"/>
            <w:shd w:val="clear" w:color="auto" w:fill="FFFFFF"/>
            <w:tcMar>
              <w:top w:w="15" w:type="dxa"/>
              <w:left w:w="0" w:type="dxa"/>
              <w:bottom w:w="0" w:type="dxa"/>
              <w:right w:w="15" w:type="dxa"/>
            </w:tcMar>
            <w:vAlign w:val="bottom"/>
            <w:hideMark/>
          </w:tcPr>
          <w:p w14:paraId="261E8461"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7BC9480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DCA5EE"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72D68BA0"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2BB7762F"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3DA2B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F97544B"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5B897B9D"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5822FB"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0442D51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12F4DDDF"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F06EAE"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0D2EBAA"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132A05E0" w14:textId="77777777">
        <w:trPr>
          <w:divId w:val="1826240181"/>
        </w:trPr>
        <w:tc>
          <w:tcPr>
            <w:tcW w:w="2523" w:type="pct"/>
            <w:shd w:val="clear" w:color="auto" w:fill="CFF0FC"/>
            <w:tcMar>
              <w:top w:w="15" w:type="dxa"/>
              <w:left w:w="0" w:type="dxa"/>
              <w:bottom w:w="0" w:type="dxa"/>
              <w:right w:w="15" w:type="dxa"/>
            </w:tcMar>
            <w:hideMark/>
          </w:tcPr>
          <w:p w14:paraId="3E5DFC82" w14:textId="77777777" w:rsidR="00000000" w:rsidRDefault="00582324">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vAlign w:val="bottom"/>
            <w:hideMark/>
          </w:tcPr>
          <w:p w14:paraId="36ACDA2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3AA6BF"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51BC249" w14:textId="77777777" w:rsidR="00000000" w:rsidRDefault="00582324">
            <w:pPr>
              <w:pStyle w:val="a3"/>
              <w:spacing w:before="0" w:beforeAutospacing="0" w:after="0" w:afterAutospacing="0"/>
              <w:jc w:val="right"/>
              <w:rPr>
                <w:color w:val="000000"/>
                <w:sz w:val="20"/>
                <w:szCs w:val="20"/>
              </w:rPr>
            </w:pPr>
            <w:r>
              <w:rPr>
                <w:color w:val="000000"/>
                <w:sz w:val="20"/>
                <w:szCs w:val="20"/>
              </w:rPr>
              <w:t>136,224</w:t>
            </w:r>
          </w:p>
        </w:tc>
        <w:tc>
          <w:tcPr>
            <w:tcW w:w="50" w:type="pct"/>
            <w:shd w:val="clear" w:color="auto" w:fill="CFF0FC"/>
            <w:noWrap/>
            <w:tcMar>
              <w:top w:w="15" w:type="dxa"/>
              <w:left w:w="0" w:type="dxa"/>
              <w:bottom w:w="0" w:type="dxa"/>
              <w:right w:w="15" w:type="dxa"/>
            </w:tcMar>
            <w:vAlign w:val="bottom"/>
            <w:hideMark/>
          </w:tcPr>
          <w:p w14:paraId="14F9164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2D87EA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7EC25A"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7F2C4B2" w14:textId="77777777" w:rsidR="00000000" w:rsidRDefault="00582324">
            <w:pPr>
              <w:pStyle w:val="a3"/>
              <w:spacing w:before="0" w:beforeAutospacing="0" w:after="0" w:afterAutospacing="0"/>
              <w:jc w:val="right"/>
              <w:rPr>
                <w:color w:val="000000"/>
                <w:sz w:val="20"/>
                <w:szCs w:val="20"/>
              </w:rPr>
            </w:pPr>
            <w:r>
              <w:rPr>
                <w:color w:val="000000"/>
                <w:sz w:val="20"/>
                <w:szCs w:val="20"/>
              </w:rPr>
              <w:t>73,766</w:t>
            </w:r>
          </w:p>
        </w:tc>
        <w:tc>
          <w:tcPr>
            <w:tcW w:w="50" w:type="pct"/>
            <w:shd w:val="clear" w:color="auto" w:fill="CFF0FC"/>
            <w:noWrap/>
            <w:tcMar>
              <w:top w:w="15" w:type="dxa"/>
              <w:left w:w="0" w:type="dxa"/>
              <w:bottom w:w="0" w:type="dxa"/>
              <w:right w:w="15" w:type="dxa"/>
            </w:tcMar>
            <w:vAlign w:val="bottom"/>
            <w:hideMark/>
          </w:tcPr>
          <w:p w14:paraId="7770BDD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B3112B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A7D650"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D5A11E" w14:textId="77777777" w:rsidR="00000000" w:rsidRDefault="00582324">
            <w:pPr>
              <w:pStyle w:val="a3"/>
              <w:spacing w:before="0" w:beforeAutospacing="0" w:after="0" w:afterAutospacing="0"/>
              <w:jc w:val="right"/>
              <w:rPr>
                <w:color w:val="000000"/>
                <w:sz w:val="20"/>
                <w:szCs w:val="20"/>
              </w:rPr>
            </w:pPr>
            <w:r>
              <w:rPr>
                <w:color w:val="000000"/>
                <w:sz w:val="20"/>
                <w:szCs w:val="20"/>
              </w:rPr>
              <w:t>270,041</w:t>
            </w:r>
          </w:p>
        </w:tc>
        <w:tc>
          <w:tcPr>
            <w:tcW w:w="50" w:type="pct"/>
            <w:shd w:val="clear" w:color="auto" w:fill="CFF0FC"/>
            <w:noWrap/>
            <w:tcMar>
              <w:top w:w="15" w:type="dxa"/>
              <w:left w:w="0" w:type="dxa"/>
              <w:bottom w:w="0" w:type="dxa"/>
              <w:right w:w="15" w:type="dxa"/>
            </w:tcMar>
            <w:vAlign w:val="bottom"/>
            <w:hideMark/>
          </w:tcPr>
          <w:p w14:paraId="3F92BE8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BA36D6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A9AD2A"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364F182" w14:textId="77777777" w:rsidR="00000000" w:rsidRDefault="00582324">
            <w:pPr>
              <w:pStyle w:val="a3"/>
              <w:spacing w:before="0" w:beforeAutospacing="0" w:after="0" w:afterAutospacing="0"/>
              <w:jc w:val="right"/>
              <w:rPr>
                <w:color w:val="000000"/>
                <w:sz w:val="20"/>
                <w:szCs w:val="20"/>
              </w:rPr>
            </w:pPr>
            <w:r>
              <w:rPr>
                <w:color w:val="000000"/>
                <w:sz w:val="20"/>
                <w:szCs w:val="20"/>
              </w:rPr>
              <w:t>134,797</w:t>
            </w:r>
          </w:p>
        </w:tc>
        <w:tc>
          <w:tcPr>
            <w:tcW w:w="50" w:type="pct"/>
            <w:shd w:val="clear" w:color="auto" w:fill="CFF0FC"/>
            <w:noWrap/>
            <w:tcMar>
              <w:top w:w="15" w:type="dxa"/>
              <w:left w:w="0" w:type="dxa"/>
              <w:bottom w:w="0" w:type="dxa"/>
              <w:right w:w="15" w:type="dxa"/>
            </w:tcMar>
            <w:vAlign w:val="bottom"/>
            <w:hideMark/>
          </w:tcPr>
          <w:p w14:paraId="6291EC7B"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69F20F9A" w14:textId="77777777">
        <w:trPr>
          <w:divId w:val="1826240181"/>
        </w:trPr>
        <w:tc>
          <w:tcPr>
            <w:tcW w:w="2523" w:type="pct"/>
            <w:shd w:val="clear" w:color="auto" w:fill="FFFFFF"/>
            <w:tcMar>
              <w:top w:w="15" w:type="dxa"/>
              <w:left w:w="0" w:type="dxa"/>
              <w:bottom w:w="0" w:type="dxa"/>
              <w:right w:w="15" w:type="dxa"/>
            </w:tcMar>
            <w:hideMark/>
          </w:tcPr>
          <w:p w14:paraId="4E301806" w14:textId="77777777" w:rsidR="00000000" w:rsidRDefault="00582324">
            <w:pPr>
              <w:pStyle w:val="a3"/>
              <w:spacing w:before="0" w:beforeAutospacing="0" w:after="0" w:afterAutospacing="0"/>
              <w:rPr>
                <w:color w:val="000000"/>
                <w:sz w:val="20"/>
                <w:szCs w:val="20"/>
              </w:rPr>
            </w:pPr>
            <w:r>
              <w:rPr>
                <w:color w:val="000000"/>
                <w:sz w:val="20"/>
                <w:szCs w:val="20"/>
              </w:rPr>
              <w:lastRenderedPageBreak/>
              <w:t>COST OF REVENUES (exclusive of depreciation and</w:t>
            </w:r>
          </w:p>
          <w:p w14:paraId="26167A1E" w14:textId="77777777" w:rsidR="00000000" w:rsidRDefault="00582324">
            <w:pPr>
              <w:pStyle w:val="a3"/>
              <w:spacing w:before="0" w:beforeAutospacing="0" w:after="0" w:afterAutospacing="0"/>
              <w:rPr>
                <w:color w:val="000000"/>
                <w:sz w:val="20"/>
                <w:szCs w:val="20"/>
              </w:rPr>
            </w:pPr>
            <w:r>
              <w:rPr>
                <w:color w:val="000000"/>
                <w:sz w:val="20"/>
                <w:szCs w:val="20"/>
              </w:rPr>
              <w:t>   amortization shown below)</w:t>
            </w:r>
          </w:p>
        </w:tc>
        <w:tc>
          <w:tcPr>
            <w:tcW w:w="59" w:type="pct"/>
            <w:shd w:val="clear" w:color="auto" w:fill="FFFFFF"/>
            <w:tcMar>
              <w:top w:w="15" w:type="dxa"/>
              <w:left w:w="0" w:type="dxa"/>
              <w:bottom w:w="0" w:type="dxa"/>
              <w:right w:w="15" w:type="dxa"/>
            </w:tcMar>
            <w:vAlign w:val="bottom"/>
            <w:hideMark/>
          </w:tcPr>
          <w:p w14:paraId="4757A5D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830EB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6D94161" w14:textId="77777777" w:rsidR="00000000" w:rsidRDefault="00582324">
            <w:pPr>
              <w:pStyle w:val="a3"/>
              <w:spacing w:before="0" w:beforeAutospacing="0" w:after="0" w:afterAutospacing="0"/>
              <w:jc w:val="right"/>
              <w:rPr>
                <w:color w:val="000000"/>
                <w:sz w:val="20"/>
                <w:szCs w:val="20"/>
              </w:rPr>
            </w:pPr>
            <w:r>
              <w:rPr>
                <w:color w:val="000000"/>
                <w:sz w:val="20"/>
                <w:szCs w:val="20"/>
              </w:rPr>
              <w:t>92,104</w:t>
            </w:r>
          </w:p>
        </w:tc>
        <w:tc>
          <w:tcPr>
            <w:tcW w:w="50" w:type="pct"/>
            <w:shd w:val="clear" w:color="auto" w:fill="FFFFFF"/>
            <w:noWrap/>
            <w:tcMar>
              <w:top w:w="15" w:type="dxa"/>
              <w:left w:w="0" w:type="dxa"/>
              <w:bottom w:w="0" w:type="dxa"/>
              <w:right w:w="15" w:type="dxa"/>
            </w:tcMar>
            <w:vAlign w:val="bottom"/>
            <w:hideMark/>
          </w:tcPr>
          <w:p w14:paraId="77ADDC1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63E20F0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66D53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E0E3A67" w14:textId="77777777" w:rsidR="00000000" w:rsidRDefault="00582324">
            <w:pPr>
              <w:pStyle w:val="a3"/>
              <w:spacing w:before="0" w:beforeAutospacing="0" w:after="0" w:afterAutospacing="0"/>
              <w:jc w:val="right"/>
              <w:rPr>
                <w:color w:val="000000"/>
                <w:sz w:val="20"/>
                <w:szCs w:val="20"/>
              </w:rPr>
            </w:pPr>
            <w:r>
              <w:rPr>
                <w:color w:val="000000"/>
                <w:sz w:val="20"/>
                <w:szCs w:val="20"/>
              </w:rPr>
              <w:t>45,889</w:t>
            </w:r>
          </w:p>
        </w:tc>
        <w:tc>
          <w:tcPr>
            <w:tcW w:w="50" w:type="pct"/>
            <w:shd w:val="clear" w:color="auto" w:fill="FFFFFF"/>
            <w:noWrap/>
            <w:tcMar>
              <w:top w:w="15" w:type="dxa"/>
              <w:left w:w="0" w:type="dxa"/>
              <w:bottom w:w="0" w:type="dxa"/>
              <w:right w:w="15" w:type="dxa"/>
            </w:tcMar>
            <w:vAlign w:val="bottom"/>
            <w:hideMark/>
          </w:tcPr>
          <w:p w14:paraId="32E36DD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59F9A4A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2E627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383B010" w14:textId="77777777" w:rsidR="00000000" w:rsidRDefault="00582324">
            <w:pPr>
              <w:pStyle w:val="a3"/>
              <w:spacing w:before="0" w:beforeAutospacing="0" w:after="0" w:afterAutospacing="0"/>
              <w:jc w:val="right"/>
              <w:rPr>
                <w:color w:val="000000"/>
                <w:sz w:val="20"/>
                <w:szCs w:val="20"/>
              </w:rPr>
            </w:pPr>
            <w:r>
              <w:rPr>
                <w:color w:val="000000"/>
                <w:sz w:val="20"/>
                <w:szCs w:val="20"/>
              </w:rPr>
              <w:t>187,420</w:t>
            </w:r>
          </w:p>
        </w:tc>
        <w:tc>
          <w:tcPr>
            <w:tcW w:w="50" w:type="pct"/>
            <w:shd w:val="clear" w:color="auto" w:fill="FFFFFF"/>
            <w:noWrap/>
            <w:tcMar>
              <w:top w:w="15" w:type="dxa"/>
              <w:left w:w="0" w:type="dxa"/>
              <w:bottom w:w="0" w:type="dxa"/>
              <w:right w:w="15" w:type="dxa"/>
            </w:tcMar>
            <w:vAlign w:val="bottom"/>
            <w:hideMark/>
          </w:tcPr>
          <w:p w14:paraId="4E06514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6369914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F6FAE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5044CE8" w14:textId="77777777" w:rsidR="00000000" w:rsidRDefault="00582324">
            <w:pPr>
              <w:pStyle w:val="a3"/>
              <w:spacing w:before="0" w:beforeAutospacing="0" w:after="0" w:afterAutospacing="0"/>
              <w:jc w:val="right"/>
              <w:rPr>
                <w:color w:val="000000"/>
                <w:sz w:val="20"/>
                <w:szCs w:val="20"/>
              </w:rPr>
            </w:pPr>
            <w:r>
              <w:rPr>
                <w:color w:val="000000"/>
                <w:sz w:val="20"/>
                <w:szCs w:val="20"/>
              </w:rPr>
              <w:t>90,287</w:t>
            </w:r>
          </w:p>
        </w:tc>
        <w:tc>
          <w:tcPr>
            <w:tcW w:w="50" w:type="pct"/>
            <w:shd w:val="clear" w:color="auto" w:fill="FFFFFF"/>
            <w:noWrap/>
            <w:tcMar>
              <w:top w:w="15" w:type="dxa"/>
              <w:left w:w="0" w:type="dxa"/>
              <w:bottom w:w="0" w:type="dxa"/>
              <w:right w:w="15" w:type="dxa"/>
            </w:tcMar>
            <w:vAlign w:val="bottom"/>
            <w:hideMark/>
          </w:tcPr>
          <w:p w14:paraId="610723B7"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47EF9964" w14:textId="77777777">
        <w:trPr>
          <w:divId w:val="1826240181"/>
        </w:trPr>
        <w:tc>
          <w:tcPr>
            <w:tcW w:w="2523" w:type="pct"/>
            <w:shd w:val="clear" w:color="auto" w:fill="CFF0FC"/>
            <w:tcMar>
              <w:top w:w="15" w:type="dxa"/>
              <w:left w:w="0" w:type="dxa"/>
              <w:bottom w:w="0" w:type="dxa"/>
              <w:right w:w="15" w:type="dxa"/>
            </w:tcMar>
            <w:hideMark/>
          </w:tcPr>
          <w:p w14:paraId="064D64E9" w14:textId="77777777" w:rsidR="00000000" w:rsidRDefault="00582324">
            <w:pPr>
              <w:pStyle w:val="a3"/>
              <w:spacing w:before="0" w:beforeAutospacing="0" w:after="0" w:afterAutospacing="0"/>
              <w:rPr>
                <w:color w:val="000000"/>
                <w:sz w:val="20"/>
                <w:szCs w:val="20"/>
              </w:rPr>
            </w:pPr>
            <w:r>
              <w:rPr>
                <w:color w:val="000000"/>
                <w:sz w:val="20"/>
                <w:szCs w:val="20"/>
              </w:rPr>
              <w:t>SELLING, GENERAL AND ADMINISTRATIVE EXPENSE</w:t>
            </w:r>
          </w:p>
        </w:tc>
        <w:tc>
          <w:tcPr>
            <w:tcW w:w="59" w:type="pct"/>
            <w:shd w:val="clear" w:color="auto" w:fill="CFF0FC"/>
            <w:tcMar>
              <w:top w:w="15" w:type="dxa"/>
              <w:left w:w="0" w:type="dxa"/>
              <w:bottom w:w="0" w:type="dxa"/>
              <w:right w:w="15" w:type="dxa"/>
            </w:tcMar>
            <w:vAlign w:val="bottom"/>
            <w:hideMark/>
          </w:tcPr>
          <w:p w14:paraId="6224E99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21AFA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05D62AD" w14:textId="77777777" w:rsidR="00000000" w:rsidRDefault="00582324">
            <w:pPr>
              <w:pStyle w:val="a3"/>
              <w:spacing w:before="0" w:beforeAutospacing="0" w:after="0" w:afterAutospacing="0"/>
              <w:jc w:val="right"/>
              <w:rPr>
                <w:color w:val="000000"/>
                <w:sz w:val="20"/>
                <w:szCs w:val="20"/>
              </w:rPr>
            </w:pPr>
            <w:r>
              <w:rPr>
                <w:color w:val="000000"/>
                <w:sz w:val="20"/>
                <w:szCs w:val="20"/>
              </w:rPr>
              <w:t>27,366</w:t>
            </w:r>
          </w:p>
        </w:tc>
        <w:tc>
          <w:tcPr>
            <w:tcW w:w="50" w:type="pct"/>
            <w:shd w:val="clear" w:color="auto" w:fill="CFF0FC"/>
            <w:noWrap/>
            <w:tcMar>
              <w:top w:w="15" w:type="dxa"/>
              <w:left w:w="0" w:type="dxa"/>
              <w:bottom w:w="0" w:type="dxa"/>
              <w:right w:w="15" w:type="dxa"/>
            </w:tcMar>
            <w:vAlign w:val="bottom"/>
            <w:hideMark/>
          </w:tcPr>
          <w:p w14:paraId="299F771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65A88AF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E7145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5054BA9" w14:textId="77777777" w:rsidR="00000000" w:rsidRDefault="00582324">
            <w:pPr>
              <w:pStyle w:val="a3"/>
              <w:spacing w:before="0" w:beforeAutospacing="0" w:after="0" w:afterAutospacing="0"/>
              <w:jc w:val="right"/>
              <w:rPr>
                <w:color w:val="000000"/>
                <w:sz w:val="20"/>
                <w:szCs w:val="20"/>
              </w:rPr>
            </w:pPr>
            <w:r>
              <w:rPr>
                <w:color w:val="000000"/>
                <w:sz w:val="20"/>
                <w:szCs w:val="20"/>
              </w:rPr>
              <w:t>19,318</w:t>
            </w:r>
          </w:p>
        </w:tc>
        <w:tc>
          <w:tcPr>
            <w:tcW w:w="50" w:type="pct"/>
            <w:shd w:val="clear" w:color="auto" w:fill="CFF0FC"/>
            <w:noWrap/>
            <w:tcMar>
              <w:top w:w="15" w:type="dxa"/>
              <w:left w:w="0" w:type="dxa"/>
              <w:bottom w:w="0" w:type="dxa"/>
              <w:right w:w="15" w:type="dxa"/>
            </w:tcMar>
            <w:vAlign w:val="bottom"/>
            <w:hideMark/>
          </w:tcPr>
          <w:p w14:paraId="673499B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67F9DD1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A4A75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2B537A3" w14:textId="77777777" w:rsidR="00000000" w:rsidRDefault="00582324">
            <w:pPr>
              <w:pStyle w:val="a3"/>
              <w:spacing w:before="0" w:beforeAutospacing="0" w:after="0" w:afterAutospacing="0"/>
              <w:jc w:val="right"/>
              <w:rPr>
                <w:color w:val="000000"/>
                <w:sz w:val="20"/>
                <w:szCs w:val="20"/>
              </w:rPr>
            </w:pPr>
            <w:r>
              <w:rPr>
                <w:color w:val="000000"/>
                <w:sz w:val="20"/>
                <w:szCs w:val="20"/>
              </w:rPr>
              <w:t>52,366</w:t>
            </w:r>
          </w:p>
        </w:tc>
        <w:tc>
          <w:tcPr>
            <w:tcW w:w="50" w:type="pct"/>
            <w:shd w:val="clear" w:color="auto" w:fill="CFF0FC"/>
            <w:noWrap/>
            <w:tcMar>
              <w:top w:w="15" w:type="dxa"/>
              <w:left w:w="0" w:type="dxa"/>
              <w:bottom w:w="0" w:type="dxa"/>
              <w:right w:w="15" w:type="dxa"/>
            </w:tcMar>
            <w:vAlign w:val="bottom"/>
            <w:hideMark/>
          </w:tcPr>
          <w:p w14:paraId="7D24192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6CE56B5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54FEA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FB9BF68" w14:textId="77777777" w:rsidR="00000000" w:rsidRDefault="00582324">
            <w:pPr>
              <w:pStyle w:val="a3"/>
              <w:spacing w:before="0" w:beforeAutospacing="0" w:after="0" w:afterAutospacing="0"/>
              <w:jc w:val="right"/>
              <w:rPr>
                <w:color w:val="000000"/>
                <w:sz w:val="20"/>
                <w:szCs w:val="20"/>
              </w:rPr>
            </w:pPr>
            <w:r>
              <w:rPr>
                <w:color w:val="000000"/>
                <w:sz w:val="20"/>
                <w:szCs w:val="20"/>
              </w:rPr>
              <w:t>39,837</w:t>
            </w:r>
          </w:p>
        </w:tc>
        <w:tc>
          <w:tcPr>
            <w:tcW w:w="50" w:type="pct"/>
            <w:shd w:val="clear" w:color="auto" w:fill="CFF0FC"/>
            <w:noWrap/>
            <w:tcMar>
              <w:top w:w="15" w:type="dxa"/>
              <w:left w:w="0" w:type="dxa"/>
              <w:bottom w:w="0" w:type="dxa"/>
              <w:right w:w="15" w:type="dxa"/>
            </w:tcMar>
            <w:vAlign w:val="bottom"/>
            <w:hideMark/>
          </w:tcPr>
          <w:p w14:paraId="03F0CCDB"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206381EF" w14:textId="77777777">
        <w:trPr>
          <w:divId w:val="1826240181"/>
        </w:trPr>
        <w:tc>
          <w:tcPr>
            <w:tcW w:w="2523" w:type="pct"/>
            <w:shd w:val="clear" w:color="auto" w:fill="FFFFFF"/>
            <w:tcMar>
              <w:top w:w="15" w:type="dxa"/>
              <w:left w:w="0" w:type="dxa"/>
              <w:bottom w:w="0" w:type="dxa"/>
              <w:right w:w="15" w:type="dxa"/>
            </w:tcMar>
            <w:hideMark/>
          </w:tcPr>
          <w:p w14:paraId="4DDC7522" w14:textId="77777777" w:rsidR="00000000" w:rsidRDefault="00582324">
            <w:pPr>
              <w:pStyle w:val="a3"/>
              <w:spacing w:before="0" w:beforeAutospacing="0" w:after="0" w:afterAutospacing="0"/>
              <w:rPr>
                <w:color w:val="000000"/>
                <w:sz w:val="20"/>
                <w:szCs w:val="20"/>
              </w:rPr>
            </w:pPr>
            <w:r>
              <w:rPr>
                <w:color w:val="000000"/>
                <w:sz w:val="20"/>
                <w:szCs w:val="20"/>
              </w:rPr>
              <w:t>INITIAL PUBLIC OFFERING EXPENSE</w:t>
            </w:r>
          </w:p>
        </w:tc>
        <w:tc>
          <w:tcPr>
            <w:tcW w:w="59" w:type="pct"/>
            <w:shd w:val="clear" w:color="auto" w:fill="FFFFFF"/>
            <w:tcMar>
              <w:top w:w="15" w:type="dxa"/>
              <w:left w:w="0" w:type="dxa"/>
              <w:bottom w:w="0" w:type="dxa"/>
              <w:right w:w="15" w:type="dxa"/>
            </w:tcMar>
            <w:vAlign w:val="bottom"/>
            <w:hideMark/>
          </w:tcPr>
          <w:p w14:paraId="1D86711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AD741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4B9669"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D5FDE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079825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8B43F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9BC13B5"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F4CD59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41AA6BE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FA4E5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A9D30A2"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B5F917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5C5B66A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7EF7C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6F37915" w14:textId="77777777" w:rsidR="00000000" w:rsidRDefault="00582324">
            <w:pPr>
              <w:pStyle w:val="a3"/>
              <w:spacing w:before="0" w:beforeAutospacing="0" w:after="0" w:afterAutospacing="0"/>
              <w:jc w:val="right"/>
              <w:rPr>
                <w:color w:val="000000"/>
                <w:sz w:val="20"/>
                <w:szCs w:val="20"/>
              </w:rPr>
            </w:pPr>
            <w:r>
              <w:rPr>
                <w:color w:val="000000"/>
                <w:sz w:val="20"/>
                <w:szCs w:val="20"/>
              </w:rPr>
              <w:t>531</w:t>
            </w:r>
          </w:p>
        </w:tc>
        <w:tc>
          <w:tcPr>
            <w:tcW w:w="50" w:type="pct"/>
            <w:shd w:val="clear" w:color="auto" w:fill="FFFFFF"/>
            <w:noWrap/>
            <w:tcMar>
              <w:top w:w="15" w:type="dxa"/>
              <w:left w:w="0" w:type="dxa"/>
              <w:bottom w:w="0" w:type="dxa"/>
              <w:right w:w="15" w:type="dxa"/>
            </w:tcMar>
            <w:vAlign w:val="bottom"/>
            <w:hideMark/>
          </w:tcPr>
          <w:p w14:paraId="55790FE4"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44201E9D" w14:textId="77777777">
        <w:trPr>
          <w:divId w:val="1826240181"/>
        </w:trPr>
        <w:tc>
          <w:tcPr>
            <w:tcW w:w="2523" w:type="pct"/>
            <w:shd w:val="clear" w:color="auto" w:fill="CFF0FC"/>
            <w:tcMar>
              <w:top w:w="15" w:type="dxa"/>
              <w:left w:w="0" w:type="dxa"/>
              <w:bottom w:w="0" w:type="dxa"/>
              <w:right w:w="15" w:type="dxa"/>
            </w:tcMar>
            <w:hideMark/>
          </w:tcPr>
          <w:p w14:paraId="247C7B14" w14:textId="77777777" w:rsidR="00000000" w:rsidRDefault="00582324">
            <w:pPr>
              <w:pStyle w:val="a3"/>
              <w:spacing w:before="0" w:beforeAutospacing="0" w:after="0" w:afterAutospacing="0"/>
              <w:rPr>
                <w:color w:val="000000"/>
                <w:sz w:val="20"/>
                <w:szCs w:val="20"/>
              </w:rPr>
            </w:pPr>
            <w:r>
              <w:rPr>
                <w:color w:val="000000"/>
                <w:sz w:val="20"/>
                <w:szCs w:val="20"/>
              </w:rPr>
              <w:t>FAIR VALUE CHANGES IN BUSINESS ACQUISITIONS</w:t>
            </w:r>
          </w:p>
          <w:p w14:paraId="568A6C28" w14:textId="77777777" w:rsidR="00000000" w:rsidRDefault="00582324">
            <w:pPr>
              <w:pStyle w:val="a3"/>
              <w:spacing w:before="0" w:beforeAutospacing="0" w:after="0" w:afterAutospacing="0"/>
              <w:rPr>
                <w:color w:val="000000"/>
                <w:sz w:val="20"/>
                <w:szCs w:val="20"/>
              </w:rPr>
            </w:pPr>
            <w:r>
              <w:rPr>
                <w:color w:val="000000"/>
                <w:sz w:val="20"/>
                <w:szCs w:val="20"/>
              </w:rPr>
              <w:t>   CONTINGENT CONSIDERATION</w:t>
            </w:r>
          </w:p>
        </w:tc>
        <w:tc>
          <w:tcPr>
            <w:tcW w:w="59" w:type="pct"/>
            <w:shd w:val="clear" w:color="auto" w:fill="CFF0FC"/>
            <w:tcMar>
              <w:top w:w="15" w:type="dxa"/>
              <w:left w:w="0" w:type="dxa"/>
              <w:bottom w:w="0" w:type="dxa"/>
              <w:right w:w="15" w:type="dxa"/>
            </w:tcMar>
            <w:vAlign w:val="bottom"/>
            <w:hideMark/>
          </w:tcPr>
          <w:p w14:paraId="176415B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A20FD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6547207E" w14:textId="77777777" w:rsidR="00000000" w:rsidRDefault="00582324">
            <w:pPr>
              <w:pStyle w:val="a3"/>
              <w:spacing w:before="0" w:beforeAutospacing="0" w:after="0" w:afterAutospacing="0"/>
              <w:jc w:val="right"/>
              <w:rPr>
                <w:color w:val="000000"/>
                <w:sz w:val="20"/>
                <w:szCs w:val="20"/>
              </w:rPr>
            </w:pPr>
            <w:r>
              <w:rPr>
                <w:color w:val="000000"/>
                <w:sz w:val="20"/>
                <w:szCs w:val="20"/>
              </w:rPr>
              <w:t>12,971</w:t>
            </w:r>
          </w:p>
        </w:tc>
        <w:tc>
          <w:tcPr>
            <w:tcW w:w="50" w:type="pct"/>
            <w:shd w:val="clear" w:color="auto" w:fill="CFF0FC"/>
            <w:noWrap/>
            <w:tcMar>
              <w:top w:w="15" w:type="dxa"/>
              <w:left w:w="0" w:type="dxa"/>
              <w:bottom w:w="0" w:type="dxa"/>
              <w:right w:w="15" w:type="dxa"/>
            </w:tcMar>
            <w:vAlign w:val="bottom"/>
            <w:hideMark/>
          </w:tcPr>
          <w:p w14:paraId="74B67D2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17ED2DC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01B35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948C83F" w14:textId="77777777" w:rsidR="00000000" w:rsidRDefault="00582324">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CFF0FC"/>
            <w:noWrap/>
            <w:tcMar>
              <w:top w:w="15" w:type="dxa"/>
              <w:left w:w="0" w:type="dxa"/>
              <w:bottom w:w="0" w:type="dxa"/>
              <w:right w:w="15" w:type="dxa"/>
            </w:tcMar>
            <w:vAlign w:val="bottom"/>
            <w:hideMark/>
          </w:tcPr>
          <w:p w14:paraId="3836FDF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0B9D34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EC4AB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AFB90EB" w14:textId="77777777" w:rsidR="00000000" w:rsidRDefault="00582324">
            <w:pPr>
              <w:pStyle w:val="a3"/>
              <w:spacing w:before="0" w:beforeAutospacing="0" w:after="0" w:afterAutospacing="0"/>
              <w:jc w:val="right"/>
              <w:rPr>
                <w:color w:val="000000"/>
                <w:sz w:val="20"/>
                <w:szCs w:val="20"/>
              </w:rPr>
            </w:pPr>
            <w:r>
              <w:rPr>
                <w:color w:val="000000"/>
                <w:sz w:val="20"/>
                <w:szCs w:val="20"/>
              </w:rPr>
              <w:t>24,035</w:t>
            </w:r>
          </w:p>
        </w:tc>
        <w:tc>
          <w:tcPr>
            <w:tcW w:w="50" w:type="pct"/>
            <w:shd w:val="clear" w:color="auto" w:fill="CFF0FC"/>
            <w:noWrap/>
            <w:tcMar>
              <w:top w:w="15" w:type="dxa"/>
              <w:left w:w="0" w:type="dxa"/>
              <w:bottom w:w="0" w:type="dxa"/>
              <w:right w:w="15" w:type="dxa"/>
            </w:tcMar>
            <w:vAlign w:val="bottom"/>
            <w:hideMark/>
          </w:tcPr>
          <w:p w14:paraId="1FF36EE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58F32EC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56300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7C7A8A" w14:textId="77777777" w:rsidR="00000000" w:rsidRDefault="00582324">
            <w:pPr>
              <w:pStyle w:val="a3"/>
              <w:spacing w:before="0" w:beforeAutospacing="0" w:after="0" w:afterAutospacing="0"/>
              <w:jc w:val="right"/>
              <w:rPr>
                <w:color w:val="000000"/>
                <w:sz w:val="20"/>
                <w:szCs w:val="20"/>
              </w:rPr>
            </w:pPr>
            <w:r>
              <w:rPr>
                <w:color w:val="000000"/>
                <w:sz w:val="20"/>
                <w:szCs w:val="20"/>
              </w:rPr>
              <w:t>3,983</w:t>
            </w:r>
          </w:p>
        </w:tc>
        <w:tc>
          <w:tcPr>
            <w:tcW w:w="50" w:type="pct"/>
            <w:shd w:val="clear" w:color="auto" w:fill="CFF0FC"/>
            <w:noWrap/>
            <w:tcMar>
              <w:top w:w="15" w:type="dxa"/>
              <w:left w:w="0" w:type="dxa"/>
              <w:bottom w:w="0" w:type="dxa"/>
              <w:right w:w="15" w:type="dxa"/>
            </w:tcMar>
            <w:vAlign w:val="bottom"/>
            <w:hideMark/>
          </w:tcPr>
          <w:p w14:paraId="3775FAB7"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594D560A" w14:textId="77777777">
        <w:trPr>
          <w:divId w:val="1826240181"/>
        </w:trPr>
        <w:tc>
          <w:tcPr>
            <w:tcW w:w="2523" w:type="pct"/>
            <w:shd w:val="clear" w:color="auto" w:fill="FFFFFF"/>
            <w:tcMar>
              <w:top w:w="15" w:type="dxa"/>
              <w:left w:w="0" w:type="dxa"/>
              <w:bottom w:w="0" w:type="dxa"/>
              <w:right w:w="15" w:type="dxa"/>
            </w:tcMar>
            <w:hideMark/>
          </w:tcPr>
          <w:p w14:paraId="1F43489A" w14:textId="77777777" w:rsidR="00000000" w:rsidRDefault="00582324">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14:paraId="7344EE1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6E163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857D2A4" w14:textId="77777777" w:rsidR="00000000" w:rsidRDefault="00582324">
            <w:pPr>
              <w:pStyle w:val="a3"/>
              <w:spacing w:before="0" w:beforeAutospacing="0" w:after="0" w:afterAutospacing="0"/>
              <w:jc w:val="right"/>
              <w:rPr>
                <w:color w:val="000000"/>
                <w:sz w:val="20"/>
                <w:szCs w:val="20"/>
              </w:rPr>
            </w:pPr>
            <w:r>
              <w:rPr>
                <w:color w:val="000000"/>
                <w:sz w:val="20"/>
                <w:szCs w:val="20"/>
              </w:rPr>
              <w:t>10,905</w:t>
            </w:r>
          </w:p>
        </w:tc>
        <w:tc>
          <w:tcPr>
            <w:tcW w:w="50" w:type="pct"/>
            <w:shd w:val="clear" w:color="auto" w:fill="FFFFFF"/>
            <w:noWrap/>
            <w:tcMar>
              <w:top w:w="15" w:type="dxa"/>
              <w:left w:w="0" w:type="dxa"/>
              <w:bottom w:w="0" w:type="dxa"/>
              <w:right w:w="15" w:type="dxa"/>
            </w:tcMar>
            <w:vAlign w:val="bottom"/>
            <w:hideMark/>
          </w:tcPr>
          <w:p w14:paraId="1C38A51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4421153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3837A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BBCA703" w14:textId="77777777" w:rsidR="00000000" w:rsidRDefault="00582324">
            <w:pPr>
              <w:pStyle w:val="a3"/>
              <w:spacing w:before="0" w:beforeAutospacing="0" w:after="0" w:afterAutospacing="0"/>
              <w:jc w:val="right"/>
              <w:rPr>
                <w:color w:val="000000"/>
                <w:sz w:val="20"/>
                <w:szCs w:val="20"/>
              </w:rPr>
            </w:pPr>
            <w:r>
              <w:rPr>
                <w:color w:val="000000"/>
                <w:sz w:val="20"/>
                <w:szCs w:val="20"/>
              </w:rPr>
              <w:t>9,784</w:t>
            </w:r>
          </w:p>
        </w:tc>
        <w:tc>
          <w:tcPr>
            <w:tcW w:w="50" w:type="pct"/>
            <w:shd w:val="clear" w:color="auto" w:fill="FFFFFF"/>
            <w:noWrap/>
            <w:tcMar>
              <w:top w:w="15" w:type="dxa"/>
              <w:left w:w="0" w:type="dxa"/>
              <w:bottom w:w="0" w:type="dxa"/>
              <w:right w:w="15" w:type="dxa"/>
            </w:tcMar>
            <w:vAlign w:val="bottom"/>
            <w:hideMark/>
          </w:tcPr>
          <w:p w14:paraId="4F5FFCA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06C4EF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1EFBD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DB0C006" w14:textId="77777777" w:rsidR="00000000" w:rsidRDefault="00582324">
            <w:pPr>
              <w:pStyle w:val="a3"/>
              <w:spacing w:before="0" w:beforeAutospacing="0" w:after="0" w:afterAutospacing="0"/>
              <w:jc w:val="right"/>
              <w:rPr>
                <w:color w:val="000000"/>
                <w:sz w:val="20"/>
                <w:szCs w:val="20"/>
              </w:rPr>
            </w:pPr>
            <w:r>
              <w:rPr>
                <w:color w:val="000000"/>
                <w:sz w:val="20"/>
                <w:szCs w:val="20"/>
              </w:rPr>
              <w:t>21,674</w:t>
            </w:r>
          </w:p>
        </w:tc>
        <w:tc>
          <w:tcPr>
            <w:tcW w:w="50" w:type="pct"/>
            <w:shd w:val="clear" w:color="auto" w:fill="FFFFFF"/>
            <w:noWrap/>
            <w:tcMar>
              <w:top w:w="15" w:type="dxa"/>
              <w:left w:w="0" w:type="dxa"/>
              <w:bottom w:w="0" w:type="dxa"/>
              <w:right w:w="15" w:type="dxa"/>
            </w:tcMar>
            <w:vAlign w:val="bottom"/>
            <w:hideMark/>
          </w:tcPr>
          <w:p w14:paraId="70C37A3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635BB7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64E84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83063F6" w14:textId="77777777" w:rsidR="00000000" w:rsidRDefault="00582324">
            <w:pPr>
              <w:pStyle w:val="a3"/>
              <w:spacing w:before="0" w:beforeAutospacing="0" w:after="0" w:afterAutospacing="0"/>
              <w:jc w:val="right"/>
              <w:rPr>
                <w:color w:val="000000"/>
                <w:sz w:val="20"/>
                <w:szCs w:val="20"/>
              </w:rPr>
            </w:pPr>
            <w:r>
              <w:rPr>
                <w:color w:val="000000"/>
                <w:sz w:val="20"/>
                <w:szCs w:val="20"/>
              </w:rPr>
              <w:t>17,344</w:t>
            </w:r>
          </w:p>
        </w:tc>
        <w:tc>
          <w:tcPr>
            <w:tcW w:w="50" w:type="pct"/>
            <w:shd w:val="clear" w:color="auto" w:fill="FFFFFF"/>
            <w:noWrap/>
            <w:tcMar>
              <w:top w:w="15" w:type="dxa"/>
              <w:left w:w="0" w:type="dxa"/>
              <w:bottom w:w="0" w:type="dxa"/>
              <w:right w:w="15" w:type="dxa"/>
            </w:tcMar>
            <w:vAlign w:val="bottom"/>
            <w:hideMark/>
          </w:tcPr>
          <w:p w14:paraId="43777842"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710DEE8A" w14:textId="77777777">
        <w:trPr>
          <w:divId w:val="1826240181"/>
        </w:trPr>
        <w:tc>
          <w:tcPr>
            <w:tcW w:w="2523" w:type="pct"/>
            <w:shd w:val="clear" w:color="auto" w:fill="CFF0FC"/>
            <w:tcMar>
              <w:top w:w="15" w:type="dxa"/>
              <w:left w:w="0" w:type="dxa"/>
              <w:bottom w:w="0" w:type="dxa"/>
              <w:right w:w="15" w:type="dxa"/>
            </w:tcMar>
            <w:hideMark/>
          </w:tcPr>
          <w:p w14:paraId="06EAA437" w14:textId="77777777" w:rsidR="00000000" w:rsidRDefault="00582324">
            <w:pPr>
              <w:pStyle w:val="a3"/>
              <w:spacing w:before="0" w:beforeAutospacing="0" w:after="0" w:afterAutospacing="0"/>
              <w:rPr>
                <w:color w:val="000000"/>
                <w:sz w:val="20"/>
                <w:szCs w:val="20"/>
              </w:rPr>
            </w:pPr>
            <w:r>
              <w:rPr>
                <w:color w:val="000000"/>
                <w:sz w:val="20"/>
                <w:szCs w:val="20"/>
              </w:rPr>
              <w:t>(LOSS) FROM OPERATIONS</w:t>
            </w:r>
          </w:p>
        </w:tc>
        <w:tc>
          <w:tcPr>
            <w:tcW w:w="59" w:type="pct"/>
            <w:shd w:val="clear" w:color="auto" w:fill="CFF0FC"/>
            <w:tcMar>
              <w:top w:w="15" w:type="dxa"/>
              <w:left w:w="0" w:type="dxa"/>
              <w:bottom w:w="0" w:type="dxa"/>
              <w:right w:w="15" w:type="dxa"/>
            </w:tcMar>
            <w:vAlign w:val="bottom"/>
            <w:hideMark/>
          </w:tcPr>
          <w:p w14:paraId="72AA78A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E3214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480FB81" w14:textId="77777777" w:rsidR="00000000" w:rsidRDefault="00582324">
            <w:pPr>
              <w:pStyle w:val="a3"/>
              <w:spacing w:before="0" w:beforeAutospacing="0" w:after="0" w:afterAutospacing="0"/>
              <w:jc w:val="right"/>
              <w:rPr>
                <w:color w:val="000000"/>
                <w:sz w:val="20"/>
                <w:szCs w:val="20"/>
              </w:rPr>
            </w:pPr>
            <w:r>
              <w:rPr>
                <w:color w:val="000000"/>
                <w:sz w:val="20"/>
                <w:szCs w:val="20"/>
              </w:rPr>
              <w:t>(7,122</w:t>
            </w:r>
          </w:p>
        </w:tc>
        <w:tc>
          <w:tcPr>
            <w:tcW w:w="50" w:type="pct"/>
            <w:shd w:val="clear" w:color="auto" w:fill="CFF0FC"/>
            <w:noWrap/>
            <w:tcMar>
              <w:top w:w="15" w:type="dxa"/>
              <w:left w:w="0" w:type="dxa"/>
              <w:bottom w:w="0" w:type="dxa"/>
              <w:right w:w="15" w:type="dxa"/>
            </w:tcMar>
            <w:vAlign w:val="bottom"/>
            <w:hideMark/>
          </w:tcPr>
          <w:p w14:paraId="133D8C16"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3B33E42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C4CD4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9037169" w14:textId="77777777" w:rsidR="00000000" w:rsidRDefault="00582324">
            <w:pPr>
              <w:pStyle w:val="a3"/>
              <w:spacing w:before="0" w:beforeAutospacing="0" w:after="0" w:afterAutospacing="0"/>
              <w:jc w:val="right"/>
              <w:rPr>
                <w:color w:val="000000"/>
                <w:sz w:val="20"/>
                <w:szCs w:val="20"/>
              </w:rPr>
            </w:pPr>
            <w:r>
              <w:rPr>
                <w:color w:val="000000"/>
                <w:sz w:val="20"/>
                <w:szCs w:val="20"/>
              </w:rPr>
              <w:t>(5,208</w:t>
            </w:r>
          </w:p>
        </w:tc>
        <w:tc>
          <w:tcPr>
            <w:tcW w:w="50" w:type="pct"/>
            <w:shd w:val="clear" w:color="auto" w:fill="CFF0FC"/>
            <w:noWrap/>
            <w:tcMar>
              <w:top w:w="15" w:type="dxa"/>
              <w:left w:w="0" w:type="dxa"/>
              <w:bottom w:w="0" w:type="dxa"/>
              <w:right w:w="15" w:type="dxa"/>
            </w:tcMar>
            <w:vAlign w:val="bottom"/>
            <w:hideMark/>
          </w:tcPr>
          <w:p w14:paraId="04229C78"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3ED95A7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70943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0F408E3" w14:textId="77777777" w:rsidR="00000000" w:rsidRDefault="00582324">
            <w:pPr>
              <w:pStyle w:val="a3"/>
              <w:spacing w:before="0" w:beforeAutospacing="0" w:after="0" w:afterAutospacing="0"/>
              <w:jc w:val="right"/>
              <w:rPr>
                <w:color w:val="000000"/>
                <w:sz w:val="20"/>
                <w:szCs w:val="20"/>
              </w:rPr>
            </w:pPr>
            <w:r>
              <w:rPr>
                <w:color w:val="000000"/>
                <w:sz w:val="20"/>
                <w:szCs w:val="20"/>
              </w:rPr>
              <w:t>(15,454</w:t>
            </w:r>
          </w:p>
        </w:tc>
        <w:tc>
          <w:tcPr>
            <w:tcW w:w="50" w:type="pct"/>
            <w:shd w:val="clear" w:color="auto" w:fill="CFF0FC"/>
            <w:noWrap/>
            <w:tcMar>
              <w:top w:w="15" w:type="dxa"/>
              <w:left w:w="0" w:type="dxa"/>
              <w:bottom w:w="0" w:type="dxa"/>
              <w:right w:w="15" w:type="dxa"/>
            </w:tcMar>
            <w:vAlign w:val="bottom"/>
            <w:hideMark/>
          </w:tcPr>
          <w:p w14:paraId="2D059155"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49A52B7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8070E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A78C7E1" w14:textId="77777777" w:rsidR="00000000" w:rsidRDefault="00582324">
            <w:pPr>
              <w:pStyle w:val="a3"/>
              <w:spacing w:before="0" w:beforeAutospacing="0" w:after="0" w:afterAutospacing="0"/>
              <w:jc w:val="right"/>
              <w:rPr>
                <w:color w:val="000000"/>
                <w:sz w:val="20"/>
                <w:szCs w:val="20"/>
              </w:rPr>
            </w:pPr>
            <w:r>
              <w:rPr>
                <w:color w:val="000000"/>
                <w:sz w:val="20"/>
                <w:szCs w:val="20"/>
              </w:rPr>
              <w:t>(17,185</w:t>
            </w:r>
          </w:p>
        </w:tc>
        <w:tc>
          <w:tcPr>
            <w:tcW w:w="50" w:type="pct"/>
            <w:shd w:val="clear" w:color="auto" w:fill="CFF0FC"/>
            <w:noWrap/>
            <w:tcMar>
              <w:top w:w="15" w:type="dxa"/>
              <w:left w:w="0" w:type="dxa"/>
              <w:bottom w:w="0" w:type="dxa"/>
              <w:right w:w="15" w:type="dxa"/>
            </w:tcMar>
            <w:vAlign w:val="bottom"/>
            <w:hideMark/>
          </w:tcPr>
          <w:p w14:paraId="4698DAC7"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652CD016" w14:textId="77777777">
        <w:trPr>
          <w:divId w:val="1826240181"/>
        </w:trPr>
        <w:tc>
          <w:tcPr>
            <w:tcW w:w="2523" w:type="pct"/>
            <w:shd w:val="clear" w:color="auto" w:fill="FFFFFF"/>
            <w:tcMar>
              <w:top w:w="15" w:type="dxa"/>
              <w:left w:w="0" w:type="dxa"/>
              <w:bottom w:w="0" w:type="dxa"/>
              <w:right w:w="15" w:type="dxa"/>
            </w:tcMar>
            <w:hideMark/>
          </w:tcPr>
          <w:p w14:paraId="3E8513B4" w14:textId="77777777" w:rsidR="00000000" w:rsidRDefault="00582324">
            <w:pPr>
              <w:pStyle w:val="a3"/>
              <w:spacing w:before="0" w:beforeAutospacing="0" w:after="0" w:afterAutospacing="0"/>
              <w:rPr>
                <w:color w:val="000000"/>
                <w:sz w:val="20"/>
                <w:szCs w:val="20"/>
              </w:rPr>
            </w:pPr>
            <w:r>
              <w:rPr>
                <w:color w:val="000000"/>
                <w:sz w:val="20"/>
                <w:szCs w:val="20"/>
              </w:rPr>
              <w:t>OTHER (EXPENSE) INCOME</w:t>
            </w:r>
          </w:p>
        </w:tc>
        <w:tc>
          <w:tcPr>
            <w:tcW w:w="59" w:type="pct"/>
            <w:shd w:val="clear" w:color="auto" w:fill="FFFFFF"/>
            <w:tcMar>
              <w:top w:w="15" w:type="dxa"/>
              <w:left w:w="0" w:type="dxa"/>
              <w:bottom w:w="0" w:type="dxa"/>
              <w:right w:w="15" w:type="dxa"/>
            </w:tcMar>
            <w:vAlign w:val="bottom"/>
            <w:hideMark/>
          </w:tcPr>
          <w:p w14:paraId="1251A5B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4E9E8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024FE29" w14:textId="77777777" w:rsidR="00000000" w:rsidRDefault="0058232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371F3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4BB492C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6F154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58F7DAF" w14:textId="77777777" w:rsidR="00000000" w:rsidRDefault="0058232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D5945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8A7B6E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21713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F016A5A" w14:textId="77777777" w:rsidR="00000000" w:rsidRDefault="0058232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59E5F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77D75A4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AFBFD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0609292" w14:textId="77777777" w:rsidR="00000000" w:rsidRDefault="0058232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E3CC98"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1620E4DC" w14:textId="77777777">
        <w:trPr>
          <w:divId w:val="1826240181"/>
        </w:trPr>
        <w:tc>
          <w:tcPr>
            <w:tcW w:w="2523" w:type="pct"/>
            <w:shd w:val="clear" w:color="auto" w:fill="CFF0FC"/>
            <w:tcMar>
              <w:top w:w="15" w:type="dxa"/>
              <w:left w:w="0" w:type="dxa"/>
              <w:bottom w:w="0" w:type="dxa"/>
              <w:right w:w="15" w:type="dxa"/>
            </w:tcMar>
            <w:hideMark/>
          </w:tcPr>
          <w:p w14:paraId="0337D947" w14:textId="77777777" w:rsidR="00000000" w:rsidRDefault="00582324">
            <w:pPr>
              <w:pStyle w:val="a3"/>
              <w:spacing w:before="0" w:beforeAutospacing="0" w:after="0" w:afterAutospacing="0"/>
              <w:ind w:left="274"/>
              <w:rPr>
                <w:color w:val="000000"/>
                <w:sz w:val="20"/>
                <w:szCs w:val="20"/>
              </w:rPr>
            </w:pPr>
            <w:r>
              <w:rPr>
                <w:color w:val="000000"/>
                <w:sz w:val="20"/>
                <w:szCs w:val="20"/>
              </w:rPr>
              <w:t>Other (expense) income</w:t>
            </w:r>
          </w:p>
        </w:tc>
        <w:tc>
          <w:tcPr>
            <w:tcW w:w="59" w:type="pct"/>
            <w:shd w:val="clear" w:color="auto" w:fill="CFF0FC"/>
            <w:tcMar>
              <w:top w:w="15" w:type="dxa"/>
              <w:left w:w="0" w:type="dxa"/>
              <w:bottom w:w="0" w:type="dxa"/>
              <w:right w:w="15" w:type="dxa"/>
            </w:tcMar>
            <w:vAlign w:val="bottom"/>
            <w:hideMark/>
          </w:tcPr>
          <w:p w14:paraId="109720E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D5386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EE177AC" w14:textId="77777777" w:rsidR="00000000" w:rsidRDefault="00582324">
            <w:pPr>
              <w:pStyle w:val="a3"/>
              <w:spacing w:before="0" w:beforeAutospacing="0" w:after="0" w:afterAutospacing="0"/>
              <w:jc w:val="right"/>
              <w:rPr>
                <w:color w:val="000000"/>
                <w:sz w:val="20"/>
                <w:szCs w:val="20"/>
              </w:rPr>
            </w:pPr>
            <w:r>
              <w:rPr>
                <w:color w:val="000000"/>
                <w:sz w:val="20"/>
                <w:szCs w:val="20"/>
              </w:rPr>
              <w:t>(819</w:t>
            </w:r>
          </w:p>
        </w:tc>
        <w:tc>
          <w:tcPr>
            <w:tcW w:w="50" w:type="pct"/>
            <w:shd w:val="clear" w:color="auto" w:fill="CFF0FC"/>
            <w:noWrap/>
            <w:tcMar>
              <w:top w:w="15" w:type="dxa"/>
              <w:left w:w="0" w:type="dxa"/>
              <w:bottom w:w="0" w:type="dxa"/>
              <w:right w:w="15" w:type="dxa"/>
            </w:tcMar>
            <w:vAlign w:val="bottom"/>
            <w:hideMark/>
          </w:tcPr>
          <w:p w14:paraId="0AB8DA6E"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70A0526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85115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8F799DC" w14:textId="77777777" w:rsidR="00000000" w:rsidRDefault="00582324">
            <w:pPr>
              <w:pStyle w:val="a3"/>
              <w:spacing w:before="0" w:beforeAutospacing="0" w:after="0" w:afterAutospacing="0"/>
              <w:jc w:val="right"/>
              <w:rPr>
                <w:color w:val="000000"/>
                <w:sz w:val="20"/>
                <w:szCs w:val="20"/>
              </w:rPr>
            </w:pPr>
            <w:r>
              <w:rPr>
                <w:color w:val="000000"/>
                <w:sz w:val="20"/>
                <w:szCs w:val="20"/>
              </w:rPr>
              <w:t>21,933</w:t>
            </w:r>
          </w:p>
        </w:tc>
        <w:tc>
          <w:tcPr>
            <w:tcW w:w="50" w:type="pct"/>
            <w:shd w:val="clear" w:color="auto" w:fill="CFF0FC"/>
            <w:noWrap/>
            <w:tcMar>
              <w:top w:w="15" w:type="dxa"/>
              <w:left w:w="0" w:type="dxa"/>
              <w:bottom w:w="0" w:type="dxa"/>
              <w:right w:w="15" w:type="dxa"/>
            </w:tcMar>
            <w:vAlign w:val="bottom"/>
            <w:hideMark/>
          </w:tcPr>
          <w:p w14:paraId="4DD689E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A753BD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8631B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D2D8482" w14:textId="77777777" w:rsidR="00000000" w:rsidRDefault="00582324">
            <w:pPr>
              <w:pStyle w:val="a3"/>
              <w:spacing w:before="0" w:beforeAutospacing="0" w:after="0" w:afterAutospacing="0"/>
              <w:jc w:val="right"/>
              <w:rPr>
                <w:color w:val="000000"/>
                <w:sz w:val="20"/>
                <w:szCs w:val="20"/>
              </w:rPr>
            </w:pPr>
            <w:r>
              <w:rPr>
                <w:color w:val="000000"/>
                <w:sz w:val="20"/>
                <w:szCs w:val="20"/>
              </w:rPr>
              <w:t>(1,393</w:t>
            </w:r>
          </w:p>
        </w:tc>
        <w:tc>
          <w:tcPr>
            <w:tcW w:w="50" w:type="pct"/>
            <w:shd w:val="clear" w:color="auto" w:fill="CFF0FC"/>
            <w:noWrap/>
            <w:tcMar>
              <w:top w:w="15" w:type="dxa"/>
              <w:left w:w="0" w:type="dxa"/>
              <w:bottom w:w="0" w:type="dxa"/>
              <w:right w:w="15" w:type="dxa"/>
            </w:tcMar>
            <w:vAlign w:val="bottom"/>
            <w:hideMark/>
          </w:tcPr>
          <w:p w14:paraId="164138F5"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5F32DEA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9489B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6749557" w14:textId="77777777" w:rsidR="00000000" w:rsidRDefault="00582324">
            <w:pPr>
              <w:pStyle w:val="a3"/>
              <w:spacing w:before="0" w:beforeAutospacing="0" w:after="0" w:afterAutospacing="0"/>
              <w:jc w:val="right"/>
              <w:rPr>
                <w:color w:val="000000"/>
                <w:sz w:val="20"/>
                <w:szCs w:val="20"/>
              </w:rPr>
            </w:pPr>
            <w:r>
              <w:rPr>
                <w:color w:val="000000"/>
                <w:sz w:val="20"/>
                <w:szCs w:val="20"/>
              </w:rPr>
              <w:t>(7,897</w:t>
            </w:r>
          </w:p>
        </w:tc>
        <w:tc>
          <w:tcPr>
            <w:tcW w:w="50" w:type="pct"/>
            <w:shd w:val="clear" w:color="auto" w:fill="CFF0FC"/>
            <w:noWrap/>
            <w:tcMar>
              <w:top w:w="15" w:type="dxa"/>
              <w:left w:w="0" w:type="dxa"/>
              <w:bottom w:w="0" w:type="dxa"/>
              <w:right w:w="15" w:type="dxa"/>
            </w:tcMar>
            <w:vAlign w:val="bottom"/>
            <w:hideMark/>
          </w:tcPr>
          <w:p w14:paraId="4191EC3E"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3EB6AC06" w14:textId="77777777">
        <w:trPr>
          <w:divId w:val="1826240181"/>
        </w:trPr>
        <w:tc>
          <w:tcPr>
            <w:tcW w:w="2523" w:type="pct"/>
            <w:shd w:val="clear" w:color="auto" w:fill="FFFFFF"/>
            <w:tcMar>
              <w:top w:w="15" w:type="dxa"/>
              <w:left w:w="0" w:type="dxa"/>
              <w:bottom w:w="0" w:type="dxa"/>
              <w:right w:w="15" w:type="dxa"/>
            </w:tcMar>
            <w:hideMark/>
          </w:tcPr>
          <w:p w14:paraId="06F899B4" w14:textId="77777777" w:rsidR="00000000" w:rsidRDefault="00582324">
            <w:pPr>
              <w:pStyle w:val="a3"/>
              <w:spacing w:before="0" w:beforeAutospacing="0" w:after="0" w:afterAutospacing="0"/>
              <w:ind w:left="274"/>
              <w:rPr>
                <w:color w:val="000000"/>
                <w:sz w:val="20"/>
                <w:szCs w:val="20"/>
              </w:rPr>
            </w:pPr>
            <w:r>
              <w:rPr>
                <w:color w:val="000000"/>
                <w:sz w:val="20"/>
                <w:szCs w:val="20"/>
              </w:rPr>
              <w:t>Interest expense—net</w:t>
            </w:r>
          </w:p>
        </w:tc>
        <w:tc>
          <w:tcPr>
            <w:tcW w:w="59" w:type="pct"/>
            <w:shd w:val="clear" w:color="auto" w:fill="FFFFFF"/>
            <w:tcMar>
              <w:top w:w="15" w:type="dxa"/>
              <w:left w:w="0" w:type="dxa"/>
              <w:bottom w:w="0" w:type="dxa"/>
              <w:right w:w="15" w:type="dxa"/>
            </w:tcMar>
            <w:vAlign w:val="bottom"/>
            <w:hideMark/>
          </w:tcPr>
          <w:p w14:paraId="0A2D305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A4119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B435FC3" w14:textId="77777777" w:rsidR="00000000" w:rsidRDefault="00582324">
            <w:pPr>
              <w:pStyle w:val="a3"/>
              <w:spacing w:before="0" w:beforeAutospacing="0" w:after="0" w:afterAutospacing="0"/>
              <w:jc w:val="right"/>
              <w:rPr>
                <w:color w:val="000000"/>
                <w:sz w:val="20"/>
                <w:szCs w:val="20"/>
              </w:rPr>
            </w:pPr>
            <w:r>
              <w:rPr>
                <w:color w:val="000000"/>
                <w:sz w:val="20"/>
                <w:szCs w:val="20"/>
              </w:rPr>
              <w:t>(6,798</w:t>
            </w:r>
          </w:p>
        </w:tc>
        <w:tc>
          <w:tcPr>
            <w:tcW w:w="50" w:type="pct"/>
            <w:shd w:val="clear" w:color="auto" w:fill="FFFFFF"/>
            <w:noWrap/>
            <w:tcMar>
              <w:top w:w="15" w:type="dxa"/>
              <w:left w:w="0" w:type="dxa"/>
              <w:bottom w:w="0" w:type="dxa"/>
              <w:right w:w="15" w:type="dxa"/>
            </w:tcMar>
            <w:vAlign w:val="bottom"/>
            <w:hideMark/>
          </w:tcPr>
          <w:p w14:paraId="12BDA57F"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1082A1A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E81279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BD8991B" w14:textId="77777777" w:rsidR="00000000" w:rsidRDefault="00582324">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FFFFFF"/>
            <w:noWrap/>
            <w:tcMar>
              <w:top w:w="15" w:type="dxa"/>
              <w:left w:w="0" w:type="dxa"/>
              <w:bottom w:w="0" w:type="dxa"/>
              <w:right w:w="15" w:type="dxa"/>
            </w:tcMar>
            <w:vAlign w:val="bottom"/>
            <w:hideMark/>
          </w:tcPr>
          <w:p w14:paraId="7F768522"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00DE71E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0C3500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FE2ECFA" w14:textId="77777777" w:rsidR="00000000" w:rsidRDefault="00582324">
            <w:pPr>
              <w:pStyle w:val="a3"/>
              <w:spacing w:before="0" w:beforeAutospacing="0" w:after="0" w:afterAutospacing="0"/>
              <w:jc w:val="right"/>
              <w:rPr>
                <w:color w:val="000000"/>
                <w:sz w:val="20"/>
                <w:szCs w:val="20"/>
              </w:rPr>
            </w:pPr>
            <w:r>
              <w:rPr>
                <w:color w:val="000000"/>
                <w:sz w:val="20"/>
                <w:szCs w:val="20"/>
              </w:rPr>
              <w:t>(9,486</w:t>
            </w:r>
          </w:p>
        </w:tc>
        <w:tc>
          <w:tcPr>
            <w:tcW w:w="50" w:type="pct"/>
            <w:shd w:val="clear" w:color="auto" w:fill="FFFFFF"/>
            <w:noWrap/>
            <w:tcMar>
              <w:top w:w="15" w:type="dxa"/>
              <w:left w:w="0" w:type="dxa"/>
              <w:bottom w:w="0" w:type="dxa"/>
              <w:right w:w="15" w:type="dxa"/>
            </w:tcMar>
            <w:vAlign w:val="bottom"/>
            <w:hideMark/>
          </w:tcPr>
          <w:p w14:paraId="0FA9E134"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03314C1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4059F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0C8CD4C" w14:textId="77777777" w:rsidR="00000000" w:rsidRDefault="00582324">
            <w:pPr>
              <w:pStyle w:val="a3"/>
              <w:spacing w:before="0" w:beforeAutospacing="0" w:after="0" w:afterAutospacing="0"/>
              <w:jc w:val="right"/>
              <w:rPr>
                <w:color w:val="000000"/>
                <w:sz w:val="20"/>
                <w:szCs w:val="20"/>
              </w:rPr>
            </w:pPr>
            <w:r>
              <w:rPr>
                <w:color w:val="000000"/>
                <w:sz w:val="20"/>
                <w:szCs w:val="20"/>
              </w:rPr>
              <w:t>(7,853</w:t>
            </w:r>
          </w:p>
        </w:tc>
        <w:tc>
          <w:tcPr>
            <w:tcW w:w="50" w:type="pct"/>
            <w:shd w:val="clear" w:color="auto" w:fill="FFFFFF"/>
            <w:noWrap/>
            <w:tcMar>
              <w:top w:w="15" w:type="dxa"/>
              <w:left w:w="0" w:type="dxa"/>
              <w:bottom w:w="0" w:type="dxa"/>
              <w:right w:w="15" w:type="dxa"/>
            </w:tcMar>
            <w:vAlign w:val="bottom"/>
            <w:hideMark/>
          </w:tcPr>
          <w:p w14:paraId="1278C8A9"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4B2254B2" w14:textId="77777777">
        <w:trPr>
          <w:divId w:val="1826240181"/>
        </w:trPr>
        <w:tc>
          <w:tcPr>
            <w:tcW w:w="2523" w:type="pct"/>
            <w:shd w:val="clear" w:color="auto" w:fill="CFF0FC"/>
            <w:tcMar>
              <w:top w:w="15" w:type="dxa"/>
              <w:left w:w="0" w:type="dxa"/>
              <w:bottom w:w="0" w:type="dxa"/>
              <w:right w:w="15" w:type="dxa"/>
            </w:tcMar>
            <w:hideMark/>
          </w:tcPr>
          <w:p w14:paraId="00F2379A" w14:textId="77777777" w:rsidR="00000000" w:rsidRDefault="00582324">
            <w:pPr>
              <w:pStyle w:val="a3"/>
              <w:spacing w:before="0" w:beforeAutospacing="0" w:after="0" w:afterAutospacing="0"/>
              <w:ind w:left="547"/>
              <w:rPr>
                <w:color w:val="000000"/>
                <w:sz w:val="20"/>
                <w:szCs w:val="20"/>
              </w:rPr>
            </w:pPr>
            <w:r>
              <w:rPr>
                <w:color w:val="000000"/>
                <w:sz w:val="20"/>
                <w:szCs w:val="20"/>
              </w:rPr>
              <w:t>Total other (expenses) income—net</w:t>
            </w:r>
          </w:p>
        </w:tc>
        <w:tc>
          <w:tcPr>
            <w:tcW w:w="59" w:type="pct"/>
            <w:shd w:val="clear" w:color="auto" w:fill="CFF0FC"/>
            <w:tcMar>
              <w:top w:w="15" w:type="dxa"/>
              <w:left w:w="0" w:type="dxa"/>
              <w:bottom w:w="0" w:type="dxa"/>
              <w:right w:w="15" w:type="dxa"/>
            </w:tcMar>
            <w:vAlign w:val="bottom"/>
            <w:hideMark/>
          </w:tcPr>
          <w:p w14:paraId="674BC51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D5F64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54DF34" w14:textId="77777777" w:rsidR="00000000" w:rsidRDefault="00582324">
            <w:pPr>
              <w:pStyle w:val="a3"/>
              <w:spacing w:before="0" w:beforeAutospacing="0" w:after="0" w:afterAutospacing="0"/>
              <w:jc w:val="right"/>
              <w:rPr>
                <w:color w:val="000000"/>
                <w:sz w:val="20"/>
                <w:szCs w:val="20"/>
              </w:rPr>
            </w:pPr>
            <w:r>
              <w:rPr>
                <w:color w:val="000000"/>
                <w:sz w:val="20"/>
                <w:szCs w:val="20"/>
              </w:rPr>
              <w:t>(7,617</w:t>
            </w:r>
          </w:p>
        </w:tc>
        <w:tc>
          <w:tcPr>
            <w:tcW w:w="50" w:type="pct"/>
            <w:shd w:val="clear" w:color="auto" w:fill="CFF0FC"/>
            <w:noWrap/>
            <w:tcMar>
              <w:top w:w="15" w:type="dxa"/>
              <w:left w:w="0" w:type="dxa"/>
              <w:bottom w:w="0" w:type="dxa"/>
              <w:right w:w="15" w:type="dxa"/>
            </w:tcMar>
            <w:vAlign w:val="bottom"/>
            <w:hideMark/>
          </w:tcPr>
          <w:p w14:paraId="52037B39"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6A9B0F6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AB9AA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5881D0" w14:textId="77777777" w:rsidR="00000000" w:rsidRDefault="00582324">
            <w:pPr>
              <w:pStyle w:val="a3"/>
              <w:spacing w:before="0" w:beforeAutospacing="0" w:after="0" w:afterAutospacing="0"/>
              <w:jc w:val="right"/>
              <w:rPr>
                <w:color w:val="000000"/>
                <w:sz w:val="20"/>
                <w:szCs w:val="20"/>
              </w:rPr>
            </w:pPr>
            <w:r>
              <w:rPr>
                <w:color w:val="000000"/>
                <w:sz w:val="20"/>
                <w:szCs w:val="20"/>
              </w:rPr>
              <w:t>16,673</w:t>
            </w:r>
          </w:p>
        </w:tc>
        <w:tc>
          <w:tcPr>
            <w:tcW w:w="50" w:type="pct"/>
            <w:shd w:val="clear" w:color="auto" w:fill="CFF0FC"/>
            <w:noWrap/>
            <w:tcMar>
              <w:top w:w="15" w:type="dxa"/>
              <w:left w:w="0" w:type="dxa"/>
              <w:bottom w:w="0" w:type="dxa"/>
              <w:right w:w="15" w:type="dxa"/>
            </w:tcMar>
            <w:vAlign w:val="bottom"/>
            <w:hideMark/>
          </w:tcPr>
          <w:p w14:paraId="0978C23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8BE52B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777DC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B20687F" w14:textId="77777777" w:rsidR="00000000" w:rsidRDefault="00582324">
            <w:pPr>
              <w:pStyle w:val="a3"/>
              <w:spacing w:before="0" w:beforeAutospacing="0" w:after="0" w:afterAutospacing="0"/>
              <w:jc w:val="right"/>
              <w:rPr>
                <w:color w:val="000000"/>
                <w:sz w:val="20"/>
                <w:szCs w:val="20"/>
              </w:rPr>
            </w:pPr>
            <w:r>
              <w:rPr>
                <w:color w:val="000000"/>
                <w:sz w:val="20"/>
                <w:szCs w:val="20"/>
              </w:rPr>
              <w:t>(10,879</w:t>
            </w:r>
          </w:p>
        </w:tc>
        <w:tc>
          <w:tcPr>
            <w:tcW w:w="50" w:type="pct"/>
            <w:shd w:val="clear" w:color="auto" w:fill="CFF0FC"/>
            <w:noWrap/>
            <w:tcMar>
              <w:top w:w="15" w:type="dxa"/>
              <w:left w:w="0" w:type="dxa"/>
              <w:bottom w:w="0" w:type="dxa"/>
              <w:right w:w="15" w:type="dxa"/>
            </w:tcMar>
            <w:vAlign w:val="bottom"/>
            <w:hideMark/>
          </w:tcPr>
          <w:p w14:paraId="0555B4FE"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440D3A7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89621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84EB4B" w14:textId="77777777" w:rsidR="00000000" w:rsidRDefault="00582324">
            <w:pPr>
              <w:pStyle w:val="a3"/>
              <w:spacing w:before="0" w:beforeAutospacing="0" w:after="0" w:afterAutospacing="0"/>
              <w:jc w:val="right"/>
              <w:rPr>
                <w:color w:val="000000"/>
                <w:sz w:val="20"/>
                <w:szCs w:val="20"/>
              </w:rPr>
            </w:pPr>
            <w:r>
              <w:rPr>
                <w:color w:val="000000"/>
                <w:sz w:val="20"/>
                <w:szCs w:val="20"/>
              </w:rPr>
              <w:t>(15,750</w:t>
            </w:r>
          </w:p>
        </w:tc>
        <w:tc>
          <w:tcPr>
            <w:tcW w:w="50" w:type="pct"/>
            <w:shd w:val="clear" w:color="auto" w:fill="CFF0FC"/>
            <w:noWrap/>
            <w:tcMar>
              <w:top w:w="15" w:type="dxa"/>
              <w:left w:w="0" w:type="dxa"/>
              <w:bottom w:w="0" w:type="dxa"/>
              <w:right w:w="15" w:type="dxa"/>
            </w:tcMar>
            <w:vAlign w:val="bottom"/>
            <w:hideMark/>
          </w:tcPr>
          <w:p w14:paraId="6D43550A"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14598FBE" w14:textId="77777777">
        <w:trPr>
          <w:divId w:val="1826240181"/>
        </w:trPr>
        <w:tc>
          <w:tcPr>
            <w:tcW w:w="2523" w:type="pct"/>
            <w:shd w:val="clear" w:color="auto" w:fill="FFFFFF"/>
            <w:tcMar>
              <w:top w:w="15" w:type="dxa"/>
              <w:left w:w="0" w:type="dxa"/>
              <w:bottom w:w="0" w:type="dxa"/>
              <w:right w:w="15" w:type="dxa"/>
            </w:tcMar>
            <w:hideMark/>
          </w:tcPr>
          <w:p w14:paraId="7F181870" w14:textId="77777777" w:rsidR="00000000" w:rsidRDefault="00582324">
            <w:pPr>
              <w:pStyle w:val="a3"/>
              <w:spacing w:before="0" w:beforeAutospacing="0" w:after="0" w:afterAutospacing="0"/>
              <w:rPr>
                <w:color w:val="000000"/>
                <w:sz w:val="20"/>
                <w:szCs w:val="20"/>
              </w:rPr>
            </w:pPr>
            <w:r>
              <w:rPr>
                <w:color w:val="000000"/>
                <w:sz w:val="20"/>
                <w:szCs w:val="20"/>
              </w:rPr>
              <w:t>LOSS BEFORE (BENEFIT) EXPENSE FROM INCOME TAXES</w:t>
            </w:r>
          </w:p>
        </w:tc>
        <w:tc>
          <w:tcPr>
            <w:tcW w:w="59" w:type="pct"/>
            <w:shd w:val="clear" w:color="auto" w:fill="FFFFFF"/>
            <w:tcMar>
              <w:top w:w="15" w:type="dxa"/>
              <w:left w:w="0" w:type="dxa"/>
              <w:bottom w:w="0" w:type="dxa"/>
              <w:right w:w="15" w:type="dxa"/>
            </w:tcMar>
            <w:vAlign w:val="bottom"/>
            <w:hideMark/>
          </w:tcPr>
          <w:p w14:paraId="5A6E707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9DDF8D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39F7DD6" w14:textId="77777777" w:rsidR="00000000" w:rsidRDefault="00582324">
            <w:pPr>
              <w:pStyle w:val="a3"/>
              <w:spacing w:before="0" w:beforeAutospacing="0" w:after="0" w:afterAutospacing="0"/>
              <w:jc w:val="right"/>
              <w:rPr>
                <w:color w:val="000000"/>
                <w:sz w:val="20"/>
                <w:szCs w:val="20"/>
              </w:rPr>
            </w:pPr>
            <w:r>
              <w:rPr>
                <w:color w:val="000000"/>
                <w:sz w:val="20"/>
                <w:szCs w:val="20"/>
              </w:rPr>
              <w:t>(14,739</w:t>
            </w:r>
          </w:p>
        </w:tc>
        <w:tc>
          <w:tcPr>
            <w:tcW w:w="50" w:type="pct"/>
            <w:shd w:val="clear" w:color="auto" w:fill="FFFFFF"/>
            <w:noWrap/>
            <w:tcMar>
              <w:top w:w="15" w:type="dxa"/>
              <w:left w:w="0" w:type="dxa"/>
              <w:bottom w:w="0" w:type="dxa"/>
              <w:right w:w="15" w:type="dxa"/>
            </w:tcMar>
            <w:vAlign w:val="bottom"/>
            <w:hideMark/>
          </w:tcPr>
          <w:p w14:paraId="08AB43A7"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2D4F070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BCD7B9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250A7CB0" w14:textId="77777777" w:rsidR="00000000" w:rsidRDefault="00582324">
            <w:pPr>
              <w:pStyle w:val="a3"/>
              <w:spacing w:before="0" w:beforeAutospacing="0" w:after="0" w:afterAutospacing="0"/>
              <w:jc w:val="right"/>
              <w:rPr>
                <w:color w:val="000000"/>
                <w:sz w:val="20"/>
                <w:szCs w:val="20"/>
              </w:rPr>
            </w:pPr>
            <w:r>
              <w:rPr>
                <w:color w:val="000000"/>
                <w:sz w:val="20"/>
                <w:szCs w:val="20"/>
              </w:rPr>
              <w:t>11,465</w:t>
            </w:r>
          </w:p>
        </w:tc>
        <w:tc>
          <w:tcPr>
            <w:tcW w:w="50" w:type="pct"/>
            <w:shd w:val="clear" w:color="auto" w:fill="FFFFFF"/>
            <w:noWrap/>
            <w:tcMar>
              <w:top w:w="15" w:type="dxa"/>
              <w:left w:w="0" w:type="dxa"/>
              <w:bottom w:w="0" w:type="dxa"/>
              <w:right w:w="15" w:type="dxa"/>
            </w:tcMar>
            <w:vAlign w:val="bottom"/>
            <w:hideMark/>
          </w:tcPr>
          <w:p w14:paraId="1E5E2DF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E159E1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5EB7E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2C17002" w14:textId="77777777" w:rsidR="00000000" w:rsidRDefault="00582324">
            <w:pPr>
              <w:pStyle w:val="a3"/>
              <w:spacing w:before="0" w:beforeAutospacing="0" w:after="0" w:afterAutospacing="0"/>
              <w:jc w:val="right"/>
              <w:rPr>
                <w:color w:val="000000"/>
                <w:sz w:val="20"/>
                <w:szCs w:val="20"/>
              </w:rPr>
            </w:pPr>
            <w:r>
              <w:rPr>
                <w:color w:val="000000"/>
                <w:sz w:val="20"/>
                <w:szCs w:val="20"/>
              </w:rPr>
              <w:t>(26,333</w:t>
            </w:r>
          </w:p>
        </w:tc>
        <w:tc>
          <w:tcPr>
            <w:tcW w:w="50" w:type="pct"/>
            <w:shd w:val="clear" w:color="auto" w:fill="FFFFFF"/>
            <w:noWrap/>
            <w:tcMar>
              <w:top w:w="15" w:type="dxa"/>
              <w:left w:w="0" w:type="dxa"/>
              <w:bottom w:w="0" w:type="dxa"/>
              <w:right w:w="15" w:type="dxa"/>
            </w:tcMar>
            <w:vAlign w:val="bottom"/>
            <w:hideMark/>
          </w:tcPr>
          <w:p w14:paraId="61F2CFD2"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3B1B95F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C55D79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43B822E" w14:textId="77777777" w:rsidR="00000000" w:rsidRDefault="00582324">
            <w:pPr>
              <w:pStyle w:val="a3"/>
              <w:spacing w:before="0" w:beforeAutospacing="0" w:after="0" w:afterAutospacing="0"/>
              <w:jc w:val="right"/>
              <w:rPr>
                <w:color w:val="000000"/>
                <w:sz w:val="20"/>
                <w:szCs w:val="20"/>
              </w:rPr>
            </w:pPr>
            <w:r>
              <w:rPr>
                <w:color w:val="000000"/>
                <w:sz w:val="20"/>
                <w:szCs w:val="20"/>
              </w:rPr>
              <w:t>(32,935</w:t>
            </w:r>
          </w:p>
        </w:tc>
        <w:tc>
          <w:tcPr>
            <w:tcW w:w="50" w:type="pct"/>
            <w:shd w:val="clear" w:color="auto" w:fill="FFFFFF"/>
            <w:noWrap/>
            <w:tcMar>
              <w:top w:w="15" w:type="dxa"/>
              <w:left w:w="0" w:type="dxa"/>
              <w:bottom w:w="0" w:type="dxa"/>
              <w:right w:w="15" w:type="dxa"/>
            </w:tcMar>
            <w:vAlign w:val="bottom"/>
            <w:hideMark/>
          </w:tcPr>
          <w:p w14:paraId="29FE1ADE"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645209AB" w14:textId="77777777">
        <w:trPr>
          <w:divId w:val="1826240181"/>
        </w:trPr>
        <w:tc>
          <w:tcPr>
            <w:tcW w:w="2523" w:type="pct"/>
            <w:shd w:val="clear" w:color="auto" w:fill="CFF0FC"/>
            <w:tcMar>
              <w:top w:w="15" w:type="dxa"/>
              <w:left w:w="0" w:type="dxa"/>
              <w:bottom w:w="0" w:type="dxa"/>
              <w:right w:w="15" w:type="dxa"/>
            </w:tcMar>
            <w:hideMark/>
          </w:tcPr>
          <w:p w14:paraId="4AEC1E60" w14:textId="77777777" w:rsidR="00000000" w:rsidRDefault="00582324">
            <w:pPr>
              <w:pStyle w:val="a3"/>
              <w:spacing w:before="0" w:beforeAutospacing="0" w:after="0" w:afterAutospacing="0"/>
              <w:rPr>
                <w:color w:val="000000"/>
                <w:sz w:val="20"/>
                <w:szCs w:val="20"/>
              </w:rPr>
            </w:pPr>
            <w:r>
              <w:rPr>
                <w:color w:val="000000"/>
                <w:sz w:val="20"/>
                <w:szCs w:val="20"/>
              </w:rPr>
              <w:t>INCOME TAXES BENEFIT</w:t>
            </w:r>
          </w:p>
        </w:tc>
        <w:tc>
          <w:tcPr>
            <w:tcW w:w="59" w:type="pct"/>
            <w:shd w:val="clear" w:color="auto" w:fill="CFF0FC"/>
            <w:tcMar>
              <w:top w:w="15" w:type="dxa"/>
              <w:left w:w="0" w:type="dxa"/>
              <w:bottom w:w="0" w:type="dxa"/>
              <w:right w:w="15" w:type="dxa"/>
            </w:tcMar>
            <w:vAlign w:val="bottom"/>
            <w:hideMark/>
          </w:tcPr>
          <w:p w14:paraId="5F56251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DA940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A6D2610" w14:textId="77777777" w:rsidR="00000000" w:rsidRDefault="00582324">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CFF0FC"/>
            <w:noWrap/>
            <w:tcMar>
              <w:top w:w="15" w:type="dxa"/>
              <w:left w:w="0" w:type="dxa"/>
              <w:bottom w:w="0" w:type="dxa"/>
              <w:right w:w="15" w:type="dxa"/>
            </w:tcMar>
            <w:vAlign w:val="bottom"/>
            <w:hideMark/>
          </w:tcPr>
          <w:p w14:paraId="1859E7AA"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4C1932E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DC2D96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71C210F" w14:textId="77777777" w:rsidR="00000000" w:rsidRDefault="00582324">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CFF0FC"/>
            <w:noWrap/>
            <w:tcMar>
              <w:top w:w="15" w:type="dxa"/>
              <w:left w:w="0" w:type="dxa"/>
              <w:bottom w:w="0" w:type="dxa"/>
              <w:right w:w="15" w:type="dxa"/>
            </w:tcMar>
            <w:vAlign w:val="bottom"/>
            <w:hideMark/>
          </w:tcPr>
          <w:p w14:paraId="4D2D1D08"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56BF9AE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A6E92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14AAD4C" w14:textId="77777777" w:rsidR="00000000" w:rsidRDefault="00582324">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CFF0FC"/>
            <w:noWrap/>
            <w:tcMar>
              <w:top w:w="15" w:type="dxa"/>
              <w:left w:w="0" w:type="dxa"/>
              <w:bottom w:w="0" w:type="dxa"/>
              <w:right w:w="15" w:type="dxa"/>
            </w:tcMar>
            <w:vAlign w:val="bottom"/>
            <w:hideMark/>
          </w:tcPr>
          <w:p w14:paraId="78E6FE51"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50B7751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13E36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B06A28D" w14:textId="77777777" w:rsidR="00000000" w:rsidRDefault="00582324">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489702C5"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4E84E8BF" w14:textId="77777777">
        <w:trPr>
          <w:divId w:val="1826240181"/>
        </w:trPr>
        <w:tc>
          <w:tcPr>
            <w:tcW w:w="2523" w:type="pct"/>
            <w:shd w:val="clear" w:color="auto" w:fill="FFFFFF"/>
            <w:tcMar>
              <w:top w:w="15" w:type="dxa"/>
              <w:left w:w="0" w:type="dxa"/>
              <w:bottom w:w="0" w:type="dxa"/>
              <w:right w:w="15" w:type="dxa"/>
            </w:tcMar>
            <w:hideMark/>
          </w:tcPr>
          <w:p w14:paraId="3A49D79D" w14:textId="77777777" w:rsidR="00000000" w:rsidRDefault="00582324">
            <w:pPr>
              <w:pStyle w:val="a3"/>
              <w:spacing w:before="0" w:beforeAutospacing="0" w:after="0" w:afterAutospacing="0"/>
              <w:rPr>
                <w:b/>
                <w:bCs/>
                <w:color w:val="000000"/>
                <w:sz w:val="20"/>
                <w:szCs w:val="20"/>
              </w:rPr>
            </w:pPr>
            <w:r>
              <w:rPr>
                <w:b/>
                <w:bCs/>
                <w:color w:val="000000"/>
                <w:sz w:val="20"/>
                <w:szCs w:val="20"/>
              </w:rPr>
              <w:t>NET (LOSS) INCOME</w:t>
            </w:r>
          </w:p>
        </w:tc>
        <w:tc>
          <w:tcPr>
            <w:tcW w:w="59" w:type="pct"/>
            <w:shd w:val="clear" w:color="auto" w:fill="FFFFFF"/>
            <w:tcMar>
              <w:top w:w="15" w:type="dxa"/>
              <w:left w:w="0" w:type="dxa"/>
              <w:bottom w:w="0" w:type="dxa"/>
              <w:right w:w="15" w:type="dxa"/>
            </w:tcMar>
            <w:vAlign w:val="bottom"/>
            <w:hideMark/>
          </w:tcPr>
          <w:p w14:paraId="3DE16A7E"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BF300E"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A3391E"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(14,483</w:t>
            </w:r>
          </w:p>
        </w:tc>
        <w:tc>
          <w:tcPr>
            <w:tcW w:w="50" w:type="pct"/>
            <w:shd w:val="clear" w:color="auto" w:fill="FFFFFF"/>
            <w:noWrap/>
            <w:tcMar>
              <w:top w:w="15" w:type="dxa"/>
              <w:left w:w="0" w:type="dxa"/>
              <w:bottom w:w="0" w:type="dxa"/>
              <w:right w:w="15" w:type="dxa"/>
            </w:tcMar>
            <w:vAlign w:val="bottom"/>
            <w:hideMark/>
          </w:tcPr>
          <w:p w14:paraId="50D2F7EF"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487E62F7"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A78116"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0FFD49"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13,224</w:t>
            </w:r>
          </w:p>
        </w:tc>
        <w:tc>
          <w:tcPr>
            <w:tcW w:w="50" w:type="pct"/>
            <w:shd w:val="clear" w:color="auto" w:fill="FFFFFF"/>
            <w:noWrap/>
            <w:tcMar>
              <w:top w:w="15" w:type="dxa"/>
              <w:left w:w="0" w:type="dxa"/>
              <w:bottom w:w="0" w:type="dxa"/>
              <w:right w:w="15" w:type="dxa"/>
            </w:tcMar>
            <w:vAlign w:val="bottom"/>
            <w:hideMark/>
          </w:tcPr>
          <w:p w14:paraId="4C74C09F"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360E6B34"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3382C1"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2C1049"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(26,079</w:t>
            </w:r>
          </w:p>
        </w:tc>
        <w:tc>
          <w:tcPr>
            <w:tcW w:w="50" w:type="pct"/>
            <w:shd w:val="clear" w:color="auto" w:fill="FFFFFF"/>
            <w:noWrap/>
            <w:tcMar>
              <w:top w:w="15" w:type="dxa"/>
              <w:left w:w="0" w:type="dxa"/>
              <w:bottom w:w="0" w:type="dxa"/>
              <w:right w:w="15" w:type="dxa"/>
            </w:tcMar>
            <w:vAlign w:val="bottom"/>
            <w:hideMark/>
          </w:tcPr>
          <w:p w14:paraId="4E79A91E"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2C59D39E"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182793"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B2D757"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(28,024</w:t>
            </w:r>
          </w:p>
        </w:tc>
        <w:tc>
          <w:tcPr>
            <w:tcW w:w="50" w:type="pct"/>
            <w:shd w:val="clear" w:color="auto" w:fill="FFFFFF"/>
            <w:noWrap/>
            <w:tcMar>
              <w:top w:w="15" w:type="dxa"/>
              <w:left w:w="0" w:type="dxa"/>
              <w:bottom w:w="0" w:type="dxa"/>
              <w:right w:w="15" w:type="dxa"/>
            </w:tcMar>
            <w:vAlign w:val="bottom"/>
            <w:hideMark/>
          </w:tcPr>
          <w:p w14:paraId="51FC1380"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r>
      <w:tr w:rsidR="00000000" w14:paraId="056E4C1D" w14:textId="77777777">
        <w:trPr>
          <w:divId w:val="1826240181"/>
        </w:trPr>
        <w:tc>
          <w:tcPr>
            <w:tcW w:w="2523" w:type="pct"/>
            <w:shd w:val="clear" w:color="auto" w:fill="CFF0FC"/>
            <w:tcMar>
              <w:top w:w="15" w:type="dxa"/>
              <w:left w:w="0" w:type="dxa"/>
              <w:bottom w:w="0" w:type="dxa"/>
              <w:right w:w="15" w:type="dxa"/>
            </w:tcMar>
            <w:hideMark/>
          </w:tcPr>
          <w:p w14:paraId="5BE1B9A8"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7D9C4CCD"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03B4E74"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2E3DAD41"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2C6CDC"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3658EA05"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C16A134"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5B330422"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3267B0"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5BC0B4E2"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AE83C2A"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0A58C69E"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C84716"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14:paraId="405BC67F"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BDAD61F"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14:paraId="355530E3"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415533"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r>
      <w:tr w:rsidR="00000000" w14:paraId="59D0A51E" w14:textId="77777777">
        <w:trPr>
          <w:divId w:val="1826240181"/>
        </w:trPr>
        <w:tc>
          <w:tcPr>
            <w:tcW w:w="2523" w:type="pct"/>
            <w:shd w:val="clear" w:color="auto" w:fill="FFFFFF"/>
            <w:tcMar>
              <w:top w:w="15" w:type="dxa"/>
              <w:left w:w="0" w:type="dxa"/>
              <w:bottom w:w="0" w:type="dxa"/>
              <w:right w:w="15" w:type="dxa"/>
            </w:tcMar>
            <w:hideMark/>
          </w:tcPr>
          <w:p w14:paraId="736AAC0E" w14:textId="77777777" w:rsidR="00000000" w:rsidRDefault="00582324">
            <w:pPr>
              <w:pStyle w:val="a3"/>
              <w:spacing w:before="0" w:beforeAutospacing="0" w:after="0" w:afterAutospacing="0"/>
              <w:rPr>
                <w:color w:val="000000"/>
                <w:sz w:val="20"/>
                <w:szCs w:val="20"/>
              </w:rPr>
            </w:pPr>
            <w:r>
              <w:rPr>
                <w:color w:val="000000"/>
                <w:sz w:val="20"/>
                <w:szCs w:val="20"/>
              </w:rPr>
              <w:t>EQUITY ADJUSTMENT FROM FOREIGN CURRENCY</w:t>
            </w:r>
          </w:p>
          <w:p w14:paraId="5E5785C7" w14:textId="77777777" w:rsidR="00000000" w:rsidRDefault="00582324">
            <w:pPr>
              <w:pStyle w:val="a3"/>
              <w:spacing w:before="0" w:beforeAutospacing="0" w:after="0" w:afterAutospacing="0"/>
              <w:rPr>
                <w:color w:val="000000"/>
                <w:sz w:val="20"/>
                <w:szCs w:val="20"/>
              </w:rPr>
            </w:pPr>
            <w:r>
              <w:rPr>
                <w:color w:val="000000"/>
                <w:sz w:val="20"/>
                <w:szCs w:val="20"/>
              </w:rPr>
              <w:t>   TRANSLATION</w:t>
            </w:r>
          </w:p>
        </w:tc>
        <w:tc>
          <w:tcPr>
            <w:tcW w:w="59" w:type="pct"/>
            <w:shd w:val="clear" w:color="auto" w:fill="FFFFFF"/>
            <w:tcMar>
              <w:top w:w="15" w:type="dxa"/>
              <w:left w:w="0" w:type="dxa"/>
              <w:bottom w:w="0" w:type="dxa"/>
              <w:right w:w="15" w:type="dxa"/>
            </w:tcMar>
            <w:vAlign w:val="bottom"/>
            <w:hideMark/>
          </w:tcPr>
          <w:p w14:paraId="5EB4045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16C69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3CE1C12" w14:textId="77777777" w:rsidR="00000000" w:rsidRDefault="00582324">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4517D0B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3DAF68E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575C8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B846F64" w14:textId="77777777" w:rsidR="00000000" w:rsidRDefault="00582324">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FFFFFF"/>
            <w:noWrap/>
            <w:tcMar>
              <w:top w:w="15" w:type="dxa"/>
              <w:left w:w="0" w:type="dxa"/>
              <w:bottom w:w="0" w:type="dxa"/>
              <w:right w:w="15" w:type="dxa"/>
            </w:tcMar>
            <w:vAlign w:val="bottom"/>
            <w:hideMark/>
          </w:tcPr>
          <w:p w14:paraId="52B247D0"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1C79D36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AFCBE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B2EC45F" w14:textId="77777777" w:rsidR="00000000" w:rsidRDefault="00582324">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14:paraId="2C304DB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54228A8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29FC9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1CD187D" w14:textId="77777777" w:rsidR="00000000" w:rsidRDefault="00582324">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343113C8"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1E93F90A" w14:textId="77777777">
        <w:trPr>
          <w:divId w:val="1826240181"/>
        </w:trPr>
        <w:tc>
          <w:tcPr>
            <w:tcW w:w="2523" w:type="pct"/>
            <w:shd w:val="clear" w:color="auto" w:fill="CFF0FC"/>
            <w:tcMar>
              <w:top w:w="15" w:type="dxa"/>
              <w:left w:w="0" w:type="dxa"/>
              <w:bottom w:w="0" w:type="dxa"/>
              <w:right w:w="15" w:type="dxa"/>
            </w:tcMar>
            <w:hideMark/>
          </w:tcPr>
          <w:p w14:paraId="345B48FD" w14:textId="77777777" w:rsidR="00000000" w:rsidRDefault="00582324">
            <w:pPr>
              <w:pStyle w:val="a3"/>
              <w:spacing w:before="0" w:beforeAutospacing="0" w:after="0" w:afterAutospacing="0"/>
              <w:rPr>
                <w:color w:val="000000"/>
                <w:sz w:val="20"/>
                <w:szCs w:val="20"/>
              </w:rPr>
            </w:pPr>
            <w:r>
              <w:rPr>
                <w:color w:val="000000"/>
                <w:sz w:val="20"/>
                <w:szCs w:val="20"/>
              </w:rPr>
              <w:t>COMPREHENSIVE (LOSS) INCOME</w:t>
            </w:r>
          </w:p>
        </w:tc>
        <w:tc>
          <w:tcPr>
            <w:tcW w:w="59" w:type="pct"/>
            <w:shd w:val="clear" w:color="auto" w:fill="CFF0FC"/>
            <w:tcMar>
              <w:top w:w="15" w:type="dxa"/>
              <w:left w:w="0" w:type="dxa"/>
              <w:bottom w:w="0" w:type="dxa"/>
              <w:right w:w="15" w:type="dxa"/>
            </w:tcMar>
            <w:vAlign w:val="bottom"/>
            <w:hideMark/>
          </w:tcPr>
          <w:p w14:paraId="2D0BEAA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34D85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F5D3244" w14:textId="77777777" w:rsidR="00000000" w:rsidRDefault="00582324">
            <w:pPr>
              <w:pStyle w:val="a3"/>
              <w:spacing w:before="0" w:beforeAutospacing="0" w:after="0" w:afterAutospacing="0"/>
              <w:jc w:val="right"/>
              <w:rPr>
                <w:color w:val="000000"/>
                <w:sz w:val="20"/>
                <w:szCs w:val="20"/>
              </w:rPr>
            </w:pPr>
            <w:r>
              <w:rPr>
                <w:color w:val="000000"/>
                <w:sz w:val="20"/>
                <w:szCs w:val="20"/>
              </w:rPr>
              <w:t>(14,455</w:t>
            </w:r>
          </w:p>
        </w:tc>
        <w:tc>
          <w:tcPr>
            <w:tcW w:w="50" w:type="pct"/>
            <w:shd w:val="clear" w:color="auto" w:fill="CFF0FC"/>
            <w:noWrap/>
            <w:tcMar>
              <w:top w:w="15" w:type="dxa"/>
              <w:left w:w="0" w:type="dxa"/>
              <w:bottom w:w="0" w:type="dxa"/>
              <w:right w:w="15" w:type="dxa"/>
            </w:tcMar>
            <w:vAlign w:val="bottom"/>
            <w:hideMark/>
          </w:tcPr>
          <w:p w14:paraId="255E2350"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277D67E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084A2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611CBAF" w14:textId="77777777" w:rsidR="00000000" w:rsidRDefault="00582324">
            <w:pPr>
              <w:pStyle w:val="a3"/>
              <w:spacing w:before="0" w:beforeAutospacing="0" w:after="0" w:afterAutospacing="0"/>
              <w:jc w:val="right"/>
              <w:rPr>
                <w:color w:val="000000"/>
                <w:sz w:val="20"/>
                <w:szCs w:val="20"/>
              </w:rPr>
            </w:pPr>
            <w:r>
              <w:rPr>
                <w:color w:val="000000"/>
                <w:sz w:val="20"/>
                <w:szCs w:val="20"/>
              </w:rPr>
              <w:t>13,134</w:t>
            </w:r>
          </w:p>
        </w:tc>
        <w:tc>
          <w:tcPr>
            <w:tcW w:w="50" w:type="pct"/>
            <w:shd w:val="clear" w:color="auto" w:fill="CFF0FC"/>
            <w:noWrap/>
            <w:tcMar>
              <w:top w:w="15" w:type="dxa"/>
              <w:left w:w="0" w:type="dxa"/>
              <w:bottom w:w="0" w:type="dxa"/>
              <w:right w:w="15" w:type="dxa"/>
            </w:tcMar>
            <w:vAlign w:val="bottom"/>
            <w:hideMark/>
          </w:tcPr>
          <w:p w14:paraId="73BFA24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19C2913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49764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4C057F" w14:textId="77777777" w:rsidR="00000000" w:rsidRDefault="00582324">
            <w:pPr>
              <w:pStyle w:val="a3"/>
              <w:spacing w:before="0" w:beforeAutospacing="0" w:after="0" w:afterAutospacing="0"/>
              <w:jc w:val="right"/>
              <w:rPr>
                <w:color w:val="000000"/>
                <w:sz w:val="20"/>
                <w:szCs w:val="20"/>
              </w:rPr>
            </w:pPr>
            <w:r>
              <w:rPr>
                <w:color w:val="000000"/>
                <w:sz w:val="20"/>
                <w:szCs w:val="20"/>
              </w:rPr>
              <w:t>(26,022</w:t>
            </w:r>
          </w:p>
        </w:tc>
        <w:tc>
          <w:tcPr>
            <w:tcW w:w="50" w:type="pct"/>
            <w:shd w:val="clear" w:color="auto" w:fill="CFF0FC"/>
            <w:noWrap/>
            <w:tcMar>
              <w:top w:w="15" w:type="dxa"/>
              <w:left w:w="0" w:type="dxa"/>
              <w:bottom w:w="0" w:type="dxa"/>
              <w:right w:w="15" w:type="dxa"/>
            </w:tcMar>
            <w:vAlign w:val="bottom"/>
            <w:hideMark/>
          </w:tcPr>
          <w:p w14:paraId="207BA258"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420FCF3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8CD16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C4B7D77" w14:textId="77777777" w:rsidR="00000000" w:rsidRDefault="00582324">
            <w:pPr>
              <w:pStyle w:val="a3"/>
              <w:spacing w:before="0" w:beforeAutospacing="0" w:after="0" w:afterAutospacing="0"/>
              <w:jc w:val="right"/>
              <w:rPr>
                <w:color w:val="000000"/>
                <w:sz w:val="20"/>
                <w:szCs w:val="20"/>
              </w:rPr>
            </w:pPr>
            <w:r>
              <w:rPr>
                <w:color w:val="000000"/>
                <w:sz w:val="20"/>
                <w:szCs w:val="20"/>
              </w:rPr>
              <w:t>(28,077</w:t>
            </w:r>
          </w:p>
        </w:tc>
        <w:tc>
          <w:tcPr>
            <w:tcW w:w="50" w:type="pct"/>
            <w:shd w:val="clear" w:color="auto" w:fill="CFF0FC"/>
            <w:noWrap/>
            <w:tcMar>
              <w:top w:w="15" w:type="dxa"/>
              <w:left w:w="0" w:type="dxa"/>
              <w:bottom w:w="0" w:type="dxa"/>
              <w:right w:w="15" w:type="dxa"/>
            </w:tcMar>
            <w:vAlign w:val="bottom"/>
            <w:hideMark/>
          </w:tcPr>
          <w:p w14:paraId="77193F07"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30C66D67" w14:textId="77777777">
        <w:trPr>
          <w:divId w:val="1826240181"/>
        </w:trPr>
        <w:tc>
          <w:tcPr>
            <w:tcW w:w="2523" w:type="pct"/>
            <w:shd w:val="clear" w:color="auto" w:fill="FFFFFF"/>
            <w:tcMar>
              <w:top w:w="15" w:type="dxa"/>
              <w:left w:w="0" w:type="dxa"/>
              <w:bottom w:w="0" w:type="dxa"/>
              <w:right w:w="15" w:type="dxa"/>
            </w:tcMar>
            <w:hideMark/>
          </w:tcPr>
          <w:p w14:paraId="2DC5B419" w14:textId="77777777" w:rsidR="00000000" w:rsidRDefault="00582324">
            <w:pPr>
              <w:pStyle w:val="a3"/>
              <w:spacing w:before="0" w:beforeAutospacing="0" w:after="0" w:afterAutospacing="0"/>
              <w:rPr>
                <w:color w:val="000000"/>
                <w:sz w:val="20"/>
                <w:szCs w:val="20"/>
              </w:rPr>
            </w:pPr>
            <w:r>
              <w:rPr>
                <w:color w:val="000000"/>
                <w:sz w:val="20"/>
                <w:szCs w:val="20"/>
              </w:rPr>
              <w:t>ACCRETION OF REDEEMABLE SERIES A-1 PREFERRED</w:t>
            </w:r>
          </w:p>
          <w:p w14:paraId="149AF728" w14:textId="77777777" w:rsidR="00000000" w:rsidRDefault="00582324">
            <w:pPr>
              <w:pStyle w:val="a3"/>
              <w:spacing w:before="0" w:beforeAutospacing="0" w:after="0" w:afterAutospacing="0"/>
              <w:rPr>
                <w:color w:val="000000"/>
                <w:sz w:val="20"/>
                <w:szCs w:val="20"/>
              </w:rPr>
            </w:pPr>
            <w:r>
              <w:rPr>
                <w:color w:val="000000"/>
                <w:sz w:val="20"/>
                <w:szCs w:val="20"/>
              </w:rPr>
              <w:t>   STOCK</w:t>
            </w:r>
          </w:p>
        </w:tc>
        <w:tc>
          <w:tcPr>
            <w:tcW w:w="59" w:type="pct"/>
            <w:shd w:val="clear" w:color="auto" w:fill="FFFFFF"/>
            <w:tcMar>
              <w:top w:w="15" w:type="dxa"/>
              <w:left w:w="0" w:type="dxa"/>
              <w:bottom w:w="0" w:type="dxa"/>
              <w:right w:w="15" w:type="dxa"/>
            </w:tcMar>
            <w:vAlign w:val="bottom"/>
            <w:hideMark/>
          </w:tcPr>
          <w:p w14:paraId="1808655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25849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B5C6C98"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3BEF7F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503B4BB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D3AF6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CFCBDB1" w14:textId="77777777" w:rsidR="00000000" w:rsidRDefault="00582324">
            <w:pPr>
              <w:pStyle w:val="a3"/>
              <w:spacing w:before="0" w:beforeAutospacing="0" w:after="0" w:afterAutospacing="0"/>
              <w:jc w:val="right"/>
              <w:rPr>
                <w:color w:val="000000"/>
                <w:sz w:val="20"/>
                <w:szCs w:val="20"/>
              </w:rPr>
            </w:pPr>
            <w:r>
              <w:rPr>
                <w:color w:val="000000"/>
                <w:sz w:val="20"/>
                <w:szCs w:val="20"/>
              </w:rPr>
              <w:t>(5,644</w:t>
            </w:r>
          </w:p>
        </w:tc>
        <w:tc>
          <w:tcPr>
            <w:tcW w:w="50" w:type="pct"/>
            <w:shd w:val="clear" w:color="auto" w:fill="FFFFFF"/>
            <w:noWrap/>
            <w:tcMar>
              <w:top w:w="15" w:type="dxa"/>
              <w:left w:w="0" w:type="dxa"/>
              <w:bottom w:w="0" w:type="dxa"/>
              <w:right w:w="15" w:type="dxa"/>
            </w:tcMar>
            <w:vAlign w:val="bottom"/>
            <w:hideMark/>
          </w:tcPr>
          <w:p w14:paraId="5705D66A"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15FF734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F7462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04B7008"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915B44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40B1EBA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AB043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FCCBC6B" w14:textId="77777777" w:rsidR="00000000" w:rsidRDefault="00582324">
            <w:pPr>
              <w:pStyle w:val="a3"/>
              <w:spacing w:before="0" w:beforeAutospacing="0" w:after="0" w:afterAutospacing="0"/>
              <w:jc w:val="right"/>
              <w:rPr>
                <w:color w:val="000000"/>
                <w:sz w:val="20"/>
                <w:szCs w:val="20"/>
              </w:rPr>
            </w:pPr>
            <w:r>
              <w:rPr>
                <w:color w:val="000000"/>
                <w:sz w:val="20"/>
                <w:szCs w:val="20"/>
              </w:rPr>
              <w:t>(11,059</w:t>
            </w:r>
          </w:p>
        </w:tc>
        <w:tc>
          <w:tcPr>
            <w:tcW w:w="50" w:type="pct"/>
            <w:shd w:val="clear" w:color="auto" w:fill="FFFFFF"/>
            <w:noWrap/>
            <w:tcMar>
              <w:top w:w="15" w:type="dxa"/>
              <w:left w:w="0" w:type="dxa"/>
              <w:bottom w:w="0" w:type="dxa"/>
              <w:right w:w="15" w:type="dxa"/>
            </w:tcMar>
            <w:vAlign w:val="bottom"/>
            <w:hideMark/>
          </w:tcPr>
          <w:p w14:paraId="5C652EEF"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74E4CB8D" w14:textId="77777777">
        <w:trPr>
          <w:divId w:val="1826240181"/>
        </w:trPr>
        <w:tc>
          <w:tcPr>
            <w:tcW w:w="2523" w:type="pct"/>
            <w:shd w:val="clear" w:color="auto" w:fill="CFF0FC"/>
            <w:tcMar>
              <w:top w:w="15" w:type="dxa"/>
              <w:left w:w="0" w:type="dxa"/>
              <w:bottom w:w="0" w:type="dxa"/>
              <w:right w:w="15" w:type="dxa"/>
            </w:tcMar>
            <w:hideMark/>
          </w:tcPr>
          <w:p w14:paraId="475FD572" w14:textId="77777777" w:rsidR="00000000" w:rsidRDefault="00582324">
            <w:pPr>
              <w:pStyle w:val="a3"/>
              <w:spacing w:before="0" w:beforeAutospacing="0" w:after="0" w:afterAutospacing="0"/>
              <w:rPr>
                <w:color w:val="000000"/>
                <w:sz w:val="20"/>
                <w:szCs w:val="20"/>
              </w:rPr>
            </w:pPr>
            <w:r>
              <w:rPr>
                <w:color w:val="000000"/>
                <w:sz w:val="20"/>
                <w:szCs w:val="20"/>
              </w:rPr>
              <w:t>CONVERTIBLE AND REDEEMABLE SERIES A-2</w:t>
            </w:r>
          </w:p>
          <w:p w14:paraId="428C45C3" w14:textId="77777777" w:rsidR="00000000" w:rsidRDefault="00582324">
            <w:pPr>
              <w:pStyle w:val="a3"/>
              <w:spacing w:before="0" w:beforeAutospacing="0" w:after="0" w:afterAutospacing="0"/>
              <w:rPr>
                <w:color w:val="000000"/>
                <w:sz w:val="20"/>
                <w:szCs w:val="20"/>
              </w:rPr>
            </w:pPr>
            <w:r>
              <w:rPr>
                <w:color w:val="000000"/>
                <w:sz w:val="20"/>
                <w:szCs w:val="20"/>
              </w:rPr>
              <w:t>   PREFERRED STOCK DIVIDEND</w:t>
            </w:r>
          </w:p>
        </w:tc>
        <w:tc>
          <w:tcPr>
            <w:tcW w:w="59" w:type="pct"/>
            <w:shd w:val="clear" w:color="auto" w:fill="CFF0FC"/>
            <w:tcMar>
              <w:top w:w="15" w:type="dxa"/>
              <w:left w:w="0" w:type="dxa"/>
              <w:bottom w:w="0" w:type="dxa"/>
              <w:right w:w="15" w:type="dxa"/>
            </w:tcMar>
            <w:vAlign w:val="bottom"/>
            <w:hideMark/>
          </w:tcPr>
          <w:p w14:paraId="1A5D316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3CA43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574B87C" w14:textId="77777777" w:rsidR="00000000" w:rsidRDefault="00582324">
            <w:pPr>
              <w:pStyle w:val="a3"/>
              <w:spacing w:before="0" w:beforeAutospacing="0" w:after="0" w:afterAutospacing="0"/>
              <w:jc w:val="right"/>
              <w:rPr>
                <w:color w:val="000000"/>
                <w:sz w:val="20"/>
                <w:szCs w:val="20"/>
              </w:rPr>
            </w:pPr>
            <w:r>
              <w:rPr>
                <w:color w:val="000000"/>
                <w:sz w:val="20"/>
                <w:szCs w:val="20"/>
              </w:rPr>
              <w:t>(4,100</w:t>
            </w:r>
          </w:p>
        </w:tc>
        <w:tc>
          <w:tcPr>
            <w:tcW w:w="50" w:type="pct"/>
            <w:shd w:val="clear" w:color="auto" w:fill="CFF0FC"/>
            <w:noWrap/>
            <w:tcMar>
              <w:top w:w="15" w:type="dxa"/>
              <w:left w:w="0" w:type="dxa"/>
              <w:bottom w:w="0" w:type="dxa"/>
              <w:right w:w="15" w:type="dxa"/>
            </w:tcMar>
            <w:vAlign w:val="bottom"/>
            <w:hideMark/>
          </w:tcPr>
          <w:p w14:paraId="09D6331C"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7973664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2798F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9244095"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CE497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6AE5B3B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2D8BD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35A8ED9" w14:textId="77777777" w:rsidR="00000000" w:rsidRDefault="00582324">
            <w:pPr>
              <w:pStyle w:val="a3"/>
              <w:spacing w:before="0" w:beforeAutospacing="0" w:after="0" w:afterAutospacing="0"/>
              <w:jc w:val="right"/>
              <w:rPr>
                <w:color w:val="000000"/>
                <w:sz w:val="20"/>
                <w:szCs w:val="20"/>
              </w:rPr>
            </w:pPr>
            <w:r>
              <w:rPr>
                <w:color w:val="000000"/>
                <w:sz w:val="20"/>
                <w:szCs w:val="20"/>
              </w:rPr>
              <w:t>(8,200</w:t>
            </w:r>
          </w:p>
        </w:tc>
        <w:tc>
          <w:tcPr>
            <w:tcW w:w="50" w:type="pct"/>
            <w:shd w:val="clear" w:color="auto" w:fill="CFF0FC"/>
            <w:noWrap/>
            <w:tcMar>
              <w:top w:w="15" w:type="dxa"/>
              <w:left w:w="0" w:type="dxa"/>
              <w:bottom w:w="0" w:type="dxa"/>
              <w:right w:w="15" w:type="dxa"/>
            </w:tcMar>
            <w:vAlign w:val="bottom"/>
            <w:hideMark/>
          </w:tcPr>
          <w:p w14:paraId="3426E935"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14:paraId="53CD6FF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4C5AA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B3E73F1" w14:textId="77777777" w:rsidR="00000000" w:rsidRDefault="0058232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5F28BA9"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70D061E1" w14:textId="77777777">
        <w:trPr>
          <w:divId w:val="1826240181"/>
        </w:trPr>
        <w:tc>
          <w:tcPr>
            <w:tcW w:w="2523" w:type="pct"/>
            <w:shd w:val="clear" w:color="auto" w:fill="FFFFFF"/>
            <w:tcMar>
              <w:top w:w="15" w:type="dxa"/>
              <w:left w:w="0" w:type="dxa"/>
              <w:bottom w:w="0" w:type="dxa"/>
              <w:right w:w="15" w:type="dxa"/>
            </w:tcMar>
            <w:hideMark/>
          </w:tcPr>
          <w:p w14:paraId="0861D57D" w14:textId="77777777" w:rsidR="00000000" w:rsidRDefault="00582324">
            <w:pPr>
              <w:pStyle w:val="a3"/>
              <w:spacing w:before="0" w:beforeAutospacing="0" w:after="0" w:afterAutospacing="0"/>
              <w:rPr>
                <w:b/>
                <w:bCs/>
                <w:color w:val="000000"/>
                <w:sz w:val="20"/>
                <w:szCs w:val="20"/>
              </w:rPr>
            </w:pPr>
            <w:r>
              <w:rPr>
                <w:b/>
                <w:bCs/>
                <w:color w:val="000000"/>
                <w:sz w:val="20"/>
                <w:szCs w:val="20"/>
              </w:rPr>
              <w:t>NET (LOSS) INCOME ATTRIBUTABLE TO COMMON STOCKHOLDERS</w:t>
            </w:r>
          </w:p>
        </w:tc>
        <w:tc>
          <w:tcPr>
            <w:tcW w:w="59" w:type="pct"/>
            <w:shd w:val="clear" w:color="auto" w:fill="FFFFFF"/>
            <w:tcMar>
              <w:top w:w="15" w:type="dxa"/>
              <w:left w:w="0" w:type="dxa"/>
              <w:bottom w:w="0" w:type="dxa"/>
              <w:right w:w="15" w:type="dxa"/>
            </w:tcMar>
            <w:vAlign w:val="bottom"/>
            <w:hideMark/>
          </w:tcPr>
          <w:p w14:paraId="2C47DA3A"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8BB74A"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1A037205"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(18,583</w:t>
            </w:r>
          </w:p>
        </w:tc>
        <w:tc>
          <w:tcPr>
            <w:tcW w:w="50" w:type="pct"/>
            <w:shd w:val="clear" w:color="auto" w:fill="FFFFFF"/>
            <w:noWrap/>
            <w:tcMar>
              <w:top w:w="15" w:type="dxa"/>
              <w:left w:w="0" w:type="dxa"/>
              <w:bottom w:w="0" w:type="dxa"/>
              <w:right w:w="15" w:type="dxa"/>
            </w:tcMar>
            <w:vAlign w:val="bottom"/>
            <w:hideMark/>
          </w:tcPr>
          <w:p w14:paraId="1139DF05"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742D74F1"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EC2F40"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15DD5ABB"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7,580</w:t>
            </w:r>
          </w:p>
        </w:tc>
        <w:tc>
          <w:tcPr>
            <w:tcW w:w="50" w:type="pct"/>
            <w:shd w:val="clear" w:color="auto" w:fill="FFFFFF"/>
            <w:noWrap/>
            <w:tcMar>
              <w:top w:w="15" w:type="dxa"/>
              <w:left w:w="0" w:type="dxa"/>
              <w:bottom w:w="0" w:type="dxa"/>
              <w:right w:w="15" w:type="dxa"/>
            </w:tcMar>
            <w:vAlign w:val="bottom"/>
            <w:hideMark/>
          </w:tcPr>
          <w:p w14:paraId="67EE7F6A"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439AEA49"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1AD820"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5E202CB"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(34,279</w:t>
            </w:r>
          </w:p>
        </w:tc>
        <w:tc>
          <w:tcPr>
            <w:tcW w:w="50" w:type="pct"/>
            <w:shd w:val="clear" w:color="auto" w:fill="FFFFFF"/>
            <w:noWrap/>
            <w:tcMar>
              <w:top w:w="15" w:type="dxa"/>
              <w:left w:w="0" w:type="dxa"/>
              <w:bottom w:w="0" w:type="dxa"/>
              <w:right w:w="15" w:type="dxa"/>
            </w:tcMar>
            <w:vAlign w:val="bottom"/>
            <w:hideMark/>
          </w:tcPr>
          <w:p w14:paraId="4A91DDF1"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58FC493B"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923EBD"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427DBE7D"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(39,083</w:t>
            </w:r>
          </w:p>
        </w:tc>
        <w:tc>
          <w:tcPr>
            <w:tcW w:w="50" w:type="pct"/>
            <w:shd w:val="clear" w:color="auto" w:fill="FFFFFF"/>
            <w:noWrap/>
            <w:tcMar>
              <w:top w:w="15" w:type="dxa"/>
              <w:left w:w="0" w:type="dxa"/>
              <w:bottom w:w="0" w:type="dxa"/>
              <w:right w:w="15" w:type="dxa"/>
            </w:tcMar>
            <w:vAlign w:val="bottom"/>
            <w:hideMark/>
          </w:tcPr>
          <w:p w14:paraId="6D01957A"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r>
      <w:tr w:rsidR="00000000" w14:paraId="5CAAEA51" w14:textId="77777777">
        <w:trPr>
          <w:divId w:val="1826240181"/>
        </w:trPr>
        <w:tc>
          <w:tcPr>
            <w:tcW w:w="2523" w:type="pct"/>
            <w:shd w:val="clear" w:color="auto" w:fill="CFF0FC"/>
            <w:tcMar>
              <w:top w:w="15" w:type="dxa"/>
              <w:left w:w="0" w:type="dxa"/>
              <w:bottom w:w="0" w:type="dxa"/>
              <w:right w:w="15" w:type="dxa"/>
            </w:tcMar>
            <w:hideMark/>
          </w:tcPr>
          <w:p w14:paraId="0547D89F" w14:textId="77777777" w:rsidR="00000000" w:rsidRDefault="00582324">
            <w:pPr>
              <w:pStyle w:val="a3"/>
              <w:spacing w:before="0" w:beforeAutospacing="0" w:after="0" w:afterAutospacing="0"/>
              <w:rPr>
                <w:color w:val="000000"/>
                <w:sz w:val="20"/>
                <w:szCs w:val="20"/>
              </w:rPr>
            </w:pPr>
            <w:r>
              <w:rPr>
                <w:color w:val="000000"/>
                <w:sz w:val="20"/>
                <w:szCs w:val="20"/>
              </w:rPr>
              <w:t>WEIGHTED AVERAGE COMMON SHARES</w:t>
            </w:r>
          </w:p>
          <w:p w14:paraId="304E042F" w14:textId="77777777" w:rsidR="00000000" w:rsidRDefault="00582324">
            <w:pPr>
              <w:pStyle w:val="a3"/>
              <w:spacing w:before="0" w:beforeAutospacing="0" w:after="0" w:afterAutospacing="0"/>
              <w:rPr>
                <w:color w:val="000000"/>
                <w:sz w:val="20"/>
                <w:szCs w:val="20"/>
              </w:rPr>
            </w:pPr>
            <w:r>
              <w:rPr>
                <w:color w:val="000000"/>
                <w:sz w:val="20"/>
                <w:szCs w:val="20"/>
              </w:rPr>
              <w:t>   OUTSTANDING— BASIC</w:t>
            </w:r>
          </w:p>
        </w:tc>
        <w:tc>
          <w:tcPr>
            <w:tcW w:w="59" w:type="pct"/>
            <w:shd w:val="clear" w:color="auto" w:fill="CFF0FC"/>
            <w:tcMar>
              <w:top w:w="15" w:type="dxa"/>
              <w:left w:w="0" w:type="dxa"/>
              <w:bottom w:w="0" w:type="dxa"/>
              <w:right w:w="15" w:type="dxa"/>
            </w:tcMar>
            <w:vAlign w:val="bottom"/>
            <w:hideMark/>
          </w:tcPr>
          <w:p w14:paraId="3C03504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2C498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C0E8D2C" w14:textId="77777777" w:rsidR="00000000" w:rsidRDefault="00582324">
            <w:pPr>
              <w:pStyle w:val="a3"/>
              <w:spacing w:before="0" w:beforeAutospacing="0" w:after="0" w:afterAutospacing="0"/>
              <w:jc w:val="right"/>
              <w:rPr>
                <w:color w:val="000000"/>
                <w:sz w:val="20"/>
                <w:szCs w:val="20"/>
              </w:rPr>
            </w:pPr>
            <w:r>
              <w:rPr>
                <w:color w:val="000000"/>
                <w:sz w:val="20"/>
                <w:szCs w:val="20"/>
              </w:rPr>
              <w:t>26,056</w:t>
            </w:r>
          </w:p>
        </w:tc>
        <w:tc>
          <w:tcPr>
            <w:tcW w:w="50" w:type="pct"/>
            <w:shd w:val="clear" w:color="auto" w:fill="CFF0FC"/>
            <w:noWrap/>
            <w:tcMar>
              <w:top w:w="15" w:type="dxa"/>
              <w:left w:w="0" w:type="dxa"/>
              <w:bottom w:w="0" w:type="dxa"/>
              <w:right w:w="15" w:type="dxa"/>
            </w:tcMar>
            <w:vAlign w:val="bottom"/>
            <w:hideMark/>
          </w:tcPr>
          <w:p w14:paraId="654AC0D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FD54C4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4DD0F6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FA48569" w14:textId="77777777" w:rsidR="00000000" w:rsidRDefault="00582324">
            <w:pPr>
              <w:pStyle w:val="a3"/>
              <w:spacing w:before="0" w:beforeAutospacing="0" w:after="0" w:afterAutospacing="0"/>
              <w:jc w:val="right"/>
              <w:rPr>
                <w:color w:val="000000"/>
                <w:sz w:val="20"/>
                <w:szCs w:val="20"/>
              </w:rPr>
            </w:pPr>
            <w:r>
              <w:rPr>
                <w:color w:val="000000"/>
                <w:sz w:val="20"/>
                <w:szCs w:val="20"/>
              </w:rPr>
              <w:t>10,649</w:t>
            </w:r>
          </w:p>
        </w:tc>
        <w:tc>
          <w:tcPr>
            <w:tcW w:w="50" w:type="pct"/>
            <w:shd w:val="clear" w:color="auto" w:fill="CFF0FC"/>
            <w:noWrap/>
            <w:tcMar>
              <w:top w:w="15" w:type="dxa"/>
              <w:left w:w="0" w:type="dxa"/>
              <w:bottom w:w="0" w:type="dxa"/>
              <w:right w:w="15" w:type="dxa"/>
            </w:tcMar>
            <w:vAlign w:val="bottom"/>
            <w:hideMark/>
          </w:tcPr>
          <w:p w14:paraId="059EE05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3B104EB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BA9247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2E8BC7A" w14:textId="77777777" w:rsidR="00000000" w:rsidRDefault="00582324">
            <w:pPr>
              <w:pStyle w:val="a3"/>
              <w:spacing w:before="0" w:beforeAutospacing="0" w:after="0" w:afterAutospacing="0"/>
              <w:jc w:val="right"/>
              <w:rPr>
                <w:color w:val="000000"/>
                <w:sz w:val="20"/>
                <w:szCs w:val="20"/>
              </w:rPr>
            </w:pPr>
            <w:r>
              <w:rPr>
                <w:color w:val="000000"/>
                <w:sz w:val="20"/>
                <w:szCs w:val="20"/>
              </w:rPr>
              <w:t>25,586</w:t>
            </w:r>
          </w:p>
        </w:tc>
        <w:tc>
          <w:tcPr>
            <w:tcW w:w="50" w:type="pct"/>
            <w:shd w:val="clear" w:color="auto" w:fill="CFF0FC"/>
            <w:noWrap/>
            <w:tcMar>
              <w:top w:w="15" w:type="dxa"/>
              <w:left w:w="0" w:type="dxa"/>
              <w:bottom w:w="0" w:type="dxa"/>
              <w:right w:w="15" w:type="dxa"/>
            </w:tcMar>
            <w:vAlign w:val="bottom"/>
            <w:hideMark/>
          </w:tcPr>
          <w:p w14:paraId="559366A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12D6798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FFF30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E1A1620" w14:textId="77777777" w:rsidR="00000000" w:rsidRDefault="00582324">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CFF0FC"/>
            <w:noWrap/>
            <w:tcMar>
              <w:top w:w="15" w:type="dxa"/>
              <w:left w:w="0" w:type="dxa"/>
              <w:bottom w:w="0" w:type="dxa"/>
              <w:right w:w="15" w:type="dxa"/>
            </w:tcMar>
            <w:vAlign w:val="bottom"/>
            <w:hideMark/>
          </w:tcPr>
          <w:p w14:paraId="69CF9C45"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5CF8BAE0" w14:textId="77777777">
        <w:trPr>
          <w:divId w:val="1826240181"/>
        </w:trPr>
        <w:tc>
          <w:tcPr>
            <w:tcW w:w="2523" w:type="pct"/>
            <w:shd w:val="clear" w:color="auto" w:fill="FFFFFF"/>
            <w:tcMar>
              <w:top w:w="15" w:type="dxa"/>
              <w:left w:w="0" w:type="dxa"/>
              <w:bottom w:w="0" w:type="dxa"/>
              <w:right w:w="15" w:type="dxa"/>
            </w:tcMar>
            <w:hideMark/>
          </w:tcPr>
          <w:p w14:paraId="23EC0ACE" w14:textId="77777777" w:rsidR="00000000" w:rsidRDefault="00582324">
            <w:pPr>
              <w:pStyle w:val="a3"/>
              <w:spacing w:before="0" w:beforeAutospacing="0" w:after="0" w:afterAutospacing="0"/>
              <w:rPr>
                <w:b/>
                <w:bCs/>
                <w:color w:val="000000"/>
                <w:sz w:val="20"/>
                <w:szCs w:val="20"/>
              </w:rPr>
            </w:pPr>
            <w:r>
              <w:rPr>
                <w:b/>
                <w:bCs/>
                <w:color w:val="000000"/>
                <w:sz w:val="20"/>
                <w:szCs w:val="20"/>
              </w:rPr>
              <w:t>NET (LOSS) INCOME PER SHARE ATTRIBUTABLE TO COMMON</w:t>
            </w:r>
          </w:p>
          <w:p w14:paraId="31675176" w14:textId="77777777" w:rsidR="00000000" w:rsidRDefault="00582324">
            <w:pPr>
              <w:pStyle w:val="a3"/>
              <w:spacing w:before="0" w:beforeAutospacing="0" w:after="0" w:afterAutospacing="0"/>
              <w:rPr>
                <w:b/>
                <w:bCs/>
                <w:color w:val="000000"/>
                <w:sz w:val="20"/>
                <w:szCs w:val="20"/>
              </w:rPr>
            </w:pPr>
            <w:r>
              <w:rPr>
                <w:b/>
                <w:bCs/>
                <w:color w:val="000000"/>
                <w:sz w:val="20"/>
                <w:szCs w:val="20"/>
              </w:rPr>
              <w:t>   STOCKHOLDERS— BASIC</w:t>
            </w:r>
          </w:p>
        </w:tc>
        <w:tc>
          <w:tcPr>
            <w:tcW w:w="59" w:type="pct"/>
            <w:shd w:val="clear" w:color="auto" w:fill="FFFFFF"/>
            <w:tcMar>
              <w:top w:w="15" w:type="dxa"/>
              <w:left w:w="0" w:type="dxa"/>
              <w:bottom w:w="0" w:type="dxa"/>
              <w:right w:w="15" w:type="dxa"/>
            </w:tcMar>
            <w:vAlign w:val="bottom"/>
            <w:hideMark/>
          </w:tcPr>
          <w:p w14:paraId="63ACE06D"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2A9727"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F5A00A"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(0.71</w:t>
            </w:r>
          </w:p>
        </w:tc>
        <w:tc>
          <w:tcPr>
            <w:tcW w:w="50" w:type="pct"/>
            <w:shd w:val="clear" w:color="auto" w:fill="FFFFFF"/>
            <w:noWrap/>
            <w:tcMar>
              <w:top w:w="15" w:type="dxa"/>
              <w:left w:w="0" w:type="dxa"/>
              <w:bottom w:w="0" w:type="dxa"/>
              <w:right w:w="15" w:type="dxa"/>
            </w:tcMar>
            <w:vAlign w:val="bottom"/>
            <w:hideMark/>
          </w:tcPr>
          <w:p w14:paraId="400976A0"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4618AD8B"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C68A08"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AA3B42"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0.71</w:t>
            </w:r>
          </w:p>
        </w:tc>
        <w:tc>
          <w:tcPr>
            <w:tcW w:w="50" w:type="pct"/>
            <w:shd w:val="clear" w:color="auto" w:fill="FFFFFF"/>
            <w:noWrap/>
            <w:tcMar>
              <w:top w:w="15" w:type="dxa"/>
              <w:left w:w="0" w:type="dxa"/>
              <w:bottom w:w="0" w:type="dxa"/>
              <w:right w:w="15" w:type="dxa"/>
            </w:tcMar>
            <w:vAlign w:val="bottom"/>
            <w:hideMark/>
          </w:tcPr>
          <w:p w14:paraId="7FB03175"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25665795"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3AAF31"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5FD042"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(1.34</w:t>
            </w:r>
          </w:p>
        </w:tc>
        <w:tc>
          <w:tcPr>
            <w:tcW w:w="50" w:type="pct"/>
            <w:shd w:val="clear" w:color="auto" w:fill="FFFFFF"/>
            <w:noWrap/>
            <w:tcMar>
              <w:top w:w="15" w:type="dxa"/>
              <w:left w:w="0" w:type="dxa"/>
              <w:bottom w:w="0" w:type="dxa"/>
              <w:right w:w="15" w:type="dxa"/>
            </w:tcMar>
            <w:vAlign w:val="bottom"/>
            <w:hideMark/>
          </w:tcPr>
          <w:p w14:paraId="76C52534"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043122B3"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0CD09E"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AC21F4"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(4.02</w:t>
            </w:r>
          </w:p>
        </w:tc>
        <w:tc>
          <w:tcPr>
            <w:tcW w:w="50" w:type="pct"/>
            <w:shd w:val="clear" w:color="auto" w:fill="FFFFFF"/>
            <w:noWrap/>
            <w:tcMar>
              <w:top w:w="15" w:type="dxa"/>
              <w:left w:w="0" w:type="dxa"/>
              <w:bottom w:w="0" w:type="dxa"/>
              <w:right w:w="15" w:type="dxa"/>
            </w:tcMar>
            <w:vAlign w:val="bottom"/>
            <w:hideMark/>
          </w:tcPr>
          <w:p w14:paraId="609F5E7D"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r>
      <w:tr w:rsidR="00000000" w14:paraId="3D231A01" w14:textId="77777777">
        <w:trPr>
          <w:divId w:val="1826240181"/>
        </w:trPr>
        <w:tc>
          <w:tcPr>
            <w:tcW w:w="2523" w:type="pct"/>
            <w:shd w:val="clear" w:color="auto" w:fill="CFF0FC"/>
            <w:tcMar>
              <w:top w:w="15" w:type="dxa"/>
              <w:left w:w="0" w:type="dxa"/>
              <w:bottom w:w="0" w:type="dxa"/>
              <w:right w:w="15" w:type="dxa"/>
            </w:tcMar>
            <w:hideMark/>
          </w:tcPr>
          <w:p w14:paraId="4D25F891" w14:textId="77777777" w:rsidR="00000000" w:rsidRDefault="00582324">
            <w:pPr>
              <w:pStyle w:val="a3"/>
              <w:spacing w:before="0" w:beforeAutospacing="0" w:after="0" w:afterAutospacing="0"/>
              <w:rPr>
                <w:color w:val="000000"/>
                <w:sz w:val="20"/>
                <w:szCs w:val="20"/>
              </w:rPr>
            </w:pPr>
            <w:r>
              <w:rPr>
                <w:color w:val="000000"/>
                <w:sz w:val="20"/>
                <w:szCs w:val="20"/>
              </w:rPr>
              <w:t>WEIGHTED AVERAGE COMMON SHARES</w:t>
            </w:r>
          </w:p>
          <w:p w14:paraId="44BDC0AC" w14:textId="77777777" w:rsidR="00000000" w:rsidRDefault="00582324">
            <w:pPr>
              <w:pStyle w:val="a3"/>
              <w:spacing w:before="0" w:beforeAutospacing="0" w:after="0" w:afterAutospacing="0"/>
              <w:rPr>
                <w:color w:val="000000"/>
                <w:sz w:val="20"/>
                <w:szCs w:val="20"/>
              </w:rPr>
            </w:pPr>
            <w:r>
              <w:rPr>
                <w:color w:val="000000"/>
                <w:sz w:val="20"/>
                <w:szCs w:val="20"/>
              </w:rPr>
              <w:t>   OUTSTANDING— DILUTED</w:t>
            </w:r>
          </w:p>
        </w:tc>
        <w:tc>
          <w:tcPr>
            <w:tcW w:w="59" w:type="pct"/>
            <w:shd w:val="clear" w:color="auto" w:fill="CFF0FC"/>
            <w:tcMar>
              <w:top w:w="15" w:type="dxa"/>
              <w:left w:w="0" w:type="dxa"/>
              <w:bottom w:w="0" w:type="dxa"/>
              <w:right w:w="15" w:type="dxa"/>
            </w:tcMar>
            <w:vAlign w:val="bottom"/>
            <w:hideMark/>
          </w:tcPr>
          <w:p w14:paraId="3E9552D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197B91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4A500B9" w14:textId="77777777" w:rsidR="00000000" w:rsidRDefault="00582324">
            <w:pPr>
              <w:pStyle w:val="a3"/>
              <w:spacing w:before="0" w:beforeAutospacing="0" w:after="0" w:afterAutospacing="0"/>
              <w:jc w:val="right"/>
              <w:rPr>
                <w:color w:val="000000"/>
                <w:sz w:val="20"/>
                <w:szCs w:val="20"/>
              </w:rPr>
            </w:pPr>
            <w:r>
              <w:rPr>
                <w:color w:val="000000"/>
                <w:sz w:val="20"/>
                <w:szCs w:val="20"/>
              </w:rPr>
              <w:t>26,056</w:t>
            </w:r>
          </w:p>
        </w:tc>
        <w:tc>
          <w:tcPr>
            <w:tcW w:w="50" w:type="pct"/>
            <w:shd w:val="clear" w:color="auto" w:fill="CFF0FC"/>
            <w:noWrap/>
            <w:tcMar>
              <w:top w:w="15" w:type="dxa"/>
              <w:left w:w="0" w:type="dxa"/>
              <w:bottom w:w="0" w:type="dxa"/>
              <w:right w:w="15" w:type="dxa"/>
            </w:tcMar>
            <w:vAlign w:val="bottom"/>
            <w:hideMark/>
          </w:tcPr>
          <w:p w14:paraId="391990B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24D1F48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259F46D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6A6EB2B3" w14:textId="77777777" w:rsidR="00000000" w:rsidRDefault="00582324">
            <w:pPr>
              <w:pStyle w:val="a3"/>
              <w:spacing w:before="0" w:beforeAutospacing="0" w:after="0" w:afterAutospacing="0"/>
              <w:jc w:val="right"/>
              <w:rPr>
                <w:color w:val="000000"/>
                <w:sz w:val="20"/>
                <w:szCs w:val="20"/>
              </w:rPr>
            </w:pPr>
            <w:r>
              <w:rPr>
                <w:color w:val="000000"/>
                <w:sz w:val="20"/>
                <w:szCs w:val="20"/>
              </w:rPr>
              <w:t>19,139</w:t>
            </w:r>
          </w:p>
        </w:tc>
        <w:tc>
          <w:tcPr>
            <w:tcW w:w="50" w:type="pct"/>
            <w:shd w:val="clear" w:color="auto" w:fill="CFF0FC"/>
            <w:noWrap/>
            <w:tcMar>
              <w:top w:w="15" w:type="dxa"/>
              <w:left w:w="0" w:type="dxa"/>
              <w:bottom w:w="0" w:type="dxa"/>
              <w:right w:w="15" w:type="dxa"/>
            </w:tcMar>
            <w:vAlign w:val="bottom"/>
            <w:hideMark/>
          </w:tcPr>
          <w:p w14:paraId="33CA672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76E3184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126697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9A85A16" w14:textId="77777777" w:rsidR="00000000" w:rsidRDefault="00582324">
            <w:pPr>
              <w:pStyle w:val="a3"/>
              <w:spacing w:before="0" w:beforeAutospacing="0" w:after="0" w:afterAutospacing="0"/>
              <w:jc w:val="right"/>
              <w:rPr>
                <w:color w:val="000000"/>
                <w:sz w:val="20"/>
                <w:szCs w:val="20"/>
              </w:rPr>
            </w:pPr>
            <w:r>
              <w:rPr>
                <w:color w:val="000000"/>
                <w:sz w:val="20"/>
                <w:szCs w:val="20"/>
              </w:rPr>
              <w:t>25,586</w:t>
            </w:r>
          </w:p>
        </w:tc>
        <w:tc>
          <w:tcPr>
            <w:tcW w:w="50" w:type="pct"/>
            <w:shd w:val="clear" w:color="auto" w:fill="CFF0FC"/>
            <w:noWrap/>
            <w:tcMar>
              <w:top w:w="15" w:type="dxa"/>
              <w:left w:w="0" w:type="dxa"/>
              <w:bottom w:w="0" w:type="dxa"/>
              <w:right w:w="15" w:type="dxa"/>
            </w:tcMar>
            <w:vAlign w:val="bottom"/>
            <w:hideMark/>
          </w:tcPr>
          <w:p w14:paraId="0A94DAC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0B98FE7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767321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1CF85BF1" w14:textId="77777777" w:rsidR="00000000" w:rsidRDefault="00582324">
            <w:pPr>
              <w:pStyle w:val="a3"/>
              <w:spacing w:before="0" w:beforeAutospacing="0" w:after="0" w:afterAutospacing="0"/>
              <w:jc w:val="right"/>
              <w:rPr>
                <w:color w:val="000000"/>
                <w:sz w:val="20"/>
                <w:szCs w:val="20"/>
              </w:rPr>
            </w:pPr>
            <w:r>
              <w:rPr>
                <w:color w:val="000000"/>
                <w:sz w:val="20"/>
                <w:szCs w:val="20"/>
              </w:rPr>
              <w:t>9,718</w:t>
            </w:r>
          </w:p>
        </w:tc>
        <w:tc>
          <w:tcPr>
            <w:tcW w:w="50" w:type="pct"/>
            <w:shd w:val="clear" w:color="auto" w:fill="CFF0FC"/>
            <w:noWrap/>
            <w:tcMar>
              <w:top w:w="15" w:type="dxa"/>
              <w:left w:w="0" w:type="dxa"/>
              <w:bottom w:w="0" w:type="dxa"/>
              <w:right w:w="15" w:type="dxa"/>
            </w:tcMar>
            <w:vAlign w:val="bottom"/>
            <w:hideMark/>
          </w:tcPr>
          <w:p w14:paraId="7EEBF501"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5CDA8AF4" w14:textId="77777777">
        <w:trPr>
          <w:divId w:val="1826240181"/>
        </w:trPr>
        <w:tc>
          <w:tcPr>
            <w:tcW w:w="2523" w:type="pct"/>
            <w:shd w:val="clear" w:color="auto" w:fill="FFFFFF"/>
            <w:tcMar>
              <w:top w:w="15" w:type="dxa"/>
              <w:left w:w="0" w:type="dxa"/>
              <w:bottom w:w="0" w:type="dxa"/>
              <w:right w:w="15" w:type="dxa"/>
            </w:tcMar>
            <w:hideMark/>
          </w:tcPr>
          <w:p w14:paraId="06A96EE9" w14:textId="77777777" w:rsidR="00000000" w:rsidRDefault="00582324">
            <w:pPr>
              <w:pStyle w:val="a3"/>
              <w:spacing w:before="0" w:beforeAutospacing="0" w:after="0" w:afterAutospacing="0"/>
              <w:rPr>
                <w:b/>
                <w:bCs/>
                <w:color w:val="000000"/>
                <w:sz w:val="20"/>
                <w:szCs w:val="20"/>
              </w:rPr>
            </w:pPr>
            <w:r>
              <w:rPr>
                <w:b/>
                <w:bCs/>
                <w:color w:val="000000"/>
                <w:sz w:val="20"/>
                <w:szCs w:val="20"/>
              </w:rPr>
              <w:t>NET (LOSS) INCOME PER SHARE ATTRIBUTABLE TO COMMON</w:t>
            </w:r>
          </w:p>
          <w:p w14:paraId="2D108C41" w14:textId="77777777" w:rsidR="00000000" w:rsidRDefault="00582324">
            <w:pPr>
              <w:pStyle w:val="a3"/>
              <w:spacing w:before="0" w:beforeAutospacing="0" w:after="0" w:afterAutospacing="0"/>
              <w:rPr>
                <w:b/>
                <w:bCs/>
                <w:color w:val="000000"/>
                <w:sz w:val="20"/>
                <w:szCs w:val="20"/>
              </w:rPr>
            </w:pPr>
            <w:r>
              <w:rPr>
                <w:b/>
                <w:bCs/>
                <w:color w:val="000000"/>
                <w:sz w:val="20"/>
                <w:szCs w:val="20"/>
              </w:rPr>
              <w:t>   STOCKHOLDERS— DILUTED</w:t>
            </w:r>
          </w:p>
        </w:tc>
        <w:tc>
          <w:tcPr>
            <w:tcW w:w="59" w:type="pct"/>
            <w:shd w:val="clear" w:color="auto" w:fill="FFFFFF"/>
            <w:tcMar>
              <w:top w:w="15" w:type="dxa"/>
              <w:left w:w="0" w:type="dxa"/>
              <w:bottom w:w="0" w:type="dxa"/>
              <w:right w:w="15" w:type="dxa"/>
            </w:tcMar>
            <w:vAlign w:val="bottom"/>
            <w:hideMark/>
          </w:tcPr>
          <w:p w14:paraId="6EE16883"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734DB1"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7872EA"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(0.71</w:t>
            </w:r>
          </w:p>
        </w:tc>
        <w:tc>
          <w:tcPr>
            <w:tcW w:w="50" w:type="pct"/>
            <w:shd w:val="clear" w:color="auto" w:fill="FFFFFF"/>
            <w:noWrap/>
            <w:tcMar>
              <w:top w:w="15" w:type="dxa"/>
              <w:left w:w="0" w:type="dxa"/>
              <w:bottom w:w="0" w:type="dxa"/>
              <w:right w:w="15" w:type="dxa"/>
            </w:tcMar>
            <w:vAlign w:val="bottom"/>
            <w:hideMark/>
          </w:tcPr>
          <w:p w14:paraId="59DD5F43"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1C9C6888"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62DF0E"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13F805"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0.40</w:t>
            </w:r>
          </w:p>
        </w:tc>
        <w:tc>
          <w:tcPr>
            <w:tcW w:w="50" w:type="pct"/>
            <w:shd w:val="clear" w:color="auto" w:fill="FFFFFF"/>
            <w:noWrap/>
            <w:tcMar>
              <w:top w:w="15" w:type="dxa"/>
              <w:left w:w="0" w:type="dxa"/>
              <w:bottom w:w="0" w:type="dxa"/>
              <w:right w:w="15" w:type="dxa"/>
            </w:tcMar>
            <w:vAlign w:val="bottom"/>
            <w:hideMark/>
          </w:tcPr>
          <w:p w14:paraId="041ED327"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14:paraId="2D9731E5"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61F6E9"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49FE84"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(1.34</w:t>
            </w:r>
          </w:p>
        </w:tc>
        <w:tc>
          <w:tcPr>
            <w:tcW w:w="50" w:type="pct"/>
            <w:shd w:val="clear" w:color="auto" w:fill="FFFFFF"/>
            <w:noWrap/>
            <w:tcMar>
              <w:top w:w="15" w:type="dxa"/>
              <w:left w:w="0" w:type="dxa"/>
              <w:bottom w:w="0" w:type="dxa"/>
              <w:right w:w="15" w:type="dxa"/>
            </w:tcMar>
            <w:vAlign w:val="bottom"/>
            <w:hideMark/>
          </w:tcPr>
          <w:p w14:paraId="32B5FECC"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14:paraId="0AFCA0DE"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B42670"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335C98" w14:textId="77777777" w:rsidR="00000000" w:rsidRDefault="00582324">
            <w:pPr>
              <w:pStyle w:val="a3"/>
              <w:spacing w:before="0" w:beforeAutospacing="0" w:after="0" w:afterAutospacing="0"/>
              <w:jc w:val="right"/>
              <w:rPr>
                <w:b/>
                <w:bCs/>
                <w:color w:val="000000"/>
                <w:sz w:val="20"/>
                <w:szCs w:val="20"/>
              </w:rPr>
            </w:pPr>
            <w:r>
              <w:rPr>
                <w:b/>
                <w:bCs/>
                <w:color w:val="000000"/>
                <w:sz w:val="20"/>
                <w:szCs w:val="20"/>
              </w:rPr>
              <w:t>(4.02</w:t>
            </w:r>
          </w:p>
        </w:tc>
        <w:tc>
          <w:tcPr>
            <w:tcW w:w="50" w:type="pct"/>
            <w:shd w:val="clear" w:color="auto" w:fill="FFFFFF"/>
            <w:noWrap/>
            <w:tcMar>
              <w:top w:w="15" w:type="dxa"/>
              <w:left w:w="0" w:type="dxa"/>
              <w:bottom w:w="0" w:type="dxa"/>
              <w:right w:w="15" w:type="dxa"/>
            </w:tcMar>
            <w:vAlign w:val="bottom"/>
            <w:hideMark/>
          </w:tcPr>
          <w:p w14:paraId="17741F1E" w14:textId="77777777" w:rsidR="00000000" w:rsidRDefault="00582324">
            <w:pPr>
              <w:pStyle w:val="a3"/>
              <w:spacing w:before="0" w:beforeAutospacing="0" w:after="0" w:afterAutospacing="0"/>
              <w:rPr>
                <w:b/>
                <w:bCs/>
                <w:color w:val="000000"/>
                <w:sz w:val="20"/>
                <w:szCs w:val="20"/>
              </w:rPr>
            </w:pPr>
            <w:r>
              <w:rPr>
                <w:b/>
                <w:bCs/>
                <w:color w:val="000000"/>
                <w:sz w:val="20"/>
                <w:szCs w:val="20"/>
              </w:rPr>
              <w:t>)</w:t>
            </w:r>
          </w:p>
        </w:tc>
      </w:tr>
    </w:tbl>
    <w:p w14:paraId="4711904D" w14:textId="77777777" w:rsidR="00000000" w:rsidRDefault="00582324">
      <w:pPr>
        <w:pStyle w:val="a3"/>
        <w:spacing w:before="0" w:beforeAutospacing="0" w:after="0" w:afterAutospacing="0"/>
        <w:jc w:val="center"/>
        <w:rPr>
          <w:sz w:val="20"/>
          <w:szCs w:val="20"/>
        </w:rPr>
      </w:pPr>
      <w:r>
        <w:rPr>
          <w:sz w:val="20"/>
          <w:szCs w:val="20"/>
        </w:rPr>
        <w:t> </w:t>
      </w:r>
    </w:p>
    <w:p w14:paraId="07D9B5C3" w14:textId="77777777" w:rsidR="00000000" w:rsidRDefault="00582324">
      <w:pPr>
        <w:pStyle w:val="a3"/>
        <w:spacing w:before="0" w:beforeAutospacing="0" w:after="0" w:afterAutospacing="0"/>
        <w:rPr>
          <w:sz w:val="20"/>
          <w:szCs w:val="20"/>
        </w:rPr>
      </w:pPr>
      <w:r>
        <w:rPr>
          <w:sz w:val="20"/>
          <w:szCs w:val="20"/>
        </w:rPr>
        <w:t> </w:t>
      </w:r>
    </w:p>
    <w:p w14:paraId="461EC0DF" w14:textId="77777777" w:rsidR="00000000" w:rsidRDefault="00582324">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p>
    <w:p w14:paraId="24DA0C58" w14:textId="77777777" w:rsidR="00000000" w:rsidRDefault="00582324">
      <w:pPr>
        <w:pStyle w:val="a3"/>
        <w:spacing w:before="240" w:beforeAutospacing="0" w:after="0" w:afterAutospacing="0"/>
        <w:jc w:val="center"/>
        <w:rPr>
          <w:sz w:val="20"/>
          <w:szCs w:val="20"/>
        </w:rPr>
      </w:pPr>
      <w:r>
        <w:rPr>
          <w:sz w:val="20"/>
          <w:szCs w:val="20"/>
        </w:rPr>
        <w:t>2</w:t>
      </w:r>
    </w:p>
    <w:p w14:paraId="5C1863EF" w14:textId="77777777" w:rsidR="00000000" w:rsidRDefault="00582324">
      <w:pPr>
        <w:rPr>
          <w:rFonts w:eastAsia="Times New Roman"/>
        </w:rPr>
      </w:pPr>
      <w:r>
        <w:rPr>
          <w:rFonts w:eastAsia="Times New Roman"/>
        </w:rPr>
        <w:pict w14:anchorId="7805C71E">
          <v:rect id="_x0000_i1028" style="width:0;height:1.5pt" o:hralign="center" o:hrstd="t" o:hr="t" fillcolor="#a0a0a0" stroked="f"/>
        </w:pict>
      </w:r>
    </w:p>
    <w:p w14:paraId="2EBEAB1B" w14:textId="77777777" w:rsidR="00000000" w:rsidRDefault="00582324">
      <w:pPr>
        <w:pStyle w:val="a3"/>
        <w:spacing w:before="0" w:beforeAutospacing="0" w:after="0" w:afterAutospacing="0"/>
        <w:rPr>
          <w:sz w:val="20"/>
          <w:szCs w:val="20"/>
        </w:rPr>
      </w:pPr>
      <w:r>
        <w:rPr>
          <w:sz w:val="20"/>
          <w:szCs w:val="20"/>
        </w:rPr>
        <w:t> </w:t>
      </w:r>
    </w:p>
    <w:p w14:paraId="63B6F822" w14:textId="77777777" w:rsidR="00000000" w:rsidRDefault="00582324">
      <w:pPr>
        <w:pStyle w:val="a3"/>
        <w:spacing w:before="0" w:beforeAutospacing="0" w:after="0" w:afterAutospacing="0"/>
        <w:rPr>
          <w:sz w:val="20"/>
          <w:szCs w:val="20"/>
        </w:rPr>
      </w:pPr>
      <w:r>
        <w:rPr>
          <w:sz w:val="20"/>
          <w:szCs w:val="20"/>
        </w:rPr>
        <w:t> </w:t>
      </w:r>
    </w:p>
    <w:p w14:paraId="7D5A1B92" w14:textId="77777777" w:rsidR="00000000" w:rsidRDefault="00582324">
      <w:pPr>
        <w:pStyle w:val="a3"/>
        <w:spacing w:before="0" w:beforeAutospacing="0" w:after="0" w:afterAutospacing="0"/>
        <w:rPr>
          <w:sz w:val="2"/>
          <w:szCs w:val="2"/>
        </w:rPr>
      </w:pPr>
      <w:r>
        <w:rPr>
          <w:sz w:val="2"/>
          <w:szCs w:val="2"/>
        </w:rPr>
        <w:t> </w:t>
      </w:r>
    </w:p>
    <w:p w14:paraId="04E0AD79"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MONTROSE ENVIRONMENTAL GROUP, INC.</w:t>
      </w:r>
    </w:p>
    <w:p w14:paraId="3A6BB121"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 xml:space="preserve">UNAUDITED CONDENSED CONSOLIDATED STATEMENTS OF REDEEMABLE SERIES A-1 </w:t>
      </w:r>
      <w:r>
        <w:rPr>
          <w:b/>
          <w:bCs/>
          <w:color w:val="000000"/>
          <w:sz w:val="20"/>
          <w:szCs w:val="20"/>
        </w:rPr>
        <w:t xml:space="preserve">PREFERRED STOCK, CONVERTIBLE AND REDEEMABLE SERIES A-2 PREFERRED STOCK AND STOCKHOLDERS’ (DEFICIT) EQUITY </w:t>
      </w:r>
    </w:p>
    <w:p w14:paraId="50772557"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(In thousands, except share data)</w:t>
      </w:r>
    </w:p>
    <w:p w14:paraId="05E05918" w14:textId="77777777" w:rsidR="00000000" w:rsidRDefault="00582324">
      <w:pPr>
        <w:pStyle w:val="a3"/>
        <w:spacing w:before="0" w:beforeAutospacing="0" w:after="0" w:afterAutospacing="0"/>
        <w:rPr>
          <w:sz w:val="20"/>
          <w:szCs w:val="20"/>
        </w:rPr>
      </w:pPr>
      <w:r>
        <w:rPr>
          <w:sz w:val="20"/>
          <w:szCs w:val="20"/>
        </w:rPr>
        <w:t> </w:t>
      </w:r>
    </w:p>
    <w:p w14:paraId="0AC6A312" w14:textId="77777777" w:rsidR="00000000" w:rsidRDefault="00582324">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943"/>
        <w:gridCol w:w="50"/>
        <w:gridCol w:w="50"/>
        <w:gridCol w:w="400"/>
        <w:gridCol w:w="50"/>
        <w:gridCol w:w="50"/>
        <w:gridCol w:w="85"/>
        <w:gridCol w:w="470"/>
        <w:gridCol w:w="50"/>
        <w:gridCol w:w="50"/>
        <w:gridCol w:w="50"/>
        <w:gridCol w:w="400"/>
        <w:gridCol w:w="50"/>
        <w:gridCol w:w="50"/>
        <w:gridCol w:w="85"/>
        <w:gridCol w:w="470"/>
        <w:gridCol w:w="50"/>
        <w:gridCol w:w="50"/>
        <w:gridCol w:w="50"/>
        <w:gridCol w:w="50"/>
        <w:gridCol w:w="645"/>
        <w:gridCol w:w="50"/>
        <w:gridCol w:w="50"/>
        <w:gridCol w:w="86"/>
        <w:gridCol w:w="431"/>
        <w:gridCol w:w="50"/>
        <w:gridCol w:w="97"/>
        <w:gridCol w:w="556"/>
        <w:gridCol w:w="62"/>
        <w:gridCol w:w="119"/>
        <w:gridCol w:w="690"/>
        <w:gridCol w:w="62"/>
        <w:gridCol w:w="101"/>
        <w:gridCol w:w="848"/>
        <w:gridCol w:w="62"/>
        <w:gridCol w:w="123"/>
        <w:gridCol w:w="709"/>
        <w:gridCol w:w="62"/>
      </w:tblGrid>
      <w:tr w:rsidR="00582324" w14:paraId="4E7C8914" w14:textId="77777777">
        <w:trPr>
          <w:divId w:val="1774744062"/>
        </w:trPr>
        <w:tc>
          <w:tcPr>
            <w:tcW w:w="790" w:type="pct"/>
            <w:shd w:val="clear" w:color="auto" w:fill="FFFFFF"/>
            <w:tcMar>
              <w:top w:w="15" w:type="dxa"/>
              <w:left w:w="0" w:type="dxa"/>
              <w:bottom w:w="0" w:type="dxa"/>
              <w:right w:w="15" w:type="dxa"/>
            </w:tcMar>
            <w:vAlign w:val="bottom"/>
            <w:hideMark/>
          </w:tcPr>
          <w:p w14:paraId="016AA99B" w14:textId="77777777" w:rsidR="00000000" w:rsidRDefault="00582324">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3F95E65"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0A746A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C4E1A5B"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B55FCE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CD44730"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6BC06C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65BFFF1"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27694B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A3349D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CA429B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0E09024"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206A64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42676C6"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2A7303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2F1A736"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BA8BEC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3AB8B0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701178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FF098A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C1CBC7F"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57823C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D01B31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53FF70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1F4D5FC"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8C1E39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143DBE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3594AC0"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9562F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01A46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B0D9A28"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3DF989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70" w:type="pct"/>
            <w:gridSpan w:val="2"/>
            <w:shd w:val="clear" w:color="auto" w:fill="FFFFFF"/>
            <w:tcMar>
              <w:top w:w="15" w:type="dxa"/>
              <w:left w:w="0" w:type="dxa"/>
              <w:bottom w:w="0" w:type="dxa"/>
              <w:right w:w="15" w:type="dxa"/>
            </w:tcMar>
            <w:vAlign w:val="bottom"/>
            <w:hideMark/>
          </w:tcPr>
          <w:p w14:paraId="53EEC60E"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0A30ED1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shd w:val="clear" w:color="auto" w:fill="FFFFFF"/>
            <w:tcMar>
              <w:top w:w="15" w:type="dxa"/>
              <w:left w:w="0" w:type="dxa"/>
              <w:bottom w:w="0" w:type="dxa"/>
              <w:right w:w="15" w:type="dxa"/>
            </w:tcMar>
            <w:vAlign w:val="bottom"/>
            <w:hideMark/>
          </w:tcPr>
          <w:p w14:paraId="120360D2"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Total</w:t>
            </w:r>
          </w:p>
        </w:tc>
        <w:tc>
          <w:tcPr>
            <w:tcW w:w="50" w:type="pct"/>
            <w:shd w:val="clear" w:color="auto" w:fill="FFFFFF"/>
            <w:noWrap/>
            <w:tcMar>
              <w:top w:w="15" w:type="dxa"/>
              <w:left w:w="0" w:type="dxa"/>
              <w:bottom w:w="0" w:type="dxa"/>
              <w:right w:w="15" w:type="dxa"/>
            </w:tcMar>
            <w:vAlign w:val="bottom"/>
            <w:hideMark/>
          </w:tcPr>
          <w:p w14:paraId="26A6223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000000" w14:paraId="4D52E67E" w14:textId="77777777">
        <w:trPr>
          <w:divId w:val="1774744062"/>
        </w:trPr>
        <w:tc>
          <w:tcPr>
            <w:tcW w:w="790" w:type="pct"/>
            <w:shd w:val="clear" w:color="auto" w:fill="FFFFFF"/>
            <w:tcMar>
              <w:top w:w="15" w:type="dxa"/>
              <w:left w:w="0" w:type="dxa"/>
              <w:bottom w:w="0" w:type="dxa"/>
              <w:right w:w="15" w:type="dxa"/>
            </w:tcMar>
            <w:vAlign w:val="bottom"/>
            <w:hideMark/>
          </w:tcPr>
          <w:p w14:paraId="1AA394F7"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0969343"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757" w:type="pct"/>
            <w:gridSpan w:val="6"/>
            <w:shd w:val="clear" w:color="auto" w:fill="FFFFFF"/>
            <w:tcMar>
              <w:top w:w="15" w:type="dxa"/>
              <w:left w:w="0" w:type="dxa"/>
              <w:bottom w:w="0" w:type="dxa"/>
              <w:right w:w="15" w:type="dxa"/>
            </w:tcMar>
            <w:vAlign w:val="bottom"/>
            <w:hideMark/>
          </w:tcPr>
          <w:p w14:paraId="7B9C2869"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Redeemable Series A-1</w:t>
            </w:r>
          </w:p>
        </w:tc>
        <w:tc>
          <w:tcPr>
            <w:tcW w:w="50" w:type="pct"/>
            <w:shd w:val="clear" w:color="auto" w:fill="FFFFFF"/>
            <w:noWrap/>
            <w:tcMar>
              <w:top w:w="15" w:type="dxa"/>
              <w:left w:w="0" w:type="dxa"/>
              <w:bottom w:w="0" w:type="dxa"/>
              <w:right w:w="15" w:type="dxa"/>
            </w:tcMar>
            <w:vAlign w:val="bottom"/>
            <w:hideMark/>
          </w:tcPr>
          <w:p w14:paraId="30C7316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4BE9CD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757" w:type="pct"/>
            <w:gridSpan w:val="6"/>
            <w:shd w:val="clear" w:color="auto" w:fill="FFFFFF"/>
            <w:tcMar>
              <w:top w:w="15" w:type="dxa"/>
              <w:left w:w="0" w:type="dxa"/>
              <w:bottom w:w="0" w:type="dxa"/>
              <w:right w:w="15" w:type="dxa"/>
            </w:tcMar>
            <w:vAlign w:val="bottom"/>
            <w:hideMark/>
          </w:tcPr>
          <w:p w14:paraId="7F950527"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Convertible and Redeemable</w:t>
            </w:r>
          </w:p>
        </w:tc>
        <w:tc>
          <w:tcPr>
            <w:tcW w:w="50" w:type="pct"/>
            <w:shd w:val="clear" w:color="auto" w:fill="FFFFFF"/>
            <w:noWrap/>
            <w:tcMar>
              <w:top w:w="15" w:type="dxa"/>
              <w:left w:w="0" w:type="dxa"/>
              <w:bottom w:w="0" w:type="dxa"/>
              <w:right w:w="15" w:type="dxa"/>
            </w:tcMar>
            <w:vAlign w:val="bottom"/>
            <w:hideMark/>
          </w:tcPr>
          <w:p w14:paraId="12F3A9D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28C6B27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9BA06A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09F0D9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0D82AAD"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FE9EEC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C79865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2430E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07480E2"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8120B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4D0D25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A212BFF"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5A1881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EDB10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9ACD32D"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62E2E5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70" w:type="pct"/>
            <w:gridSpan w:val="2"/>
            <w:shd w:val="clear" w:color="auto" w:fill="FFFFFF"/>
            <w:tcMar>
              <w:top w:w="15" w:type="dxa"/>
              <w:left w:w="0" w:type="dxa"/>
              <w:bottom w:w="0" w:type="dxa"/>
              <w:right w:w="15" w:type="dxa"/>
            </w:tcMar>
            <w:vAlign w:val="bottom"/>
            <w:hideMark/>
          </w:tcPr>
          <w:p w14:paraId="74B42334"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Other</w:t>
            </w:r>
          </w:p>
        </w:tc>
        <w:tc>
          <w:tcPr>
            <w:tcW w:w="50" w:type="pct"/>
            <w:shd w:val="clear" w:color="auto" w:fill="FFFFFF"/>
            <w:noWrap/>
            <w:tcMar>
              <w:top w:w="15" w:type="dxa"/>
              <w:left w:w="0" w:type="dxa"/>
              <w:bottom w:w="0" w:type="dxa"/>
              <w:right w:w="15" w:type="dxa"/>
            </w:tcMar>
            <w:vAlign w:val="bottom"/>
            <w:hideMark/>
          </w:tcPr>
          <w:p w14:paraId="3DB7882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shd w:val="clear" w:color="auto" w:fill="FFFFFF"/>
            <w:tcMar>
              <w:top w:w="15" w:type="dxa"/>
              <w:left w:w="0" w:type="dxa"/>
              <w:bottom w:w="0" w:type="dxa"/>
              <w:right w:w="15" w:type="dxa"/>
            </w:tcMar>
            <w:vAlign w:val="bottom"/>
            <w:hideMark/>
          </w:tcPr>
          <w:p w14:paraId="44EF79EA"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Stockholders'</w:t>
            </w:r>
          </w:p>
        </w:tc>
        <w:tc>
          <w:tcPr>
            <w:tcW w:w="50" w:type="pct"/>
            <w:shd w:val="clear" w:color="auto" w:fill="FFFFFF"/>
            <w:noWrap/>
            <w:tcMar>
              <w:top w:w="15" w:type="dxa"/>
              <w:left w:w="0" w:type="dxa"/>
              <w:bottom w:w="0" w:type="dxa"/>
              <w:right w:w="15" w:type="dxa"/>
            </w:tcMar>
            <w:vAlign w:val="bottom"/>
            <w:hideMark/>
          </w:tcPr>
          <w:p w14:paraId="3224EAD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000000" w14:paraId="7E9290D9" w14:textId="77777777">
        <w:trPr>
          <w:divId w:val="1774744062"/>
        </w:trPr>
        <w:tc>
          <w:tcPr>
            <w:tcW w:w="790" w:type="pct"/>
            <w:shd w:val="clear" w:color="auto" w:fill="FFFFFF"/>
            <w:tcMar>
              <w:top w:w="15" w:type="dxa"/>
              <w:left w:w="0" w:type="dxa"/>
              <w:bottom w:w="0" w:type="dxa"/>
              <w:right w:w="15" w:type="dxa"/>
            </w:tcMar>
            <w:vAlign w:val="bottom"/>
            <w:hideMark/>
          </w:tcPr>
          <w:p w14:paraId="0061512F"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07430A5"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14:paraId="747B0919"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Preferred Stock</w:t>
            </w:r>
          </w:p>
        </w:tc>
        <w:tc>
          <w:tcPr>
            <w:tcW w:w="50" w:type="pct"/>
            <w:shd w:val="clear" w:color="auto" w:fill="FFFFFF"/>
            <w:noWrap/>
            <w:tcMar>
              <w:top w:w="15" w:type="dxa"/>
              <w:left w:w="0" w:type="dxa"/>
              <w:bottom w:w="0" w:type="dxa"/>
              <w:right w:w="15" w:type="dxa"/>
            </w:tcMar>
            <w:vAlign w:val="bottom"/>
            <w:hideMark/>
          </w:tcPr>
          <w:p w14:paraId="2F19068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E1C726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14:paraId="545D17C8"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Series A-2 Preferred Stock</w:t>
            </w:r>
          </w:p>
        </w:tc>
        <w:tc>
          <w:tcPr>
            <w:tcW w:w="50" w:type="pct"/>
            <w:shd w:val="clear" w:color="auto" w:fill="FFFFFF"/>
            <w:noWrap/>
            <w:tcMar>
              <w:top w:w="15" w:type="dxa"/>
              <w:left w:w="0" w:type="dxa"/>
              <w:bottom w:w="0" w:type="dxa"/>
              <w:right w:w="15" w:type="dxa"/>
            </w:tcMar>
            <w:vAlign w:val="bottom"/>
            <w:hideMark/>
          </w:tcPr>
          <w:p w14:paraId="1266290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43FBA9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4BE5372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757" w:type="pct"/>
            <w:gridSpan w:val="6"/>
            <w:tcBorders>
              <w:bottom w:val="single" w:sz="6" w:space="0" w:color="000000"/>
            </w:tcBorders>
            <w:shd w:val="clear" w:color="auto" w:fill="FFFFFF"/>
            <w:tcMar>
              <w:top w:w="15" w:type="dxa"/>
              <w:left w:w="0" w:type="dxa"/>
              <w:bottom w:w="0" w:type="dxa"/>
              <w:right w:w="15" w:type="dxa"/>
            </w:tcMar>
            <w:vAlign w:val="bottom"/>
            <w:hideMark/>
          </w:tcPr>
          <w:p w14:paraId="33818AFE"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Common Stock</w:t>
            </w:r>
          </w:p>
        </w:tc>
        <w:tc>
          <w:tcPr>
            <w:tcW w:w="50" w:type="pct"/>
            <w:shd w:val="clear" w:color="auto" w:fill="FFFFFF"/>
            <w:noWrap/>
            <w:tcMar>
              <w:top w:w="15" w:type="dxa"/>
              <w:left w:w="0" w:type="dxa"/>
              <w:bottom w:w="0" w:type="dxa"/>
              <w:right w:w="15" w:type="dxa"/>
            </w:tcMar>
            <w:vAlign w:val="bottom"/>
            <w:hideMark/>
          </w:tcPr>
          <w:p w14:paraId="0BBDF21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shd w:val="clear" w:color="auto" w:fill="FFFFFF"/>
            <w:tcMar>
              <w:top w:w="15" w:type="dxa"/>
              <w:left w:w="0" w:type="dxa"/>
              <w:bottom w:w="0" w:type="dxa"/>
              <w:right w:w="15" w:type="dxa"/>
            </w:tcMar>
            <w:vAlign w:val="bottom"/>
            <w:hideMark/>
          </w:tcPr>
          <w:p w14:paraId="10FE1316"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Additional</w:t>
            </w:r>
          </w:p>
        </w:tc>
        <w:tc>
          <w:tcPr>
            <w:tcW w:w="50" w:type="pct"/>
            <w:shd w:val="clear" w:color="auto" w:fill="FFFFFF"/>
            <w:noWrap/>
            <w:tcMar>
              <w:top w:w="15" w:type="dxa"/>
              <w:left w:w="0" w:type="dxa"/>
              <w:bottom w:w="0" w:type="dxa"/>
              <w:right w:w="15" w:type="dxa"/>
            </w:tcMar>
            <w:vAlign w:val="bottom"/>
            <w:hideMark/>
          </w:tcPr>
          <w:p w14:paraId="7E2EF09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shd w:val="clear" w:color="auto" w:fill="FFFFFF"/>
            <w:tcMar>
              <w:top w:w="15" w:type="dxa"/>
              <w:left w:w="0" w:type="dxa"/>
              <w:bottom w:w="0" w:type="dxa"/>
              <w:right w:w="15" w:type="dxa"/>
            </w:tcMar>
            <w:vAlign w:val="bottom"/>
            <w:hideMark/>
          </w:tcPr>
          <w:p w14:paraId="69D069CE"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Accumulated</w:t>
            </w:r>
          </w:p>
        </w:tc>
        <w:tc>
          <w:tcPr>
            <w:tcW w:w="50" w:type="pct"/>
            <w:shd w:val="clear" w:color="auto" w:fill="FFFFFF"/>
            <w:noWrap/>
            <w:tcMar>
              <w:top w:w="15" w:type="dxa"/>
              <w:left w:w="0" w:type="dxa"/>
              <w:bottom w:w="0" w:type="dxa"/>
              <w:right w:w="15" w:type="dxa"/>
            </w:tcMar>
            <w:vAlign w:val="bottom"/>
            <w:hideMark/>
          </w:tcPr>
          <w:p w14:paraId="7B77F06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70" w:type="pct"/>
            <w:gridSpan w:val="2"/>
            <w:shd w:val="clear" w:color="auto" w:fill="FFFFFF"/>
            <w:tcMar>
              <w:top w:w="15" w:type="dxa"/>
              <w:left w:w="0" w:type="dxa"/>
              <w:bottom w:w="0" w:type="dxa"/>
              <w:right w:w="15" w:type="dxa"/>
            </w:tcMar>
            <w:vAlign w:val="bottom"/>
            <w:hideMark/>
          </w:tcPr>
          <w:p w14:paraId="434EA730"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Comprehensive</w:t>
            </w:r>
          </w:p>
        </w:tc>
        <w:tc>
          <w:tcPr>
            <w:tcW w:w="50" w:type="pct"/>
            <w:shd w:val="clear" w:color="auto" w:fill="FFFFFF"/>
            <w:noWrap/>
            <w:tcMar>
              <w:top w:w="15" w:type="dxa"/>
              <w:left w:w="0" w:type="dxa"/>
              <w:bottom w:w="0" w:type="dxa"/>
              <w:right w:w="15" w:type="dxa"/>
            </w:tcMar>
            <w:vAlign w:val="bottom"/>
            <w:hideMark/>
          </w:tcPr>
          <w:p w14:paraId="3B70BB5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shd w:val="clear" w:color="auto" w:fill="FFFFFF"/>
            <w:tcMar>
              <w:top w:w="15" w:type="dxa"/>
              <w:left w:w="0" w:type="dxa"/>
              <w:bottom w:w="0" w:type="dxa"/>
              <w:right w:w="15" w:type="dxa"/>
            </w:tcMar>
            <w:vAlign w:val="bottom"/>
            <w:hideMark/>
          </w:tcPr>
          <w:p w14:paraId="6ED10AAB"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6493362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582324" w14:paraId="2363161D" w14:textId="77777777">
        <w:trPr>
          <w:divId w:val="1774744062"/>
        </w:trPr>
        <w:tc>
          <w:tcPr>
            <w:tcW w:w="790" w:type="pct"/>
            <w:shd w:val="clear" w:color="auto" w:fill="FFFFFF"/>
            <w:tcMar>
              <w:top w:w="15" w:type="dxa"/>
              <w:left w:w="0" w:type="dxa"/>
              <w:bottom w:w="0" w:type="dxa"/>
              <w:right w:w="15" w:type="dxa"/>
            </w:tcMar>
            <w:vAlign w:val="bottom"/>
            <w:hideMark/>
          </w:tcPr>
          <w:p w14:paraId="57CBC4A0"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F430844"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A0DFE3"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7BB9D05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227B9C3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258DD3"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6ABEC44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37D802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A98119"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31CA99B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478B2A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6AF6C7"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538A140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732EFAF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6C5E352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29591A"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Shares</w:t>
            </w:r>
          </w:p>
        </w:tc>
        <w:tc>
          <w:tcPr>
            <w:tcW w:w="50" w:type="pct"/>
            <w:shd w:val="clear" w:color="auto" w:fill="FFFFFF"/>
            <w:noWrap/>
            <w:tcMar>
              <w:top w:w="15" w:type="dxa"/>
              <w:left w:w="0" w:type="dxa"/>
              <w:bottom w:w="0" w:type="dxa"/>
              <w:right w:w="15" w:type="dxa"/>
            </w:tcMar>
            <w:vAlign w:val="bottom"/>
            <w:hideMark/>
          </w:tcPr>
          <w:p w14:paraId="4E4C2F1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BB817F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7C53EB"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Amount</w:t>
            </w:r>
          </w:p>
        </w:tc>
        <w:tc>
          <w:tcPr>
            <w:tcW w:w="50" w:type="pct"/>
            <w:shd w:val="clear" w:color="auto" w:fill="FFFFFF"/>
            <w:noWrap/>
            <w:tcMar>
              <w:top w:w="15" w:type="dxa"/>
              <w:left w:w="0" w:type="dxa"/>
              <w:bottom w:w="0" w:type="dxa"/>
              <w:right w:w="15" w:type="dxa"/>
            </w:tcMar>
            <w:vAlign w:val="bottom"/>
            <w:hideMark/>
          </w:tcPr>
          <w:p w14:paraId="7CAC3B8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bottom w:val="single" w:sz="6" w:space="0" w:color="000000"/>
            </w:tcBorders>
            <w:shd w:val="clear" w:color="auto" w:fill="FFFFFF"/>
            <w:tcMar>
              <w:top w:w="15" w:type="dxa"/>
              <w:left w:w="0" w:type="dxa"/>
              <w:bottom w:w="0" w:type="dxa"/>
              <w:right w:w="15" w:type="dxa"/>
            </w:tcMar>
            <w:vAlign w:val="bottom"/>
            <w:hideMark/>
          </w:tcPr>
          <w:p w14:paraId="7673BB99"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Paid-In Capital</w:t>
            </w:r>
          </w:p>
        </w:tc>
        <w:tc>
          <w:tcPr>
            <w:tcW w:w="50" w:type="pct"/>
            <w:shd w:val="clear" w:color="auto" w:fill="FFFFFF"/>
            <w:noWrap/>
            <w:tcMar>
              <w:top w:w="15" w:type="dxa"/>
              <w:left w:w="0" w:type="dxa"/>
              <w:bottom w:w="0" w:type="dxa"/>
              <w:right w:w="15" w:type="dxa"/>
            </w:tcMar>
            <w:vAlign w:val="bottom"/>
            <w:hideMark/>
          </w:tcPr>
          <w:p w14:paraId="50F0C09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bottom w:val="single" w:sz="6" w:space="0" w:color="000000"/>
            </w:tcBorders>
            <w:shd w:val="clear" w:color="auto" w:fill="FFFFFF"/>
            <w:tcMar>
              <w:top w:w="15" w:type="dxa"/>
              <w:left w:w="0" w:type="dxa"/>
              <w:bottom w:w="0" w:type="dxa"/>
              <w:right w:w="15" w:type="dxa"/>
            </w:tcMar>
            <w:vAlign w:val="bottom"/>
            <w:hideMark/>
          </w:tcPr>
          <w:p w14:paraId="3F1A0D65"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Deficit</w:t>
            </w:r>
          </w:p>
        </w:tc>
        <w:tc>
          <w:tcPr>
            <w:tcW w:w="50" w:type="pct"/>
            <w:shd w:val="clear" w:color="auto" w:fill="FFFFFF"/>
            <w:noWrap/>
            <w:tcMar>
              <w:top w:w="15" w:type="dxa"/>
              <w:left w:w="0" w:type="dxa"/>
              <w:bottom w:w="0" w:type="dxa"/>
              <w:right w:w="15" w:type="dxa"/>
            </w:tcMar>
            <w:vAlign w:val="bottom"/>
            <w:hideMark/>
          </w:tcPr>
          <w:p w14:paraId="6580A4A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14:paraId="133A312E"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(Loss) Income</w:t>
            </w:r>
          </w:p>
        </w:tc>
        <w:tc>
          <w:tcPr>
            <w:tcW w:w="50" w:type="pct"/>
            <w:shd w:val="clear" w:color="auto" w:fill="FFFFFF"/>
            <w:noWrap/>
            <w:tcMar>
              <w:top w:w="15" w:type="dxa"/>
              <w:left w:w="0" w:type="dxa"/>
              <w:bottom w:w="0" w:type="dxa"/>
              <w:right w:w="15" w:type="dxa"/>
            </w:tcMar>
            <w:vAlign w:val="bottom"/>
            <w:hideMark/>
          </w:tcPr>
          <w:p w14:paraId="3A7D6B4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340" w:type="pct"/>
            <w:gridSpan w:val="2"/>
            <w:tcBorders>
              <w:bottom w:val="single" w:sz="6" w:space="0" w:color="000000"/>
            </w:tcBorders>
            <w:shd w:val="clear" w:color="auto" w:fill="FFFFFF"/>
            <w:tcMar>
              <w:top w:w="15" w:type="dxa"/>
              <w:left w:w="0" w:type="dxa"/>
              <w:bottom w:w="0" w:type="dxa"/>
              <w:right w:w="15" w:type="dxa"/>
            </w:tcMar>
            <w:vAlign w:val="bottom"/>
            <w:hideMark/>
          </w:tcPr>
          <w:p w14:paraId="788889A1"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Equity</w:t>
            </w:r>
          </w:p>
        </w:tc>
        <w:tc>
          <w:tcPr>
            <w:tcW w:w="50" w:type="pct"/>
            <w:shd w:val="clear" w:color="auto" w:fill="FFFFFF"/>
            <w:noWrap/>
            <w:tcMar>
              <w:top w:w="15" w:type="dxa"/>
              <w:left w:w="0" w:type="dxa"/>
              <w:bottom w:w="0" w:type="dxa"/>
              <w:right w:w="15" w:type="dxa"/>
            </w:tcMar>
            <w:vAlign w:val="bottom"/>
            <w:hideMark/>
          </w:tcPr>
          <w:p w14:paraId="2914F0B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582324" w14:paraId="160CD20B" w14:textId="77777777">
        <w:trPr>
          <w:divId w:val="1774744062"/>
        </w:trPr>
        <w:tc>
          <w:tcPr>
            <w:tcW w:w="790" w:type="pct"/>
            <w:shd w:val="clear" w:color="auto" w:fill="CFF0FC"/>
            <w:tcMar>
              <w:top w:w="15" w:type="dxa"/>
              <w:left w:w="0" w:type="dxa"/>
              <w:bottom w:w="0" w:type="dxa"/>
              <w:right w:w="15" w:type="dxa"/>
            </w:tcMar>
            <w:hideMark/>
          </w:tcPr>
          <w:p w14:paraId="2B541F84" w14:textId="77777777" w:rsidR="00000000" w:rsidRDefault="00582324">
            <w:pPr>
              <w:pStyle w:val="a3"/>
              <w:spacing w:before="0" w:beforeAutospacing="0" w:after="0" w:afterAutospacing="0"/>
              <w:rPr>
                <w:color w:val="000000"/>
                <w:sz w:val="14"/>
                <w:szCs w:val="14"/>
              </w:rPr>
            </w:pPr>
            <w:r>
              <w:rPr>
                <w:color w:val="000000"/>
                <w:sz w:val="14"/>
                <w:szCs w:val="14"/>
              </w:rPr>
              <w:t>BALANCE—December 31, 2019</w:t>
            </w:r>
          </w:p>
        </w:tc>
        <w:tc>
          <w:tcPr>
            <w:tcW w:w="50" w:type="pct"/>
            <w:shd w:val="clear" w:color="auto" w:fill="CFF0FC"/>
            <w:tcMar>
              <w:top w:w="15" w:type="dxa"/>
              <w:left w:w="0" w:type="dxa"/>
              <w:bottom w:w="0" w:type="dxa"/>
              <w:right w:w="15" w:type="dxa"/>
            </w:tcMar>
            <w:hideMark/>
          </w:tcPr>
          <w:p w14:paraId="5549E1A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6256D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6DAAAFDA" w14:textId="77777777" w:rsidR="00000000" w:rsidRDefault="00582324">
            <w:pPr>
              <w:pStyle w:val="a3"/>
              <w:spacing w:before="0" w:beforeAutospacing="0" w:after="0" w:afterAutospacing="0"/>
              <w:jc w:val="right"/>
              <w:rPr>
                <w:color w:val="000000"/>
                <w:sz w:val="14"/>
                <w:szCs w:val="14"/>
              </w:rPr>
            </w:pPr>
            <w:r>
              <w:rPr>
                <w:color w:val="000000"/>
                <w:sz w:val="14"/>
                <w:szCs w:val="14"/>
              </w:rPr>
              <w:t>12,000</w:t>
            </w:r>
          </w:p>
        </w:tc>
        <w:tc>
          <w:tcPr>
            <w:tcW w:w="50" w:type="pct"/>
            <w:shd w:val="clear" w:color="auto" w:fill="CFF0FC"/>
            <w:noWrap/>
            <w:tcMar>
              <w:top w:w="15" w:type="dxa"/>
              <w:left w:w="0" w:type="dxa"/>
              <w:bottom w:w="0" w:type="dxa"/>
              <w:right w:w="15" w:type="dxa"/>
            </w:tcMar>
            <w:vAlign w:val="bottom"/>
            <w:hideMark/>
          </w:tcPr>
          <w:p w14:paraId="4829230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D32701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029E9C"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568B9D83" w14:textId="77777777" w:rsidR="00000000" w:rsidRDefault="00582324">
            <w:pPr>
              <w:pStyle w:val="a3"/>
              <w:spacing w:before="0" w:beforeAutospacing="0" w:after="0" w:afterAutospacing="0"/>
              <w:jc w:val="right"/>
              <w:rPr>
                <w:color w:val="000000"/>
                <w:sz w:val="14"/>
                <w:szCs w:val="14"/>
              </w:rPr>
            </w:pPr>
            <w:r>
              <w:rPr>
                <w:color w:val="000000"/>
                <w:sz w:val="14"/>
                <w:szCs w:val="14"/>
              </w:rPr>
              <w:t>128,822</w:t>
            </w:r>
          </w:p>
        </w:tc>
        <w:tc>
          <w:tcPr>
            <w:tcW w:w="50" w:type="pct"/>
            <w:shd w:val="clear" w:color="auto" w:fill="CFF0FC"/>
            <w:noWrap/>
            <w:tcMar>
              <w:top w:w="15" w:type="dxa"/>
              <w:left w:w="0" w:type="dxa"/>
              <w:bottom w:w="0" w:type="dxa"/>
              <w:right w:w="15" w:type="dxa"/>
            </w:tcMar>
            <w:vAlign w:val="bottom"/>
            <w:hideMark/>
          </w:tcPr>
          <w:p w14:paraId="4526986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74B2BF1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5A2E0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06A567E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28F4E0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EB11E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F9C03B"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075056E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02289A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3806915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6F01DA9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2BD0F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6CFC3BD1" w14:textId="77777777" w:rsidR="00000000" w:rsidRDefault="00582324">
            <w:pPr>
              <w:pStyle w:val="a3"/>
              <w:spacing w:before="0" w:beforeAutospacing="0" w:after="0" w:afterAutospacing="0"/>
              <w:jc w:val="right"/>
              <w:rPr>
                <w:color w:val="000000"/>
                <w:sz w:val="14"/>
                <w:szCs w:val="14"/>
              </w:rPr>
            </w:pPr>
            <w:r>
              <w:rPr>
                <w:color w:val="000000"/>
                <w:sz w:val="14"/>
                <w:szCs w:val="14"/>
              </w:rPr>
              <w:t>8,370,107</w:t>
            </w:r>
          </w:p>
        </w:tc>
        <w:tc>
          <w:tcPr>
            <w:tcW w:w="50" w:type="pct"/>
            <w:shd w:val="clear" w:color="auto" w:fill="CFF0FC"/>
            <w:noWrap/>
            <w:tcMar>
              <w:top w:w="15" w:type="dxa"/>
              <w:left w:w="0" w:type="dxa"/>
              <w:bottom w:w="0" w:type="dxa"/>
              <w:right w:w="15" w:type="dxa"/>
            </w:tcMar>
            <w:vAlign w:val="bottom"/>
            <w:hideMark/>
          </w:tcPr>
          <w:p w14:paraId="238FA19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836B74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21288E"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011DB7A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C1BB3B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C9A3AE"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3B9944DF" w14:textId="77777777" w:rsidR="00000000" w:rsidRDefault="00582324">
            <w:pPr>
              <w:pStyle w:val="a3"/>
              <w:spacing w:before="0" w:beforeAutospacing="0" w:after="0" w:afterAutospacing="0"/>
              <w:jc w:val="right"/>
              <w:rPr>
                <w:color w:val="000000"/>
                <w:sz w:val="14"/>
                <w:szCs w:val="14"/>
              </w:rPr>
            </w:pPr>
            <w:r>
              <w:rPr>
                <w:color w:val="000000"/>
                <w:sz w:val="14"/>
                <w:szCs w:val="14"/>
              </w:rPr>
              <w:t>38,153</w:t>
            </w:r>
          </w:p>
        </w:tc>
        <w:tc>
          <w:tcPr>
            <w:tcW w:w="50" w:type="pct"/>
            <w:shd w:val="clear" w:color="auto" w:fill="CFF0FC"/>
            <w:noWrap/>
            <w:tcMar>
              <w:top w:w="15" w:type="dxa"/>
              <w:left w:w="0" w:type="dxa"/>
              <w:bottom w:w="0" w:type="dxa"/>
              <w:right w:w="15" w:type="dxa"/>
            </w:tcMar>
            <w:vAlign w:val="bottom"/>
            <w:hideMark/>
          </w:tcPr>
          <w:p w14:paraId="01F3DFD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DE8011"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09E3BA90" w14:textId="77777777" w:rsidR="00000000" w:rsidRDefault="00582324">
            <w:pPr>
              <w:pStyle w:val="a3"/>
              <w:spacing w:before="0" w:beforeAutospacing="0" w:after="0" w:afterAutospacing="0"/>
              <w:jc w:val="right"/>
              <w:rPr>
                <w:color w:val="000000"/>
                <w:sz w:val="14"/>
                <w:szCs w:val="14"/>
              </w:rPr>
            </w:pPr>
            <w:r>
              <w:rPr>
                <w:color w:val="000000"/>
                <w:sz w:val="14"/>
                <w:szCs w:val="14"/>
              </w:rPr>
              <w:t>(64,404</w:t>
            </w:r>
          </w:p>
        </w:tc>
        <w:tc>
          <w:tcPr>
            <w:tcW w:w="50" w:type="pct"/>
            <w:shd w:val="clear" w:color="auto" w:fill="CFF0FC"/>
            <w:noWrap/>
            <w:tcMar>
              <w:top w:w="15" w:type="dxa"/>
              <w:left w:w="0" w:type="dxa"/>
              <w:bottom w:w="0" w:type="dxa"/>
              <w:right w:w="15" w:type="dxa"/>
            </w:tcMar>
            <w:vAlign w:val="bottom"/>
            <w:hideMark/>
          </w:tcPr>
          <w:p w14:paraId="0078DB2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7B4DBE"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14:paraId="10625347" w14:textId="77777777" w:rsidR="00000000" w:rsidRDefault="00582324">
            <w:pPr>
              <w:pStyle w:val="a3"/>
              <w:spacing w:before="0" w:beforeAutospacing="0" w:after="0" w:afterAutospacing="0"/>
              <w:jc w:val="right"/>
              <w:rPr>
                <w:color w:val="000000"/>
                <w:sz w:val="14"/>
                <w:szCs w:val="14"/>
              </w:rPr>
            </w:pPr>
            <w:r>
              <w:rPr>
                <w:color w:val="000000"/>
                <w:sz w:val="14"/>
                <w:szCs w:val="14"/>
              </w:rPr>
              <w:t>(40</w:t>
            </w:r>
          </w:p>
        </w:tc>
        <w:tc>
          <w:tcPr>
            <w:tcW w:w="50" w:type="pct"/>
            <w:shd w:val="clear" w:color="auto" w:fill="CFF0FC"/>
            <w:noWrap/>
            <w:tcMar>
              <w:top w:w="15" w:type="dxa"/>
              <w:left w:w="0" w:type="dxa"/>
              <w:bottom w:w="0" w:type="dxa"/>
              <w:right w:w="15" w:type="dxa"/>
            </w:tcMar>
            <w:vAlign w:val="bottom"/>
            <w:hideMark/>
          </w:tcPr>
          <w:p w14:paraId="272171A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130477"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tcBorders>
              <w:top w:val="single" w:sz="6" w:space="0" w:color="000000"/>
            </w:tcBorders>
            <w:shd w:val="clear" w:color="auto" w:fill="CFF0FC"/>
            <w:noWrap/>
            <w:tcMar>
              <w:top w:w="15" w:type="dxa"/>
              <w:left w:w="0" w:type="dxa"/>
              <w:bottom w:w="0" w:type="dxa"/>
              <w:right w:w="15" w:type="dxa"/>
            </w:tcMar>
            <w:vAlign w:val="bottom"/>
            <w:hideMark/>
          </w:tcPr>
          <w:p w14:paraId="799F246A" w14:textId="77777777" w:rsidR="00000000" w:rsidRDefault="00582324">
            <w:pPr>
              <w:pStyle w:val="a3"/>
              <w:spacing w:before="0" w:beforeAutospacing="0" w:after="0" w:afterAutospacing="0"/>
              <w:jc w:val="right"/>
              <w:rPr>
                <w:color w:val="000000"/>
                <w:sz w:val="14"/>
                <w:szCs w:val="14"/>
              </w:rPr>
            </w:pPr>
            <w:r>
              <w:rPr>
                <w:color w:val="000000"/>
                <w:sz w:val="14"/>
                <w:szCs w:val="14"/>
              </w:rPr>
              <w:t>(26,291</w:t>
            </w:r>
          </w:p>
        </w:tc>
        <w:tc>
          <w:tcPr>
            <w:tcW w:w="50" w:type="pct"/>
            <w:shd w:val="clear" w:color="auto" w:fill="CFF0FC"/>
            <w:noWrap/>
            <w:tcMar>
              <w:top w:w="15" w:type="dxa"/>
              <w:left w:w="0" w:type="dxa"/>
              <w:bottom w:w="0" w:type="dxa"/>
              <w:right w:w="15" w:type="dxa"/>
            </w:tcMar>
            <w:vAlign w:val="bottom"/>
            <w:hideMark/>
          </w:tcPr>
          <w:p w14:paraId="6944F8E1"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40AEE444" w14:textId="77777777">
        <w:trPr>
          <w:divId w:val="1774744062"/>
        </w:trPr>
        <w:tc>
          <w:tcPr>
            <w:tcW w:w="790" w:type="pct"/>
            <w:shd w:val="clear" w:color="auto" w:fill="FFFFFF"/>
            <w:tcMar>
              <w:top w:w="15" w:type="dxa"/>
              <w:left w:w="0" w:type="dxa"/>
              <w:bottom w:w="0" w:type="dxa"/>
              <w:right w:w="15" w:type="dxa"/>
            </w:tcMar>
            <w:hideMark/>
          </w:tcPr>
          <w:p w14:paraId="04E29E9B" w14:textId="77777777" w:rsidR="00000000" w:rsidRDefault="00582324">
            <w:pPr>
              <w:pStyle w:val="a3"/>
              <w:spacing w:before="0" w:beforeAutospacing="0" w:after="0" w:afterAutospacing="0"/>
              <w:rPr>
                <w:color w:val="000000"/>
                <w:sz w:val="14"/>
                <w:szCs w:val="14"/>
              </w:rPr>
            </w:pPr>
            <w:r>
              <w:rPr>
                <w:color w:val="000000"/>
                <w:sz w:val="14"/>
                <w:szCs w:val="14"/>
              </w:rPr>
              <w:t>Net loss</w:t>
            </w:r>
          </w:p>
        </w:tc>
        <w:tc>
          <w:tcPr>
            <w:tcW w:w="50" w:type="pct"/>
            <w:shd w:val="clear" w:color="auto" w:fill="FFFFFF"/>
            <w:tcMar>
              <w:top w:w="15" w:type="dxa"/>
              <w:left w:w="0" w:type="dxa"/>
              <w:bottom w:w="0" w:type="dxa"/>
              <w:right w:w="15" w:type="dxa"/>
            </w:tcMar>
            <w:hideMark/>
          </w:tcPr>
          <w:p w14:paraId="04EB53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2DD58F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0AB97C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EAC4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6812B1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45F850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F7F055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6FC52A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18FC13D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992991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806F93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E939D3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7003A9A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78FBDD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071A81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34B01F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4F96C7E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6680CA9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5E876C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2221A3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154B37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976472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993A7D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09A975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5AC628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14BEBC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8A0B68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8879B0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553660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B7D4E58" w14:textId="77777777" w:rsidR="00000000" w:rsidRDefault="00582324">
            <w:pPr>
              <w:pStyle w:val="a3"/>
              <w:spacing w:before="0" w:beforeAutospacing="0" w:after="0" w:afterAutospacing="0"/>
              <w:jc w:val="right"/>
              <w:rPr>
                <w:color w:val="000000"/>
                <w:sz w:val="14"/>
                <w:szCs w:val="14"/>
              </w:rPr>
            </w:pPr>
            <w:r>
              <w:rPr>
                <w:color w:val="000000"/>
                <w:sz w:val="14"/>
                <w:szCs w:val="14"/>
              </w:rPr>
              <w:t>(41,248</w:t>
            </w:r>
          </w:p>
        </w:tc>
        <w:tc>
          <w:tcPr>
            <w:tcW w:w="50" w:type="pct"/>
            <w:shd w:val="clear" w:color="auto" w:fill="FFFFFF"/>
            <w:noWrap/>
            <w:tcMar>
              <w:top w:w="15" w:type="dxa"/>
              <w:left w:w="0" w:type="dxa"/>
              <w:bottom w:w="0" w:type="dxa"/>
              <w:right w:w="15" w:type="dxa"/>
            </w:tcMar>
            <w:vAlign w:val="bottom"/>
            <w:hideMark/>
          </w:tcPr>
          <w:p w14:paraId="013343DD"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6BF2A1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0EBF503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C74028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9913F3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432ADB9" w14:textId="77777777" w:rsidR="00000000" w:rsidRDefault="00582324">
            <w:pPr>
              <w:pStyle w:val="a3"/>
              <w:spacing w:before="0" w:beforeAutospacing="0" w:after="0" w:afterAutospacing="0"/>
              <w:jc w:val="right"/>
              <w:rPr>
                <w:color w:val="000000"/>
                <w:sz w:val="14"/>
                <w:szCs w:val="14"/>
              </w:rPr>
            </w:pPr>
            <w:r>
              <w:rPr>
                <w:color w:val="000000"/>
                <w:sz w:val="14"/>
                <w:szCs w:val="14"/>
              </w:rPr>
              <w:t>(41,248</w:t>
            </w:r>
          </w:p>
        </w:tc>
        <w:tc>
          <w:tcPr>
            <w:tcW w:w="50" w:type="pct"/>
            <w:shd w:val="clear" w:color="auto" w:fill="FFFFFF"/>
            <w:noWrap/>
            <w:tcMar>
              <w:top w:w="15" w:type="dxa"/>
              <w:left w:w="0" w:type="dxa"/>
              <w:bottom w:w="0" w:type="dxa"/>
              <w:right w:w="15" w:type="dxa"/>
            </w:tcMar>
            <w:vAlign w:val="bottom"/>
            <w:hideMark/>
          </w:tcPr>
          <w:p w14:paraId="273F410A"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468F5E23" w14:textId="77777777">
        <w:trPr>
          <w:divId w:val="1774744062"/>
        </w:trPr>
        <w:tc>
          <w:tcPr>
            <w:tcW w:w="790" w:type="pct"/>
            <w:shd w:val="clear" w:color="auto" w:fill="CFF0FC"/>
            <w:tcMar>
              <w:top w:w="15" w:type="dxa"/>
              <w:left w:w="0" w:type="dxa"/>
              <w:bottom w:w="0" w:type="dxa"/>
              <w:right w:w="15" w:type="dxa"/>
            </w:tcMar>
            <w:hideMark/>
          </w:tcPr>
          <w:p w14:paraId="1077D10F" w14:textId="77777777" w:rsidR="00000000" w:rsidRDefault="00582324">
            <w:pPr>
              <w:pStyle w:val="a3"/>
              <w:spacing w:before="0" w:beforeAutospacing="0" w:after="0" w:afterAutospacing="0"/>
              <w:rPr>
                <w:color w:val="000000"/>
                <w:sz w:val="14"/>
                <w:szCs w:val="14"/>
              </w:rPr>
            </w:pPr>
            <w:r>
              <w:rPr>
                <w:color w:val="000000"/>
                <w:sz w:val="14"/>
                <w:szCs w:val="14"/>
              </w:rPr>
              <w:t>Accretion of the redeemable</w:t>
            </w:r>
          </w:p>
          <w:p w14:paraId="5F9BE372" w14:textId="77777777" w:rsidR="00000000" w:rsidRDefault="00582324">
            <w:pPr>
              <w:pStyle w:val="a3"/>
              <w:spacing w:before="0" w:beforeAutospacing="0" w:after="0" w:afterAutospacing="0"/>
              <w:rPr>
                <w:color w:val="000000"/>
                <w:sz w:val="14"/>
                <w:szCs w:val="14"/>
              </w:rPr>
            </w:pPr>
            <w:r>
              <w:rPr>
                <w:color w:val="000000"/>
                <w:sz w:val="14"/>
                <w:szCs w:val="14"/>
              </w:rPr>
              <w:t>   series A-1 preferred stock to</w:t>
            </w:r>
          </w:p>
          <w:p w14:paraId="7A7172B0" w14:textId="77777777" w:rsidR="00000000" w:rsidRDefault="00582324">
            <w:pPr>
              <w:pStyle w:val="a3"/>
              <w:spacing w:before="0" w:beforeAutospacing="0" w:after="0" w:afterAutospacing="0"/>
              <w:rPr>
                <w:color w:val="000000"/>
                <w:sz w:val="14"/>
                <w:szCs w:val="14"/>
              </w:rPr>
            </w:pPr>
            <w:r>
              <w:rPr>
                <w:color w:val="000000"/>
                <w:sz w:val="14"/>
                <w:szCs w:val="14"/>
              </w:rPr>
              <w:t>   redeemable value</w:t>
            </w:r>
          </w:p>
        </w:tc>
        <w:tc>
          <w:tcPr>
            <w:tcW w:w="50" w:type="pct"/>
            <w:shd w:val="clear" w:color="auto" w:fill="CFF0FC"/>
            <w:tcMar>
              <w:top w:w="15" w:type="dxa"/>
              <w:left w:w="0" w:type="dxa"/>
              <w:bottom w:w="0" w:type="dxa"/>
              <w:right w:w="15" w:type="dxa"/>
            </w:tcMar>
            <w:hideMark/>
          </w:tcPr>
          <w:p w14:paraId="6D49C7D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2837CC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956049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3FB77E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13327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280BE7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0169858" w14:textId="77777777" w:rsidR="00000000" w:rsidRDefault="00582324">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1DDF30A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65A487E"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09BCAB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3BD7AA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716D87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727A525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9B5FE5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5EC347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1A67F2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2B6973B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0788AD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17459D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07A8821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693DA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1402BB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5D93C9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9F5EFB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AF9A2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5DB3D9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66D5F1AA" w14:textId="77777777" w:rsidR="00000000" w:rsidRDefault="00582324">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38A4E89D"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97CB1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FAF1C4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BDDAC4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2273F1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26AC35C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798577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A5FEB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7CDAC96B" w14:textId="77777777" w:rsidR="00000000" w:rsidRDefault="00582324">
            <w:pPr>
              <w:pStyle w:val="a3"/>
              <w:spacing w:before="0" w:beforeAutospacing="0" w:after="0" w:afterAutospacing="0"/>
              <w:jc w:val="right"/>
              <w:rPr>
                <w:color w:val="000000"/>
                <w:sz w:val="14"/>
                <w:szCs w:val="14"/>
              </w:rPr>
            </w:pPr>
            <w:r>
              <w:rPr>
                <w:color w:val="000000"/>
                <w:sz w:val="14"/>
                <w:szCs w:val="14"/>
              </w:rPr>
              <w:t>(5,415</w:t>
            </w:r>
          </w:p>
        </w:tc>
        <w:tc>
          <w:tcPr>
            <w:tcW w:w="50" w:type="pct"/>
            <w:shd w:val="clear" w:color="auto" w:fill="CFF0FC"/>
            <w:noWrap/>
            <w:tcMar>
              <w:top w:w="15" w:type="dxa"/>
              <w:left w:w="0" w:type="dxa"/>
              <w:bottom w:w="0" w:type="dxa"/>
              <w:right w:w="15" w:type="dxa"/>
            </w:tcMar>
            <w:vAlign w:val="bottom"/>
            <w:hideMark/>
          </w:tcPr>
          <w:p w14:paraId="706DFCFD"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67E0AFF6" w14:textId="77777777">
        <w:trPr>
          <w:divId w:val="1774744062"/>
        </w:trPr>
        <w:tc>
          <w:tcPr>
            <w:tcW w:w="790" w:type="pct"/>
            <w:shd w:val="clear" w:color="auto" w:fill="FFFFFF"/>
            <w:tcMar>
              <w:top w:w="15" w:type="dxa"/>
              <w:left w:w="0" w:type="dxa"/>
              <w:bottom w:w="0" w:type="dxa"/>
              <w:right w:w="15" w:type="dxa"/>
            </w:tcMar>
            <w:hideMark/>
          </w:tcPr>
          <w:p w14:paraId="051B31AC" w14:textId="77777777" w:rsidR="00000000" w:rsidRDefault="00582324">
            <w:pPr>
              <w:pStyle w:val="a3"/>
              <w:spacing w:before="0" w:beforeAutospacing="0" w:after="0" w:afterAutospacing="0"/>
              <w:rPr>
                <w:color w:val="000000"/>
                <w:sz w:val="14"/>
                <w:szCs w:val="14"/>
              </w:rPr>
            </w:pPr>
            <w:r>
              <w:rPr>
                <w:color w:val="000000"/>
                <w:sz w:val="14"/>
                <w:szCs w:val="14"/>
              </w:rPr>
              <w:t>Stock-based compensation</w:t>
            </w:r>
          </w:p>
        </w:tc>
        <w:tc>
          <w:tcPr>
            <w:tcW w:w="50" w:type="pct"/>
            <w:shd w:val="clear" w:color="auto" w:fill="FFFFFF"/>
            <w:tcMar>
              <w:top w:w="15" w:type="dxa"/>
              <w:left w:w="0" w:type="dxa"/>
              <w:bottom w:w="0" w:type="dxa"/>
              <w:right w:w="15" w:type="dxa"/>
            </w:tcMar>
            <w:hideMark/>
          </w:tcPr>
          <w:p w14:paraId="7F4D35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00A5B2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858819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66FAF0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759A9C7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770B9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A92C9C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C54892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521E622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2A93D6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1A659B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5CC702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EF7B4F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FE5C9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D65DF6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838861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3B7D6DE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55ED5A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DA88F5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68EE7A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359A14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208BD4D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F71059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DF112C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46A45B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C016D2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DC430D4" w14:textId="77777777" w:rsidR="00000000" w:rsidRDefault="00582324">
            <w:pPr>
              <w:pStyle w:val="a3"/>
              <w:spacing w:before="0" w:beforeAutospacing="0" w:after="0" w:afterAutospacing="0"/>
              <w:jc w:val="right"/>
              <w:rPr>
                <w:color w:val="000000"/>
                <w:sz w:val="14"/>
                <w:szCs w:val="14"/>
              </w:rPr>
            </w:pPr>
            <w:r>
              <w:rPr>
                <w:color w:val="000000"/>
                <w:sz w:val="14"/>
                <w:szCs w:val="14"/>
              </w:rPr>
              <w:t>1,150</w:t>
            </w:r>
          </w:p>
        </w:tc>
        <w:tc>
          <w:tcPr>
            <w:tcW w:w="50" w:type="pct"/>
            <w:shd w:val="clear" w:color="auto" w:fill="FFFFFF"/>
            <w:noWrap/>
            <w:tcMar>
              <w:top w:w="15" w:type="dxa"/>
              <w:left w:w="0" w:type="dxa"/>
              <w:bottom w:w="0" w:type="dxa"/>
              <w:right w:w="15" w:type="dxa"/>
            </w:tcMar>
            <w:vAlign w:val="bottom"/>
            <w:hideMark/>
          </w:tcPr>
          <w:p w14:paraId="0A92047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EC12B3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3A3670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EB411B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179C4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4DD315A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5F1800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CCA664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BC1F5A0" w14:textId="77777777" w:rsidR="00000000" w:rsidRDefault="00582324">
            <w:pPr>
              <w:pStyle w:val="a3"/>
              <w:spacing w:before="0" w:beforeAutospacing="0" w:after="0" w:afterAutospacing="0"/>
              <w:jc w:val="right"/>
              <w:rPr>
                <w:color w:val="000000"/>
                <w:sz w:val="14"/>
                <w:szCs w:val="14"/>
              </w:rPr>
            </w:pPr>
            <w:r>
              <w:rPr>
                <w:color w:val="000000"/>
                <w:sz w:val="14"/>
                <w:szCs w:val="14"/>
              </w:rPr>
              <w:t>1,150</w:t>
            </w:r>
          </w:p>
        </w:tc>
        <w:tc>
          <w:tcPr>
            <w:tcW w:w="50" w:type="pct"/>
            <w:shd w:val="clear" w:color="auto" w:fill="FFFFFF"/>
            <w:noWrap/>
            <w:tcMar>
              <w:top w:w="15" w:type="dxa"/>
              <w:left w:w="0" w:type="dxa"/>
              <w:bottom w:w="0" w:type="dxa"/>
              <w:right w:w="15" w:type="dxa"/>
            </w:tcMar>
            <w:vAlign w:val="bottom"/>
            <w:hideMark/>
          </w:tcPr>
          <w:p w14:paraId="6AF8DA6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1953590F" w14:textId="77777777">
        <w:trPr>
          <w:divId w:val="1774744062"/>
        </w:trPr>
        <w:tc>
          <w:tcPr>
            <w:tcW w:w="790" w:type="pct"/>
            <w:shd w:val="clear" w:color="auto" w:fill="CFF0FC"/>
            <w:tcMar>
              <w:top w:w="15" w:type="dxa"/>
              <w:left w:w="0" w:type="dxa"/>
              <w:bottom w:w="0" w:type="dxa"/>
              <w:right w:w="15" w:type="dxa"/>
            </w:tcMar>
            <w:hideMark/>
          </w:tcPr>
          <w:p w14:paraId="31CB4FE7" w14:textId="77777777" w:rsidR="00000000" w:rsidRDefault="00582324">
            <w:pPr>
              <w:pStyle w:val="a3"/>
              <w:spacing w:before="0" w:beforeAutospacing="0" w:after="0" w:afterAutospacing="0"/>
              <w:rPr>
                <w:color w:val="000000"/>
                <w:sz w:val="14"/>
                <w:szCs w:val="14"/>
              </w:rPr>
            </w:pPr>
            <w:r>
              <w:rPr>
                <w:color w:val="000000"/>
                <w:sz w:val="14"/>
                <w:szCs w:val="14"/>
              </w:rPr>
              <w:t>Accumulated other comprehensive</w:t>
            </w:r>
          </w:p>
          <w:p w14:paraId="5FC51B18" w14:textId="77777777" w:rsidR="00000000" w:rsidRDefault="00582324">
            <w:pPr>
              <w:pStyle w:val="a3"/>
              <w:spacing w:before="0" w:beforeAutospacing="0" w:after="0" w:afterAutospacing="0"/>
              <w:rPr>
                <w:color w:val="000000"/>
                <w:sz w:val="14"/>
                <w:szCs w:val="14"/>
              </w:rPr>
            </w:pPr>
            <w:r>
              <w:rPr>
                <w:color w:val="000000"/>
                <w:sz w:val="14"/>
                <w:szCs w:val="14"/>
              </w:rPr>
              <w:t>   income</w:t>
            </w:r>
          </w:p>
        </w:tc>
        <w:tc>
          <w:tcPr>
            <w:tcW w:w="50" w:type="pct"/>
            <w:shd w:val="clear" w:color="auto" w:fill="CFF0FC"/>
            <w:tcMar>
              <w:top w:w="15" w:type="dxa"/>
              <w:left w:w="0" w:type="dxa"/>
              <w:bottom w:w="0" w:type="dxa"/>
              <w:right w:w="15" w:type="dxa"/>
            </w:tcMar>
            <w:hideMark/>
          </w:tcPr>
          <w:p w14:paraId="27AD612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75E60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6307270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47070F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08AA63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AAF4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3882606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CB8BCA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62B76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5C503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5C7D83F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63BEFC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46B3BE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E4E74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58886B2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483760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4253F9F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2AA8F8C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5DD7A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3E26A27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B34958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B5999D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6F845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2C345F5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03A316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85D0A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3FA24BF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0483C0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33024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05EC1B3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DDBEAC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8CA0B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14:paraId="4A155991" w14:textId="77777777" w:rsidR="00000000" w:rsidRDefault="00582324">
            <w:pPr>
              <w:pStyle w:val="a3"/>
              <w:spacing w:before="0" w:beforeAutospacing="0" w:after="0" w:afterAutospacing="0"/>
              <w:jc w:val="right"/>
              <w:rPr>
                <w:color w:val="000000"/>
                <w:sz w:val="14"/>
                <w:szCs w:val="14"/>
              </w:rPr>
            </w:pPr>
            <w:r>
              <w:rPr>
                <w:color w:val="000000"/>
                <w:sz w:val="14"/>
                <w:szCs w:val="14"/>
              </w:rPr>
              <w:t>37</w:t>
            </w:r>
          </w:p>
        </w:tc>
        <w:tc>
          <w:tcPr>
            <w:tcW w:w="50" w:type="pct"/>
            <w:shd w:val="clear" w:color="auto" w:fill="CFF0FC"/>
            <w:noWrap/>
            <w:tcMar>
              <w:top w:w="15" w:type="dxa"/>
              <w:left w:w="0" w:type="dxa"/>
              <w:bottom w:w="0" w:type="dxa"/>
              <w:right w:w="15" w:type="dxa"/>
            </w:tcMar>
            <w:vAlign w:val="bottom"/>
            <w:hideMark/>
          </w:tcPr>
          <w:p w14:paraId="3019E3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3D28D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0154AC28" w14:textId="77777777" w:rsidR="00000000" w:rsidRDefault="00582324">
            <w:pPr>
              <w:pStyle w:val="a3"/>
              <w:spacing w:before="0" w:beforeAutospacing="0" w:after="0" w:afterAutospacing="0"/>
              <w:jc w:val="right"/>
              <w:rPr>
                <w:color w:val="000000"/>
                <w:sz w:val="14"/>
                <w:szCs w:val="14"/>
              </w:rPr>
            </w:pPr>
            <w:r>
              <w:rPr>
                <w:color w:val="000000"/>
                <w:sz w:val="14"/>
                <w:szCs w:val="14"/>
              </w:rPr>
              <w:t>37</w:t>
            </w:r>
          </w:p>
        </w:tc>
        <w:tc>
          <w:tcPr>
            <w:tcW w:w="50" w:type="pct"/>
            <w:shd w:val="clear" w:color="auto" w:fill="CFF0FC"/>
            <w:noWrap/>
            <w:tcMar>
              <w:top w:w="15" w:type="dxa"/>
              <w:left w:w="0" w:type="dxa"/>
              <w:bottom w:w="0" w:type="dxa"/>
              <w:right w:w="15" w:type="dxa"/>
            </w:tcMar>
            <w:vAlign w:val="bottom"/>
            <w:hideMark/>
          </w:tcPr>
          <w:p w14:paraId="285D2B50"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6205A431" w14:textId="77777777">
        <w:trPr>
          <w:divId w:val="1774744062"/>
        </w:trPr>
        <w:tc>
          <w:tcPr>
            <w:tcW w:w="790" w:type="pct"/>
            <w:shd w:val="clear" w:color="auto" w:fill="FFFFFF"/>
            <w:tcMar>
              <w:top w:w="15" w:type="dxa"/>
              <w:left w:w="0" w:type="dxa"/>
              <w:bottom w:w="0" w:type="dxa"/>
              <w:right w:w="15" w:type="dxa"/>
            </w:tcMar>
            <w:hideMark/>
          </w:tcPr>
          <w:p w14:paraId="2D8C4DE2" w14:textId="77777777" w:rsidR="00000000" w:rsidRDefault="00582324">
            <w:pPr>
              <w:pStyle w:val="a3"/>
              <w:spacing w:before="0" w:beforeAutospacing="0" w:after="0" w:afterAutospacing="0"/>
              <w:rPr>
                <w:b/>
                <w:bCs/>
                <w:color w:val="000000"/>
                <w:sz w:val="14"/>
                <w:szCs w:val="14"/>
              </w:rPr>
            </w:pPr>
            <w:r>
              <w:rPr>
                <w:b/>
                <w:bCs/>
                <w:color w:val="000000"/>
                <w:sz w:val="14"/>
                <w:szCs w:val="14"/>
              </w:rPr>
              <w:t>BALANCE—March 31, 2020</w:t>
            </w:r>
          </w:p>
        </w:tc>
        <w:tc>
          <w:tcPr>
            <w:tcW w:w="50" w:type="pct"/>
            <w:shd w:val="clear" w:color="auto" w:fill="FFFFFF"/>
            <w:tcMar>
              <w:top w:w="15" w:type="dxa"/>
              <w:left w:w="0" w:type="dxa"/>
              <w:bottom w:w="0" w:type="dxa"/>
              <w:right w:w="15" w:type="dxa"/>
            </w:tcMar>
            <w:hideMark/>
          </w:tcPr>
          <w:p w14:paraId="7A94A67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C3E14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A5B375"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12,000</w:t>
            </w:r>
          </w:p>
        </w:tc>
        <w:tc>
          <w:tcPr>
            <w:tcW w:w="50" w:type="pct"/>
            <w:shd w:val="clear" w:color="auto" w:fill="FFFFFF"/>
            <w:noWrap/>
            <w:tcMar>
              <w:top w:w="15" w:type="dxa"/>
              <w:left w:w="0" w:type="dxa"/>
              <w:bottom w:w="0" w:type="dxa"/>
              <w:right w:w="15" w:type="dxa"/>
            </w:tcMar>
            <w:vAlign w:val="bottom"/>
            <w:hideMark/>
          </w:tcPr>
          <w:p w14:paraId="7BE293D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E4DFD7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0182CA"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0360F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134,237</w:t>
            </w:r>
          </w:p>
        </w:tc>
        <w:tc>
          <w:tcPr>
            <w:tcW w:w="50" w:type="pct"/>
            <w:shd w:val="clear" w:color="auto" w:fill="FFFFFF"/>
            <w:noWrap/>
            <w:tcMar>
              <w:top w:w="15" w:type="dxa"/>
              <w:left w:w="0" w:type="dxa"/>
              <w:bottom w:w="0" w:type="dxa"/>
              <w:right w:w="15" w:type="dxa"/>
            </w:tcMar>
            <w:vAlign w:val="bottom"/>
            <w:hideMark/>
          </w:tcPr>
          <w:p w14:paraId="16AAC41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0304A5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A1C69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4CBC3E"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EDE562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229B5EB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8DA929"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9F6E72"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55D027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C34CDE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0CCBB2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3416D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5D09E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8,370,107</w:t>
            </w:r>
          </w:p>
        </w:tc>
        <w:tc>
          <w:tcPr>
            <w:tcW w:w="50" w:type="pct"/>
            <w:shd w:val="clear" w:color="auto" w:fill="FFFFFF"/>
            <w:noWrap/>
            <w:tcMar>
              <w:top w:w="15" w:type="dxa"/>
              <w:left w:w="0" w:type="dxa"/>
              <w:bottom w:w="0" w:type="dxa"/>
              <w:right w:w="15" w:type="dxa"/>
            </w:tcMar>
            <w:vAlign w:val="bottom"/>
            <w:hideMark/>
          </w:tcPr>
          <w:p w14:paraId="7250B30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CF23AB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C43AE8"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148C6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15A44A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076A5D"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88737D"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33,888</w:t>
            </w:r>
          </w:p>
        </w:tc>
        <w:tc>
          <w:tcPr>
            <w:tcW w:w="50" w:type="pct"/>
            <w:shd w:val="clear" w:color="auto" w:fill="FFFFFF"/>
            <w:noWrap/>
            <w:tcMar>
              <w:top w:w="15" w:type="dxa"/>
              <w:left w:w="0" w:type="dxa"/>
              <w:bottom w:w="0" w:type="dxa"/>
              <w:right w:w="15" w:type="dxa"/>
            </w:tcMar>
            <w:vAlign w:val="bottom"/>
            <w:hideMark/>
          </w:tcPr>
          <w:p w14:paraId="2FC3461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63FB33"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A8CB7D"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(105,652</w:t>
            </w:r>
          </w:p>
        </w:tc>
        <w:tc>
          <w:tcPr>
            <w:tcW w:w="50" w:type="pct"/>
            <w:shd w:val="clear" w:color="auto" w:fill="FFFFFF"/>
            <w:noWrap/>
            <w:tcMar>
              <w:top w:w="15" w:type="dxa"/>
              <w:left w:w="0" w:type="dxa"/>
              <w:bottom w:w="0" w:type="dxa"/>
              <w:right w:w="15" w:type="dxa"/>
            </w:tcMar>
            <w:vAlign w:val="bottom"/>
            <w:hideMark/>
          </w:tcPr>
          <w:p w14:paraId="1D934CE9"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FA3999"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8069D7"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(3</w:t>
            </w:r>
          </w:p>
        </w:tc>
        <w:tc>
          <w:tcPr>
            <w:tcW w:w="50" w:type="pct"/>
            <w:shd w:val="clear" w:color="auto" w:fill="FFFFFF"/>
            <w:noWrap/>
            <w:tcMar>
              <w:top w:w="15" w:type="dxa"/>
              <w:left w:w="0" w:type="dxa"/>
              <w:bottom w:w="0" w:type="dxa"/>
              <w:right w:w="15" w:type="dxa"/>
            </w:tcMar>
            <w:vAlign w:val="bottom"/>
            <w:hideMark/>
          </w:tcPr>
          <w:p w14:paraId="31692CFB"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EF64CA"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FA576D"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(71,767</w:t>
            </w:r>
          </w:p>
        </w:tc>
        <w:tc>
          <w:tcPr>
            <w:tcW w:w="50" w:type="pct"/>
            <w:shd w:val="clear" w:color="auto" w:fill="FFFFFF"/>
            <w:noWrap/>
            <w:tcMar>
              <w:top w:w="15" w:type="dxa"/>
              <w:left w:w="0" w:type="dxa"/>
              <w:bottom w:w="0" w:type="dxa"/>
              <w:right w:w="15" w:type="dxa"/>
            </w:tcMar>
            <w:vAlign w:val="bottom"/>
            <w:hideMark/>
          </w:tcPr>
          <w:p w14:paraId="6AF8B35B"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r>
      <w:tr w:rsidR="00582324" w14:paraId="6740DC4B" w14:textId="77777777">
        <w:trPr>
          <w:divId w:val="1774744062"/>
        </w:trPr>
        <w:tc>
          <w:tcPr>
            <w:tcW w:w="790" w:type="pct"/>
            <w:shd w:val="clear" w:color="auto" w:fill="CFF0FC"/>
            <w:tcMar>
              <w:top w:w="15" w:type="dxa"/>
              <w:left w:w="0" w:type="dxa"/>
              <w:bottom w:w="0" w:type="dxa"/>
              <w:right w:w="15" w:type="dxa"/>
            </w:tcMar>
            <w:hideMark/>
          </w:tcPr>
          <w:p w14:paraId="0D78C8A4" w14:textId="77777777" w:rsidR="00000000" w:rsidRDefault="00582324">
            <w:pPr>
              <w:pStyle w:val="a3"/>
              <w:spacing w:before="0" w:beforeAutospacing="0" w:after="0" w:afterAutospacing="0"/>
              <w:rPr>
                <w:color w:val="000000"/>
                <w:sz w:val="14"/>
                <w:szCs w:val="14"/>
              </w:rPr>
            </w:pPr>
            <w:r>
              <w:rPr>
                <w:color w:val="000000"/>
                <w:sz w:val="14"/>
                <w:szCs w:val="14"/>
              </w:rPr>
              <w:t>Net income</w:t>
            </w:r>
          </w:p>
        </w:tc>
        <w:tc>
          <w:tcPr>
            <w:tcW w:w="50" w:type="pct"/>
            <w:shd w:val="clear" w:color="auto" w:fill="CFF0FC"/>
            <w:tcMar>
              <w:top w:w="15" w:type="dxa"/>
              <w:left w:w="0" w:type="dxa"/>
              <w:bottom w:w="0" w:type="dxa"/>
              <w:right w:w="15" w:type="dxa"/>
            </w:tcMar>
            <w:hideMark/>
          </w:tcPr>
          <w:p w14:paraId="6DB5F11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7EE5A4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0E09BFF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7172C4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3F0B1BD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838558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14362C5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D5072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24F2BD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2515C6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0653977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FE6903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B3772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934465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657AC9D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29D7E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5F00DB2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3EE43DB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520411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516DDE4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EF447B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7C702B1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6321C0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7B6ADA9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D50B1C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BC1719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37308F1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CED62C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9F26F5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04A52ACE" w14:textId="77777777" w:rsidR="00000000" w:rsidRDefault="00582324">
            <w:pPr>
              <w:pStyle w:val="a3"/>
              <w:spacing w:before="0" w:beforeAutospacing="0" w:after="0" w:afterAutospacing="0"/>
              <w:jc w:val="right"/>
              <w:rPr>
                <w:color w:val="000000"/>
                <w:sz w:val="14"/>
                <w:szCs w:val="14"/>
              </w:rPr>
            </w:pPr>
            <w:r>
              <w:rPr>
                <w:color w:val="000000"/>
                <w:sz w:val="14"/>
                <w:szCs w:val="14"/>
              </w:rPr>
              <w:t>13,224</w:t>
            </w:r>
          </w:p>
        </w:tc>
        <w:tc>
          <w:tcPr>
            <w:tcW w:w="50" w:type="pct"/>
            <w:shd w:val="clear" w:color="auto" w:fill="CFF0FC"/>
            <w:noWrap/>
            <w:tcMar>
              <w:top w:w="15" w:type="dxa"/>
              <w:left w:w="0" w:type="dxa"/>
              <w:bottom w:w="0" w:type="dxa"/>
              <w:right w:w="15" w:type="dxa"/>
            </w:tcMar>
            <w:vAlign w:val="bottom"/>
            <w:hideMark/>
          </w:tcPr>
          <w:p w14:paraId="4F67D3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D17F4E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top w:val="double" w:sz="6" w:space="0" w:color="000000"/>
            </w:tcBorders>
            <w:shd w:val="clear" w:color="auto" w:fill="CFF0FC"/>
            <w:noWrap/>
            <w:tcMar>
              <w:top w:w="15" w:type="dxa"/>
              <w:left w:w="0" w:type="dxa"/>
              <w:bottom w:w="0" w:type="dxa"/>
              <w:right w:w="15" w:type="dxa"/>
            </w:tcMar>
            <w:vAlign w:val="bottom"/>
            <w:hideMark/>
          </w:tcPr>
          <w:p w14:paraId="7B1C478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6F18DB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BD686C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6FFEB187" w14:textId="77777777" w:rsidR="00000000" w:rsidRDefault="00582324">
            <w:pPr>
              <w:pStyle w:val="a3"/>
              <w:spacing w:before="0" w:beforeAutospacing="0" w:after="0" w:afterAutospacing="0"/>
              <w:jc w:val="right"/>
              <w:rPr>
                <w:color w:val="000000"/>
                <w:sz w:val="14"/>
                <w:szCs w:val="14"/>
              </w:rPr>
            </w:pPr>
            <w:r>
              <w:rPr>
                <w:color w:val="000000"/>
                <w:sz w:val="14"/>
                <w:szCs w:val="14"/>
              </w:rPr>
              <w:t>13,224</w:t>
            </w:r>
          </w:p>
        </w:tc>
        <w:tc>
          <w:tcPr>
            <w:tcW w:w="50" w:type="pct"/>
            <w:shd w:val="clear" w:color="auto" w:fill="CFF0FC"/>
            <w:noWrap/>
            <w:tcMar>
              <w:top w:w="15" w:type="dxa"/>
              <w:left w:w="0" w:type="dxa"/>
              <w:bottom w:w="0" w:type="dxa"/>
              <w:right w:w="15" w:type="dxa"/>
            </w:tcMar>
            <w:vAlign w:val="bottom"/>
            <w:hideMark/>
          </w:tcPr>
          <w:p w14:paraId="18ED6B7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53D99333" w14:textId="77777777">
        <w:trPr>
          <w:divId w:val="1774744062"/>
        </w:trPr>
        <w:tc>
          <w:tcPr>
            <w:tcW w:w="790" w:type="pct"/>
            <w:shd w:val="clear" w:color="auto" w:fill="FFFFFF"/>
            <w:tcMar>
              <w:top w:w="15" w:type="dxa"/>
              <w:left w:w="0" w:type="dxa"/>
              <w:bottom w:w="0" w:type="dxa"/>
              <w:right w:w="15" w:type="dxa"/>
            </w:tcMar>
            <w:hideMark/>
          </w:tcPr>
          <w:p w14:paraId="3E501332" w14:textId="77777777" w:rsidR="00000000" w:rsidRDefault="00582324">
            <w:pPr>
              <w:pStyle w:val="a3"/>
              <w:spacing w:before="0" w:beforeAutospacing="0" w:after="0" w:afterAutospacing="0"/>
              <w:rPr>
                <w:color w:val="000000"/>
                <w:sz w:val="14"/>
                <w:szCs w:val="14"/>
              </w:rPr>
            </w:pPr>
            <w:r>
              <w:rPr>
                <w:color w:val="000000"/>
                <w:sz w:val="14"/>
                <w:szCs w:val="14"/>
              </w:rPr>
              <w:t>Accretion of the redeemable</w:t>
            </w:r>
          </w:p>
          <w:p w14:paraId="20FD38DC" w14:textId="77777777" w:rsidR="00000000" w:rsidRDefault="00582324">
            <w:pPr>
              <w:pStyle w:val="a3"/>
              <w:spacing w:before="0" w:beforeAutospacing="0" w:after="0" w:afterAutospacing="0"/>
              <w:rPr>
                <w:color w:val="000000"/>
                <w:sz w:val="14"/>
                <w:szCs w:val="14"/>
              </w:rPr>
            </w:pPr>
            <w:r>
              <w:rPr>
                <w:color w:val="000000"/>
                <w:sz w:val="14"/>
                <w:szCs w:val="14"/>
              </w:rPr>
              <w:t>   series A-1 preferred stock to</w:t>
            </w:r>
          </w:p>
          <w:p w14:paraId="2D7B25A4" w14:textId="77777777" w:rsidR="00000000" w:rsidRDefault="00582324">
            <w:pPr>
              <w:pStyle w:val="a3"/>
              <w:spacing w:before="0" w:beforeAutospacing="0" w:after="0" w:afterAutospacing="0"/>
              <w:rPr>
                <w:color w:val="000000"/>
                <w:sz w:val="14"/>
                <w:szCs w:val="14"/>
              </w:rPr>
            </w:pPr>
            <w:r>
              <w:rPr>
                <w:color w:val="000000"/>
                <w:sz w:val="14"/>
                <w:szCs w:val="14"/>
              </w:rPr>
              <w:t>   redeemable value</w:t>
            </w:r>
          </w:p>
        </w:tc>
        <w:tc>
          <w:tcPr>
            <w:tcW w:w="50" w:type="pct"/>
            <w:shd w:val="clear" w:color="auto" w:fill="FFFFFF"/>
            <w:tcMar>
              <w:top w:w="15" w:type="dxa"/>
              <w:left w:w="0" w:type="dxa"/>
              <w:bottom w:w="0" w:type="dxa"/>
              <w:right w:w="15" w:type="dxa"/>
            </w:tcMar>
            <w:hideMark/>
          </w:tcPr>
          <w:p w14:paraId="685FD69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FB98DF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C89294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500969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29E72A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3A243C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30FA0A2" w14:textId="77777777" w:rsidR="00000000" w:rsidRDefault="00582324">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5992312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587592BE"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18B657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BC0ED1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35430D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0FE1BB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1D8C98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4B947D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305FB9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7791ACB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2A9ADE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249BF6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240E3E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E74F18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763DB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CE6EF8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28091B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96415B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FA2ED3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8726277" w14:textId="77777777" w:rsidR="00000000" w:rsidRDefault="00582324">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37385E33"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882A4B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6F6DB2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743122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31B72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4F02864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EE6769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A5F4D3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5218408" w14:textId="77777777" w:rsidR="00000000" w:rsidRDefault="00582324">
            <w:pPr>
              <w:pStyle w:val="a3"/>
              <w:spacing w:before="0" w:beforeAutospacing="0" w:after="0" w:afterAutospacing="0"/>
              <w:jc w:val="right"/>
              <w:rPr>
                <w:color w:val="000000"/>
                <w:sz w:val="14"/>
                <w:szCs w:val="14"/>
              </w:rPr>
            </w:pPr>
            <w:r>
              <w:rPr>
                <w:color w:val="000000"/>
                <w:sz w:val="14"/>
                <w:szCs w:val="14"/>
              </w:rPr>
              <w:t>(5,644</w:t>
            </w:r>
          </w:p>
        </w:tc>
        <w:tc>
          <w:tcPr>
            <w:tcW w:w="50" w:type="pct"/>
            <w:shd w:val="clear" w:color="auto" w:fill="FFFFFF"/>
            <w:noWrap/>
            <w:tcMar>
              <w:top w:w="15" w:type="dxa"/>
              <w:left w:w="0" w:type="dxa"/>
              <w:bottom w:w="0" w:type="dxa"/>
              <w:right w:w="15" w:type="dxa"/>
            </w:tcMar>
            <w:vAlign w:val="bottom"/>
            <w:hideMark/>
          </w:tcPr>
          <w:p w14:paraId="41D2ECF7"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68B7B5B3" w14:textId="77777777">
        <w:trPr>
          <w:divId w:val="1774744062"/>
        </w:trPr>
        <w:tc>
          <w:tcPr>
            <w:tcW w:w="790" w:type="pct"/>
            <w:shd w:val="clear" w:color="auto" w:fill="CFF0FC"/>
            <w:tcMar>
              <w:top w:w="15" w:type="dxa"/>
              <w:left w:w="0" w:type="dxa"/>
              <w:bottom w:w="0" w:type="dxa"/>
              <w:right w:w="15" w:type="dxa"/>
            </w:tcMar>
            <w:hideMark/>
          </w:tcPr>
          <w:p w14:paraId="5CF0F2B4" w14:textId="77777777" w:rsidR="00000000" w:rsidRDefault="00582324">
            <w:pPr>
              <w:pStyle w:val="a3"/>
              <w:spacing w:before="0" w:beforeAutospacing="0" w:after="0" w:afterAutospacing="0"/>
              <w:rPr>
                <w:color w:val="000000"/>
                <w:sz w:val="14"/>
                <w:szCs w:val="14"/>
              </w:rPr>
            </w:pPr>
            <w:r>
              <w:rPr>
                <w:color w:val="000000"/>
                <w:sz w:val="14"/>
                <w:szCs w:val="14"/>
              </w:rPr>
              <w:t>Issuance of the convertible and</w:t>
            </w:r>
          </w:p>
          <w:p w14:paraId="229BC1CD" w14:textId="77777777" w:rsidR="00000000" w:rsidRDefault="00582324">
            <w:pPr>
              <w:pStyle w:val="a3"/>
              <w:spacing w:before="0" w:beforeAutospacing="0" w:after="0" w:afterAutospacing="0"/>
              <w:rPr>
                <w:color w:val="000000"/>
                <w:sz w:val="14"/>
                <w:szCs w:val="14"/>
              </w:rPr>
            </w:pPr>
            <w:r>
              <w:rPr>
                <w:color w:val="000000"/>
                <w:sz w:val="14"/>
                <w:szCs w:val="14"/>
              </w:rPr>
              <w:t>   redeemable series A-2 preferred stock</w:t>
            </w:r>
          </w:p>
        </w:tc>
        <w:tc>
          <w:tcPr>
            <w:tcW w:w="50" w:type="pct"/>
            <w:shd w:val="clear" w:color="auto" w:fill="CFF0FC"/>
            <w:tcMar>
              <w:top w:w="15" w:type="dxa"/>
              <w:left w:w="0" w:type="dxa"/>
              <w:bottom w:w="0" w:type="dxa"/>
              <w:right w:w="15" w:type="dxa"/>
            </w:tcMar>
            <w:hideMark/>
          </w:tcPr>
          <w:p w14:paraId="4C66AA3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99CEA8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3DE221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BCFDA5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FF969E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E613C8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35AFC6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492BA1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4BF9CBB0"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907F5C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516CC123" w14:textId="77777777" w:rsidR="00000000" w:rsidRDefault="00582324">
            <w:pPr>
              <w:pStyle w:val="a3"/>
              <w:spacing w:before="0" w:beforeAutospacing="0" w:after="0" w:afterAutospacing="0"/>
              <w:jc w:val="right"/>
              <w:rPr>
                <w:color w:val="000000"/>
                <w:sz w:val="14"/>
                <w:szCs w:val="14"/>
              </w:rPr>
            </w:pPr>
            <w:r>
              <w:rPr>
                <w:color w:val="000000"/>
                <w:sz w:val="14"/>
                <w:szCs w:val="14"/>
              </w:rPr>
              <w:t>17,500</w:t>
            </w:r>
          </w:p>
        </w:tc>
        <w:tc>
          <w:tcPr>
            <w:tcW w:w="50" w:type="pct"/>
            <w:shd w:val="clear" w:color="auto" w:fill="CFF0FC"/>
            <w:noWrap/>
            <w:tcMar>
              <w:top w:w="15" w:type="dxa"/>
              <w:left w:w="0" w:type="dxa"/>
              <w:bottom w:w="0" w:type="dxa"/>
              <w:right w:w="15" w:type="dxa"/>
            </w:tcMar>
            <w:vAlign w:val="bottom"/>
            <w:hideMark/>
          </w:tcPr>
          <w:p w14:paraId="543A407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9C9076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02CD36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2B6F4FB" w14:textId="77777777" w:rsidR="00000000" w:rsidRDefault="00582324">
            <w:pPr>
              <w:pStyle w:val="a3"/>
              <w:spacing w:before="0" w:beforeAutospacing="0" w:after="0" w:afterAutospacing="0"/>
              <w:jc w:val="right"/>
              <w:rPr>
                <w:color w:val="000000"/>
                <w:sz w:val="14"/>
                <w:szCs w:val="14"/>
              </w:rPr>
            </w:pPr>
            <w:r>
              <w:rPr>
                <w:color w:val="000000"/>
                <w:sz w:val="14"/>
                <w:szCs w:val="14"/>
              </w:rPr>
              <w:t>152,928</w:t>
            </w:r>
          </w:p>
        </w:tc>
        <w:tc>
          <w:tcPr>
            <w:tcW w:w="50" w:type="pct"/>
            <w:shd w:val="clear" w:color="auto" w:fill="CFF0FC"/>
            <w:noWrap/>
            <w:tcMar>
              <w:top w:w="15" w:type="dxa"/>
              <w:left w:w="0" w:type="dxa"/>
              <w:bottom w:w="0" w:type="dxa"/>
              <w:right w:w="15" w:type="dxa"/>
            </w:tcMar>
            <w:vAlign w:val="bottom"/>
            <w:hideMark/>
          </w:tcPr>
          <w:p w14:paraId="5FE0FD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5569F9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5DA139A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D2E02D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92F513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74B68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2F1CEF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19E1B3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98626D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A8D63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D2715E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F7F263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BE9DE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614471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72F9270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B5B55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9F1589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1AE11EF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96D5F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3E2F74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534CB3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565AD57"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1C86394A" w14:textId="77777777">
        <w:trPr>
          <w:divId w:val="1774744062"/>
        </w:trPr>
        <w:tc>
          <w:tcPr>
            <w:tcW w:w="790" w:type="pct"/>
            <w:shd w:val="clear" w:color="auto" w:fill="FFFFFF"/>
            <w:tcMar>
              <w:top w:w="15" w:type="dxa"/>
              <w:left w:w="0" w:type="dxa"/>
              <w:bottom w:w="0" w:type="dxa"/>
              <w:right w:w="15" w:type="dxa"/>
            </w:tcMar>
            <w:hideMark/>
          </w:tcPr>
          <w:p w14:paraId="6AC27EB9" w14:textId="77777777" w:rsidR="00000000" w:rsidRDefault="00582324">
            <w:pPr>
              <w:pStyle w:val="a3"/>
              <w:spacing w:before="0" w:beforeAutospacing="0" w:after="0" w:afterAutospacing="0"/>
              <w:rPr>
                <w:color w:val="000000"/>
                <w:sz w:val="14"/>
                <w:szCs w:val="14"/>
              </w:rPr>
            </w:pPr>
            <w:r>
              <w:rPr>
                <w:color w:val="000000"/>
                <w:sz w:val="14"/>
                <w:szCs w:val="14"/>
              </w:rPr>
              <w:t>Stock-based compensation</w:t>
            </w:r>
          </w:p>
        </w:tc>
        <w:tc>
          <w:tcPr>
            <w:tcW w:w="50" w:type="pct"/>
            <w:shd w:val="clear" w:color="auto" w:fill="FFFFFF"/>
            <w:tcMar>
              <w:top w:w="15" w:type="dxa"/>
              <w:left w:w="0" w:type="dxa"/>
              <w:bottom w:w="0" w:type="dxa"/>
              <w:right w:w="15" w:type="dxa"/>
            </w:tcMar>
            <w:hideMark/>
          </w:tcPr>
          <w:p w14:paraId="4284723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E1EC79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DDB4E8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1619D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28D2615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9ED6F9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4DDFE8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379FCE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19E8C3F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1B20F6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706B3B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72A767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131053A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465267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782BC4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D7D465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6A01001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436DC6A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69D88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8A42B7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D24B3E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4164A7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63344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7D4958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17897D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A66A18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E4F59E8" w14:textId="77777777" w:rsidR="00000000" w:rsidRDefault="00582324">
            <w:pPr>
              <w:pStyle w:val="a3"/>
              <w:spacing w:before="0" w:beforeAutospacing="0" w:after="0" w:afterAutospacing="0"/>
              <w:jc w:val="right"/>
              <w:rPr>
                <w:color w:val="000000"/>
                <w:sz w:val="14"/>
                <w:szCs w:val="14"/>
              </w:rPr>
            </w:pPr>
            <w:r>
              <w:rPr>
                <w:color w:val="000000"/>
                <w:sz w:val="14"/>
                <w:szCs w:val="14"/>
              </w:rPr>
              <w:t>1,140</w:t>
            </w:r>
          </w:p>
        </w:tc>
        <w:tc>
          <w:tcPr>
            <w:tcW w:w="50" w:type="pct"/>
            <w:shd w:val="clear" w:color="auto" w:fill="FFFFFF"/>
            <w:noWrap/>
            <w:tcMar>
              <w:top w:w="15" w:type="dxa"/>
              <w:left w:w="0" w:type="dxa"/>
              <w:bottom w:w="0" w:type="dxa"/>
              <w:right w:w="15" w:type="dxa"/>
            </w:tcMar>
            <w:vAlign w:val="bottom"/>
            <w:hideMark/>
          </w:tcPr>
          <w:p w14:paraId="75391D6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B28F51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D4E7D7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7312F5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4F17A3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5EEA5B8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FC567A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326AB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D9385F9" w14:textId="77777777" w:rsidR="00000000" w:rsidRDefault="00582324">
            <w:pPr>
              <w:pStyle w:val="a3"/>
              <w:spacing w:before="0" w:beforeAutospacing="0" w:after="0" w:afterAutospacing="0"/>
              <w:jc w:val="right"/>
              <w:rPr>
                <w:color w:val="000000"/>
                <w:sz w:val="14"/>
                <w:szCs w:val="14"/>
              </w:rPr>
            </w:pPr>
            <w:r>
              <w:rPr>
                <w:color w:val="000000"/>
                <w:sz w:val="14"/>
                <w:szCs w:val="14"/>
              </w:rPr>
              <w:t>1,140</w:t>
            </w:r>
          </w:p>
        </w:tc>
        <w:tc>
          <w:tcPr>
            <w:tcW w:w="50" w:type="pct"/>
            <w:shd w:val="clear" w:color="auto" w:fill="FFFFFF"/>
            <w:noWrap/>
            <w:tcMar>
              <w:top w:w="15" w:type="dxa"/>
              <w:left w:w="0" w:type="dxa"/>
              <w:bottom w:w="0" w:type="dxa"/>
              <w:right w:w="15" w:type="dxa"/>
            </w:tcMar>
            <w:vAlign w:val="bottom"/>
            <w:hideMark/>
          </w:tcPr>
          <w:p w14:paraId="4F8781A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5D6F28D2" w14:textId="77777777">
        <w:trPr>
          <w:divId w:val="1774744062"/>
        </w:trPr>
        <w:tc>
          <w:tcPr>
            <w:tcW w:w="790" w:type="pct"/>
            <w:shd w:val="clear" w:color="auto" w:fill="CFF0FC"/>
            <w:tcMar>
              <w:top w:w="15" w:type="dxa"/>
              <w:left w:w="0" w:type="dxa"/>
              <w:bottom w:w="0" w:type="dxa"/>
              <w:right w:w="15" w:type="dxa"/>
            </w:tcMar>
            <w:hideMark/>
          </w:tcPr>
          <w:p w14:paraId="6450A040" w14:textId="77777777" w:rsidR="00000000" w:rsidRDefault="00582324">
            <w:pPr>
              <w:pStyle w:val="a3"/>
              <w:spacing w:before="0" w:beforeAutospacing="0" w:after="0" w:afterAutospacing="0"/>
              <w:rPr>
                <w:color w:val="000000"/>
                <w:sz w:val="14"/>
                <w:szCs w:val="14"/>
              </w:rPr>
            </w:pPr>
            <w:r>
              <w:rPr>
                <w:color w:val="000000"/>
                <w:sz w:val="14"/>
                <w:szCs w:val="14"/>
              </w:rPr>
              <w:t>Common stock issued</w:t>
            </w:r>
          </w:p>
        </w:tc>
        <w:tc>
          <w:tcPr>
            <w:tcW w:w="50" w:type="pct"/>
            <w:shd w:val="clear" w:color="auto" w:fill="CFF0FC"/>
            <w:tcMar>
              <w:top w:w="15" w:type="dxa"/>
              <w:left w:w="0" w:type="dxa"/>
              <w:bottom w:w="0" w:type="dxa"/>
              <w:right w:w="15" w:type="dxa"/>
            </w:tcMar>
            <w:hideMark/>
          </w:tcPr>
          <w:p w14:paraId="0420A55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3730E1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FF1216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09B9FE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D5108F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8D225E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105E90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AC8F1D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79F3294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082CCD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4F9950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5D7BCA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206C7EF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D4E848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83EB92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95221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4EDA248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21B80A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C6AACC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373E926" w14:textId="77777777" w:rsidR="00000000" w:rsidRDefault="00582324">
            <w:pPr>
              <w:pStyle w:val="a3"/>
              <w:spacing w:before="0" w:beforeAutospacing="0" w:after="0" w:afterAutospacing="0"/>
              <w:jc w:val="right"/>
              <w:rPr>
                <w:color w:val="000000"/>
                <w:sz w:val="14"/>
                <w:szCs w:val="14"/>
              </w:rPr>
            </w:pPr>
            <w:r>
              <w:rPr>
                <w:color w:val="000000"/>
                <w:sz w:val="14"/>
                <w:szCs w:val="14"/>
              </w:rPr>
              <w:t>794,639</w:t>
            </w:r>
          </w:p>
        </w:tc>
        <w:tc>
          <w:tcPr>
            <w:tcW w:w="50" w:type="pct"/>
            <w:shd w:val="clear" w:color="auto" w:fill="CFF0FC"/>
            <w:noWrap/>
            <w:tcMar>
              <w:top w:w="15" w:type="dxa"/>
              <w:left w:w="0" w:type="dxa"/>
              <w:bottom w:w="0" w:type="dxa"/>
              <w:right w:w="15" w:type="dxa"/>
            </w:tcMar>
            <w:vAlign w:val="bottom"/>
            <w:hideMark/>
          </w:tcPr>
          <w:p w14:paraId="60C424E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FC7AF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AB49E9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E34E6F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E8E537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525217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C81001C" w14:textId="77777777" w:rsidR="00000000" w:rsidRDefault="00582324">
            <w:pPr>
              <w:pStyle w:val="a3"/>
              <w:spacing w:before="0" w:beforeAutospacing="0" w:after="0" w:afterAutospacing="0"/>
              <w:jc w:val="right"/>
              <w:rPr>
                <w:color w:val="000000"/>
                <w:sz w:val="14"/>
                <w:szCs w:val="14"/>
              </w:rPr>
            </w:pPr>
            <w:r>
              <w:rPr>
                <w:color w:val="000000"/>
                <w:sz w:val="14"/>
                <w:szCs w:val="14"/>
              </w:rPr>
              <w:t>25,021</w:t>
            </w:r>
          </w:p>
        </w:tc>
        <w:tc>
          <w:tcPr>
            <w:tcW w:w="50" w:type="pct"/>
            <w:shd w:val="clear" w:color="auto" w:fill="CFF0FC"/>
            <w:noWrap/>
            <w:tcMar>
              <w:top w:w="15" w:type="dxa"/>
              <w:left w:w="0" w:type="dxa"/>
              <w:bottom w:w="0" w:type="dxa"/>
              <w:right w:w="15" w:type="dxa"/>
            </w:tcMar>
            <w:vAlign w:val="bottom"/>
            <w:hideMark/>
          </w:tcPr>
          <w:p w14:paraId="0BEE09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5DCA5E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CD6A69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1C2478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53FAB6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569ED38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6259E5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C3911B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0469F267" w14:textId="77777777" w:rsidR="00000000" w:rsidRDefault="00582324">
            <w:pPr>
              <w:pStyle w:val="a3"/>
              <w:spacing w:before="0" w:beforeAutospacing="0" w:after="0" w:afterAutospacing="0"/>
              <w:jc w:val="right"/>
              <w:rPr>
                <w:color w:val="000000"/>
                <w:sz w:val="14"/>
                <w:szCs w:val="14"/>
              </w:rPr>
            </w:pPr>
            <w:r>
              <w:rPr>
                <w:color w:val="000000"/>
                <w:sz w:val="14"/>
                <w:szCs w:val="14"/>
              </w:rPr>
              <w:t>25,021</w:t>
            </w:r>
          </w:p>
        </w:tc>
        <w:tc>
          <w:tcPr>
            <w:tcW w:w="50" w:type="pct"/>
            <w:shd w:val="clear" w:color="auto" w:fill="CFF0FC"/>
            <w:noWrap/>
            <w:tcMar>
              <w:top w:w="15" w:type="dxa"/>
              <w:left w:w="0" w:type="dxa"/>
              <w:bottom w:w="0" w:type="dxa"/>
              <w:right w:w="15" w:type="dxa"/>
            </w:tcMar>
            <w:vAlign w:val="bottom"/>
            <w:hideMark/>
          </w:tcPr>
          <w:p w14:paraId="6F85071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1B4AD2CF" w14:textId="77777777">
        <w:trPr>
          <w:divId w:val="1774744062"/>
        </w:trPr>
        <w:tc>
          <w:tcPr>
            <w:tcW w:w="790" w:type="pct"/>
            <w:shd w:val="clear" w:color="auto" w:fill="FFFFFF"/>
            <w:tcMar>
              <w:top w:w="15" w:type="dxa"/>
              <w:left w:w="0" w:type="dxa"/>
              <w:bottom w:w="0" w:type="dxa"/>
              <w:right w:w="15" w:type="dxa"/>
            </w:tcMar>
            <w:hideMark/>
          </w:tcPr>
          <w:p w14:paraId="0C7DE42C" w14:textId="77777777" w:rsidR="00000000" w:rsidRDefault="00582324">
            <w:pPr>
              <w:pStyle w:val="a3"/>
              <w:spacing w:before="0" w:beforeAutospacing="0" w:after="0" w:afterAutospacing="0"/>
              <w:rPr>
                <w:color w:val="000000"/>
                <w:sz w:val="14"/>
                <w:szCs w:val="14"/>
              </w:rPr>
            </w:pPr>
            <w:r>
              <w:rPr>
                <w:color w:val="000000"/>
                <w:sz w:val="14"/>
                <w:szCs w:val="14"/>
              </w:rPr>
              <w:t>Accumulated other comprehensive</w:t>
            </w:r>
          </w:p>
          <w:p w14:paraId="54A72454" w14:textId="77777777" w:rsidR="00000000" w:rsidRDefault="00582324">
            <w:pPr>
              <w:pStyle w:val="a3"/>
              <w:spacing w:before="0" w:beforeAutospacing="0" w:after="0" w:afterAutospacing="0"/>
              <w:rPr>
                <w:color w:val="000000"/>
                <w:sz w:val="14"/>
                <w:szCs w:val="14"/>
              </w:rPr>
            </w:pPr>
            <w:r>
              <w:rPr>
                <w:color w:val="000000"/>
                <w:sz w:val="14"/>
                <w:szCs w:val="14"/>
              </w:rPr>
              <w:t>   loss</w:t>
            </w:r>
          </w:p>
        </w:tc>
        <w:tc>
          <w:tcPr>
            <w:tcW w:w="50" w:type="pct"/>
            <w:shd w:val="clear" w:color="auto" w:fill="FFFFFF"/>
            <w:tcMar>
              <w:top w:w="15" w:type="dxa"/>
              <w:left w:w="0" w:type="dxa"/>
              <w:bottom w:w="0" w:type="dxa"/>
              <w:right w:w="15" w:type="dxa"/>
            </w:tcMar>
            <w:hideMark/>
          </w:tcPr>
          <w:p w14:paraId="2B299B2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631416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5AA7661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304271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315C9A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8E2EB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11A2644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DEE4DD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5A2DEF1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3A8DC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745E53F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1C77B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3CE352E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7F1810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06EFBA1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5C2E86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159E44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40962D4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C533E2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00843DB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C3FEC9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B63702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D1BEA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698C526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74220A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EEC25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5467701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F45403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BC2CA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5409095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9B8E55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43090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14:paraId="37BF3ED2" w14:textId="77777777" w:rsidR="00000000" w:rsidRDefault="00582324">
            <w:pPr>
              <w:pStyle w:val="a3"/>
              <w:spacing w:before="0" w:beforeAutospacing="0" w:after="0" w:afterAutospacing="0"/>
              <w:jc w:val="right"/>
              <w:rPr>
                <w:color w:val="000000"/>
                <w:sz w:val="14"/>
                <w:szCs w:val="14"/>
              </w:rPr>
            </w:pPr>
            <w:r>
              <w:rPr>
                <w:color w:val="000000"/>
                <w:sz w:val="14"/>
                <w:szCs w:val="14"/>
              </w:rPr>
              <w:t>(90</w:t>
            </w:r>
          </w:p>
        </w:tc>
        <w:tc>
          <w:tcPr>
            <w:tcW w:w="50" w:type="pct"/>
            <w:shd w:val="clear" w:color="auto" w:fill="FFFFFF"/>
            <w:noWrap/>
            <w:tcMar>
              <w:top w:w="15" w:type="dxa"/>
              <w:left w:w="0" w:type="dxa"/>
              <w:bottom w:w="0" w:type="dxa"/>
              <w:right w:w="15" w:type="dxa"/>
            </w:tcMar>
            <w:vAlign w:val="bottom"/>
            <w:hideMark/>
          </w:tcPr>
          <w:p w14:paraId="3ED9C4D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627CE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FFFFFF"/>
            <w:noWrap/>
            <w:tcMar>
              <w:top w:w="15" w:type="dxa"/>
              <w:left w:w="0" w:type="dxa"/>
              <w:bottom w:w="0" w:type="dxa"/>
              <w:right w:w="15" w:type="dxa"/>
            </w:tcMar>
            <w:vAlign w:val="bottom"/>
            <w:hideMark/>
          </w:tcPr>
          <w:p w14:paraId="345E4DE2" w14:textId="77777777" w:rsidR="00000000" w:rsidRDefault="00582324">
            <w:pPr>
              <w:pStyle w:val="a3"/>
              <w:spacing w:before="0" w:beforeAutospacing="0" w:after="0" w:afterAutospacing="0"/>
              <w:jc w:val="right"/>
              <w:rPr>
                <w:color w:val="000000"/>
                <w:sz w:val="14"/>
                <w:szCs w:val="14"/>
              </w:rPr>
            </w:pPr>
            <w:r>
              <w:rPr>
                <w:color w:val="000000"/>
                <w:sz w:val="14"/>
                <w:szCs w:val="14"/>
              </w:rPr>
              <w:t>(90</w:t>
            </w:r>
          </w:p>
        </w:tc>
        <w:tc>
          <w:tcPr>
            <w:tcW w:w="50" w:type="pct"/>
            <w:shd w:val="clear" w:color="auto" w:fill="FFFFFF"/>
            <w:noWrap/>
            <w:tcMar>
              <w:top w:w="15" w:type="dxa"/>
              <w:left w:w="0" w:type="dxa"/>
              <w:bottom w:w="0" w:type="dxa"/>
              <w:right w:w="15" w:type="dxa"/>
            </w:tcMar>
            <w:vAlign w:val="bottom"/>
            <w:hideMark/>
          </w:tcPr>
          <w:p w14:paraId="20DEB823"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3C6B2B4A" w14:textId="77777777">
        <w:trPr>
          <w:divId w:val="1774744062"/>
        </w:trPr>
        <w:tc>
          <w:tcPr>
            <w:tcW w:w="790" w:type="pct"/>
            <w:shd w:val="clear" w:color="auto" w:fill="CFF0FC"/>
            <w:tcMar>
              <w:top w:w="15" w:type="dxa"/>
              <w:left w:w="0" w:type="dxa"/>
              <w:bottom w:w="0" w:type="dxa"/>
              <w:right w:w="15" w:type="dxa"/>
            </w:tcMar>
            <w:hideMark/>
          </w:tcPr>
          <w:p w14:paraId="20861C9A" w14:textId="77777777" w:rsidR="00000000" w:rsidRDefault="00582324">
            <w:pPr>
              <w:pStyle w:val="a3"/>
              <w:spacing w:before="0" w:beforeAutospacing="0" w:after="0" w:afterAutospacing="0"/>
              <w:rPr>
                <w:b/>
                <w:bCs/>
                <w:color w:val="000000"/>
                <w:sz w:val="14"/>
                <w:szCs w:val="14"/>
              </w:rPr>
            </w:pPr>
            <w:r>
              <w:rPr>
                <w:b/>
                <w:bCs/>
                <w:color w:val="000000"/>
                <w:sz w:val="14"/>
                <w:szCs w:val="14"/>
              </w:rPr>
              <w:t>BALANCE—</w:t>
            </w:r>
            <w:r>
              <w:rPr>
                <w:b/>
                <w:bCs/>
                <w:color w:val="000000"/>
                <w:sz w:val="14"/>
                <w:szCs w:val="14"/>
              </w:rPr>
              <w:t>June 30, 2020</w:t>
            </w:r>
          </w:p>
        </w:tc>
        <w:tc>
          <w:tcPr>
            <w:tcW w:w="50" w:type="pct"/>
            <w:shd w:val="clear" w:color="auto" w:fill="CFF0FC"/>
            <w:tcMar>
              <w:top w:w="15" w:type="dxa"/>
              <w:left w:w="0" w:type="dxa"/>
              <w:bottom w:w="0" w:type="dxa"/>
              <w:right w:w="15" w:type="dxa"/>
            </w:tcMar>
            <w:hideMark/>
          </w:tcPr>
          <w:p w14:paraId="54040BC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447DE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9DD722"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12,000</w:t>
            </w:r>
          </w:p>
        </w:tc>
        <w:tc>
          <w:tcPr>
            <w:tcW w:w="50" w:type="pct"/>
            <w:shd w:val="clear" w:color="auto" w:fill="CFF0FC"/>
            <w:noWrap/>
            <w:tcMar>
              <w:top w:w="15" w:type="dxa"/>
              <w:left w:w="0" w:type="dxa"/>
              <w:bottom w:w="0" w:type="dxa"/>
              <w:right w:w="15" w:type="dxa"/>
            </w:tcMar>
            <w:vAlign w:val="bottom"/>
            <w:hideMark/>
          </w:tcPr>
          <w:p w14:paraId="72532E9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CFF0FC"/>
            <w:tcMar>
              <w:top w:w="15" w:type="dxa"/>
              <w:left w:w="0" w:type="dxa"/>
              <w:bottom w:w="0" w:type="dxa"/>
              <w:right w:w="15" w:type="dxa"/>
            </w:tcMar>
            <w:vAlign w:val="bottom"/>
            <w:hideMark/>
          </w:tcPr>
          <w:p w14:paraId="7C2FE8D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05708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BAC9D4"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139,881</w:t>
            </w:r>
          </w:p>
        </w:tc>
        <w:tc>
          <w:tcPr>
            <w:tcW w:w="50" w:type="pct"/>
            <w:shd w:val="clear" w:color="auto" w:fill="CFF0FC"/>
            <w:noWrap/>
            <w:tcMar>
              <w:top w:w="15" w:type="dxa"/>
              <w:left w:w="0" w:type="dxa"/>
              <w:bottom w:w="0" w:type="dxa"/>
              <w:right w:w="15" w:type="dxa"/>
            </w:tcMar>
            <w:vAlign w:val="bottom"/>
            <w:hideMark/>
          </w:tcPr>
          <w:p w14:paraId="34DD9B3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CFF0FC"/>
            <w:tcMar>
              <w:top w:w="15" w:type="dxa"/>
              <w:left w:w="0" w:type="dxa"/>
              <w:bottom w:w="0" w:type="dxa"/>
              <w:right w:w="15" w:type="dxa"/>
            </w:tcMar>
            <w:vAlign w:val="bottom"/>
            <w:hideMark/>
          </w:tcPr>
          <w:p w14:paraId="3499491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96516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BD7F8F"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17,500</w:t>
            </w:r>
          </w:p>
        </w:tc>
        <w:tc>
          <w:tcPr>
            <w:tcW w:w="50" w:type="pct"/>
            <w:shd w:val="clear" w:color="auto" w:fill="CFF0FC"/>
            <w:noWrap/>
            <w:tcMar>
              <w:top w:w="15" w:type="dxa"/>
              <w:left w:w="0" w:type="dxa"/>
              <w:bottom w:w="0" w:type="dxa"/>
              <w:right w:w="15" w:type="dxa"/>
            </w:tcMar>
            <w:vAlign w:val="bottom"/>
            <w:hideMark/>
          </w:tcPr>
          <w:p w14:paraId="6CD3722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CFF0FC"/>
            <w:tcMar>
              <w:top w:w="15" w:type="dxa"/>
              <w:left w:w="0" w:type="dxa"/>
              <w:bottom w:w="0" w:type="dxa"/>
              <w:right w:w="15" w:type="dxa"/>
            </w:tcMar>
            <w:vAlign w:val="bottom"/>
            <w:hideMark/>
          </w:tcPr>
          <w:p w14:paraId="06CE4C6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5510C3"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70D56A"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152,928</w:t>
            </w:r>
          </w:p>
        </w:tc>
        <w:tc>
          <w:tcPr>
            <w:tcW w:w="50" w:type="pct"/>
            <w:shd w:val="clear" w:color="auto" w:fill="CFF0FC"/>
            <w:noWrap/>
            <w:tcMar>
              <w:top w:w="15" w:type="dxa"/>
              <w:left w:w="0" w:type="dxa"/>
              <w:bottom w:w="0" w:type="dxa"/>
              <w:right w:w="15" w:type="dxa"/>
            </w:tcMar>
            <w:vAlign w:val="bottom"/>
            <w:hideMark/>
          </w:tcPr>
          <w:p w14:paraId="40B835C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75F3C6D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2420251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3C788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E83586"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9,164,746</w:t>
            </w:r>
          </w:p>
        </w:tc>
        <w:tc>
          <w:tcPr>
            <w:tcW w:w="50" w:type="pct"/>
            <w:shd w:val="clear" w:color="auto" w:fill="CFF0FC"/>
            <w:noWrap/>
            <w:tcMar>
              <w:top w:w="15" w:type="dxa"/>
              <w:left w:w="0" w:type="dxa"/>
              <w:bottom w:w="0" w:type="dxa"/>
              <w:right w:w="15" w:type="dxa"/>
            </w:tcMar>
            <w:vAlign w:val="bottom"/>
            <w:hideMark/>
          </w:tcPr>
          <w:p w14:paraId="295A19C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CFF0FC"/>
            <w:tcMar>
              <w:top w:w="15" w:type="dxa"/>
              <w:left w:w="0" w:type="dxa"/>
              <w:bottom w:w="0" w:type="dxa"/>
              <w:right w:w="15" w:type="dxa"/>
            </w:tcMar>
            <w:vAlign w:val="bottom"/>
            <w:hideMark/>
          </w:tcPr>
          <w:p w14:paraId="009C46E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58002E"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0BA167"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E3BD6B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A8695E"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DF1AE9"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54,405</w:t>
            </w:r>
          </w:p>
        </w:tc>
        <w:tc>
          <w:tcPr>
            <w:tcW w:w="50" w:type="pct"/>
            <w:shd w:val="clear" w:color="auto" w:fill="CFF0FC"/>
            <w:noWrap/>
            <w:tcMar>
              <w:top w:w="15" w:type="dxa"/>
              <w:left w:w="0" w:type="dxa"/>
              <w:bottom w:w="0" w:type="dxa"/>
              <w:right w:w="15" w:type="dxa"/>
            </w:tcMar>
            <w:vAlign w:val="bottom"/>
            <w:hideMark/>
          </w:tcPr>
          <w:p w14:paraId="4D18155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F87DE2"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020C8F"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(92,428</w:t>
            </w:r>
          </w:p>
        </w:tc>
        <w:tc>
          <w:tcPr>
            <w:tcW w:w="50" w:type="pct"/>
            <w:shd w:val="clear" w:color="auto" w:fill="CFF0FC"/>
            <w:noWrap/>
            <w:tcMar>
              <w:top w:w="15" w:type="dxa"/>
              <w:left w:w="0" w:type="dxa"/>
              <w:bottom w:w="0" w:type="dxa"/>
              <w:right w:w="15" w:type="dxa"/>
            </w:tcMar>
            <w:vAlign w:val="bottom"/>
            <w:hideMark/>
          </w:tcPr>
          <w:p w14:paraId="48A8B266"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D0D4FD"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4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87B0E6"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(93</w:t>
            </w:r>
          </w:p>
        </w:tc>
        <w:tc>
          <w:tcPr>
            <w:tcW w:w="50" w:type="pct"/>
            <w:shd w:val="clear" w:color="auto" w:fill="CFF0FC"/>
            <w:noWrap/>
            <w:tcMar>
              <w:top w:w="15" w:type="dxa"/>
              <w:left w:w="0" w:type="dxa"/>
              <w:bottom w:w="0" w:type="dxa"/>
              <w:right w:w="15" w:type="dxa"/>
            </w:tcMar>
            <w:vAlign w:val="bottom"/>
            <w:hideMark/>
          </w:tcPr>
          <w:p w14:paraId="589A29DD"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44F9F9"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369482"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(38,116</w:t>
            </w:r>
          </w:p>
        </w:tc>
        <w:tc>
          <w:tcPr>
            <w:tcW w:w="50" w:type="pct"/>
            <w:shd w:val="clear" w:color="auto" w:fill="CFF0FC"/>
            <w:noWrap/>
            <w:tcMar>
              <w:top w:w="15" w:type="dxa"/>
              <w:left w:w="0" w:type="dxa"/>
              <w:bottom w:w="0" w:type="dxa"/>
              <w:right w:w="15" w:type="dxa"/>
            </w:tcMar>
            <w:vAlign w:val="bottom"/>
            <w:hideMark/>
          </w:tcPr>
          <w:p w14:paraId="2AEC0AE8"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r>
      <w:tr w:rsidR="00582324" w14:paraId="64D0F9E1" w14:textId="77777777">
        <w:trPr>
          <w:divId w:val="1774744062"/>
        </w:trPr>
        <w:tc>
          <w:tcPr>
            <w:tcW w:w="790" w:type="pct"/>
            <w:shd w:val="clear" w:color="auto" w:fill="FFFFFF"/>
            <w:tcMar>
              <w:top w:w="15" w:type="dxa"/>
              <w:left w:w="0" w:type="dxa"/>
              <w:bottom w:w="0" w:type="dxa"/>
              <w:right w:w="15" w:type="dxa"/>
            </w:tcMar>
            <w:hideMark/>
          </w:tcPr>
          <w:p w14:paraId="76689AE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hideMark/>
          </w:tcPr>
          <w:p w14:paraId="260ACA9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70B9BE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6369204B"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308D79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544208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1A10FB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4AE3F708"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688BFF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738C9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897603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3252C53E"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C65BC4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5F3F68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B46A9D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30EE4113"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F43309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0FAB338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5E35C8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E61E5F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3CBFE150"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83396E7"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E30D16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1DEC3E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2A0D1F39"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473A60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3B5FA1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27492FFC"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C29D5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E1B787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2EEA116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4A9721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38B54A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20" w:type="pct"/>
            <w:tcBorders>
              <w:top w:val="double" w:sz="6" w:space="0" w:color="000000"/>
            </w:tcBorders>
            <w:shd w:val="clear" w:color="auto" w:fill="FFFFFF"/>
            <w:noWrap/>
            <w:tcMar>
              <w:top w:w="15" w:type="dxa"/>
              <w:left w:w="0" w:type="dxa"/>
              <w:bottom w:w="0" w:type="dxa"/>
              <w:right w:w="15" w:type="dxa"/>
            </w:tcMar>
            <w:vAlign w:val="bottom"/>
            <w:hideMark/>
          </w:tcPr>
          <w:p w14:paraId="233BFC50"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F4B5AE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8EA776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75F47CF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F6A1C6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582324" w14:paraId="370491F2" w14:textId="77777777">
        <w:trPr>
          <w:divId w:val="1774744062"/>
        </w:trPr>
        <w:tc>
          <w:tcPr>
            <w:tcW w:w="790" w:type="pct"/>
            <w:shd w:val="clear" w:color="auto" w:fill="FFFFFF"/>
            <w:tcMar>
              <w:top w:w="15" w:type="dxa"/>
              <w:left w:w="0" w:type="dxa"/>
              <w:bottom w:w="0" w:type="dxa"/>
              <w:right w:w="15" w:type="dxa"/>
            </w:tcMar>
            <w:hideMark/>
          </w:tcPr>
          <w:p w14:paraId="400F11BE" w14:textId="77777777" w:rsidR="00000000" w:rsidRDefault="00582324">
            <w:pPr>
              <w:pStyle w:val="a3"/>
              <w:spacing w:before="0" w:beforeAutospacing="0" w:after="0" w:afterAutospacing="0"/>
              <w:rPr>
                <w:color w:val="000000"/>
                <w:sz w:val="14"/>
                <w:szCs w:val="14"/>
              </w:rPr>
            </w:pPr>
            <w:r>
              <w:rPr>
                <w:color w:val="000000"/>
                <w:sz w:val="14"/>
                <w:szCs w:val="14"/>
              </w:rPr>
              <w:t>BALANCE—</w:t>
            </w:r>
            <w:r>
              <w:rPr>
                <w:color w:val="000000"/>
                <w:sz w:val="14"/>
                <w:szCs w:val="14"/>
              </w:rPr>
              <w:t>December 31, 2020</w:t>
            </w:r>
          </w:p>
        </w:tc>
        <w:tc>
          <w:tcPr>
            <w:tcW w:w="50" w:type="pct"/>
            <w:shd w:val="clear" w:color="auto" w:fill="FFFFFF"/>
            <w:tcMar>
              <w:top w:w="15" w:type="dxa"/>
              <w:left w:w="0" w:type="dxa"/>
              <w:bottom w:w="0" w:type="dxa"/>
              <w:right w:w="15" w:type="dxa"/>
            </w:tcMar>
            <w:vAlign w:val="bottom"/>
            <w:hideMark/>
          </w:tcPr>
          <w:p w14:paraId="1D287A2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4E39CC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B02AAB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05B938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436AD1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09AC3B7"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6C53091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890876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BA66DC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ACE47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698172B" w14:textId="77777777" w:rsidR="00000000" w:rsidRDefault="00582324">
            <w:pPr>
              <w:pStyle w:val="a3"/>
              <w:spacing w:before="0" w:beforeAutospacing="0" w:after="0" w:afterAutospacing="0"/>
              <w:jc w:val="right"/>
              <w:rPr>
                <w:color w:val="000000"/>
                <w:sz w:val="14"/>
                <w:szCs w:val="14"/>
              </w:rPr>
            </w:pPr>
            <w:r>
              <w:rPr>
                <w:color w:val="000000"/>
                <w:sz w:val="14"/>
                <w:szCs w:val="14"/>
              </w:rPr>
              <w:t>17,500</w:t>
            </w:r>
          </w:p>
        </w:tc>
        <w:tc>
          <w:tcPr>
            <w:tcW w:w="50" w:type="pct"/>
            <w:shd w:val="clear" w:color="auto" w:fill="FFFFFF"/>
            <w:noWrap/>
            <w:tcMar>
              <w:top w:w="15" w:type="dxa"/>
              <w:left w:w="0" w:type="dxa"/>
              <w:bottom w:w="0" w:type="dxa"/>
              <w:right w:w="15" w:type="dxa"/>
            </w:tcMar>
            <w:vAlign w:val="bottom"/>
            <w:hideMark/>
          </w:tcPr>
          <w:p w14:paraId="13BD810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80A8F3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8248C30"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2D230686" w14:textId="77777777" w:rsidR="00000000" w:rsidRDefault="00582324">
            <w:pPr>
              <w:pStyle w:val="a3"/>
              <w:spacing w:before="0" w:beforeAutospacing="0" w:after="0" w:afterAutospacing="0"/>
              <w:jc w:val="right"/>
              <w:rPr>
                <w:color w:val="000000"/>
                <w:sz w:val="14"/>
                <w:szCs w:val="14"/>
              </w:rPr>
            </w:pPr>
            <w:r>
              <w:rPr>
                <w:color w:val="000000"/>
                <w:sz w:val="14"/>
                <w:szCs w:val="14"/>
              </w:rPr>
              <w:t>152,928</w:t>
            </w:r>
          </w:p>
        </w:tc>
        <w:tc>
          <w:tcPr>
            <w:tcW w:w="50" w:type="pct"/>
            <w:shd w:val="clear" w:color="auto" w:fill="FFFFFF"/>
            <w:noWrap/>
            <w:tcMar>
              <w:top w:w="15" w:type="dxa"/>
              <w:left w:w="0" w:type="dxa"/>
              <w:bottom w:w="0" w:type="dxa"/>
              <w:right w:w="15" w:type="dxa"/>
            </w:tcMar>
            <w:vAlign w:val="bottom"/>
            <w:hideMark/>
          </w:tcPr>
          <w:p w14:paraId="33BE0A8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CA70B0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4F5EDC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53F81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05931B8" w14:textId="77777777" w:rsidR="00000000" w:rsidRDefault="00582324">
            <w:pPr>
              <w:pStyle w:val="a3"/>
              <w:spacing w:before="0" w:beforeAutospacing="0" w:after="0" w:afterAutospacing="0"/>
              <w:jc w:val="right"/>
              <w:rPr>
                <w:color w:val="000000"/>
                <w:sz w:val="14"/>
                <w:szCs w:val="14"/>
              </w:rPr>
            </w:pPr>
            <w:r>
              <w:rPr>
                <w:color w:val="000000"/>
                <w:sz w:val="14"/>
                <w:szCs w:val="14"/>
              </w:rPr>
              <w:t>24,932,527</w:t>
            </w:r>
          </w:p>
        </w:tc>
        <w:tc>
          <w:tcPr>
            <w:tcW w:w="50" w:type="pct"/>
            <w:shd w:val="clear" w:color="auto" w:fill="FFFFFF"/>
            <w:noWrap/>
            <w:tcMar>
              <w:top w:w="15" w:type="dxa"/>
              <w:left w:w="0" w:type="dxa"/>
              <w:bottom w:w="0" w:type="dxa"/>
              <w:right w:w="15" w:type="dxa"/>
            </w:tcMar>
            <w:vAlign w:val="bottom"/>
            <w:hideMark/>
          </w:tcPr>
          <w:p w14:paraId="28D54E9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1A34BC5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429318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6B5D505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5E127F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9C8599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76221513" w14:textId="77777777" w:rsidR="00000000" w:rsidRDefault="00582324">
            <w:pPr>
              <w:pStyle w:val="a3"/>
              <w:spacing w:before="0" w:beforeAutospacing="0" w:after="0" w:afterAutospacing="0"/>
              <w:jc w:val="right"/>
              <w:rPr>
                <w:color w:val="000000"/>
                <w:sz w:val="14"/>
                <w:szCs w:val="14"/>
              </w:rPr>
            </w:pPr>
            <w:r>
              <w:rPr>
                <w:color w:val="000000"/>
                <w:sz w:val="14"/>
                <w:szCs w:val="14"/>
              </w:rPr>
              <w:t>259,427</w:t>
            </w:r>
          </w:p>
        </w:tc>
        <w:tc>
          <w:tcPr>
            <w:tcW w:w="50" w:type="pct"/>
            <w:shd w:val="clear" w:color="auto" w:fill="FFFFFF"/>
            <w:noWrap/>
            <w:tcMar>
              <w:top w:w="15" w:type="dxa"/>
              <w:left w:w="0" w:type="dxa"/>
              <w:bottom w:w="0" w:type="dxa"/>
              <w:right w:w="15" w:type="dxa"/>
            </w:tcMar>
            <w:vAlign w:val="bottom"/>
            <w:hideMark/>
          </w:tcPr>
          <w:p w14:paraId="148F799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F38106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04D975D8" w14:textId="77777777" w:rsidR="00000000" w:rsidRDefault="00582324">
            <w:pPr>
              <w:pStyle w:val="a3"/>
              <w:spacing w:before="0" w:beforeAutospacing="0" w:after="0" w:afterAutospacing="0"/>
              <w:jc w:val="right"/>
              <w:rPr>
                <w:color w:val="000000"/>
                <w:sz w:val="14"/>
                <w:szCs w:val="14"/>
              </w:rPr>
            </w:pPr>
            <w:r>
              <w:rPr>
                <w:color w:val="000000"/>
                <w:sz w:val="14"/>
                <w:szCs w:val="14"/>
              </w:rPr>
              <w:t>(122,353</w:t>
            </w:r>
          </w:p>
        </w:tc>
        <w:tc>
          <w:tcPr>
            <w:tcW w:w="50" w:type="pct"/>
            <w:shd w:val="clear" w:color="auto" w:fill="FFFFFF"/>
            <w:noWrap/>
            <w:tcMar>
              <w:top w:w="15" w:type="dxa"/>
              <w:left w:w="0" w:type="dxa"/>
              <w:bottom w:w="0" w:type="dxa"/>
              <w:right w:w="15" w:type="dxa"/>
            </w:tcMar>
            <w:vAlign w:val="bottom"/>
            <w:hideMark/>
          </w:tcPr>
          <w:p w14:paraId="258A84B6"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E11F82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420" w:type="pct"/>
            <w:shd w:val="clear" w:color="auto" w:fill="FFFFFF"/>
            <w:noWrap/>
            <w:tcMar>
              <w:top w:w="15" w:type="dxa"/>
              <w:left w:w="0" w:type="dxa"/>
              <w:bottom w:w="0" w:type="dxa"/>
              <w:right w:w="15" w:type="dxa"/>
            </w:tcMar>
            <w:vAlign w:val="bottom"/>
            <w:hideMark/>
          </w:tcPr>
          <w:p w14:paraId="2269FFA8" w14:textId="77777777" w:rsidR="00000000" w:rsidRDefault="00582324">
            <w:pPr>
              <w:pStyle w:val="a3"/>
              <w:spacing w:before="0" w:beforeAutospacing="0" w:after="0" w:afterAutospacing="0"/>
              <w:jc w:val="right"/>
              <w:rPr>
                <w:color w:val="000000"/>
                <w:sz w:val="14"/>
                <w:szCs w:val="14"/>
              </w:rPr>
            </w:pPr>
            <w:r>
              <w:rPr>
                <w:color w:val="000000"/>
                <w:sz w:val="14"/>
                <w:szCs w:val="14"/>
              </w:rPr>
              <w:t>71</w:t>
            </w:r>
          </w:p>
        </w:tc>
        <w:tc>
          <w:tcPr>
            <w:tcW w:w="50" w:type="pct"/>
            <w:shd w:val="clear" w:color="auto" w:fill="FFFFFF"/>
            <w:noWrap/>
            <w:tcMar>
              <w:top w:w="15" w:type="dxa"/>
              <w:left w:w="0" w:type="dxa"/>
              <w:bottom w:w="0" w:type="dxa"/>
              <w:right w:w="15" w:type="dxa"/>
            </w:tcMar>
            <w:vAlign w:val="bottom"/>
            <w:hideMark/>
          </w:tcPr>
          <w:p w14:paraId="5781A3C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375CC29"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290" w:type="pct"/>
            <w:shd w:val="clear" w:color="auto" w:fill="FFFFFF"/>
            <w:noWrap/>
            <w:tcMar>
              <w:top w:w="15" w:type="dxa"/>
              <w:left w:w="0" w:type="dxa"/>
              <w:bottom w:w="0" w:type="dxa"/>
              <w:right w:w="15" w:type="dxa"/>
            </w:tcMar>
            <w:vAlign w:val="bottom"/>
            <w:hideMark/>
          </w:tcPr>
          <w:p w14:paraId="79260ED1" w14:textId="77777777" w:rsidR="00000000" w:rsidRDefault="00582324">
            <w:pPr>
              <w:pStyle w:val="a3"/>
              <w:spacing w:before="0" w:beforeAutospacing="0" w:after="0" w:afterAutospacing="0"/>
              <w:jc w:val="right"/>
              <w:rPr>
                <w:color w:val="000000"/>
                <w:sz w:val="14"/>
                <w:szCs w:val="14"/>
              </w:rPr>
            </w:pPr>
            <w:r>
              <w:rPr>
                <w:color w:val="000000"/>
                <w:sz w:val="14"/>
                <w:szCs w:val="14"/>
              </w:rPr>
              <w:t>137,145</w:t>
            </w:r>
          </w:p>
        </w:tc>
        <w:tc>
          <w:tcPr>
            <w:tcW w:w="50" w:type="pct"/>
            <w:shd w:val="clear" w:color="auto" w:fill="FFFFFF"/>
            <w:noWrap/>
            <w:tcMar>
              <w:top w:w="15" w:type="dxa"/>
              <w:left w:w="0" w:type="dxa"/>
              <w:bottom w:w="0" w:type="dxa"/>
              <w:right w:w="15" w:type="dxa"/>
            </w:tcMar>
            <w:vAlign w:val="bottom"/>
            <w:hideMark/>
          </w:tcPr>
          <w:p w14:paraId="44136488"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3026DA18" w14:textId="77777777">
        <w:trPr>
          <w:divId w:val="1774744062"/>
        </w:trPr>
        <w:tc>
          <w:tcPr>
            <w:tcW w:w="790" w:type="pct"/>
            <w:shd w:val="clear" w:color="auto" w:fill="CFF0FC"/>
            <w:tcMar>
              <w:top w:w="15" w:type="dxa"/>
              <w:left w:w="0" w:type="dxa"/>
              <w:bottom w:w="0" w:type="dxa"/>
              <w:right w:w="15" w:type="dxa"/>
            </w:tcMar>
            <w:hideMark/>
          </w:tcPr>
          <w:p w14:paraId="455FB0E7" w14:textId="77777777" w:rsidR="00000000" w:rsidRDefault="00582324">
            <w:pPr>
              <w:pStyle w:val="a3"/>
              <w:spacing w:before="0" w:beforeAutospacing="0" w:after="0" w:afterAutospacing="0"/>
              <w:rPr>
                <w:color w:val="000000"/>
                <w:sz w:val="14"/>
                <w:szCs w:val="14"/>
              </w:rPr>
            </w:pPr>
            <w:r>
              <w:rPr>
                <w:color w:val="000000"/>
                <w:sz w:val="14"/>
                <w:szCs w:val="14"/>
              </w:rPr>
              <w:t>Net loss</w:t>
            </w:r>
          </w:p>
        </w:tc>
        <w:tc>
          <w:tcPr>
            <w:tcW w:w="50" w:type="pct"/>
            <w:shd w:val="clear" w:color="auto" w:fill="CFF0FC"/>
            <w:tcMar>
              <w:top w:w="15" w:type="dxa"/>
              <w:left w:w="0" w:type="dxa"/>
              <w:bottom w:w="0" w:type="dxa"/>
              <w:right w:w="15" w:type="dxa"/>
            </w:tcMar>
            <w:vAlign w:val="bottom"/>
            <w:hideMark/>
          </w:tcPr>
          <w:p w14:paraId="03126C6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4D5872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EADE36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FFA55F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31C0B34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8A9AC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041820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C25B5D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2DBD992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DAA23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6318ED2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E4FDDF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90442C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382762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EFC8AC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9655D8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20C2887F"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61FB324C"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CC5765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E5A7EB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0BBFD7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36F8511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F4ADCE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609810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5A8C8B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729952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14D117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4A35FC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A9DA6C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7D136865" w14:textId="77777777" w:rsidR="00000000" w:rsidRDefault="00582324">
            <w:pPr>
              <w:pStyle w:val="a3"/>
              <w:spacing w:before="0" w:beforeAutospacing="0" w:after="0" w:afterAutospacing="0"/>
              <w:jc w:val="right"/>
              <w:rPr>
                <w:color w:val="000000"/>
                <w:sz w:val="14"/>
                <w:szCs w:val="14"/>
              </w:rPr>
            </w:pPr>
            <w:r>
              <w:rPr>
                <w:color w:val="000000"/>
                <w:sz w:val="14"/>
                <w:szCs w:val="14"/>
              </w:rPr>
              <w:t>(11,596</w:t>
            </w:r>
          </w:p>
        </w:tc>
        <w:tc>
          <w:tcPr>
            <w:tcW w:w="50" w:type="pct"/>
            <w:shd w:val="clear" w:color="auto" w:fill="CFF0FC"/>
            <w:noWrap/>
            <w:tcMar>
              <w:top w:w="15" w:type="dxa"/>
              <w:left w:w="0" w:type="dxa"/>
              <w:bottom w:w="0" w:type="dxa"/>
              <w:right w:w="15" w:type="dxa"/>
            </w:tcMar>
            <w:vAlign w:val="bottom"/>
            <w:hideMark/>
          </w:tcPr>
          <w:p w14:paraId="6C98D78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E92864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163733D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ECC2F8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47E38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2F150B9" w14:textId="77777777" w:rsidR="00000000" w:rsidRDefault="00582324">
            <w:pPr>
              <w:pStyle w:val="a3"/>
              <w:spacing w:before="0" w:beforeAutospacing="0" w:after="0" w:afterAutospacing="0"/>
              <w:jc w:val="right"/>
              <w:rPr>
                <w:color w:val="000000"/>
                <w:sz w:val="14"/>
                <w:szCs w:val="14"/>
              </w:rPr>
            </w:pPr>
            <w:r>
              <w:rPr>
                <w:color w:val="000000"/>
                <w:sz w:val="14"/>
                <w:szCs w:val="14"/>
              </w:rPr>
              <w:t>(11,596</w:t>
            </w:r>
          </w:p>
        </w:tc>
        <w:tc>
          <w:tcPr>
            <w:tcW w:w="50" w:type="pct"/>
            <w:shd w:val="clear" w:color="auto" w:fill="CFF0FC"/>
            <w:noWrap/>
            <w:tcMar>
              <w:top w:w="15" w:type="dxa"/>
              <w:left w:w="0" w:type="dxa"/>
              <w:bottom w:w="0" w:type="dxa"/>
              <w:right w:w="15" w:type="dxa"/>
            </w:tcMar>
            <w:vAlign w:val="bottom"/>
            <w:hideMark/>
          </w:tcPr>
          <w:p w14:paraId="4EB27B09"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2BF2709C" w14:textId="77777777">
        <w:trPr>
          <w:divId w:val="1774744062"/>
        </w:trPr>
        <w:tc>
          <w:tcPr>
            <w:tcW w:w="790" w:type="pct"/>
            <w:shd w:val="clear" w:color="auto" w:fill="FFFFFF"/>
            <w:tcMar>
              <w:top w:w="15" w:type="dxa"/>
              <w:left w:w="0" w:type="dxa"/>
              <w:bottom w:w="0" w:type="dxa"/>
              <w:right w:w="15" w:type="dxa"/>
            </w:tcMar>
            <w:hideMark/>
          </w:tcPr>
          <w:p w14:paraId="5D898BAE" w14:textId="77777777" w:rsidR="00000000" w:rsidRDefault="00582324">
            <w:pPr>
              <w:pStyle w:val="a3"/>
              <w:spacing w:before="0" w:beforeAutospacing="0" w:after="0" w:afterAutospacing="0"/>
              <w:rPr>
                <w:color w:val="000000"/>
                <w:sz w:val="14"/>
                <w:szCs w:val="14"/>
              </w:rPr>
            </w:pPr>
            <w:r>
              <w:rPr>
                <w:color w:val="000000"/>
                <w:sz w:val="14"/>
                <w:szCs w:val="14"/>
              </w:rPr>
              <w:t>Stock-based compensation</w:t>
            </w:r>
          </w:p>
        </w:tc>
        <w:tc>
          <w:tcPr>
            <w:tcW w:w="50" w:type="pct"/>
            <w:shd w:val="clear" w:color="auto" w:fill="FFFFFF"/>
            <w:tcMar>
              <w:top w:w="15" w:type="dxa"/>
              <w:left w:w="0" w:type="dxa"/>
              <w:bottom w:w="0" w:type="dxa"/>
              <w:right w:w="15" w:type="dxa"/>
            </w:tcMar>
            <w:vAlign w:val="bottom"/>
            <w:hideMark/>
          </w:tcPr>
          <w:p w14:paraId="00C07E90"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3C4007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152271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7B1ED7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FF03889"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DB5CA1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216CAE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F72744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74E4A841"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317B0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ED0D9E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D44EA5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07DEA72F"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3C0638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6B8223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1066E5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4EC3632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8BEE8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EE2500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B24DAA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FE54F1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B194E4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4DCB09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16E7C0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699BC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2D74ED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8F98B43" w14:textId="77777777" w:rsidR="00000000" w:rsidRDefault="00582324">
            <w:pPr>
              <w:pStyle w:val="a3"/>
              <w:spacing w:before="0" w:beforeAutospacing="0" w:after="0" w:afterAutospacing="0"/>
              <w:jc w:val="right"/>
              <w:rPr>
                <w:color w:val="000000"/>
                <w:sz w:val="14"/>
                <w:szCs w:val="14"/>
              </w:rPr>
            </w:pPr>
            <w:r>
              <w:rPr>
                <w:color w:val="000000"/>
                <w:sz w:val="14"/>
                <w:szCs w:val="14"/>
              </w:rPr>
              <w:t>1,805</w:t>
            </w:r>
          </w:p>
        </w:tc>
        <w:tc>
          <w:tcPr>
            <w:tcW w:w="50" w:type="pct"/>
            <w:shd w:val="clear" w:color="auto" w:fill="FFFFFF"/>
            <w:noWrap/>
            <w:tcMar>
              <w:top w:w="15" w:type="dxa"/>
              <w:left w:w="0" w:type="dxa"/>
              <w:bottom w:w="0" w:type="dxa"/>
              <w:right w:w="15" w:type="dxa"/>
            </w:tcMar>
            <w:vAlign w:val="bottom"/>
            <w:hideMark/>
          </w:tcPr>
          <w:p w14:paraId="486089C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A920A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FB467B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6FA73E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13E0C4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646A276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776A74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DFC619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6383E3C" w14:textId="77777777" w:rsidR="00000000" w:rsidRDefault="00582324">
            <w:pPr>
              <w:pStyle w:val="a3"/>
              <w:spacing w:before="0" w:beforeAutospacing="0" w:after="0" w:afterAutospacing="0"/>
              <w:jc w:val="right"/>
              <w:rPr>
                <w:color w:val="000000"/>
                <w:sz w:val="14"/>
                <w:szCs w:val="14"/>
              </w:rPr>
            </w:pPr>
            <w:r>
              <w:rPr>
                <w:color w:val="000000"/>
                <w:sz w:val="14"/>
                <w:szCs w:val="14"/>
              </w:rPr>
              <w:t>1,805</w:t>
            </w:r>
          </w:p>
        </w:tc>
        <w:tc>
          <w:tcPr>
            <w:tcW w:w="50" w:type="pct"/>
            <w:shd w:val="clear" w:color="auto" w:fill="FFFFFF"/>
            <w:noWrap/>
            <w:tcMar>
              <w:top w:w="15" w:type="dxa"/>
              <w:left w:w="0" w:type="dxa"/>
              <w:bottom w:w="0" w:type="dxa"/>
              <w:right w:w="15" w:type="dxa"/>
            </w:tcMar>
            <w:vAlign w:val="bottom"/>
            <w:hideMark/>
          </w:tcPr>
          <w:p w14:paraId="46B86B1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6E014D6C" w14:textId="77777777">
        <w:trPr>
          <w:divId w:val="1774744062"/>
        </w:trPr>
        <w:tc>
          <w:tcPr>
            <w:tcW w:w="790" w:type="pct"/>
            <w:shd w:val="clear" w:color="auto" w:fill="CFF0FC"/>
            <w:tcMar>
              <w:top w:w="15" w:type="dxa"/>
              <w:left w:w="0" w:type="dxa"/>
              <w:bottom w:w="0" w:type="dxa"/>
              <w:right w:w="15" w:type="dxa"/>
            </w:tcMar>
            <w:hideMark/>
          </w:tcPr>
          <w:p w14:paraId="0ED6DD2D" w14:textId="77777777" w:rsidR="00000000" w:rsidRDefault="00582324">
            <w:pPr>
              <w:pStyle w:val="a3"/>
              <w:spacing w:before="0" w:beforeAutospacing="0" w:after="0" w:afterAutospacing="0"/>
              <w:rPr>
                <w:color w:val="000000"/>
                <w:sz w:val="14"/>
                <w:szCs w:val="14"/>
              </w:rPr>
            </w:pPr>
            <w:r>
              <w:rPr>
                <w:color w:val="000000"/>
                <w:sz w:val="14"/>
                <w:szCs w:val="14"/>
              </w:rPr>
              <w:t>Dividend payment to the Series A-2</w:t>
            </w:r>
          </w:p>
          <w:p w14:paraId="63EFCC48" w14:textId="77777777" w:rsidR="00000000" w:rsidRDefault="00582324">
            <w:pPr>
              <w:pStyle w:val="a3"/>
              <w:spacing w:before="0" w:beforeAutospacing="0" w:after="0" w:afterAutospacing="0"/>
              <w:rPr>
                <w:color w:val="000000"/>
                <w:sz w:val="14"/>
                <w:szCs w:val="14"/>
              </w:rPr>
            </w:pPr>
            <w:r>
              <w:rPr>
                <w:color w:val="000000"/>
                <w:sz w:val="14"/>
                <w:szCs w:val="14"/>
              </w:rPr>
              <w:t>   preferred shareholders</w:t>
            </w:r>
          </w:p>
        </w:tc>
        <w:tc>
          <w:tcPr>
            <w:tcW w:w="50" w:type="pct"/>
            <w:shd w:val="clear" w:color="auto" w:fill="CFF0FC"/>
            <w:tcMar>
              <w:top w:w="15" w:type="dxa"/>
              <w:left w:w="0" w:type="dxa"/>
              <w:bottom w:w="0" w:type="dxa"/>
              <w:right w:w="15" w:type="dxa"/>
            </w:tcMar>
            <w:vAlign w:val="bottom"/>
            <w:hideMark/>
          </w:tcPr>
          <w:p w14:paraId="017CC43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A7F641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742EB8F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F7ACA7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4B4FFB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EC388F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7E6B4CD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570BD4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01197A4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975900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E23FF6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60A6FC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96E2EA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301B4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3823CB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66133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69F7B2C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5E9273A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36BB51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60E407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BCCEA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F3FC5D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C95A39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3B2CE6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DA5DFF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F8E2C0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C3BB07B" w14:textId="77777777" w:rsidR="00000000" w:rsidRDefault="00582324">
            <w:pPr>
              <w:pStyle w:val="a3"/>
              <w:spacing w:before="0" w:beforeAutospacing="0" w:after="0" w:afterAutospacing="0"/>
              <w:jc w:val="right"/>
              <w:rPr>
                <w:color w:val="000000"/>
                <w:sz w:val="14"/>
                <w:szCs w:val="14"/>
              </w:rPr>
            </w:pPr>
            <w:r>
              <w:rPr>
                <w:color w:val="000000"/>
                <w:sz w:val="14"/>
                <w:szCs w:val="14"/>
              </w:rPr>
              <w:t>(4,100</w:t>
            </w:r>
          </w:p>
        </w:tc>
        <w:tc>
          <w:tcPr>
            <w:tcW w:w="50" w:type="pct"/>
            <w:shd w:val="clear" w:color="auto" w:fill="CFF0FC"/>
            <w:noWrap/>
            <w:tcMar>
              <w:top w:w="15" w:type="dxa"/>
              <w:left w:w="0" w:type="dxa"/>
              <w:bottom w:w="0" w:type="dxa"/>
              <w:right w:w="15" w:type="dxa"/>
            </w:tcMar>
            <w:vAlign w:val="bottom"/>
            <w:hideMark/>
          </w:tcPr>
          <w:p w14:paraId="58EE317A"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4ED0A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54B8FA5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76993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83F496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7EF01FD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D02DED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22AABB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A09DF92" w14:textId="77777777" w:rsidR="00000000" w:rsidRDefault="00582324">
            <w:pPr>
              <w:pStyle w:val="a3"/>
              <w:spacing w:before="0" w:beforeAutospacing="0" w:after="0" w:afterAutospacing="0"/>
              <w:jc w:val="right"/>
              <w:rPr>
                <w:color w:val="000000"/>
                <w:sz w:val="14"/>
                <w:szCs w:val="14"/>
              </w:rPr>
            </w:pPr>
            <w:r>
              <w:rPr>
                <w:color w:val="000000"/>
                <w:sz w:val="14"/>
                <w:szCs w:val="14"/>
              </w:rPr>
              <w:t>(4,100</w:t>
            </w:r>
          </w:p>
        </w:tc>
        <w:tc>
          <w:tcPr>
            <w:tcW w:w="50" w:type="pct"/>
            <w:shd w:val="clear" w:color="auto" w:fill="CFF0FC"/>
            <w:noWrap/>
            <w:tcMar>
              <w:top w:w="15" w:type="dxa"/>
              <w:left w:w="0" w:type="dxa"/>
              <w:bottom w:w="0" w:type="dxa"/>
              <w:right w:w="15" w:type="dxa"/>
            </w:tcMar>
            <w:vAlign w:val="bottom"/>
            <w:hideMark/>
          </w:tcPr>
          <w:p w14:paraId="77D2D34E"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21918EA0" w14:textId="77777777">
        <w:trPr>
          <w:divId w:val="1774744062"/>
        </w:trPr>
        <w:tc>
          <w:tcPr>
            <w:tcW w:w="790" w:type="pct"/>
            <w:shd w:val="clear" w:color="auto" w:fill="FFFFFF"/>
            <w:tcMar>
              <w:top w:w="15" w:type="dxa"/>
              <w:left w:w="0" w:type="dxa"/>
              <w:bottom w:w="0" w:type="dxa"/>
              <w:right w:w="15" w:type="dxa"/>
            </w:tcMar>
            <w:hideMark/>
          </w:tcPr>
          <w:p w14:paraId="43040C44" w14:textId="77777777" w:rsidR="00000000" w:rsidRDefault="00582324">
            <w:pPr>
              <w:pStyle w:val="a3"/>
              <w:spacing w:before="0" w:beforeAutospacing="0" w:after="0" w:afterAutospacing="0"/>
              <w:rPr>
                <w:color w:val="000000"/>
                <w:sz w:val="14"/>
                <w:szCs w:val="14"/>
              </w:rPr>
            </w:pPr>
            <w:r>
              <w:rPr>
                <w:color w:val="000000"/>
                <w:sz w:val="14"/>
                <w:szCs w:val="14"/>
              </w:rPr>
              <w:t>Common stock issued</w:t>
            </w:r>
          </w:p>
        </w:tc>
        <w:tc>
          <w:tcPr>
            <w:tcW w:w="50" w:type="pct"/>
            <w:shd w:val="clear" w:color="auto" w:fill="FFFFFF"/>
            <w:tcMar>
              <w:top w:w="15" w:type="dxa"/>
              <w:left w:w="0" w:type="dxa"/>
              <w:bottom w:w="0" w:type="dxa"/>
              <w:right w:w="15" w:type="dxa"/>
            </w:tcMar>
            <w:vAlign w:val="bottom"/>
            <w:hideMark/>
          </w:tcPr>
          <w:p w14:paraId="0D57531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A1A55C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F5A237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00E5F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127637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C32040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5D0D3A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754DBC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D81266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EAB42F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B33E54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0EEB00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FE3C5F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2EBB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BDFA3D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D9D3EF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1485EEF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712C39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89CC10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0A560A3" w14:textId="77777777" w:rsidR="00000000" w:rsidRDefault="00582324">
            <w:pPr>
              <w:pStyle w:val="a3"/>
              <w:spacing w:before="0" w:beforeAutospacing="0" w:after="0" w:afterAutospacing="0"/>
              <w:jc w:val="right"/>
              <w:rPr>
                <w:color w:val="000000"/>
                <w:sz w:val="14"/>
                <w:szCs w:val="14"/>
              </w:rPr>
            </w:pPr>
            <w:r>
              <w:rPr>
                <w:color w:val="000000"/>
                <w:sz w:val="14"/>
                <w:szCs w:val="14"/>
              </w:rPr>
              <w:t>506,330</w:t>
            </w:r>
          </w:p>
        </w:tc>
        <w:tc>
          <w:tcPr>
            <w:tcW w:w="50" w:type="pct"/>
            <w:shd w:val="clear" w:color="auto" w:fill="FFFFFF"/>
            <w:noWrap/>
            <w:tcMar>
              <w:top w:w="15" w:type="dxa"/>
              <w:left w:w="0" w:type="dxa"/>
              <w:bottom w:w="0" w:type="dxa"/>
              <w:right w:w="15" w:type="dxa"/>
            </w:tcMar>
            <w:vAlign w:val="bottom"/>
            <w:hideMark/>
          </w:tcPr>
          <w:p w14:paraId="2379312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7B60244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25D641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3D63A3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C8565F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4A4AD5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C9A8D76" w14:textId="77777777" w:rsidR="00000000" w:rsidRDefault="00582324">
            <w:pPr>
              <w:pStyle w:val="a3"/>
              <w:spacing w:before="0" w:beforeAutospacing="0" w:after="0" w:afterAutospacing="0"/>
              <w:jc w:val="right"/>
              <w:rPr>
                <w:color w:val="000000"/>
                <w:sz w:val="14"/>
                <w:szCs w:val="14"/>
              </w:rPr>
            </w:pPr>
            <w:r>
              <w:rPr>
                <w:color w:val="000000"/>
                <w:sz w:val="14"/>
                <w:szCs w:val="14"/>
              </w:rPr>
              <w:t>4,456</w:t>
            </w:r>
          </w:p>
        </w:tc>
        <w:tc>
          <w:tcPr>
            <w:tcW w:w="50" w:type="pct"/>
            <w:shd w:val="clear" w:color="auto" w:fill="FFFFFF"/>
            <w:noWrap/>
            <w:tcMar>
              <w:top w:w="15" w:type="dxa"/>
              <w:left w:w="0" w:type="dxa"/>
              <w:bottom w:w="0" w:type="dxa"/>
              <w:right w:w="15" w:type="dxa"/>
            </w:tcMar>
            <w:vAlign w:val="bottom"/>
            <w:hideMark/>
          </w:tcPr>
          <w:p w14:paraId="0031E42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50B53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E7C6A9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61101A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579C3A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6B52CE6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2C53A3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357CA2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9F39A35" w14:textId="77777777" w:rsidR="00000000" w:rsidRDefault="00582324">
            <w:pPr>
              <w:pStyle w:val="a3"/>
              <w:spacing w:before="0" w:beforeAutospacing="0" w:after="0" w:afterAutospacing="0"/>
              <w:jc w:val="right"/>
              <w:rPr>
                <w:color w:val="000000"/>
                <w:sz w:val="14"/>
                <w:szCs w:val="14"/>
              </w:rPr>
            </w:pPr>
            <w:r>
              <w:rPr>
                <w:color w:val="000000"/>
                <w:sz w:val="14"/>
                <w:szCs w:val="14"/>
              </w:rPr>
              <w:t>4,456</w:t>
            </w:r>
          </w:p>
        </w:tc>
        <w:tc>
          <w:tcPr>
            <w:tcW w:w="50" w:type="pct"/>
            <w:shd w:val="clear" w:color="auto" w:fill="FFFFFF"/>
            <w:noWrap/>
            <w:tcMar>
              <w:top w:w="15" w:type="dxa"/>
              <w:left w:w="0" w:type="dxa"/>
              <w:bottom w:w="0" w:type="dxa"/>
              <w:right w:w="15" w:type="dxa"/>
            </w:tcMar>
            <w:vAlign w:val="bottom"/>
            <w:hideMark/>
          </w:tcPr>
          <w:p w14:paraId="316F9AC7"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14F9A7AB" w14:textId="77777777">
        <w:trPr>
          <w:divId w:val="1774744062"/>
        </w:trPr>
        <w:tc>
          <w:tcPr>
            <w:tcW w:w="790" w:type="pct"/>
            <w:shd w:val="clear" w:color="auto" w:fill="CFF0FC"/>
            <w:tcMar>
              <w:top w:w="15" w:type="dxa"/>
              <w:left w:w="0" w:type="dxa"/>
              <w:bottom w:w="0" w:type="dxa"/>
              <w:right w:w="15" w:type="dxa"/>
            </w:tcMar>
            <w:hideMark/>
          </w:tcPr>
          <w:p w14:paraId="68194ACB" w14:textId="77777777" w:rsidR="00000000" w:rsidRDefault="00582324">
            <w:pPr>
              <w:pStyle w:val="a3"/>
              <w:spacing w:before="0" w:beforeAutospacing="0" w:after="0" w:afterAutospacing="0"/>
              <w:rPr>
                <w:color w:val="000000"/>
                <w:sz w:val="14"/>
                <w:szCs w:val="14"/>
              </w:rPr>
            </w:pPr>
            <w:r>
              <w:rPr>
                <w:color w:val="000000"/>
                <w:sz w:val="14"/>
                <w:szCs w:val="14"/>
              </w:rPr>
              <w:t>Accumulated other comprehensive</w:t>
            </w:r>
          </w:p>
          <w:p w14:paraId="2D573034" w14:textId="77777777" w:rsidR="00000000" w:rsidRDefault="00582324">
            <w:pPr>
              <w:pStyle w:val="a3"/>
              <w:spacing w:before="0" w:beforeAutospacing="0" w:after="0" w:afterAutospacing="0"/>
              <w:rPr>
                <w:color w:val="000000"/>
                <w:sz w:val="14"/>
                <w:szCs w:val="14"/>
              </w:rPr>
            </w:pPr>
            <w:r>
              <w:rPr>
                <w:color w:val="000000"/>
                <w:sz w:val="14"/>
                <w:szCs w:val="14"/>
              </w:rPr>
              <w:t>   income</w:t>
            </w:r>
          </w:p>
        </w:tc>
        <w:tc>
          <w:tcPr>
            <w:tcW w:w="50" w:type="pct"/>
            <w:shd w:val="clear" w:color="auto" w:fill="CFF0FC"/>
            <w:tcMar>
              <w:top w:w="15" w:type="dxa"/>
              <w:left w:w="0" w:type="dxa"/>
              <w:bottom w:w="0" w:type="dxa"/>
              <w:right w:w="15" w:type="dxa"/>
            </w:tcMar>
            <w:vAlign w:val="bottom"/>
            <w:hideMark/>
          </w:tcPr>
          <w:p w14:paraId="04E1084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07F11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73B838D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D69B99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C01D14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C5D77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5CE8188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F017E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076A928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84424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52EE58B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CCEE2B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47DC45B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6B895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0081E01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17DF53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283547A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1F0A9CA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27D59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143914A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CD9F50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0098F2E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AAF24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671CE196"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A07166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F294D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6145549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BCA5C0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393D1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77E9F00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4A91CD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C56E0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14:paraId="1F19F1C9" w14:textId="77777777" w:rsidR="00000000" w:rsidRDefault="00582324">
            <w:pPr>
              <w:pStyle w:val="a3"/>
              <w:spacing w:before="0" w:beforeAutospacing="0" w:after="0" w:afterAutospacing="0"/>
              <w:jc w:val="right"/>
              <w:rPr>
                <w:color w:val="000000"/>
                <w:sz w:val="14"/>
                <w:szCs w:val="14"/>
              </w:rPr>
            </w:pPr>
            <w:r>
              <w:rPr>
                <w:color w:val="000000"/>
                <w:sz w:val="14"/>
                <w:szCs w:val="14"/>
              </w:rPr>
              <w:t>29</w:t>
            </w:r>
          </w:p>
        </w:tc>
        <w:tc>
          <w:tcPr>
            <w:tcW w:w="50" w:type="pct"/>
            <w:shd w:val="clear" w:color="auto" w:fill="CFF0FC"/>
            <w:noWrap/>
            <w:tcMar>
              <w:top w:w="15" w:type="dxa"/>
              <w:left w:w="0" w:type="dxa"/>
              <w:bottom w:w="0" w:type="dxa"/>
              <w:right w:w="15" w:type="dxa"/>
            </w:tcMar>
            <w:vAlign w:val="bottom"/>
            <w:hideMark/>
          </w:tcPr>
          <w:p w14:paraId="415D623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68CD82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544D2EA7" w14:textId="77777777" w:rsidR="00000000" w:rsidRDefault="00582324">
            <w:pPr>
              <w:pStyle w:val="a3"/>
              <w:spacing w:before="0" w:beforeAutospacing="0" w:after="0" w:afterAutospacing="0"/>
              <w:jc w:val="right"/>
              <w:rPr>
                <w:color w:val="000000"/>
                <w:sz w:val="14"/>
                <w:szCs w:val="14"/>
              </w:rPr>
            </w:pPr>
            <w:r>
              <w:rPr>
                <w:color w:val="000000"/>
                <w:sz w:val="14"/>
                <w:szCs w:val="14"/>
              </w:rPr>
              <w:t>29</w:t>
            </w:r>
          </w:p>
        </w:tc>
        <w:tc>
          <w:tcPr>
            <w:tcW w:w="50" w:type="pct"/>
            <w:shd w:val="clear" w:color="auto" w:fill="CFF0FC"/>
            <w:noWrap/>
            <w:tcMar>
              <w:top w:w="15" w:type="dxa"/>
              <w:left w:w="0" w:type="dxa"/>
              <w:bottom w:w="0" w:type="dxa"/>
              <w:right w:w="15" w:type="dxa"/>
            </w:tcMar>
            <w:vAlign w:val="bottom"/>
            <w:hideMark/>
          </w:tcPr>
          <w:p w14:paraId="30039862"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3E4D4D9A" w14:textId="77777777">
        <w:trPr>
          <w:divId w:val="1774744062"/>
        </w:trPr>
        <w:tc>
          <w:tcPr>
            <w:tcW w:w="790" w:type="pct"/>
            <w:shd w:val="clear" w:color="auto" w:fill="FFFFFF"/>
            <w:tcMar>
              <w:top w:w="15" w:type="dxa"/>
              <w:left w:w="0" w:type="dxa"/>
              <w:bottom w:w="0" w:type="dxa"/>
              <w:right w:w="15" w:type="dxa"/>
            </w:tcMar>
            <w:hideMark/>
          </w:tcPr>
          <w:p w14:paraId="48A20A36" w14:textId="77777777" w:rsidR="00000000" w:rsidRDefault="00582324">
            <w:pPr>
              <w:pStyle w:val="a3"/>
              <w:spacing w:before="0" w:beforeAutospacing="0" w:after="0" w:afterAutospacing="0"/>
              <w:rPr>
                <w:b/>
                <w:bCs/>
                <w:color w:val="000000"/>
                <w:sz w:val="14"/>
                <w:szCs w:val="14"/>
              </w:rPr>
            </w:pPr>
            <w:r>
              <w:rPr>
                <w:b/>
                <w:bCs/>
                <w:color w:val="000000"/>
                <w:sz w:val="14"/>
                <w:szCs w:val="14"/>
              </w:rPr>
              <w:t>BALANCE—</w:t>
            </w:r>
            <w:r>
              <w:rPr>
                <w:b/>
                <w:bCs/>
                <w:color w:val="000000"/>
                <w:sz w:val="14"/>
                <w:szCs w:val="14"/>
              </w:rPr>
              <w:t>March 30, 2021</w:t>
            </w:r>
          </w:p>
        </w:tc>
        <w:tc>
          <w:tcPr>
            <w:tcW w:w="50" w:type="pct"/>
            <w:shd w:val="clear" w:color="auto" w:fill="FFFFFF"/>
            <w:tcMar>
              <w:top w:w="15" w:type="dxa"/>
              <w:left w:w="0" w:type="dxa"/>
              <w:bottom w:w="0" w:type="dxa"/>
              <w:right w:w="15" w:type="dxa"/>
            </w:tcMar>
            <w:vAlign w:val="bottom"/>
            <w:hideMark/>
          </w:tcPr>
          <w:p w14:paraId="0B6E913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C5850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8E4C04"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5071EC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4D35872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8E8D21"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C8FA0B"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52D1D5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ECA4B1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AED68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6966A5"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17,500</w:t>
            </w:r>
          </w:p>
        </w:tc>
        <w:tc>
          <w:tcPr>
            <w:tcW w:w="50" w:type="pct"/>
            <w:shd w:val="clear" w:color="auto" w:fill="FFFFFF"/>
            <w:noWrap/>
            <w:tcMar>
              <w:top w:w="15" w:type="dxa"/>
              <w:left w:w="0" w:type="dxa"/>
              <w:bottom w:w="0" w:type="dxa"/>
              <w:right w:w="15" w:type="dxa"/>
            </w:tcMar>
            <w:vAlign w:val="bottom"/>
            <w:hideMark/>
          </w:tcPr>
          <w:p w14:paraId="35937AB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5D8AAB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19B9DF"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FC6ADE"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152,928</w:t>
            </w:r>
          </w:p>
        </w:tc>
        <w:tc>
          <w:tcPr>
            <w:tcW w:w="50" w:type="pct"/>
            <w:shd w:val="clear" w:color="auto" w:fill="FFFFFF"/>
            <w:noWrap/>
            <w:tcMar>
              <w:top w:w="15" w:type="dxa"/>
              <w:left w:w="0" w:type="dxa"/>
              <w:bottom w:w="0" w:type="dxa"/>
              <w:right w:w="15" w:type="dxa"/>
            </w:tcMar>
            <w:vAlign w:val="bottom"/>
            <w:hideMark/>
          </w:tcPr>
          <w:p w14:paraId="239C8BB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47A970E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4A5D444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123DD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DC968A"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25,438,857</w:t>
            </w:r>
          </w:p>
        </w:tc>
        <w:tc>
          <w:tcPr>
            <w:tcW w:w="50" w:type="pct"/>
            <w:shd w:val="clear" w:color="auto" w:fill="FFFFFF"/>
            <w:noWrap/>
            <w:tcMar>
              <w:top w:w="15" w:type="dxa"/>
              <w:left w:w="0" w:type="dxa"/>
              <w:bottom w:w="0" w:type="dxa"/>
              <w:right w:w="15" w:type="dxa"/>
            </w:tcMar>
            <w:vAlign w:val="bottom"/>
            <w:hideMark/>
          </w:tcPr>
          <w:p w14:paraId="5687EFC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807196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66A2BF"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7E2573"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96F58C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ACFC37"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54BFD7"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261,588</w:t>
            </w:r>
          </w:p>
        </w:tc>
        <w:tc>
          <w:tcPr>
            <w:tcW w:w="50" w:type="pct"/>
            <w:shd w:val="clear" w:color="auto" w:fill="FFFFFF"/>
            <w:noWrap/>
            <w:tcMar>
              <w:top w:w="15" w:type="dxa"/>
              <w:left w:w="0" w:type="dxa"/>
              <w:bottom w:w="0" w:type="dxa"/>
              <w:right w:w="15" w:type="dxa"/>
            </w:tcMar>
            <w:vAlign w:val="bottom"/>
            <w:hideMark/>
          </w:tcPr>
          <w:p w14:paraId="005090A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CAC9BD"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AA146D"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(133,949</w:t>
            </w:r>
          </w:p>
        </w:tc>
        <w:tc>
          <w:tcPr>
            <w:tcW w:w="50" w:type="pct"/>
            <w:shd w:val="clear" w:color="auto" w:fill="FFFFFF"/>
            <w:noWrap/>
            <w:tcMar>
              <w:top w:w="15" w:type="dxa"/>
              <w:left w:w="0" w:type="dxa"/>
              <w:bottom w:w="0" w:type="dxa"/>
              <w:right w:w="15" w:type="dxa"/>
            </w:tcMar>
            <w:vAlign w:val="bottom"/>
            <w:hideMark/>
          </w:tcPr>
          <w:p w14:paraId="32DE8DBD"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F053F8"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D20F70"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100</w:t>
            </w:r>
          </w:p>
        </w:tc>
        <w:tc>
          <w:tcPr>
            <w:tcW w:w="50" w:type="pct"/>
            <w:shd w:val="clear" w:color="auto" w:fill="FFFFFF"/>
            <w:noWrap/>
            <w:tcMar>
              <w:top w:w="15" w:type="dxa"/>
              <w:left w:w="0" w:type="dxa"/>
              <w:bottom w:w="0" w:type="dxa"/>
              <w:right w:w="15" w:type="dxa"/>
            </w:tcMar>
            <w:vAlign w:val="bottom"/>
            <w:hideMark/>
          </w:tcPr>
          <w:p w14:paraId="09A6F3F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E9E7A7"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68CFD9"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127,739</w:t>
            </w:r>
          </w:p>
        </w:tc>
        <w:tc>
          <w:tcPr>
            <w:tcW w:w="50" w:type="pct"/>
            <w:shd w:val="clear" w:color="auto" w:fill="FFFFFF"/>
            <w:noWrap/>
            <w:tcMar>
              <w:top w:w="15" w:type="dxa"/>
              <w:left w:w="0" w:type="dxa"/>
              <w:bottom w:w="0" w:type="dxa"/>
              <w:right w:w="15" w:type="dxa"/>
            </w:tcMar>
            <w:vAlign w:val="bottom"/>
            <w:hideMark/>
          </w:tcPr>
          <w:p w14:paraId="5BFAC46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582324" w14:paraId="4E153A59" w14:textId="77777777">
        <w:trPr>
          <w:divId w:val="1774744062"/>
        </w:trPr>
        <w:tc>
          <w:tcPr>
            <w:tcW w:w="790" w:type="pct"/>
            <w:shd w:val="clear" w:color="auto" w:fill="CFF0FC"/>
            <w:tcMar>
              <w:top w:w="15" w:type="dxa"/>
              <w:left w:w="0" w:type="dxa"/>
              <w:bottom w:w="0" w:type="dxa"/>
              <w:right w:w="15" w:type="dxa"/>
            </w:tcMar>
            <w:hideMark/>
          </w:tcPr>
          <w:p w14:paraId="36A6F0E7" w14:textId="77777777" w:rsidR="00000000" w:rsidRDefault="00582324">
            <w:pPr>
              <w:pStyle w:val="a3"/>
              <w:spacing w:before="0" w:beforeAutospacing="0" w:after="0" w:afterAutospacing="0"/>
              <w:rPr>
                <w:color w:val="000000"/>
                <w:sz w:val="14"/>
                <w:szCs w:val="14"/>
              </w:rPr>
            </w:pPr>
            <w:r>
              <w:rPr>
                <w:color w:val="000000"/>
                <w:sz w:val="14"/>
                <w:szCs w:val="14"/>
              </w:rPr>
              <w:t>Net loss</w:t>
            </w:r>
          </w:p>
        </w:tc>
        <w:tc>
          <w:tcPr>
            <w:tcW w:w="50" w:type="pct"/>
            <w:shd w:val="clear" w:color="auto" w:fill="CFF0FC"/>
            <w:tcMar>
              <w:top w:w="15" w:type="dxa"/>
              <w:left w:w="0" w:type="dxa"/>
              <w:bottom w:w="0" w:type="dxa"/>
              <w:right w:w="15" w:type="dxa"/>
            </w:tcMar>
            <w:vAlign w:val="bottom"/>
            <w:hideMark/>
          </w:tcPr>
          <w:p w14:paraId="3D748D3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B5AFCE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2CA610E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9E32A9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AE6817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80136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01A0336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9E0196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253C813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D3591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2B091A3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73FD96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0783C59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54114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0CC1B40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E24C30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635A530F"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1B3141CA"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BB5A5F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12ACEEC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F51911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4738647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9740B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53EF728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40ACBF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D3E96E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7530A25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5CFDB4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21D567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6A8AFB3B" w14:textId="77777777" w:rsidR="00000000" w:rsidRDefault="00582324">
            <w:pPr>
              <w:pStyle w:val="a3"/>
              <w:spacing w:before="0" w:beforeAutospacing="0" w:after="0" w:afterAutospacing="0"/>
              <w:jc w:val="right"/>
              <w:rPr>
                <w:color w:val="000000"/>
                <w:sz w:val="14"/>
                <w:szCs w:val="14"/>
              </w:rPr>
            </w:pPr>
            <w:r>
              <w:rPr>
                <w:color w:val="000000"/>
                <w:sz w:val="14"/>
                <w:szCs w:val="14"/>
              </w:rPr>
              <w:t>(14,483</w:t>
            </w:r>
          </w:p>
        </w:tc>
        <w:tc>
          <w:tcPr>
            <w:tcW w:w="50" w:type="pct"/>
            <w:shd w:val="clear" w:color="auto" w:fill="CFF0FC"/>
            <w:noWrap/>
            <w:tcMar>
              <w:top w:w="15" w:type="dxa"/>
              <w:left w:w="0" w:type="dxa"/>
              <w:bottom w:w="0" w:type="dxa"/>
              <w:right w:w="15" w:type="dxa"/>
            </w:tcMar>
            <w:vAlign w:val="bottom"/>
            <w:hideMark/>
          </w:tcPr>
          <w:p w14:paraId="70D4E4C4"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259275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top w:val="double" w:sz="6" w:space="0" w:color="000000"/>
            </w:tcBorders>
            <w:shd w:val="clear" w:color="auto" w:fill="CFF0FC"/>
            <w:noWrap/>
            <w:tcMar>
              <w:top w:w="15" w:type="dxa"/>
              <w:left w:w="0" w:type="dxa"/>
              <w:bottom w:w="0" w:type="dxa"/>
              <w:right w:w="15" w:type="dxa"/>
            </w:tcMar>
            <w:vAlign w:val="bottom"/>
            <w:hideMark/>
          </w:tcPr>
          <w:p w14:paraId="2147236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126D8E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A5ADFC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top w:val="double" w:sz="6" w:space="0" w:color="000000"/>
            </w:tcBorders>
            <w:shd w:val="clear" w:color="auto" w:fill="CFF0FC"/>
            <w:noWrap/>
            <w:tcMar>
              <w:top w:w="15" w:type="dxa"/>
              <w:left w:w="0" w:type="dxa"/>
              <w:bottom w:w="0" w:type="dxa"/>
              <w:right w:w="15" w:type="dxa"/>
            </w:tcMar>
            <w:vAlign w:val="bottom"/>
            <w:hideMark/>
          </w:tcPr>
          <w:p w14:paraId="5B474C9A" w14:textId="77777777" w:rsidR="00000000" w:rsidRDefault="00582324">
            <w:pPr>
              <w:pStyle w:val="a3"/>
              <w:spacing w:before="0" w:beforeAutospacing="0" w:after="0" w:afterAutospacing="0"/>
              <w:jc w:val="right"/>
              <w:rPr>
                <w:color w:val="000000"/>
                <w:sz w:val="14"/>
                <w:szCs w:val="14"/>
              </w:rPr>
            </w:pPr>
            <w:r>
              <w:rPr>
                <w:color w:val="000000"/>
                <w:sz w:val="14"/>
                <w:szCs w:val="14"/>
              </w:rPr>
              <w:t>(14,483</w:t>
            </w:r>
          </w:p>
        </w:tc>
        <w:tc>
          <w:tcPr>
            <w:tcW w:w="50" w:type="pct"/>
            <w:shd w:val="clear" w:color="auto" w:fill="CFF0FC"/>
            <w:noWrap/>
            <w:tcMar>
              <w:top w:w="15" w:type="dxa"/>
              <w:left w:w="0" w:type="dxa"/>
              <w:bottom w:w="0" w:type="dxa"/>
              <w:right w:w="15" w:type="dxa"/>
            </w:tcMar>
            <w:vAlign w:val="bottom"/>
            <w:hideMark/>
          </w:tcPr>
          <w:p w14:paraId="59528716"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6B93EAA3" w14:textId="77777777">
        <w:trPr>
          <w:divId w:val="1774744062"/>
        </w:trPr>
        <w:tc>
          <w:tcPr>
            <w:tcW w:w="790" w:type="pct"/>
            <w:shd w:val="clear" w:color="auto" w:fill="FFFFFF"/>
            <w:tcMar>
              <w:top w:w="15" w:type="dxa"/>
              <w:left w:w="0" w:type="dxa"/>
              <w:bottom w:w="0" w:type="dxa"/>
              <w:right w:w="15" w:type="dxa"/>
            </w:tcMar>
            <w:hideMark/>
          </w:tcPr>
          <w:p w14:paraId="1F6C3CA1" w14:textId="77777777" w:rsidR="00000000" w:rsidRDefault="00582324">
            <w:pPr>
              <w:pStyle w:val="a3"/>
              <w:spacing w:before="0" w:beforeAutospacing="0" w:after="0" w:afterAutospacing="0"/>
              <w:rPr>
                <w:color w:val="000000"/>
                <w:sz w:val="14"/>
                <w:szCs w:val="14"/>
              </w:rPr>
            </w:pPr>
            <w:r>
              <w:rPr>
                <w:color w:val="000000"/>
                <w:sz w:val="14"/>
                <w:szCs w:val="14"/>
              </w:rPr>
              <w:t>Stock-based compensation</w:t>
            </w:r>
          </w:p>
        </w:tc>
        <w:tc>
          <w:tcPr>
            <w:tcW w:w="50" w:type="pct"/>
            <w:shd w:val="clear" w:color="auto" w:fill="FFFFFF"/>
            <w:tcMar>
              <w:top w:w="15" w:type="dxa"/>
              <w:left w:w="0" w:type="dxa"/>
              <w:bottom w:w="0" w:type="dxa"/>
              <w:right w:w="15" w:type="dxa"/>
            </w:tcMar>
            <w:vAlign w:val="bottom"/>
            <w:hideMark/>
          </w:tcPr>
          <w:p w14:paraId="165EAD3B"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928618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D31B77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757C75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2D8630AA"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05B31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5B532B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367150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349FA8FB"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C22786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172E63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2FF7505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3DD2949E"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29C436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FD2D26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5DDDF2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0BC5D38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3F5184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556847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323A28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91E760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0A2966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86FC4A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2D91EF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E8545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9B5842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39B432C" w14:textId="77777777" w:rsidR="00000000" w:rsidRDefault="00582324">
            <w:pPr>
              <w:pStyle w:val="a3"/>
              <w:spacing w:before="0" w:beforeAutospacing="0" w:after="0" w:afterAutospacing="0"/>
              <w:jc w:val="right"/>
              <w:rPr>
                <w:color w:val="000000"/>
                <w:sz w:val="14"/>
                <w:szCs w:val="14"/>
              </w:rPr>
            </w:pPr>
            <w:r>
              <w:rPr>
                <w:color w:val="000000"/>
                <w:sz w:val="14"/>
                <w:szCs w:val="14"/>
              </w:rPr>
              <w:t>2,417</w:t>
            </w:r>
          </w:p>
        </w:tc>
        <w:tc>
          <w:tcPr>
            <w:tcW w:w="50" w:type="pct"/>
            <w:shd w:val="clear" w:color="auto" w:fill="FFFFFF"/>
            <w:noWrap/>
            <w:tcMar>
              <w:top w:w="15" w:type="dxa"/>
              <w:left w:w="0" w:type="dxa"/>
              <w:bottom w:w="0" w:type="dxa"/>
              <w:right w:w="15" w:type="dxa"/>
            </w:tcMar>
            <w:vAlign w:val="bottom"/>
            <w:hideMark/>
          </w:tcPr>
          <w:p w14:paraId="266CF6F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4BC8B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1F60AE1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B02668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623B37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22A8AA1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B91B6E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0229C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2ADAB983" w14:textId="77777777" w:rsidR="00000000" w:rsidRDefault="00582324">
            <w:pPr>
              <w:pStyle w:val="a3"/>
              <w:spacing w:before="0" w:beforeAutospacing="0" w:after="0" w:afterAutospacing="0"/>
              <w:jc w:val="right"/>
              <w:rPr>
                <w:color w:val="000000"/>
                <w:sz w:val="14"/>
                <w:szCs w:val="14"/>
              </w:rPr>
            </w:pPr>
            <w:r>
              <w:rPr>
                <w:color w:val="000000"/>
                <w:sz w:val="14"/>
                <w:szCs w:val="14"/>
              </w:rPr>
              <w:t>2,417</w:t>
            </w:r>
          </w:p>
        </w:tc>
        <w:tc>
          <w:tcPr>
            <w:tcW w:w="50" w:type="pct"/>
            <w:shd w:val="clear" w:color="auto" w:fill="FFFFFF"/>
            <w:noWrap/>
            <w:tcMar>
              <w:top w:w="15" w:type="dxa"/>
              <w:left w:w="0" w:type="dxa"/>
              <w:bottom w:w="0" w:type="dxa"/>
              <w:right w:w="15" w:type="dxa"/>
            </w:tcMar>
            <w:vAlign w:val="bottom"/>
            <w:hideMark/>
          </w:tcPr>
          <w:p w14:paraId="240B965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6EBFD52B" w14:textId="77777777">
        <w:trPr>
          <w:divId w:val="1774744062"/>
        </w:trPr>
        <w:tc>
          <w:tcPr>
            <w:tcW w:w="790" w:type="pct"/>
            <w:shd w:val="clear" w:color="auto" w:fill="CFF0FC"/>
            <w:tcMar>
              <w:top w:w="15" w:type="dxa"/>
              <w:left w:w="0" w:type="dxa"/>
              <w:bottom w:w="0" w:type="dxa"/>
              <w:right w:w="15" w:type="dxa"/>
            </w:tcMar>
            <w:hideMark/>
          </w:tcPr>
          <w:p w14:paraId="249D574B" w14:textId="77777777" w:rsidR="00000000" w:rsidRDefault="00582324">
            <w:pPr>
              <w:pStyle w:val="a3"/>
              <w:spacing w:before="0" w:beforeAutospacing="0" w:after="0" w:afterAutospacing="0"/>
              <w:rPr>
                <w:color w:val="000000"/>
                <w:sz w:val="14"/>
                <w:szCs w:val="14"/>
              </w:rPr>
            </w:pPr>
            <w:r>
              <w:rPr>
                <w:color w:val="000000"/>
                <w:sz w:val="14"/>
                <w:szCs w:val="14"/>
              </w:rPr>
              <w:t>Dividend payment to the Series A-2</w:t>
            </w:r>
          </w:p>
          <w:p w14:paraId="432A9743" w14:textId="77777777" w:rsidR="00000000" w:rsidRDefault="00582324">
            <w:pPr>
              <w:pStyle w:val="a3"/>
              <w:spacing w:before="0" w:beforeAutospacing="0" w:after="0" w:afterAutospacing="0"/>
              <w:rPr>
                <w:color w:val="000000"/>
                <w:sz w:val="14"/>
                <w:szCs w:val="14"/>
              </w:rPr>
            </w:pPr>
            <w:r>
              <w:rPr>
                <w:color w:val="000000"/>
                <w:sz w:val="14"/>
                <w:szCs w:val="14"/>
              </w:rPr>
              <w:t>   preferred shareholders</w:t>
            </w:r>
          </w:p>
        </w:tc>
        <w:tc>
          <w:tcPr>
            <w:tcW w:w="50" w:type="pct"/>
            <w:shd w:val="clear" w:color="auto" w:fill="CFF0FC"/>
            <w:tcMar>
              <w:top w:w="15" w:type="dxa"/>
              <w:left w:w="0" w:type="dxa"/>
              <w:bottom w:w="0" w:type="dxa"/>
              <w:right w:w="15" w:type="dxa"/>
            </w:tcMar>
            <w:vAlign w:val="bottom"/>
            <w:hideMark/>
          </w:tcPr>
          <w:p w14:paraId="53F9B5F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DC689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48DBD7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CA95E8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489D6AD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19951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2279C0BE"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3E3F8A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4BC6673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572BFA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6E2F9AF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3582CF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58C23E6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EE199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1FCFEB5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6843C6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1A0D0B9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018161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B7C376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76646E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39BA109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321B251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6A614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A21F78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4217B4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38394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49EFA0C3" w14:textId="77777777" w:rsidR="00000000" w:rsidRDefault="00582324">
            <w:pPr>
              <w:pStyle w:val="a3"/>
              <w:spacing w:before="0" w:beforeAutospacing="0" w:after="0" w:afterAutospacing="0"/>
              <w:jc w:val="right"/>
              <w:rPr>
                <w:color w:val="000000"/>
                <w:sz w:val="14"/>
                <w:szCs w:val="14"/>
              </w:rPr>
            </w:pPr>
            <w:r>
              <w:rPr>
                <w:color w:val="000000"/>
                <w:sz w:val="14"/>
                <w:szCs w:val="14"/>
              </w:rPr>
              <w:t>(4,100</w:t>
            </w:r>
          </w:p>
        </w:tc>
        <w:tc>
          <w:tcPr>
            <w:tcW w:w="50" w:type="pct"/>
            <w:shd w:val="clear" w:color="auto" w:fill="CFF0FC"/>
            <w:noWrap/>
            <w:tcMar>
              <w:top w:w="15" w:type="dxa"/>
              <w:left w:w="0" w:type="dxa"/>
              <w:bottom w:w="0" w:type="dxa"/>
              <w:right w:w="15" w:type="dxa"/>
            </w:tcMar>
            <w:vAlign w:val="bottom"/>
            <w:hideMark/>
          </w:tcPr>
          <w:p w14:paraId="08F7261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C7D249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37F24FDC"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5EE86E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ABB5AC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CFF0FC"/>
            <w:noWrap/>
            <w:tcMar>
              <w:top w:w="15" w:type="dxa"/>
              <w:left w:w="0" w:type="dxa"/>
              <w:bottom w:w="0" w:type="dxa"/>
              <w:right w:w="15" w:type="dxa"/>
            </w:tcMar>
            <w:vAlign w:val="bottom"/>
            <w:hideMark/>
          </w:tcPr>
          <w:p w14:paraId="5095BFC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1BEC41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1918C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CFF0FC"/>
            <w:noWrap/>
            <w:tcMar>
              <w:top w:w="15" w:type="dxa"/>
              <w:left w:w="0" w:type="dxa"/>
              <w:bottom w:w="0" w:type="dxa"/>
              <w:right w:w="15" w:type="dxa"/>
            </w:tcMar>
            <w:vAlign w:val="bottom"/>
            <w:hideMark/>
          </w:tcPr>
          <w:p w14:paraId="57CBA5D1" w14:textId="77777777" w:rsidR="00000000" w:rsidRDefault="00582324">
            <w:pPr>
              <w:pStyle w:val="a3"/>
              <w:spacing w:before="0" w:beforeAutospacing="0" w:after="0" w:afterAutospacing="0"/>
              <w:jc w:val="right"/>
              <w:rPr>
                <w:color w:val="000000"/>
                <w:sz w:val="14"/>
                <w:szCs w:val="14"/>
              </w:rPr>
            </w:pPr>
            <w:r>
              <w:rPr>
                <w:color w:val="000000"/>
                <w:sz w:val="14"/>
                <w:szCs w:val="14"/>
              </w:rPr>
              <w:t>(4,100</w:t>
            </w:r>
          </w:p>
        </w:tc>
        <w:tc>
          <w:tcPr>
            <w:tcW w:w="50" w:type="pct"/>
            <w:shd w:val="clear" w:color="auto" w:fill="CFF0FC"/>
            <w:noWrap/>
            <w:tcMar>
              <w:top w:w="15" w:type="dxa"/>
              <w:left w:w="0" w:type="dxa"/>
              <w:bottom w:w="0" w:type="dxa"/>
              <w:right w:w="15" w:type="dxa"/>
            </w:tcMar>
            <w:vAlign w:val="bottom"/>
            <w:hideMark/>
          </w:tcPr>
          <w:p w14:paraId="3AA533C5"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582324" w14:paraId="5E4D8976" w14:textId="77777777">
        <w:trPr>
          <w:divId w:val="1774744062"/>
        </w:trPr>
        <w:tc>
          <w:tcPr>
            <w:tcW w:w="790" w:type="pct"/>
            <w:shd w:val="clear" w:color="auto" w:fill="FFFFFF"/>
            <w:tcMar>
              <w:top w:w="15" w:type="dxa"/>
              <w:left w:w="0" w:type="dxa"/>
              <w:bottom w:w="0" w:type="dxa"/>
              <w:right w:w="15" w:type="dxa"/>
            </w:tcMar>
            <w:hideMark/>
          </w:tcPr>
          <w:p w14:paraId="5061D333" w14:textId="77777777" w:rsidR="00000000" w:rsidRDefault="00582324">
            <w:pPr>
              <w:pStyle w:val="a3"/>
              <w:spacing w:before="0" w:beforeAutospacing="0" w:after="0" w:afterAutospacing="0"/>
              <w:rPr>
                <w:color w:val="000000"/>
                <w:sz w:val="14"/>
                <w:szCs w:val="14"/>
              </w:rPr>
            </w:pPr>
            <w:r>
              <w:rPr>
                <w:color w:val="000000"/>
                <w:sz w:val="14"/>
                <w:szCs w:val="14"/>
              </w:rPr>
              <w:lastRenderedPageBreak/>
              <w:t>Common stock issued</w:t>
            </w:r>
          </w:p>
        </w:tc>
        <w:tc>
          <w:tcPr>
            <w:tcW w:w="50" w:type="pct"/>
            <w:shd w:val="clear" w:color="auto" w:fill="FFFFFF"/>
            <w:tcMar>
              <w:top w:w="15" w:type="dxa"/>
              <w:left w:w="0" w:type="dxa"/>
              <w:bottom w:w="0" w:type="dxa"/>
              <w:right w:w="15" w:type="dxa"/>
            </w:tcMar>
            <w:vAlign w:val="bottom"/>
            <w:hideMark/>
          </w:tcPr>
          <w:p w14:paraId="53F019A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D15ECF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0D31C2B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90886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672864E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B2CFA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4DD3F65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79DE01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5EAB8C1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629C96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3C209B6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9F7C68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187A3F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BA96DA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DDF96D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5AAE91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08BDAEC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6FE655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27056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AB3A2A6" w14:textId="77777777" w:rsidR="00000000" w:rsidRDefault="00582324">
            <w:pPr>
              <w:pStyle w:val="a3"/>
              <w:spacing w:before="0" w:beforeAutospacing="0" w:after="0" w:afterAutospacing="0"/>
              <w:jc w:val="right"/>
              <w:rPr>
                <w:color w:val="000000"/>
                <w:sz w:val="14"/>
                <w:szCs w:val="14"/>
              </w:rPr>
            </w:pPr>
            <w:r>
              <w:rPr>
                <w:color w:val="000000"/>
                <w:sz w:val="14"/>
                <w:szCs w:val="14"/>
              </w:rPr>
              <w:t>669,331</w:t>
            </w:r>
          </w:p>
        </w:tc>
        <w:tc>
          <w:tcPr>
            <w:tcW w:w="50" w:type="pct"/>
            <w:shd w:val="clear" w:color="auto" w:fill="FFFFFF"/>
            <w:noWrap/>
            <w:tcMar>
              <w:top w:w="15" w:type="dxa"/>
              <w:left w:w="0" w:type="dxa"/>
              <w:bottom w:w="0" w:type="dxa"/>
              <w:right w:w="15" w:type="dxa"/>
            </w:tcMar>
            <w:vAlign w:val="bottom"/>
            <w:hideMark/>
          </w:tcPr>
          <w:p w14:paraId="3873AA0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tcMar>
              <w:top w:w="15" w:type="dxa"/>
              <w:left w:w="0" w:type="dxa"/>
              <w:bottom w:w="0" w:type="dxa"/>
              <w:right w:w="15" w:type="dxa"/>
            </w:tcMar>
            <w:vAlign w:val="bottom"/>
            <w:hideMark/>
          </w:tcPr>
          <w:p w14:paraId="484E7B5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5DEF70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55B6838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5E0CBA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BF197F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E5EBCF5" w14:textId="77777777" w:rsidR="00000000" w:rsidRDefault="00582324">
            <w:pPr>
              <w:pStyle w:val="a3"/>
              <w:spacing w:before="0" w:beforeAutospacing="0" w:after="0" w:afterAutospacing="0"/>
              <w:jc w:val="right"/>
              <w:rPr>
                <w:color w:val="000000"/>
                <w:sz w:val="14"/>
                <w:szCs w:val="14"/>
              </w:rPr>
            </w:pPr>
            <w:r>
              <w:rPr>
                <w:color w:val="000000"/>
                <w:sz w:val="14"/>
                <w:szCs w:val="14"/>
              </w:rPr>
              <w:t>27,460</w:t>
            </w:r>
          </w:p>
        </w:tc>
        <w:tc>
          <w:tcPr>
            <w:tcW w:w="50" w:type="pct"/>
            <w:shd w:val="clear" w:color="auto" w:fill="FFFFFF"/>
            <w:noWrap/>
            <w:tcMar>
              <w:top w:w="15" w:type="dxa"/>
              <w:left w:w="0" w:type="dxa"/>
              <w:bottom w:w="0" w:type="dxa"/>
              <w:right w:w="15" w:type="dxa"/>
            </w:tcMar>
            <w:vAlign w:val="bottom"/>
            <w:hideMark/>
          </w:tcPr>
          <w:p w14:paraId="4383FCF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98D44A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7B8FDD8F"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5933B2C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F5F6C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shd w:val="clear" w:color="auto" w:fill="FFFFFF"/>
            <w:noWrap/>
            <w:tcMar>
              <w:top w:w="15" w:type="dxa"/>
              <w:left w:w="0" w:type="dxa"/>
              <w:bottom w:w="0" w:type="dxa"/>
              <w:right w:w="15" w:type="dxa"/>
            </w:tcMar>
            <w:vAlign w:val="bottom"/>
            <w:hideMark/>
          </w:tcPr>
          <w:p w14:paraId="7ACF07B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36785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5790B6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shd w:val="clear" w:color="auto" w:fill="FFFFFF"/>
            <w:noWrap/>
            <w:tcMar>
              <w:top w:w="15" w:type="dxa"/>
              <w:left w:w="0" w:type="dxa"/>
              <w:bottom w:w="0" w:type="dxa"/>
              <w:right w:w="15" w:type="dxa"/>
            </w:tcMar>
            <w:vAlign w:val="bottom"/>
            <w:hideMark/>
          </w:tcPr>
          <w:p w14:paraId="6FB7B6D9" w14:textId="77777777" w:rsidR="00000000" w:rsidRDefault="00582324">
            <w:pPr>
              <w:pStyle w:val="a3"/>
              <w:spacing w:before="0" w:beforeAutospacing="0" w:after="0" w:afterAutospacing="0"/>
              <w:jc w:val="right"/>
              <w:rPr>
                <w:color w:val="000000"/>
                <w:sz w:val="14"/>
                <w:szCs w:val="14"/>
              </w:rPr>
            </w:pPr>
            <w:r>
              <w:rPr>
                <w:color w:val="000000"/>
                <w:sz w:val="14"/>
                <w:szCs w:val="14"/>
              </w:rPr>
              <w:t>27,460</w:t>
            </w:r>
          </w:p>
        </w:tc>
        <w:tc>
          <w:tcPr>
            <w:tcW w:w="50" w:type="pct"/>
            <w:shd w:val="clear" w:color="auto" w:fill="FFFFFF"/>
            <w:noWrap/>
            <w:tcMar>
              <w:top w:w="15" w:type="dxa"/>
              <w:left w:w="0" w:type="dxa"/>
              <w:bottom w:w="0" w:type="dxa"/>
              <w:right w:w="15" w:type="dxa"/>
            </w:tcMar>
            <w:vAlign w:val="bottom"/>
            <w:hideMark/>
          </w:tcPr>
          <w:p w14:paraId="75EE9EC3"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2C5411C6" w14:textId="77777777">
        <w:trPr>
          <w:divId w:val="1774744062"/>
        </w:trPr>
        <w:tc>
          <w:tcPr>
            <w:tcW w:w="790" w:type="pct"/>
            <w:shd w:val="clear" w:color="auto" w:fill="CFF0FC"/>
            <w:tcMar>
              <w:top w:w="15" w:type="dxa"/>
              <w:left w:w="0" w:type="dxa"/>
              <w:bottom w:w="0" w:type="dxa"/>
              <w:right w:w="15" w:type="dxa"/>
            </w:tcMar>
            <w:hideMark/>
          </w:tcPr>
          <w:p w14:paraId="5F9F5FFD" w14:textId="77777777" w:rsidR="00000000" w:rsidRDefault="00582324">
            <w:pPr>
              <w:pStyle w:val="a3"/>
              <w:spacing w:before="0" w:beforeAutospacing="0" w:after="0" w:afterAutospacing="0"/>
              <w:rPr>
                <w:color w:val="000000"/>
                <w:sz w:val="14"/>
                <w:szCs w:val="14"/>
              </w:rPr>
            </w:pPr>
            <w:r>
              <w:rPr>
                <w:color w:val="000000"/>
                <w:sz w:val="14"/>
                <w:szCs w:val="14"/>
              </w:rPr>
              <w:t>Accumulated other comprehensive</w:t>
            </w:r>
          </w:p>
          <w:p w14:paraId="00324AE0" w14:textId="77777777" w:rsidR="00000000" w:rsidRDefault="00582324">
            <w:pPr>
              <w:pStyle w:val="a3"/>
              <w:spacing w:before="0" w:beforeAutospacing="0" w:after="0" w:afterAutospacing="0"/>
              <w:rPr>
                <w:color w:val="000000"/>
                <w:sz w:val="14"/>
                <w:szCs w:val="14"/>
              </w:rPr>
            </w:pPr>
            <w:r>
              <w:rPr>
                <w:color w:val="000000"/>
                <w:sz w:val="14"/>
                <w:szCs w:val="14"/>
              </w:rPr>
              <w:t>   income</w:t>
            </w:r>
          </w:p>
        </w:tc>
        <w:tc>
          <w:tcPr>
            <w:tcW w:w="50" w:type="pct"/>
            <w:shd w:val="clear" w:color="auto" w:fill="CFF0FC"/>
            <w:tcMar>
              <w:top w:w="15" w:type="dxa"/>
              <w:left w:w="0" w:type="dxa"/>
              <w:bottom w:w="0" w:type="dxa"/>
              <w:right w:w="15" w:type="dxa"/>
            </w:tcMar>
            <w:vAlign w:val="bottom"/>
            <w:hideMark/>
          </w:tcPr>
          <w:p w14:paraId="246F1E5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EA999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2413E6E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A8D7D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1243F9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6A9606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1AE4E8C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AC2D01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7EB5EC3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3460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0859DEB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AC2A3F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18193A7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E5755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6FD3AA0D"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62FA2F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right w:val="single" w:sz="6" w:space="0" w:color="000000"/>
            </w:tcBorders>
            <w:shd w:val="clear" w:color="auto" w:fill="CFF0FC"/>
            <w:tcMar>
              <w:top w:w="15" w:type="dxa"/>
              <w:left w:w="0" w:type="dxa"/>
              <w:bottom w:w="0" w:type="dxa"/>
              <w:right w:w="15" w:type="dxa"/>
            </w:tcMar>
            <w:vAlign w:val="bottom"/>
            <w:hideMark/>
          </w:tcPr>
          <w:p w14:paraId="0C8AD8E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left w:val="single" w:sz="6" w:space="0" w:color="000000"/>
            </w:tcBorders>
            <w:shd w:val="clear" w:color="auto" w:fill="CFF0FC"/>
            <w:tcMar>
              <w:top w:w="15" w:type="dxa"/>
              <w:left w:w="0" w:type="dxa"/>
              <w:bottom w:w="0" w:type="dxa"/>
              <w:right w:w="15" w:type="dxa"/>
            </w:tcMar>
            <w:vAlign w:val="bottom"/>
            <w:hideMark/>
          </w:tcPr>
          <w:p w14:paraId="45AF2E1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8725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17B4C6D5"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0D3C9E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tcMar>
              <w:top w:w="15" w:type="dxa"/>
              <w:left w:w="0" w:type="dxa"/>
              <w:bottom w:w="0" w:type="dxa"/>
              <w:right w:w="15" w:type="dxa"/>
            </w:tcMar>
            <w:vAlign w:val="bottom"/>
            <w:hideMark/>
          </w:tcPr>
          <w:p w14:paraId="698F613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91CA7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4010C2EB"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5E12981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A61D20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65C3DD7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2614068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4B634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0C2B71E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9BD9B1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F3719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14:paraId="0B5A469E" w14:textId="77777777" w:rsidR="00000000" w:rsidRDefault="00582324">
            <w:pPr>
              <w:pStyle w:val="a3"/>
              <w:spacing w:before="0" w:beforeAutospacing="0" w:after="0" w:afterAutospacing="0"/>
              <w:jc w:val="right"/>
              <w:rPr>
                <w:color w:val="000000"/>
                <w:sz w:val="14"/>
                <w:szCs w:val="14"/>
              </w:rPr>
            </w:pPr>
            <w:r>
              <w:rPr>
                <w:color w:val="000000"/>
                <w:sz w:val="14"/>
                <w:szCs w:val="14"/>
              </w:rPr>
              <w:t>28</w:t>
            </w:r>
          </w:p>
        </w:tc>
        <w:tc>
          <w:tcPr>
            <w:tcW w:w="50" w:type="pct"/>
            <w:shd w:val="clear" w:color="auto" w:fill="CFF0FC"/>
            <w:noWrap/>
            <w:tcMar>
              <w:top w:w="15" w:type="dxa"/>
              <w:left w:w="0" w:type="dxa"/>
              <w:bottom w:w="0" w:type="dxa"/>
              <w:right w:w="15" w:type="dxa"/>
            </w:tcMar>
            <w:vAlign w:val="bottom"/>
            <w:hideMark/>
          </w:tcPr>
          <w:p w14:paraId="2153BFE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F552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290" w:type="pct"/>
            <w:tcBorders>
              <w:bottom w:val="single" w:sz="6" w:space="0" w:color="000000"/>
            </w:tcBorders>
            <w:shd w:val="clear" w:color="auto" w:fill="CFF0FC"/>
            <w:noWrap/>
            <w:tcMar>
              <w:top w:w="15" w:type="dxa"/>
              <w:left w:w="0" w:type="dxa"/>
              <w:bottom w:w="0" w:type="dxa"/>
              <w:right w:w="15" w:type="dxa"/>
            </w:tcMar>
            <w:vAlign w:val="bottom"/>
            <w:hideMark/>
          </w:tcPr>
          <w:p w14:paraId="727AA09D" w14:textId="77777777" w:rsidR="00000000" w:rsidRDefault="00582324">
            <w:pPr>
              <w:pStyle w:val="a3"/>
              <w:spacing w:before="0" w:beforeAutospacing="0" w:after="0" w:afterAutospacing="0"/>
              <w:jc w:val="right"/>
              <w:rPr>
                <w:color w:val="000000"/>
                <w:sz w:val="14"/>
                <w:szCs w:val="14"/>
              </w:rPr>
            </w:pPr>
            <w:r>
              <w:rPr>
                <w:color w:val="000000"/>
                <w:sz w:val="14"/>
                <w:szCs w:val="14"/>
              </w:rPr>
              <w:t>28</w:t>
            </w:r>
          </w:p>
        </w:tc>
        <w:tc>
          <w:tcPr>
            <w:tcW w:w="50" w:type="pct"/>
            <w:shd w:val="clear" w:color="auto" w:fill="CFF0FC"/>
            <w:noWrap/>
            <w:tcMar>
              <w:top w:w="15" w:type="dxa"/>
              <w:left w:w="0" w:type="dxa"/>
              <w:bottom w:w="0" w:type="dxa"/>
              <w:right w:w="15" w:type="dxa"/>
            </w:tcMar>
            <w:vAlign w:val="bottom"/>
            <w:hideMark/>
          </w:tcPr>
          <w:p w14:paraId="65709D6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582324" w14:paraId="148CE48A" w14:textId="77777777">
        <w:trPr>
          <w:divId w:val="1774744062"/>
        </w:trPr>
        <w:tc>
          <w:tcPr>
            <w:tcW w:w="790" w:type="pct"/>
            <w:shd w:val="clear" w:color="auto" w:fill="FFFFFF"/>
            <w:tcMar>
              <w:top w:w="15" w:type="dxa"/>
              <w:left w:w="0" w:type="dxa"/>
              <w:bottom w:w="0" w:type="dxa"/>
              <w:right w:w="15" w:type="dxa"/>
            </w:tcMar>
            <w:hideMark/>
          </w:tcPr>
          <w:p w14:paraId="303AB518" w14:textId="77777777" w:rsidR="00000000" w:rsidRDefault="00582324">
            <w:pPr>
              <w:pStyle w:val="a3"/>
              <w:spacing w:before="0" w:beforeAutospacing="0" w:after="0" w:afterAutospacing="0"/>
              <w:rPr>
                <w:b/>
                <w:bCs/>
                <w:color w:val="000000"/>
                <w:sz w:val="14"/>
                <w:szCs w:val="14"/>
              </w:rPr>
            </w:pPr>
            <w:r>
              <w:rPr>
                <w:b/>
                <w:bCs/>
                <w:color w:val="000000"/>
                <w:sz w:val="14"/>
                <w:szCs w:val="14"/>
              </w:rPr>
              <w:t>BALANCE—</w:t>
            </w:r>
            <w:r>
              <w:rPr>
                <w:b/>
                <w:bCs/>
                <w:color w:val="000000"/>
                <w:sz w:val="14"/>
                <w:szCs w:val="14"/>
              </w:rPr>
              <w:t>June 30, 2021</w:t>
            </w:r>
          </w:p>
        </w:tc>
        <w:tc>
          <w:tcPr>
            <w:tcW w:w="50" w:type="pct"/>
            <w:shd w:val="clear" w:color="auto" w:fill="FFFFFF"/>
            <w:tcMar>
              <w:top w:w="15" w:type="dxa"/>
              <w:left w:w="0" w:type="dxa"/>
              <w:bottom w:w="0" w:type="dxa"/>
              <w:right w:w="15" w:type="dxa"/>
            </w:tcMar>
            <w:vAlign w:val="bottom"/>
            <w:hideMark/>
          </w:tcPr>
          <w:p w14:paraId="57421D3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682D2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9957BC"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EC798F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6A443B7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AAD245"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51932E"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E883E0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BC159C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9D239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6A657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17,500</w:t>
            </w:r>
          </w:p>
        </w:tc>
        <w:tc>
          <w:tcPr>
            <w:tcW w:w="50" w:type="pct"/>
            <w:shd w:val="clear" w:color="auto" w:fill="FFFFFF"/>
            <w:noWrap/>
            <w:tcMar>
              <w:top w:w="15" w:type="dxa"/>
              <w:left w:w="0" w:type="dxa"/>
              <w:bottom w:w="0" w:type="dxa"/>
              <w:right w:w="15" w:type="dxa"/>
            </w:tcMar>
            <w:vAlign w:val="bottom"/>
            <w:hideMark/>
          </w:tcPr>
          <w:p w14:paraId="22C26BE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7B169B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303B57"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612723"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152,928</w:t>
            </w:r>
          </w:p>
        </w:tc>
        <w:tc>
          <w:tcPr>
            <w:tcW w:w="50" w:type="pct"/>
            <w:shd w:val="clear" w:color="auto" w:fill="FFFFFF"/>
            <w:noWrap/>
            <w:tcMar>
              <w:top w:w="15" w:type="dxa"/>
              <w:left w:w="0" w:type="dxa"/>
              <w:bottom w:w="0" w:type="dxa"/>
              <w:right w:w="15" w:type="dxa"/>
            </w:tcMar>
            <w:vAlign w:val="bottom"/>
            <w:hideMark/>
          </w:tcPr>
          <w:p w14:paraId="77273BD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right w:val="single" w:sz="6" w:space="0" w:color="000000"/>
            </w:tcBorders>
            <w:shd w:val="clear" w:color="auto" w:fill="FFFFFF"/>
            <w:tcMar>
              <w:top w:w="15" w:type="dxa"/>
              <w:left w:w="0" w:type="dxa"/>
              <w:bottom w:w="0" w:type="dxa"/>
              <w:right w:w="15" w:type="dxa"/>
            </w:tcMar>
            <w:vAlign w:val="bottom"/>
            <w:hideMark/>
          </w:tcPr>
          <w:p w14:paraId="372F5D9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left w:val="single" w:sz="6" w:space="0" w:color="000000"/>
            </w:tcBorders>
            <w:shd w:val="clear" w:color="auto" w:fill="FFFFFF"/>
            <w:tcMar>
              <w:top w:w="15" w:type="dxa"/>
              <w:left w:w="0" w:type="dxa"/>
              <w:bottom w:w="0" w:type="dxa"/>
              <w:right w:w="15" w:type="dxa"/>
            </w:tcMar>
            <w:vAlign w:val="bottom"/>
            <w:hideMark/>
          </w:tcPr>
          <w:p w14:paraId="2F25D2B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11185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E05A82"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26,108,188</w:t>
            </w:r>
          </w:p>
        </w:tc>
        <w:tc>
          <w:tcPr>
            <w:tcW w:w="50" w:type="pct"/>
            <w:shd w:val="clear" w:color="auto" w:fill="FFFFFF"/>
            <w:noWrap/>
            <w:tcMar>
              <w:top w:w="15" w:type="dxa"/>
              <w:left w:w="0" w:type="dxa"/>
              <w:bottom w:w="0" w:type="dxa"/>
              <w:right w:w="15" w:type="dxa"/>
            </w:tcMar>
            <w:vAlign w:val="bottom"/>
            <w:hideMark/>
          </w:tcPr>
          <w:p w14:paraId="5CFD2C4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7799889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1939E1"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CE5BDB"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9A6C8B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6EB406"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FD3615"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287,365</w:t>
            </w:r>
          </w:p>
        </w:tc>
        <w:tc>
          <w:tcPr>
            <w:tcW w:w="50" w:type="pct"/>
            <w:shd w:val="clear" w:color="auto" w:fill="FFFFFF"/>
            <w:noWrap/>
            <w:tcMar>
              <w:top w:w="15" w:type="dxa"/>
              <w:left w:w="0" w:type="dxa"/>
              <w:bottom w:w="0" w:type="dxa"/>
              <w:right w:w="15" w:type="dxa"/>
            </w:tcMar>
            <w:vAlign w:val="bottom"/>
            <w:hideMark/>
          </w:tcPr>
          <w:p w14:paraId="1810665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323573"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395890"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(148,432</w:t>
            </w:r>
          </w:p>
        </w:tc>
        <w:tc>
          <w:tcPr>
            <w:tcW w:w="50" w:type="pct"/>
            <w:shd w:val="clear" w:color="auto" w:fill="FFFFFF"/>
            <w:noWrap/>
            <w:tcMar>
              <w:top w:w="15" w:type="dxa"/>
              <w:left w:w="0" w:type="dxa"/>
              <w:bottom w:w="0" w:type="dxa"/>
              <w:right w:w="15" w:type="dxa"/>
            </w:tcMar>
            <w:vAlign w:val="bottom"/>
            <w:hideMark/>
          </w:tcPr>
          <w:p w14:paraId="380779B5"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D4F617"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F181F6"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128</w:t>
            </w:r>
          </w:p>
        </w:tc>
        <w:tc>
          <w:tcPr>
            <w:tcW w:w="50" w:type="pct"/>
            <w:shd w:val="clear" w:color="auto" w:fill="FFFFFF"/>
            <w:noWrap/>
            <w:tcMar>
              <w:top w:w="15" w:type="dxa"/>
              <w:left w:w="0" w:type="dxa"/>
              <w:bottom w:w="0" w:type="dxa"/>
              <w:right w:w="15" w:type="dxa"/>
            </w:tcMar>
            <w:vAlign w:val="bottom"/>
            <w:hideMark/>
          </w:tcPr>
          <w:p w14:paraId="1913774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D3F8D9" w14:textId="77777777" w:rsidR="00000000" w:rsidRDefault="00582324">
            <w:pPr>
              <w:pStyle w:val="a3"/>
              <w:spacing w:before="0" w:beforeAutospacing="0" w:after="0" w:afterAutospacing="0"/>
              <w:rPr>
                <w:b/>
                <w:bCs/>
                <w:color w:val="000000"/>
                <w:sz w:val="14"/>
                <w:szCs w:val="14"/>
              </w:rPr>
            </w:pPr>
            <w:r>
              <w:rPr>
                <w:b/>
                <w:bCs/>
                <w:color w:val="000000"/>
                <w:sz w:val="14"/>
                <w:szCs w:val="14"/>
              </w:rPr>
              <w:t>$</w:t>
            </w:r>
          </w:p>
        </w:tc>
        <w:tc>
          <w:tcPr>
            <w:tcW w:w="2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FE61B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139,061</w:t>
            </w:r>
          </w:p>
        </w:tc>
        <w:tc>
          <w:tcPr>
            <w:tcW w:w="50" w:type="pct"/>
            <w:shd w:val="clear" w:color="auto" w:fill="FFFFFF"/>
            <w:noWrap/>
            <w:tcMar>
              <w:top w:w="15" w:type="dxa"/>
              <w:left w:w="0" w:type="dxa"/>
              <w:bottom w:w="0" w:type="dxa"/>
              <w:right w:w="15" w:type="dxa"/>
            </w:tcMar>
            <w:vAlign w:val="bottom"/>
            <w:hideMark/>
          </w:tcPr>
          <w:p w14:paraId="49F69A5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582324" w14:paraId="38AA647A" w14:textId="77777777">
        <w:trPr>
          <w:divId w:val="1774744062"/>
        </w:trPr>
        <w:tc>
          <w:tcPr>
            <w:tcW w:w="790" w:type="pct"/>
            <w:shd w:val="clear" w:color="auto" w:fill="FFFFFF"/>
            <w:tcMar>
              <w:top w:w="15" w:type="dxa"/>
              <w:left w:w="0" w:type="dxa"/>
              <w:bottom w:w="0" w:type="dxa"/>
              <w:right w:w="15" w:type="dxa"/>
            </w:tcMar>
            <w:hideMark/>
          </w:tcPr>
          <w:p w14:paraId="7C28342E"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hideMark/>
          </w:tcPr>
          <w:p w14:paraId="2D66D5C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D24F48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6DC513AA"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C9044F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5B17F7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57478CA"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604A8E76"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7481DB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14A9791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497E96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12E22A81"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98543AD"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5881E8C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ACC55EB"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5C08C540"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78420E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2EE68E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0F3A2D00"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5DD016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4A8B2023"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65CAB24"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shd w:val="clear" w:color="auto" w:fill="FFFFFF"/>
            <w:tcMar>
              <w:top w:w="15" w:type="dxa"/>
              <w:left w:w="0" w:type="dxa"/>
              <w:bottom w:w="0" w:type="dxa"/>
              <w:right w:w="15" w:type="dxa"/>
            </w:tcMar>
            <w:vAlign w:val="bottom"/>
            <w:hideMark/>
          </w:tcPr>
          <w:p w14:paraId="3C1E686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5983FE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6CD9B213"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69185A6"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7C1302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59615C4D"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71ED3C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4AF896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1D363365"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35E6569"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7653E1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420" w:type="pct"/>
            <w:tcBorders>
              <w:top w:val="double" w:sz="6" w:space="0" w:color="000000"/>
            </w:tcBorders>
            <w:shd w:val="clear" w:color="auto" w:fill="FFFFFF"/>
            <w:noWrap/>
            <w:tcMar>
              <w:top w:w="15" w:type="dxa"/>
              <w:left w:w="0" w:type="dxa"/>
              <w:bottom w:w="0" w:type="dxa"/>
              <w:right w:w="15" w:type="dxa"/>
            </w:tcMar>
            <w:vAlign w:val="bottom"/>
            <w:hideMark/>
          </w:tcPr>
          <w:p w14:paraId="220AF29C"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90A1BBF"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3D73665"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90" w:type="pct"/>
            <w:tcBorders>
              <w:top w:val="double" w:sz="6" w:space="0" w:color="000000"/>
            </w:tcBorders>
            <w:shd w:val="clear" w:color="auto" w:fill="FFFFFF"/>
            <w:noWrap/>
            <w:tcMar>
              <w:top w:w="15" w:type="dxa"/>
              <w:left w:w="0" w:type="dxa"/>
              <w:bottom w:w="0" w:type="dxa"/>
              <w:right w:w="15" w:type="dxa"/>
            </w:tcMar>
            <w:vAlign w:val="bottom"/>
            <w:hideMark/>
          </w:tcPr>
          <w:p w14:paraId="624E8985" w14:textId="77777777" w:rsidR="00000000" w:rsidRDefault="00582324">
            <w:pPr>
              <w:pStyle w:val="a3"/>
              <w:spacing w:before="0" w:beforeAutospacing="0" w:after="0" w:afterAutospacing="0"/>
              <w:jc w:val="right"/>
              <w:rPr>
                <w:b/>
                <w:bCs/>
                <w:color w:val="000000"/>
                <w:sz w:val="14"/>
                <w:szCs w:val="14"/>
              </w:rPr>
            </w:pPr>
            <w:r>
              <w:rPr>
                <w:b/>
                <w:bCs/>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9FEA26F" w14:textId="77777777" w:rsidR="00000000" w:rsidRDefault="00582324">
            <w:pPr>
              <w:pStyle w:val="a3"/>
              <w:spacing w:before="0" w:beforeAutospacing="0" w:after="0" w:afterAutospacing="0"/>
              <w:rPr>
                <w:b/>
                <w:bCs/>
                <w:color w:val="000000"/>
                <w:sz w:val="2"/>
                <w:szCs w:val="2"/>
              </w:rPr>
            </w:pPr>
            <w:r>
              <w:rPr>
                <w:b/>
                <w:bCs/>
                <w:color w:val="000000"/>
                <w:sz w:val="2"/>
                <w:szCs w:val="2"/>
              </w:rPr>
              <w:t> </w:t>
            </w:r>
          </w:p>
        </w:tc>
      </w:tr>
    </w:tbl>
    <w:p w14:paraId="7BDD6260" w14:textId="77777777" w:rsidR="00000000" w:rsidRDefault="00582324">
      <w:pPr>
        <w:pStyle w:val="a3"/>
        <w:spacing w:before="0" w:beforeAutospacing="0" w:after="0" w:afterAutospacing="0"/>
        <w:jc w:val="center"/>
        <w:rPr>
          <w:sz w:val="20"/>
          <w:szCs w:val="20"/>
        </w:rPr>
      </w:pPr>
      <w:r>
        <w:rPr>
          <w:sz w:val="20"/>
          <w:szCs w:val="20"/>
        </w:rPr>
        <w:t> </w:t>
      </w:r>
    </w:p>
    <w:p w14:paraId="7713F6B5" w14:textId="77777777" w:rsidR="00000000" w:rsidRDefault="00582324">
      <w:pPr>
        <w:pStyle w:val="a3"/>
        <w:spacing w:before="0" w:beforeAutospacing="0" w:after="0" w:afterAutospacing="0"/>
        <w:rPr>
          <w:sz w:val="20"/>
          <w:szCs w:val="20"/>
        </w:rPr>
      </w:pPr>
      <w:r>
        <w:rPr>
          <w:sz w:val="20"/>
          <w:szCs w:val="20"/>
        </w:rPr>
        <w:t> </w:t>
      </w:r>
    </w:p>
    <w:p w14:paraId="53EC6514" w14:textId="77777777" w:rsidR="00000000" w:rsidRDefault="00582324">
      <w:pPr>
        <w:pStyle w:val="a3"/>
        <w:spacing w:before="40" w:beforeAutospacing="0" w:after="0" w:afterAutospacing="0"/>
        <w:jc w:val="center"/>
        <w:rPr>
          <w:sz w:val="20"/>
          <w:szCs w:val="20"/>
        </w:rPr>
      </w:pPr>
      <w:r>
        <w:rPr>
          <w:sz w:val="20"/>
          <w:szCs w:val="20"/>
        </w:rPr>
        <w:t>The acco</w:t>
      </w:r>
      <w:r>
        <w:rPr>
          <w:sz w:val="20"/>
          <w:szCs w:val="20"/>
        </w:rPr>
        <w:t>mpanying notes are an integral part of these unaudited condensed consolidated financial statements.</w:t>
      </w:r>
    </w:p>
    <w:p w14:paraId="2EEE9CB0" w14:textId="77777777" w:rsidR="00000000" w:rsidRDefault="00582324">
      <w:pPr>
        <w:pStyle w:val="a3"/>
        <w:spacing w:before="40" w:beforeAutospacing="0" w:after="0" w:afterAutospacing="0"/>
        <w:jc w:val="center"/>
        <w:rPr>
          <w:sz w:val="20"/>
          <w:szCs w:val="20"/>
        </w:rPr>
      </w:pPr>
      <w:r>
        <w:rPr>
          <w:sz w:val="20"/>
          <w:szCs w:val="20"/>
        </w:rPr>
        <w:t> </w:t>
      </w:r>
    </w:p>
    <w:p w14:paraId="12FDDF69" w14:textId="77777777" w:rsidR="00000000" w:rsidRDefault="00582324">
      <w:pPr>
        <w:pStyle w:val="a3"/>
        <w:spacing w:before="240" w:beforeAutospacing="0" w:after="0" w:afterAutospacing="0"/>
        <w:jc w:val="center"/>
        <w:rPr>
          <w:sz w:val="20"/>
          <w:szCs w:val="20"/>
        </w:rPr>
      </w:pPr>
      <w:r>
        <w:rPr>
          <w:sz w:val="20"/>
          <w:szCs w:val="20"/>
        </w:rPr>
        <w:t>3</w:t>
      </w:r>
    </w:p>
    <w:p w14:paraId="30707FF5" w14:textId="77777777" w:rsidR="00000000" w:rsidRDefault="00582324">
      <w:pPr>
        <w:rPr>
          <w:rFonts w:eastAsia="Times New Roman"/>
        </w:rPr>
      </w:pPr>
      <w:r>
        <w:rPr>
          <w:rFonts w:eastAsia="Times New Roman"/>
        </w:rPr>
        <w:pict w14:anchorId="10B4D139">
          <v:rect id="_x0000_i1029" style="width:0;height:1.5pt" o:hralign="center" o:hrstd="t" o:hr="t" fillcolor="#a0a0a0" stroked="f"/>
        </w:pict>
      </w:r>
    </w:p>
    <w:p w14:paraId="66E9B869" w14:textId="77777777" w:rsidR="00000000" w:rsidRDefault="00582324">
      <w:pPr>
        <w:pStyle w:val="a3"/>
        <w:spacing w:before="0" w:beforeAutospacing="0" w:after="0" w:afterAutospacing="0"/>
        <w:rPr>
          <w:sz w:val="20"/>
          <w:szCs w:val="20"/>
        </w:rPr>
      </w:pPr>
      <w:r>
        <w:rPr>
          <w:sz w:val="20"/>
          <w:szCs w:val="20"/>
        </w:rPr>
        <w:t> </w:t>
      </w:r>
    </w:p>
    <w:p w14:paraId="2F548F41" w14:textId="77777777" w:rsidR="00000000" w:rsidRDefault="00582324">
      <w:pPr>
        <w:pStyle w:val="a3"/>
        <w:spacing w:before="0" w:beforeAutospacing="0" w:after="0" w:afterAutospacing="0"/>
        <w:rPr>
          <w:sz w:val="20"/>
          <w:szCs w:val="20"/>
        </w:rPr>
      </w:pPr>
      <w:r>
        <w:rPr>
          <w:sz w:val="20"/>
          <w:szCs w:val="20"/>
        </w:rPr>
        <w:t> </w:t>
      </w:r>
    </w:p>
    <w:p w14:paraId="5A0874CC"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 xml:space="preserve">MONTROSE ENVIRONMENTAL GROUP, INC. </w:t>
      </w:r>
    </w:p>
    <w:p w14:paraId="11759B31"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UNAUDITED CONDENSED CONSOLIDATED STATEMENTS OF CASH FLOWS</w:t>
      </w:r>
    </w:p>
    <w:p w14:paraId="67CF5B8C" w14:textId="77777777" w:rsidR="00000000" w:rsidRDefault="00582324">
      <w:pPr>
        <w:pStyle w:val="a3"/>
        <w:spacing w:before="0" w:beforeAutospacing="0" w:after="0" w:afterAutospacing="0"/>
        <w:jc w:val="center"/>
        <w:rPr>
          <w:b/>
          <w:bCs/>
          <w:sz w:val="20"/>
          <w:szCs w:val="20"/>
        </w:rPr>
      </w:pPr>
      <w:r>
        <w:rPr>
          <w:b/>
          <w:bCs/>
          <w:sz w:val="20"/>
          <w:szCs w:val="20"/>
        </w:rPr>
        <w:t>(In thousands)</w:t>
      </w:r>
    </w:p>
    <w:tbl>
      <w:tblPr>
        <w:tblW w:w="5000" w:type="pct"/>
        <w:tblCellMar>
          <w:left w:w="0" w:type="dxa"/>
          <w:right w:w="0" w:type="dxa"/>
        </w:tblCellMar>
        <w:tblLook w:val="04A0" w:firstRow="1" w:lastRow="0" w:firstColumn="1" w:lastColumn="0" w:noHBand="0" w:noVBand="1"/>
      </w:tblPr>
      <w:tblGrid>
        <w:gridCol w:w="4368"/>
        <w:gridCol w:w="187"/>
        <w:gridCol w:w="85"/>
        <w:gridCol w:w="1612"/>
        <w:gridCol w:w="83"/>
        <w:gridCol w:w="188"/>
        <w:gridCol w:w="85"/>
        <w:gridCol w:w="1615"/>
        <w:gridCol w:w="83"/>
      </w:tblGrid>
      <w:tr w:rsidR="00000000" w14:paraId="70ADFE03" w14:textId="77777777">
        <w:trPr>
          <w:divId w:val="623660763"/>
        </w:trPr>
        <w:tc>
          <w:tcPr>
            <w:tcW w:w="2629" w:type="pct"/>
            <w:shd w:val="clear" w:color="auto" w:fill="FFFFFF"/>
            <w:tcMar>
              <w:top w:w="15" w:type="dxa"/>
              <w:left w:w="0" w:type="dxa"/>
              <w:bottom w:w="0" w:type="dxa"/>
              <w:right w:w="15" w:type="dxa"/>
            </w:tcMar>
            <w:vAlign w:val="bottom"/>
            <w:hideMark/>
          </w:tcPr>
          <w:p w14:paraId="18F80545" w14:textId="77777777" w:rsidR="00000000" w:rsidRDefault="00582324">
            <w:pPr>
              <w:pStyle w:val="a3"/>
              <w:spacing w:before="0" w:beforeAutospacing="0" w:after="0" w:afterAutospacing="0"/>
              <w:jc w:val="center"/>
              <w:rPr>
                <w:sz w:val="20"/>
                <w:szCs w:val="20"/>
              </w:rPr>
            </w:pPr>
            <w:r>
              <w:rPr>
                <w:sz w:val="20"/>
                <w:szCs w:val="20"/>
              </w:rPr>
              <w:t> </w:t>
            </w:r>
          </w:p>
        </w:tc>
        <w:tc>
          <w:tcPr>
            <w:tcW w:w="113" w:type="pct"/>
            <w:shd w:val="clear" w:color="auto" w:fill="FFFFFF"/>
            <w:tcMar>
              <w:top w:w="15" w:type="dxa"/>
              <w:left w:w="0" w:type="dxa"/>
              <w:bottom w:w="0" w:type="dxa"/>
              <w:right w:w="15" w:type="dxa"/>
            </w:tcMar>
            <w:vAlign w:val="bottom"/>
            <w:hideMark/>
          </w:tcPr>
          <w:p w14:paraId="7DEEE1C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2206" w:type="pct"/>
            <w:gridSpan w:val="6"/>
            <w:tcBorders>
              <w:bottom w:val="single" w:sz="6" w:space="0" w:color="000000"/>
            </w:tcBorders>
            <w:shd w:val="clear" w:color="auto" w:fill="FFFFFF"/>
            <w:tcMar>
              <w:top w:w="15" w:type="dxa"/>
              <w:left w:w="0" w:type="dxa"/>
              <w:bottom w:w="0" w:type="dxa"/>
              <w:right w:w="15" w:type="dxa"/>
            </w:tcMar>
            <w:vAlign w:val="bottom"/>
            <w:hideMark/>
          </w:tcPr>
          <w:p w14:paraId="5057CA6F"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Six Months Ended June 30,</w:t>
            </w:r>
          </w:p>
        </w:tc>
        <w:tc>
          <w:tcPr>
            <w:tcW w:w="50" w:type="pct"/>
            <w:shd w:val="clear" w:color="auto" w:fill="FFFFFF"/>
            <w:noWrap/>
            <w:tcMar>
              <w:top w:w="15" w:type="dxa"/>
              <w:left w:w="0" w:type="dxa"/>
              <w:bottom w:w="0" w:type="dxa"/>
              <w:right w:w="15" w:type="dxa"/>
            </w:tcMar>
            <w:vAlign w:val="bottom"/>
            <w:hideMark/>
          </w:tcPr>
          <w:p w14:paraId="52FDE102"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000000" w14:paraId="42FFD98E" w14:textId="77777777">
        <w:trPr>
          <w:divId w:val="623660763"/>
        </w:trPr>
        <w:tc>
          <w:tcPr>
            <w:tcW w:w="2629" w:type="pct"/>
            <w:shd w:val="clear" w:color="auto" w:fill="FFFFFF"/>
            <w:tcMar>
              <w:top w:w="15" w:type="dxa"/>
              <w:left w:w="0" w:type="dxa"/>
              <w:bottom w:w="0" w:type="dxa"/>
              <w:right w:w="15" w:type="dxa"/>
            </w:tcMar>
            <w:vAlign w:val="bottom"/>
            <w:hideMark/>
          </w:tcPr>
          <w:p w14:paraId="5DF6B5B2"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 </w:t>
            </w:r>
          </w:p>
        </w:tc>
        <w:tc>
          <w:tcPr>
            <w:tcW w:w="113" w:type="pct"/>
            <w:shd w:val="clear" w:color="auto" w:fill="FFFFFF"/>
            <w:tcMar>
              <w:top w:w="15" w:type="dxa"/>
              <w:left w:w="0" w:type="dxa"/>
              <w:bottom w:w="0" w:type="dxa"/>
              <w:right w:w="15" w:type="dxa"/>
            </w:tcMar>
            <w:vAlign w:val="bottom"/>
            <w:hideMark/>
          </w:tcPr>
          <w:p w14:paraId="5CA54A33"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10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1C6CE1"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2021</w:t>
            </w:r>
          </w:p>
        </w:tc>
        <w:tc>
          <w:tcPr>
            <w:tcW w:w="50" w:type="pct"/>
            <w:shd w:val="clear" w:color="auto" w:fill="FFFFFF"/>
            <w:noWrap/>
            <w:tcMar>
              <w:top w:w="15" w:type="dxa"/>
              <w:left w:w="0" w:type="dxa"/>
              <w:bottom w:w="0" w:type="dxa"/>
              <w:right w:w="15" w:type="dxa"/>
            </w:tcMar>
            <w:vAlign w:val="bottom"/>
            <w:hideMark/>
          </w:tcPr>
          <w:p w14:paraId="7989D238"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113" w:type="pct"/>
            <w:tcBorders>
              <w:top w:val="single" w:sz="6" w:space="0" w:color="000000"/>
            </w:tcBorders>
            <w:shd w:val="clear" w:color="auto" w:fill="FFFFFF"/>
            <w:tcMar>
              <w:top w:w="15" w:type="dxa"/>
              <w:left w:w="0" w:type="dxa"/>
              <w:bottom w:w="0" w:type="dxa"/>
              <w:right w:w="15" w:type="dxa"/>
            </w:tcMar>
            <w:vAlign w:val="bottom"/>
            <w:hideMark/>
          </w:tcPr>
          <w:p w14:paraId="3752B06C"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c>
          <w:tcPr>
            <w:tcW w:w="10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46DF4B" w14:textId="77777777" w:rsidR="00000000" w:rsidRDefault="00582324">
            <w:pPr>
              <w:pStyle w:val="a3"/>
              <w:spacing w:before="0" w:beforeAutospacing="0" w:after="0" w:afterAutospacing="0"/>
              <w:jc w:val="center"/>
              <w:rPr>
                <w:b/>
                <w:bCs/>
                <w:color w:val="000000"/>
                <w:sz w:val="14"/>
                <w:szCs w:val="14"/>
              </w:rPr>
            </w:pPr>
            <w:r>
              <w:rPr>
                <w:b/>
                <w:bCs/>
                <w:color w:val="000000"/>
                <w:sz w:val="14"/>
                <w:szCs w:val="14"/>
              </w:rPr>
              <w:t>2020</w:t>
            </w:r>
          </w:p>
        </w:tc>
        <w:tc>
          <w:tcPr>
            <w:tcW w:w="50" w:type="pct"/>
            <w:shd w:val="clear" w:color="auto" w:fill="FFFFFF"/>
            <w:noWrap/>
            <w:tcMar>
              <w:top w:w="15" w:type="dxa"/>
              <w:left w:w="0" w:type="dxa"/>
              <w:bottom w:w="0" w:type="dxa"/>
              <w:right w:w="15" w:type="dxa"/>
            </w:tcMar>
            <w:vAlign w:val="bottom"/>
            <w:hideMark/>
          </w:tcPr>
          <w:p w14:paraId="0BF14C11" w14:textId="77777777" w:rsidR="00000000" w:rsidRDefault="00582324">
            <w:pPr>
              <w:pStyle w:val="a3"/>
              <w:spacing w:before="0" w:beforeAutospacing="0" w:after="0" w:afterAutospacing="0"/>
              <w:rPr>
                <w:b/>
                <w:bCs/>
                <w:color w:val="000000"/>
                <w:sz w:val="14"/>
                <w:szCs w:val="14"/>
              </w:rPr>
            </w:pPr>
            <w:r>
              <w:rPr>
                <w:b/>
                <w:bCs/>
                <w:color w:val="000000"/>
                <w:sz w:val="14"/>
                <w:szCs w:val="14"/>
              </w:rPr>
              <w:t> </w:t>
            </w:r>
          </w:p>
        </w:tc>
      </w:tr>
      <w:tr w:rsidR="00000000" w14:paraId="010EE872" w14:textId="77777777">
        <w:trPr>
          <w:divId w:val="623660763"/>
        </w:trPr>
        <w:tc>
          <w:tcPr>
            <w:tcW w:w="2629" w:type="pct"/>
            <w:shd w:val="clear" w:color="auto" w:fill="CFF0FC"/>
            <w:tcMar>
              <w:top w:w="15" w:type="dxa"/>
              <w:left w:w="0" w:type="dxa"/>
              <w:bottom w:w="0" w:type="dxa"/>
              <w:right w:w="15" w:type="dxa"/>
            </w:tcMar>
            <w:hideMark/>
          </w:tcPr>
          <w:p w14:paraId="6C49EAF5" w14:textId="77777777" w:rsidR="00000000" w:rsidRDefault="00582324">
            <w:pPr>
              <w:pStyle w:val="a3"/>
              <w:spacing w:before="0" w:beforeAutospacing="0" w:after="0" w:afterAutospacing="0"/>
              <w:rPr>
                <w:color w:val="000000"/>
                <w:sz w:val="14"/>
                <w:szCs w:val="14"/>
              </w:rPr>
            </w:pPr>
            <w:r>
              <w:rPr>
                <w:color w:val="000000"/>
                <w:sz w:val="14"/>
                <w:szCs w:val="14"/>
              </w:rPr>
              <w:t>OPERATING ACTIVITIES:</w:t>
            </w:r>
          </w:p>
        </w:tc>
        <w:tc>
          <w:tcPr>
            <w:tcW w:w="113" w:type="pct"/>
            <w:shd w:val="clear" w:color="auto" w:fill="CFF0FC"/>
            <w:tcMar>
              <w:top w:w="15" w:type="dxa"/>
              <w:left w:w="0" w:type="dxa"/>
              <w:bottom w:w="0" w:type="dxa"/>
              <w:right w:w="15" w:type="dxa"/>
            </w:tcMar>
            <w:vAlign w:val="bottom"/>
            <w:hideMark/>
          </w:tcPr>
          <w:p w14:paraId="6AC7B90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13384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7B6224A6"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F24EAF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4657E15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6BF8E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2D38A843"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19BCCD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2F066990" w14:textId="77777777">
        <w:trPr>
          <w:divId w:val="623660763"/>
        </w:trPr>
        <w:tc>
          <w:tcPr>
            <w:tcW w:w="2629" w:type="pct"/>
            <w:shd w:val="clear" w:color="auto" w:fill="FFFFFF"/>
            <w:tcMar>
              <w:top w:w="15" w:type="dxa"/>
              <w:left w:w="0" w:type="dxa"/>
              <w:bottom w:w="0" w:type="dxa"/>
              <w:right w:w="15" w:type="dxa"/>
            </w:tcMar>
            <w:hideMark/>
          </w:tcPr>
          <w:p w14:paraId="33F80CB2" w14:textId="77777777" w:rsidR="00000000" w:rsidRDefault="00582324">
            <w:pPr>
              <w:pStyle w:val="a3"/>
              <w:spacing w:before="0" w:beforeAutospacing="0" w:after="0" w:afterAutospacing="0"/>
              <w:ind w:left="274"/>
              <w:rPr>
                <w:color w:val="000000"/>
                <w:sz w:val="14"/>
                <w:szCs w:val="14"/>
              </w:rPr>
            </w:pPr>
            <w:r>
              <w:rPr>
                <w:color w:val="000000"/>
                <w:sz w:val="14"/>
                <w:szCs w:val="14"/>
              </w:rPr>
              <w:t>Net loss</w:t>
            </w:r>
          </w:p>
        </w:tc>
        <w:tc>
          <w:tcPr>
            <w:tcW w:w="113" w:type="pct"/>
            <w:shd w:val="clear" w:color="auto" w:fill="FFFFFF"/>
            <w:tcMar>
              <w:top w:w="15" w:type="dxa"/>
              <w:left w:w="0" w:type="dxa"/>
              <w:bottom w:w="0" w:type="dxa"/>
              <w:right w:w="15" w:type="dxa"/>
            </w:tcMar>
            <w:vAlign w:val="bottom"/>
            <w:hideMark/>
          </w:tcPr>
          <w:p w14:paraId="4E0BD3B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6C70584"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0C2B60E3" w14:textId="77777777" w:rsidR="00000000" w:rsidRDefault="00582324">
            <w:pPr>
              <w:pStyle w:val="a3"/>
              <w:spacing w:before="0" w:beforeAutospacing="0" w:after="0" w:afterAutospacing="0"/>
              <w:jc w:val="right"/>
              <w:rPr>
                <w:color w:val="000000"/>
                <w:sz w:val="14"/>
                <w:szCs w:val="14"/>
              </w:rPr>
            </w:pPr>
            <w:r>
              <w:rPr>
                <w:color w:val="000000"/>
                <w:sz w:val="14"/>
                <w:szCs w:val="14"/>
              </w:rPr>
              <w:t>(26,079</w:t>
            </w:r>
          </w:p>
        </w:tc>
        <w:tc>
          <w:tcPr>
            <w:tcW w:w="50" w:type="pct"/>
            <w:shd w:val="clear" w:color="auto" w:fill="FFFFFF"/>
            <w:noWrap/>
            <w:tcMar>
              <w:top w:w="15" w:type="dxa"/>
              <w:left w:w="0" w:type="dxa"/>
              <w:bottom w:w="0" w:type="dxa"/>
              <w:right w:w="15" w:type="dxa"/>
            </w:tcMar>
            <w:vAlign w:val="bottom"/>
            <w:hideMark/>
          </w:tcPr>
          <w:p w14:paraId="7730A653"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2069B16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1C7314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21B961FB" w14:textId="77777777" w:rsidR="00000000" w:rsidRDefault="00582324">
            <w:pPr>
              <w:pStyle w:val="a3"/>
              <w:spacing w:before="0" w:beforeAutospacing="0" w:after="0" w:afterAutospacing="0"/>
              <w:jc w:val="right"/>
              <w:rPr>
                <w:color w:val="000000"/>
                <w:sz w:val="14"/>
                <w:szCs w:val="14"/>
              </w:rPr>
            </w:pPr>
            <w:r>
              <w:rPr>
                <w:color w:val="000000"/>
                <w:sz w:val="14"/>
                <w:szCs w:val="14"/>
              </w:rPr>
              <w:t>(28,024</w:t>
            </w:r>
          </w:p>
        </w:tc>
        <w:tc>
          <w:tcPr>
            <w:tcW w:w="50" w:type="pct"/>
            <w:shd w:val="clear" w:color="auto" w:fill="FFFFFF"/>
            <w:noWrap/>
            <w:tcMar>
              <w:top w:w="15" w:type="dxa"/>
              <w:left w:w="0" w:type="dxa"/>
              <w:bottom w:w="0" w:type="dxa"/>
              <w:right w:w="15" w:type="dxa"/>
            </w:tcMar>
            <w:vAlign w:val="bottom"/>
            <w:hideMark/>
          </w:tcPr>
          <w:p w14:paraId="5FF0AC14"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2675EFE" w14:textId="77777777">
        <w:trPr>
          <w:divId w:val="623660763"/>
        </w:trPr>
        <w:tc>
          <w:tcPr>
            <w:tcW w:w="2629" w:type="pct"/>
            <w:shd w:val="clear" w:color="auto" w:fill="CFF0FC"/>
            <w:tcMar>
              <w:top w:w="15" w:type="dxa"/>
              <w:left w:w="0" w:type="dxa"/>
              <w:bottom w:w="0" w:type="dxa"/>
              <w:right w:w="15" w:type="dxa"/>
            </w:tcMar>
            <w:hideMark/>
          </w:tcPr>
          <w:p w14:paraId="240C7B2D" w14:textId="77777777" w:rsidR="00000000" w:rsidRDefault="00582324">
            <w:pPr>
              <w:pStyle w:val="a3"/>
              <w:spacing w:before="0" w:beforeAutospacing="0" w:after="0" w:afterAutospacing="0"/>
              <w:ind w:left="274"/>
              <w:rPr>
                <w:color w:val="000000"/>
                <w:sz w:val="14"/>
                <w:szCs w:val="14"/>
              </w:rPr>
            </w:pPr>
            <w:r>
              <w:rPr>
                <w:color w:val="000000"/>
                <w:sz w:val="14"/>
                <w:szCs w:val="14"/>
              </w:rPr>
              <w:t>Adjustments to reconcile net loss to net cash used in operating activities:</w:t>
            </w:r>
          </w:p>
        </w:tc>
        <w:tc>
          <w:tcPr>
            <w:tcW w:w="113" w:type="pct"/>
            <w:shd w:val="clear" w:color="auto" w:fill="CFF0FC"/>
            <w:tcMar>
              <w:top w:w="15" w:type="dxa"/>
              <w:left w:w="0" w:type="dxa"/>
              <w:bottom w:w="0" w:type="dxa"/>
              <w:right w:w="15" w:type="dxa"/>
            </w:tcMar>
            <w:vAlign w:val="bottom"/>
            <w:hideMark/>
          </w:tcPr>
          <w:p w14:paraId="0DDE3A3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16C847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B23527A"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51FEC7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64BF320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5EFE5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2F4EE0F4"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018CC6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A4E3AE5" w14:textId="77777777">
        <w:trPr>
          <w:divId w:val="623660763"/>
        </w:trPr>
        <w:tc>
          <w:tcPr>
            <w:tcW w:w="2629" w:type="pct"/>
            <w:shd w:val="clear" w:color="auto" w:fill="FFFFFF"/>
            <w:tcMar>
              <w:top w:w="15" w:type="dxa"/>
              <w:left w:w="0" w:type="dxa"/>
              <w:bottom w:w="0" w:type="dxa"/>
              <w:right w:w="15" w:type="dxa"/>
            </w:tcMar>
            <w:hideMark/>
          </w:tcPr>
          <w:p w14:paraId="62B4179B" w14:textId="77777777" w:rsidR="00000000" w:rsidRDefault="00582324">
            <w:pPr>
              <w:pStyle w:val="a3"/>
              <w:spacing w:before="0" w:beforeAutospacing="0" w:after="0" w:afterAutospacing="0"/>
              <w:ind w:left="547"/>
              <w:rPr>
                <w:color w:val="000000"/>
                <w:sz w:val="14"/>
                <w:szCs w:val="14"/>
              </w:rPr>
            </w:pPr>
            <w:r>
              <w:rPr>
                <w:color w:val="000000"/>
                <w:sz w:val="14"/>
                <w:szCs w:val="14"/>
              </w:rPr>
              <w:t>Provision for bad debt</w:t>
            </w:r>
          </w:p>
        </w:tc>
        <w:tc>
          <w:tcPr>
            <w:tcW w:w="113" w:type="pct"/>
            <w:shd w:val="clear" w:color="auto" w:fill="FFFFFF"/>
            <w:tcMar>
              <w:top w:w="15" w:type="dxa"/>
              <w:left w:w="0" w:type="dxa"/>
              <w:bottom w:w="0" w:type="dxa"/>
              <w:right w:w="15" w:type="dxa"/>
            </w:tcMar>
            <w:vAlign w:val="bottom"/>
            <w:hideMark/>
          </w:tcPr>
          <w:p w14:paraId="31FA7A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14A222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440DD08B" w14:textId="77777777" w:rsidR="00000000" w:rsidRDefault="00582324">
            <w:pPr>
              <w:pStyle w:val="a3"/>
              <w:spacing w:before="0" w:beforeAutospacing="0" w:after="0" w:afterAutospacing="0"/>
              <w:jc w:val="right"/>
              <w:rPr>
                <w:color w:val="000000"/>
                <w:sz w:val="14"/>
                <w:szCs w:val="14"/>
              </w:rPr>
            </w:pPr>
            <w:r>
              <w:rPr>
                <w:color w:val="000000"/>
                <w:sz w:val="14"/>
                <w:szCs w:val="14"/>
              </w:rPr>
              <w:t>590</w:t>
            </w:r>
          </w:p>
        </w:tc>
        <w:tc>
          <w:tcPr>
            <w:tcW w:w="50" w:type="pct"/>
            <w:shd w:val="clear" w:color="auto" w:fill="FFFFFF"/>
            <w:noWrap/>
            <w:tcMar>
              <w:top w:w="15" w:type="dxa"/>
              <w:left w:w="0" w:type="dxa"/>
              <w:bottom w:w="0" w:type="dxa"/>
              <w:right w:w="15" w:type="dxa"/>
            </w:tcMar>
            <w:vAlign w:val="bottom"/>
            <w:hideMark/>
          </w:tcPr>
          <w:p w14:paraId="6106475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8EB2B6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0EC9F4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0A73B9D" w14:textId="77777777" w:rsidR="00000000" w:rsidRDefault="00582324">
            <w:pPr>
              <w:pStyle w:val="a3"/>
              <w:spacing w:before="0" w:beforeAutospacing="0" w:after="0" w:afterAutospacing="0"/>
              <w:jc w:val="right"/>
              <w:rPr>
                <w:color w:val="000000"/>
                <w:sz w:val="14"/>
                <w:szCs w:val="14"/>
              </w:rPr>
            </w:pPr>
            <w:r>
              <w:rPr>
                <w:color w:val="000000"/>
                <w:sz w:val="14"/>
                <w:szCs w:val="14"/>
              </w:rPr>
              <w:t>6,263</w:t>
            </w:r>
          </w:p>
        </w:tc>
        <w:tc>
          <w:tcPr>
            <w:tcW w:w="50" w:type="pct"/>
            <w:shd w:val="clear" w:color="auto" w:fill="FFFFFF"/>
            <w:noWrap/>
            <w:tcMar>
              <w:top w:w="15" w:type="dxa"/>
              <w:left w:w="0" w:type="dxa"/>
              <w:bottom w:w="0" w:type="dxa"/>
              <w:right w:w="15" w:type="dxa"/>
            </w:tcMar>
            <w:vAlign w:val="bottom"/>
            <w:hideMark/>
          </w:tcPr>
          <w:p w14:paraId="7AA6C130"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2C6FC161" w14:textId="77777777">
        <w:trPr>
          <w:divId w:val="623660763"/>
        </w:trPr>
        <w:tc>
          <w:tcPr>
            <w:tcW w:w="2629" w:type="pct"/>
            <w:shd w:val="clear" w:color="auto" w:fill="CFF0FC"/>
            <w:tcMar>
              <w:top w:w="15" w:type="dxa"/>
              <w:left w:w="0" w:type="dxa"/>
              <w:bottom w:w="0" w:type="dxa"/>
              <w:right w:w="15" w:type="dxa"/>
            </w:tcMar>
            <w:hideMark/>
          </w:tcPr>
          <w:p w14:paraId="56364D5D" w14:textId="77777777" w:rsidR="00000000" w:rsidRDefault="00582324">
            <w:pPr>
              <w:pStyle w:val="a3"/>
              <w:spacing w:before="0" w:beforeAutospacing="0" w:after="0" w:afterAutospacing="0"/>
              <w:ind w:left="547"/>
              <w:rPr>
                <w:color w:val="000000"/>
                <w:sz w:val="14"/>
                <w:szCs w:val="14"/>
              </w:rPr>
            </w:pPr>
            <w:r>
              <w:rPr>
                <w:color w:val="000000"/>
                <w:sz w:val="14"/>
                <w:szCs w:val="14"/>
              </w:rPr>
              <w:t>Depreciation and amortization</w:t>
            </w:r>
          </w:p>
        </w:tc>
        <w:tc>
          <w:tcPr>
            <w:tcW w:w="113" w:type="pct"/>
            <w:shd w:val="clear" w:color="auto" w:fill="CFF0FC"/>
            <w:tcMar>
              <w:top w:w="15" w:type="dxa"/>
              <w:left w:w="0" w:type="dxa"/>
              <w:bottom w:w="0" w:type="dxa"/>
              <w:right w:w="15" w:type="dxa"/>
            </w:tcMar>
            <w:vAlign w:val="bottom"/>
            <w:hideMark/>
          </w:tcPr>
          <w:p w14:paraId="7C42D16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A678C5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617EF908" w14:textId="77777777" w:rsidR="00000000" w:rsidRDefault="00582324">
            <w:pPr>
              <w:pStyle w:val="a3"/>
              <w:spacing w:before="0" w:beforeAutospacing="0" w:after="0" w:afterAutospacing="0"/>
              <w:jc w:val="right"/>
              <w:rPr>
                <w:color w:val="000000"/>
                <w:sz w:val="14"/>
                <w:szCs w:val="14"/>
              </w:rPr>
            </w:pPr>
            <w:r>
              <w:rPr>
                <w:color w:val="000000"/>
                <w:sz w:val="14"/>
                <w:szCs w:val="14"/>
              </w:rPr>
              <w:t>21,674</w:t>
            </w:r>
          </w:p>
        </w:tc>
        <w:tc>
          <w:tcPr>
            <w:tcW w:w="50" w:type="pct"/>
            <w:shd w:val="clear" w:color="auto" w:fill="CFF0FC"/>
            <w:noWrap/>
            <w:tcMar>
              <w:top w:w="15" w:type="dxa"/>
              <w:left w:w="0" w:type="dxa"/>
              <w:bottom w:w="0" w:type="dxa"/>
              <w:right w:w="15" w:type="dxa"/>
            </w:tcMar>
            <w:vAlign w:val="bottom"/>
            <w:hideMark/>
          </w:tcPr>
          <w:p w14:paraId="5F24A0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1B2FB8E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0D56FE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6732BFAA" w14:textId="77777777" w:rsidR="00000000" w:rsidRDefault="00582324">
            <w:pPr>
              <w:pStyle w:val="a3"/>
              <w:spacing w:before="0" w:beforeAutospacing="0" w:after="0" w:afterAutospacing="0"/>
              <w:jc w:val="right"/>
              <w:rPr>
                <w:color w:val="000000"/>
                <w:sz w:val="14"/>
                <w:szCs w:val="14"/>
              </w:rPr>
            </w:pPr>
            <w:r>
              <w:rPr>
                <w:color w:val="000000"/>
                <w:sz w:val="14"/>
                <w:szCs w:val="14"/>
              </w:rPr>
              <w:t>17,344</w:t>
            </w:r>
          </w:p>
        </w:tc>
        <w:tc>
          <w:tcPr>
            <w:tcW w:w="50" w:type="pct"/>
            <w:shd w:val="clear" w:color="auto" w:fill="CFF0FC"/>
            <w:noWrap/>
            <w:tcMar>
              <w:top w:w="15" w:type="dxa"/>
              <w:left w:w="0" w:type="dxa"/>
              <w:bottom w:w="0" w:type="dxa"/>
              <w:right w:w="15" w:type="dxa"/>
            </w:tcMar>
            <w:vAlign w:val="bottom"/>
            <w:hideMark/>
          </w:tcPr>
          <w:p w14:paraId="20EFD94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AC61744" w14:textId="77777777">
        <w:trPr>
          <w:divId w:val="623660763"/>
        </w:trPr>
        <w:tc>
          <w:tcPr>
            <w:tcW w:w="2629" w:type="pct"/>
            <w:shd w:val="clear" w:color="auto" w:fill="FFFFFF"/>
            <w:tcMar>
              <w:top w:w="15" w:type="dxa"/>
              <w:left w:w="0" w:type="dxa"/>
              <w:bottom w:w="0" w:type="dxa"/>
              <w:right w:w="15" w:type="dxa"/>
            </w:tcMar>
            <w:hideMark/>
          </w:tcPr>
          <w:p w14:paraId="565A6361" w14:textId="77777777" w:rsidR="00000000" w:rsidRDefault="00582324">
            <w:pPr>
              <w:pStyle w:val="a3"/>
              <w:spacing w:before="0" w:beforeAutospacing="0" w:after="0" w:afterAutospacing="0"/>
              <w:ind w:left="547"/>
              <w:rPr>
                <w:color w:val="000000"/>
                <w:sz w:val="14"/>
                <w:szCs w:val="14"/>
              </w:rPr>
            </w:pPr>
            <w:r>
              <w:rPr>
                <w:color w:val="000000"/>
                <w:sz w:val="14"/>
                <w:szCs w:val="14"/>
              </w:rPr>
              <w:t>Amortization of right-of-use asset</w:t>
            </w:r>
          </w:p>
        </w:tc>
        <w:tc>
          <w:tcPr>
            <w:tcW w:w="113" w:type="pct"/>
            <w:shd w:val="clear" w:color="auto" w:fill="FFFFFF"/>
            <w:tcMar>
              <w:top w:w="15" w:type="dxa"/>
              <w:left w:w="0" w:type="dxa"/>
              <w:bottom w:w="0" w:type="dxa"/>
              <w:right w:w="15" w:type="dxa"/>
            </w:tcMar>
            <w:vAlign w:val="bottom"/>
            <w:hideMark/>
          </w:tcPr>
          <w:p w14:paraId="64A3627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B05747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4B515E55" w14:textId="77777777" w:rsidR="00000000" w:rsidRDefault="00582324">
            <w:pPr>
              <w:pStyle w:val="a3"/>
              <w:spacing w:before="0" w:beforeAutospacing="0" w:after="0" w:afterAutospacing="0"/>
              <w:jc w:val="right"/>
              <w:rPr>
                <w:color w:val="000000"/>
                <w:sz w:val="14"/>
                <w:szCs w:val="14"/>
              </w:rPr>
            </w:pPr>
            <w:r>
              <w:rPr>
                <w:color w:val="000000"/>
                <w:sz w:val="14"/>
                <w:szCs w:val="14"/>
              </w:rPr>
              <w:t>4,025</w:t>
            </w:r>
          </w:p>
        </w:tc>
        <w:tc>
          <w:tcPr>
            <w:tcW w:w="50" w:type="pct"/>
            <w:shd w:val="clear" w:color="auto" w:fill="FFFFFF"/>
            <w:noWrap/>
            <w:tcMar>
              <w:top w:w="15" w:type="dxa"/>
              <w:left w:w="0" w:type="dxa"/>
              <w:bottom w:w="0" w:type="dxa"/>
              <w:right w:w="15" w:type="dxa"/>
            </w:tcMar>
            <w:vAlign w:val="bottom"/>
            <w:hideMark/>
          </w:tcPr>
          <w:p w14:paraId="0B9CB4C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15CFFE3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758B8E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51BB75B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F9F3BC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B72639B" w14:textId="77777777">
        <w:trPr>
          <w:divId w:val="623660763"/>
        </w:trPr>
        <w:tc>
          <w:tcPr>
            <w:tcW w:w="2629" w:type="pct"/>
            <w:shd w:val="clear" w:color="auto" w:fill="CFF0FC"/>
            <w:tcMar>
              <w:top w:w="15" w:type="dxa"/>
              <w:left w:w="0" w:type="dxa"/>
              <w:bottom w:w="0" w:type="dxa"/>
              <w:right w:w="15" w:type="dxa"/>
            </w:tcMar>
            <w:hideMark/>
          </w:tcPr>
          <w:p w14:paraId="5C7765D7" w14:textId="77777777" w:rsidR="00000000" w:rsidRDefault="00582324">
            <w:pPr>
              <w:pStyle w:val="a3"/>
              <w:spacing w:before="0" w:beforeAutospacing="0" w:after="0" w:afterAutospacing="0"/>
              <w:ind w:left="547"/>
              <w:rPr>
                <w:color w:val="000000"/>
                <w:sz w:val="14"/>
                <w:szCs w:val="14"/>
              </w:rPr>
            </w:pPr>
            <w:r>
              <w:rPr>
                <w:color w:val="000000"/>
                <w:sz w:val="14"/>
                <w:szCs w:val="14"/>
              </w:rPr>
              <w:t>Stock-based compensation expense</w:t>
            </w:r>
          </w:p>
        </w:tc>
        <w:tc>
          <w:tcPr>
            <w:tcW w:w="113" w:type="pct"/>
            <w:shd w:val="clear" w:color="auto" w:fill="CFF0FC"/>
            <w:tcMar>
              <w:top w:w="15" w:type="dxa"/>
              <w:left w:w="0" w:type="dxa"/>
              <w:bottom w:w="0" w:type="dxa"/>
              <w:right w:w="15" w:type="dxa"/>
            </w:tcMar>
            <w:vAlign w:val="bottom"/>
            <w:hideMark/>
          </w:tcPr>
          <w:p w14:paraId="6B8AD6A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8598D9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2E991034" w14:textId="77777777" w:rsidR="00000000" w:rsidRDefault="00582324">
            <w:pPr>
              <w:pStyle w:val="a3"/>
              <w:spacing w:before="0" w:beforeAutospacing="0" w:after="0" w:afterAutospacing="0"/>
              <w:jc w:val="right"/>
              <w:rPr>
                <w:color w:val="000000"/>
                <w:sz w:val="14"/>
                <w:szCs w:val="14"/>
              </w:rPr>
            </w:pPr>
            <w:r>
              <w:rPr>
                <w:color w:val="000000"/>
                <w:sz w:val="14"/>
                <w:szCs w:val="14"/>
              </w:rPr>
              <w:t>4,222</w:t>
            </w:r>
          </w:p>
        </w:tc>
        <w:tc>
          <w:tcPr>
            <w:tcW w:w="50" w:type="pct"/>
            <w:shd w:val="clear" w:color="auto" w:fill="CFF0FC"/>
            <w:noWrap/>
            <w:tcMar>
              <w:top w:w="15" w:type="dxa"/>
              <w:left w:w="0" w:type="dxa"/>
              <w:bottom w:w="0" w:type="dxa"/>
              <w:right w:w="15" w:type="dxa"/>
            </w:tcMar>
            <w:vAlign w:val="bottom"/>
            <w:hideMark/>
          </w:tcPr>
          <w:p w14:paraId="410F5F8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5D0803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AD333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0370F1E0" w14:textId="77777777" w:rsidR="00000000" w:rsidRDefault="00582324">
            <w:pPr>
              <w:pStyle w:val="a3"/>
              <w:spacing w:before="0" w:beforeAutospacing="0" w:after="0" w:afterAutospacing="0"/>
              <w:jc w:val="right"/>
              <w:rPr>
                <w:color w:val="000000"/>
                <w:sz w:val="14"/>
                <w:szCs w:val="14"/>
              </w:rPr>
            </w:pPr>
            <w:r>
              <w:rPr>
                <w:color w:val="000000"/>
                <w:sz w:val="14"/>
                <w:szCs w:val="14"/>
              </w:rPr>
              <w:t>2,290</w:t>
            </w:r>
          </w:p>
        </w:tc>
        <w:tc>
          <w:tcPr>
            <w:tcW w:w="50" w:type="pct"/>
            <w:shd w:val="clear" w:color="auto" w:fill="CFF0FC"/>
            <w:noWrap/>
            <w:tcMar>
              <w:top w:w="15" w:type="dxa"/>
              <w:left w:w="0" w:type="dxa"/>
              <w:bottom w:w="0" w:type="dxa"/>
              <w:right w:w="15" w:type="dxa"/>
            </w:tcMar>
            <w:vAlign w:val="bottom"/>
            <w:hideMark/>
          </w:tcPr>
          <w:p w14:paraId="1EFBC2F1"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02ADBFBA" w14:textId="77777777">
        <w:trPr>
          <w:divId w:val="623660763"/>
        </w:trPr>
        <w:tc>
          <w:tcPr>
            <w:tcW w:w="2629" w:type="pct"/>
            <w:shd w:val="clear" w:color="auto" w:fill="FFFFFF"/>
            <w:tcMar>
              <w:top w:w="15" w:type="dxa"/>
              <w:left w:w="0" w:type="dxa"/>
              <w:bottom w:w="0" w:type="dxa"/>
              <w:right w:w="15" w:type="dxa"/>
            </w:tcMar>
            <w:hideMark/>
          </w:tcPr>
          <w:p w14:paraId="2E63F2CC" w14:textId="77777777" w:rsidR="00000000" w:rsidRDefault="00582324">
            <w:pPr>
              <w:pStyle w:val="a3"/>
              <w:spacing w:before="0" w:beforeAutospacing="0" w:after="0" w:afterAutospacing="0"/>
              <w:ind w:left="547"/>
              <w:rPr>
                <w:color w:val="000000"/>
                <w:sz w:val="14"/>
                <w:szCs w:val="14"/>
              </w:rPr>
            </w:pPr>
            <w:r>
              <w:rPr>
                <w:color w:val="000000"/>
                <w:sz w:val="14"/>
                <w:szCs w:val="14"/>
              </w:rPr>
              <w:t>Fair value changes in embedded derivatives</w:t>
            </w:r>
          </w:p>
        </w:tc>
        <w:tc>
          <w:tcPr>
            <w:tcW w:w="113" w:type="pct"/>
            <w:shd w:val="clear" w:color="auto" w:fill="FFFFFF"/>
            <w:tcMar>
              <w:top w:w="15" w:type="dxa"/>
              <w:left w:w="0" w:type="dxa"/>
              <w:bottom w:w="0" w:type="dxa"/>
              <w:right w:w="15" w:type="dxa"/>
            </w:tcMar>
            <w:vAlign w:val="bottom"/>
            <w:hideMark/>
          </w:tcPr>
          <w:p w14:paraId="4B664C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E91ED3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2F475172" w14:textId="77777777" w:rsidR="00000000" w:rsidRDefault="00582324">
            <w:pPr>
              <w:pStyle w:val="a3"/>
              <w:spacing w:before="0" w:beforeAutospacing="0" w:after="0" w:afterAutospacing="0"/>
              <w:jc w:val="right"/>
              <w:rPr>
                <w:color w:val="000000"/>
                <w:sz w:val="14"/>
                <w:szCs w:val="14"/>
              </w:rPr>
            </w:pPr>
            <w:r>
              <w:rPr>
                <w:color w:val="000000"/>
                <w:sz w:val="14"/>
                <w:szCs w:val="14"/>
              </w:rPr>
              <w:t>1,120</w:t>
            </w:r>
          </w:p>
        </w:tc>
        <w:tc>
          <w:tcPr>
            <w:tcW w:w="50" w:type="pct"/>
            <w:shd w:val="clear" w:color="auto" w:fill="FFFFFF"/>
            <w:noWrap/>
            <w:tcMar>
              <w:top w:w="15" w:type="dxa"/>
              <w:left w:w="0" w:type="dxa"/>
              <w:bottom w:w="0" w:type="dxa"/>
              <w:right w:w="15" w:type="dxa"/>
            </w:tcMar>
            <w:vAlign w:val="bottom"/>
            <w:hideMark/>
          </w:tcPr>
          <w:p w14:paraId="5E0C47C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182B3E9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E0D0CC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5AF4983" w14:textId="77777777" w:rsidR="00000000" w:rsidRDefault="00582324">
            <w:pPr>
              <w:pStyle w:val="a3"/>
              <w:spacing w:before="0" w:beforeAutospacing="0" w:after="0" w:afterAutospacing="0"/>
              <w:jc w:val="right"/>
              <w:rPr>
                <w:color w:val="000000"/>
                <w:sz w:val="14"/>
                <w:szCs w:val="14"/>
              </w:rPr>
            </w:pPr>
            <w:r>
              <w:rPr>
                <w:color w:val="000000"/>
                <w:sz w:val="14"/>
                <w:szCs w:val="14"/>
              </w:rPr>
              <w:t>7,781</w:t>
            </w:r>
          </w:p>
        </w:tc>
        <w:tc>
          <w:tcPr>
            <w:tcW w:w="50" w:type="pct"/>
            <w:shd w:val="clear" w:color="auto" w:fill="FFFFFF"/>
            <w:noWrap/>
            <w:tcMar>
              <w:top w:w="15" w:type="dxa"/>
              <w:left w:w="0" w:type="dxa"/>
              <w:bottom w:w="0" w:type="dxa"/>
              <w:right w:w="15" w:type="dxa"/>
            </w:tcMar>
            <w:vAlign w:val="bottom"/>
            <w:hideMark/>
          </w:tcPr>
          <w:p w14:paraId="10A41B08"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CB21A3B" w14:textId="77777777">
        <w:trPr>
          <w:divId w:val="623660763"/>
        </w:trPr>
        <w:tc>
          <w:tcPr>
            <w:tcW w:w="2629" w:type="pct"/>
            <w:shd w:val="clear" w:color="auto" w:fill="CFF0FC"/>
            <w:tcMar>
              <w:top w:w="15" w:type="dxa"/>
              <w:left w:w="0" w:type="dxa"/>
              <w:bottom w:w="0" w:type="dxa"/>
              <w:right w:w="15" w:type="dxa"/>
            </w:tcMar>
            <w:hideMark/>
          </w:tcPr>
          <w:p w14:paraId="5EA0F06D" w14:textId="77777777" w:rsidR="00000000" w:rsidRDefault="00582324">
            <w:pPr>
              <w:pStyle w:val="a3"/>
              <w:spacing w:before="0" w:beforeAutospacing="0" w:after="0" w:afterAutospacing="0"/>
              <w:ind w:left="547"/>
              <w:rPr>
                <w:color w:val="000000"/>
                <w:sz w:val="14"/>
                <w:szCs w:val="14"/>
              </w:rPr>
            </w:pPr>
            <w:r>
              <w:rPr>
                <w:color w:val="000000"/>
                <w:sz w:val="14"/>
                <w:szCs w:val="14"/>
              </w:rPr>
              <w:t>Fair value changes in business acquisitions</w:t>
            </w:r>
          </w:p>
          <w:p w14:paraId="5F3465BB" w14:textId="77777777" w:rsidR="00000000" w:rsidRDefault="00582324">
            <w:pPr>
              <w:pStyle w:val="a3"/>
              <w:spacing w:before="0" w:beforeAutospacing="0" w:after="0" w:afterAutospacing="0"/>
              <w:ind w:left="547"/>
              <w:rPr>
                <w:color w:val="000000"/>
                <w:sz w:val="14"/>
                <w:szCs w:val="14"/>
              </w:rPr>
            </w:pPr>
            <w:r>
              <w:rPr>
                <w:color w:val="000000"/>
                <w:sz w:val="14"/>
                <w:szCs w:val="14"/>
              </w:rPr>
              <w:t>   contingent consideration</w:t>
            </w:r>
          </w:p>
        </w:tc>
        <w:tc>
          <w:tcPr>
            <w:tcW w:w="113" w:type="pct"/>
            <w:shd w:val="clear" w:color="auto" w:fill="CFF0FC"/>
            <w:tcMar>
              <w:top w:w="15" w:type="dxa"/>
              <w:left w:w="0" w:type="dxa"/>
              <w:bottom w:w="0" w:type="dxa"/>
              <w:right w:w="15" w:type="dxa"/>
            </w:tcMar>
            <w:vAlign w:val="bottom"/>
            <w:hideMark/>
          </w:tcPr>
          <w:p w14:paraId="782FA97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78662E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98DE641" w14:textId="77777777" w:rsidR="00000000" w:rsidRDefault="00582324">
            <w:pPr>
              <w:pStyle w:val="a3"/>
              <w:spacing w:before="0" w:beforeAutospacing="0" w:after="0" w:afterAutospacing="0"/>
              <w:jc w:val="right"/>
              <w:rPr>
                <w:color w:val="000000"/>
                <w:sz w:val="14"/>
                <w:szCs w:val="14"/>
              </w:rPr>
            </w:pPr>
            <w:r>
              <w:rPr>
                <w:color w:val="000000"/>
                <w:sz w:val="14"/>
                <w:szCs w:val="14"/>
              </w:rPr>
              <w:t>24,035</w:t>
            </w:r>
          </w:p>
        </w:tc>
        <w:tc>
          <w:tcPr>
            <w:tcW w:w="50" w:type="pct"/>
            <w:shd w:val="clear" w:color="auto" w:fill="CFF0FC"/>
            <w:noWrap/>
            <w:tcMar>
              <w:top w:w="15" w:type="dxa"/>
              <w:left w:w="0" w:type="dxa"/>
              <w:bottom w:w="0" w:type="dxa"/>
              <w:right w:w="15" w:type="dxa"/>
            </w:tcMar>
            <w:vAlign w:val="bottom"/>
            <w:hideMark/>
          </w:tcPr>
          <w:p w14:paraId="33C7226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797ECA1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01CA37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5B6BE8E" w14:textId="77777777" w:rsidR="00000000" w:rsidRDefault="00582324">
            <w:pPr>
              <w:pStyle w:val="a3"/>
              <w:spacing w:before="0" w:beforeAutospacing="0" w:after="0" w:afterAutospacing="0"/>
              <w:jc w:val="right"/>
              <w:rPr>
                <w:color w:val="000000"/>
                <w:sz w:val="14"/>
                <w:szCs w:val="14"/>
              </w:rPr>
            </w:pPr>
            <w:r>
              <w:rPr>
                <w:color w:val="000000"/>
                <w:sz w:val="14"/>
                <w:szCs w:val="14"/>
              </w:rPr>
              <w:t>3,983</w:t>
            </w:r>
          </w:p>
        </w:tc>
        <w:tc>
          <w:tcPr>
            <w:tcW w:w="50" w:type="pct"/>
            <w:shd w:val="clear" w:color="auto" w:fill="CFF0FC"/>
            <w:noWrap/>
            <w:tcMar>
              <w:top w:w="15" w:type="dxa"/>
              <w:left w:w="0" w:type="dxa"/>
              <w:bottom w:w="0" w:type="dxa"/>
              <w:right w:w="15" w:type="dxa"/>
            </w:tcMar>
            <w:vAlign w:val="bottom"/>
            <w:hideMark/>
          </w:tcPr>
          <w:p w14:paraId="3EB91046"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7C0D6611" w14:textId="77777777">
        <w:trPr>
          <w:divId w:val="623660763"/>
        </w:trPr>
        <w:tc>
          <w:tcPr>
            <w:tcW w:w="2629" w:type="pct"/>
            <w:shd w:val="clear" w:color="auto" w:fill="FFFFFF"/>
            <w:tcMar>
              <w:top w:w="15" w:type="dxa"/>
              <w:left w:w="0" w:type="dxa"/>
              <w:bottom w:w="0" w:type="dxa"/>
              <w:right w:w="15" w:type="dxa"/>
            </w:tcMar>
            <w:hideMark/>
          </w:tcPr>
          <w:p w14:paraId="37A52A3E" w14:textId="77777777" w:rsidR="00000000" w:rsidRDefault="00582324">
            <w:pPr>
              <w:pStyle w:val="a3"/>
              <w:spacing w:before="0" w:beforeAutospacing="0" w:after="0" w:afterAutospacing="0"/>
              <w:ind w:left="547"/>
              <w:rPr>
                <w:color w:val="000000"/>
                <w:sz w:val="14"/>
                <w:szCs w:val="14"/>
              </w:rPr>
            </w:pPr>
            <w:r>
              <w:rPr>
                <w:color w:val="000000"/>
                <w:sz w:val="14"/>
                <w:szCs w:val="14"/>
              </w:rPr>
              <w:t>Deferred income taxes</w:t>
            </w:r>
          </w:p>
        </w:tc>
        <w:tc>
          <w:tcPr>
            <w:tcW w:w="113" w:type="pct"/>
            <w:shd w:val="clear" w:color="auto" w:fill="FFFFFF"/>
            <w:tcMar>
              <w:top w:w="15" w:type="dxa"/>
              <w:left w:w="0" w:type="dxa"/>
              <w:bottom w:w="0" w:type="dxa"/>
              <w:right w:w="15" w:type="dxa"/>
            </w:tcMar>
            <w:vAlign w:val="bottom"/>
            <w:hideMark/>
          </w:tcPr>
          <w:p w14:paraId="56525A1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05664A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7D60BED2" w14:textId="77777777" w:rsidR="00000000" w:rsidRDefault="00582324">
            <w:pPr>
              <w:pStyle w:val="a3"/>
              <w:spacing w:before="0" w:beforeAutospacing="0" w:after="0" w:afterAutospacing="0"/>
              <w:jc w:val="right"/>
              <w:rPr>
                <w:color w:val="000000"/>
                <w:sz w:val="14"/>
                <w:szCs w:val="14"/>
              </w:rPr>
            </w:pPr>
            <w:r>
              <w:rPr>
                <w:color w:val="000000"/>
                <w:sz w:val="14"/>
                <w:szCs w:val="14"/>
              </w:rPr>
              <w:t>(254</w:t>
            </w:r>
          </w:p>
        </w:tc>
        <w:tc>
          <w:tcPr>
            <w:tcW w:w="50" w:type="pct"/>
            <w:shd w:val="clear" w:color="auto" w:fill="FFFFFF"/>
            <w:noWrap/>
            <w:tcMar>
              <w:top w:w="15" w:type="dxa"/>
              <w:left w:w="0" w:type="dxa"/>
              <w:bottom w:w="0" w:type="dxa"/>
              <w:right w:w="15" w:type="dxa"/>
            </w:tcMar>
            <w:vAlign w:val="bottom"/>
            <w:hideMark/>
          </w:tcPr>
          <w:p w14:paraId="0385822B"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33DF531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984287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7E107DFE" w14:textId="77777777" w:rsidR="00000000" w:rsidRDefault="00582324">
            <w:pPr>
              <w:pStyle w:val="a3"/>
              <w:spacing w:before="0" w:beforeAutospacing="0" w:after="0" w:afterAutospacing="0"/>
              <w:jc w:val="right"/>
              <w:rPr>
                <w:color w:val="000000"/>
                <w:sz w:val="14"/>
                <w:szCs w:val="14"/>
              </w:rPr>
            </w:pPr>
            <w:r>
              <w:rPr>
                <w:color w:val="000000"/>
                <w:sz w:val="14"/>
                <w:szCs w:val="14"/>
              </w:rPr>
              <w:t>(4,911</w:t>
            </w:r>
          </w:p>
        </w:tc>
        <w:tc>
          <w:tcPr>
            <w:tcW w:w="50" w:type="pct"/>
            <w:shd w:val="clear" w:color="auto" w:fill="FFFFFF"/>
            <w:noWrap/>
            <w:tcMar>
              <w:top w:w="15" w:type="dxa"/>
              <w:left w:w="0" w:type="dxa"/>
              <w:bottom w:w="0" w:type="dxa"/>
              <w:right w:w="15" w:type="dxa"/>
            </w:tcMar>
            <w:vAlign w:val="bottom"/>
            <w:hideMark/>
          </w:tcPr>
          <w:p w14:paraId="59BE7EA5"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7EB4C678" w14:textId="77777777">
        <w:trPr>
          <w:divId w:val="623660763"/>
        </w:trPr>
        <w:tc>
          <w:tcPr>
            <w:tcW w:w="2629" w:type="pct"/>
            <w:shd w:val="clear" w:color="auto" w:fill="CFF0FC"/>
            <w:tcMar>
              <w:top w:w="15" w:type="dxa"/>
              <w:left w:w="0" w:type="dxa"/>
              <w:bottom w:w="0" w:type="dxa"/>
              <w:right w:w="15" w:type="dxa"/>
            </w:tcMar>
            <w:hideMark/>
          </w:tcPr>
          <w:p w14:paraId="29118A1F" w14:textId="77777777" w:rsidR="00000000" w:rsidRDefault="00582324">
            <w:pPr>
              <w:pStyle w:val="a3"/>
              <w:spacing w:before="0" w:beforeAutospacing="0" w:after="0" w:afterAutospacing="0"/>
              <w:ind w:left="547"/>
              <w:rPr>
                <w:color w:val="000000"/>
                <w:sz w:val="14"/>
                <w:szCs w:val="14"/>
              </w:rPr>
            </w:pPr>
            <w:r>
              <w:rPr>
                <w:color w:val="000000"/>
                <w:sz w:val="14"/>
                <w:szCs w:val="14"/>
              </w:rPr>
              <w:t>Other</w:t>
            </w:r>
          </w:p>
        </w:tc>
        <w:tc>
          <w:tcPr>
            <w:tcW w:w="113" w:type="pct"/>
            <w:shd w:val="clear" w:color="auto" w:fill="CFF0FC"/>
            <w:tcMar>
              <w:top w:w="15" w:type="dxa"/>
              <w:left w:w="0" w:type="dxa"/>
              <w:bottom w:w="0" w:type="dxa"/>
              <w:right w:w="15" w:type="dxa"/>
            </w:tcMar>
            <w:vAlign w:val="bottom"/>
            <w:hideMark/>
          </w:tcPr>
          <w:p w14:paraId="20EC892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D555D8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EF0DF47" w14:textId="77777777" w:rsidR="00000000" w:rsidRDefault="00582324">
            <w:pPr>
              <w:pStyle w:val="a3"/>
              <w:spacing w:before="0" w:beforeAutospacing="0" w:after="0" w:afterAutospacing="0"/>
              <w:jc w:val="right"/>
              <w:rPr>
                <w:color w:val="000000"/>
                <w:sz w:val="14"/>
                <w:szCs w:val="14"/>
              </w:rPr>
            </w:pPr>
            <w:r>
              <w:rPr>
                <w:color w:val="000000"/>
                <w:sz w:val="14"/>
                <w:szCs w:val="14"/>
              </w:rPr>
              <w:t>(87</w:t>
            </w:r>
          </w:p>
        </w:tc>
        <w:tc>
          <w:tcPr>
            <w:tcW w:w="50" w:type="pct"/>
            <w:shd w:val="clear" w:color="auto" w:fill="CFF0FC"/>
            <w:noWrap/>
            <w:tcMar>
              <w:top w:w="15" w:type="dxa"/>
              <w:left w:w="0" w:type="dxa"/>
              <w:bottom w:w="0" w:type="dxa"/>
              <w:right w:w="15" w:type="dxa"/>
            </w:tcMar>
            <w:vAlign w:val="bottom"/>
            <w:hideMark/>
          </w:tcPr>
          <w:p w14:paraId="39B27039"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0D8814D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89490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665B25C" w14:textId="77777777" w:rsidR="00000000" w:rsidRDefault="00582324">
            <w:pPr>
              <w:pStyle w:val="a3"/>
              <w:spacing w:before="0" w:beforeAutospacing="0" w:after="0" w:afterAutospacing="0"/>
              <w:jc w:val="right"/>
              <w:rPr>
                <w:color w:val="000000"/>
                <w:sz w:val="14"/>
                <w:szCs w:val="14"/>
              </w:rPr>
            </w:pPr>
            <w:r>
              <w:rPr>
                <w:color w:val="000000"/>
                <w:sz w:val="14"/>
                <w:szCs w:val="14"/>
              </w:rPr>
              <w:t>983</w:t>
            </w:r>
          </w:p>
        </w:tc>
        <w:tc>
          <w:tcPr>
            <w:tcW w:w="50" w:type="pct"/>
            <w:shd w:val="clear" w:color="auto" w:fill="CFF0FC"/>
            <w:noWrap/>
            <w:tcMar>
              <w:top w:w="15" w:type="dxa"/>
              <w:left w:w="0" w:type="dxa"/>
              <w:bottom w:w="0" w:type="dxa"/>
              <w:right w:w="15" w:type="dxa"/>
            </w:tcMar>
            <w:vAlign w:val="bottom"/>
            <w:hideMark/>
          </w:tcPr>
          <w:p w14:paraId="76784325"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00CC8467" w14:textId="77777777">
        <w:trPr>
          <w:divId w:val="623660763"/>
        </w:trPr>
        <w:tc>
          <w:tcPr>
            <w:tcW w:w="2629" w:type="pct"/>
            <w:shd w:val="clear" w:color="auto" w:fill="FFFFFF"/>
            <w:tcMar>
              <w:top w:w="15" w:type="dxa"/>
              <w:left w:w="0" w:type="dxa"/>
              <w:bottom w:w="0" w:type="dxa"/>
              <w:right w:w="15" w:type="dxa"/>
            </w:tcMar>
            <w:hideMark/>
          </w:tcPr>
          <w:p w14:paraId="782ED650" w14:textId="77777777" w:rsidR="00000000" w:rsidRDefault="00582324">
            <w:pPr>
              <w:pStyle w:val="a3"/>
              <w:spacing w:before="0" w:beforeAutospacing="0" w:after="0" w:afterAutospacing="0"/>
              <w:ind w:left="547"/>
              <w:rPr>
                <w:color w:val="000000"/>
                <w:sz w:val="14"/>
                <w:szCs w:val="14"/>
              </w:rPr>
            </w:pPr>
            <w:r>
              <w:rPr>
                <w:color w:val="000000"/>
                <w:sz w:val="14"/>
                <w:szCs w:val="14"/>
              </w:rPr>
              <w:t>Debt extinguishment costs</w:t>
            </w:r>
          </w:p>
        </w:tc>
        <w:tc>
          <w:tcPr>
            <w:tcW w:w="113" w:type="pct"/>
            <w:shd w:val="clear" w:color="auto" w:fill="FFFFFF"/>
            <w:tcMar>
              <w:top w:w="15" w:type="dxa"/>
              <w:left w:w="0" w:type="dxa"/>
              <w:bottom w:w="0" w:type="dxa"/>
              <w:right w:w="15" w:type="dxa"/>
            </w:tcMar>
            <w:vAlign w:val="bottom"/>
            <w:hideMark/>
          </w:tcPr>
          <w:p w14:paraId="37E0AA7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0F90E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2DAB01A1" w14:textId="77777777" w:rsidR="00000000" w:rsidRDefault="00582324">
            <w:pPr>
              <w:pStyle w:val="a3"/>
              <w:spacing w:before="0" w:beforeAutospacing="0" w:after="0" w:afterAutospacing="0"/>
              <w:jc w:val="right"/>
              <w:rPr>
                <w:color w:val="000000"/>
                <w:sz w:val="14"/>
                <w:szCs w:val="14"/>
              </w:rPr>
            </w:pPr>
            <w:r>
              <w:rPr>
                <w:color w:val="000000"/>
                <w:sz w:val="14"/>
                <w:szCs w:val="14"/>
              </w:rPr>
              <w:t>4,052</w:t>
            </w:r>
          </w:p>
        </w:tc>
        <w:tc>
          <w:tcPr>
            <w:tcW w:w="50" w:type="pct"/>
            <w:shd w:val="clear" w:color="auto" w:fill="FFFFFF"/>
            <w:noWrap/>
            <w:tcMar>
              <w:top w:w="15" w:type="dxa"/>
              <w:left w:w="0" w:type="dxa"/>
              <w:bottom w:w="0" w:type="dxa"/>
              <w:right w:w="15" w:type="dxa"/>
            </w:tcMar>
            <w:vAlign w:val="bottom"/>
            <w:hideMark/>
          </w:tcPr>
          <w:p w14:paraId="146A406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B356AC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B4D8F4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497EB232"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1C86F75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82DDEAD" w14:textId="77777777">
        <w:trPr>
          <w:divId w:val="623660763"/>
        </w:trPr>
        <w:tc>
          <w:tcPr>
            <w:tcW w:w="2629" w:type="pct"/>
            <w:shd w:val="clear" w:color="auto" w:fill="CFF0FC"/>
            <w:tcMar>
              <w:top w:w="15" w:type="dxa"/>
              <w:left w:w="0" w:type="dxa"/>
              <w:bottom w:w="0" w:type="dxa"/>
              <w:right w:w="15" w:type="dxa"/>
            </w:tcMar>
            <w:hideMark/>
          </w:tcPr>
          <w:p w14:paraId="4100202F" w14:textId="77777777" w:rsidR="00000000" w:rsidRDefault="00582324">
            <w:pPr>
              <w:pStyle w:val="a3"/>
              <w:spacing w:before="0" w:beforeAutospacing="0" w:after="0" w:afterAutospacing="0"/>
              <w:ind w:left="547"/>
              <w:rPr>
                <w:color w:val="000000"/>
                <w:sz w:val="14"/>
                <w:szCs w:val="14"/>
              </w:rPr>
            </w:pPr>
            <w:r>
              <w:rPr>
                <w:color w:val="000000"/>
                <w:sz w:val="14"/>
                <w:szCs w:val="14"/>
              </w:rPr>
              <w:t>Changes in operating assets and liabilities—net of acquisitions:</w:t>
            </w:r>
          </w:p>
        </w:tc>
        <w:tc>
          <w:tcPr>
            <w:tcW w:w="113" w:type="pct"/>
            <w:shd w:val="clear" w:color="auto" w:fill="CFF0FC"/>
            <w:tcMar>
              <w:top w:w="15" w:type="dxa"/>
              <w:left w:w="0" w:type="dxa"/>
              <w:bottom w:w="0" w:type="dxa"/>
              <w:right w:w="15" w:type="dxa"/>
            </w:tcMar>
            <w:vAlign w:val="bottom"/>
            <w:hideMark/>
          </w:tcPr>
          <w:p w14:paraId="3CDF90D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7C3ED9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627E3B6D"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FBABDA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5A0BAA6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C961F3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76387857"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F6D8901"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0EFD5478" w14:textId="77777777">
        <w:trPr>
          <w:divId w:val="623660763"/>
        </w:trPr>
        <w:tc>
          <w:tcPr>
            <w:tcW w:w="2629" w:type="pct"/>
            <w:shd w:val="clear" w:color="auto" w:fill="FFFFFF"/>
            <w:tcMar>
              <w:top w:w="15" w:type="dxa"/>
              <w:left w:w="0" w:type="dxa"/>
              <w:bottom w:w="0" w:type="dxa"/>
              <w:right w:w="15" w:type="dxa"/>
            </w:tcMar>
            <w:hideMark/>
          </w:tcPr>
          <w:p w14:paraId="72C481AA" w14:textId="77777777" w:rsidR="00000000" w:rsidRDefault="00582324">
            <w:pPr>
              <w:pStyle w:val="a3"/>
              <w:spacing w:before="0" w:beforeAutospacing="0" w:after="0" w:afterAutospacing="0"/>
              <w:ind w:left="821"/>
              <w:rPr>
                <w:color w:val="000000"/>
                <w:sz w:val="14"/>
                <w:szCs w:val="14"/>
              </w:rPr>
            </w:pPr>
            <w:r>
              <w:rPr>
                <w:color w:val="000000"/>
                <w:sz w:val="14"/>
                <w:szCs w:val="14"/>
              </w:rPr>
              <w:t>Accounts receivable and contract assets</w:t>
            </w:r>
          </w:p>
        </w:tc>
        <w:tc>
          <w:tcPr>
            <w:tcW w:w="113" w:type="pct"/>
            <w:shd w:val="clear" w:color="auto" w:fill="FFFFFF"/>
            <w:tcMar>
              <w:top w:w="15" w:type="dxa"/>
              <w:left w:w="0" w:type="dxa"/>
              <w:bottom w:w="0" w:type="dxa"/>
              <w:right w:w="15" w:type="dxa"/>
            </w:tcMar>
            <w:vAlign w:val="bottom"/>
            <w:hideMark/>
          </w:tcPr>
          <w:p w14:paraId="77AF496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A9FA49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797A53A0" w14:textId="77777777" w:rsidR="00000000" w:rsidRDefault="00582324">
            <w:pPr>
              <w:pStyle w:val="a3"/>
              <w:spacing w:before="0" w:beforeAutospacing="0" w:after="0" w:afterAutospacing="0"/>
              <w:jc w:val="right"/>
              <w:rPr>
                <w:color w:val="000000"/>
                <w:sz w:val="14"/>
                <w:szCs w:val="14"/>
              </w:rPr>
            </w:pPr>
            <w:r>
              <w:rPr>
                <w:color w:val="000000"/>
                <w:sz w:val="14"/>
                <w:szCs w:val="14"/>
              </w:rPr>
              <w:t>(31,009</w:t>
            </w:r>
          </w:p>
        </w:tc>
        <w:tc>
          <w:tcPr>
            <w:tcW w:w="50" w:type="pct"/>
            <w:shd w:val="clear" w:color="auto" w:fill="FFFFFF"/>
            <w:noWrap/>
            <w:tcMar>
              <w:top w:w="15" w:type="dxa"/>
              <w:left w:w="0" w:type="dxa"/>
              <w:bottom w:w="0" w:type="dxa"/>
              <w:right w:w="15" w:type="dxa"/>
            </w:tcMar>
            <w:vAlign w:val="bottom"/>
            <w:hideMark/>
          </w:tcPr>
          <w:p w14:paraId="64E71D5B"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115E0C3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0068F5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76B6BB46" w14:textId="77777777" w:rsidR="00000000" w:rsidRDefault="00582324">
            <w:pPr>
              <w:pStyle w:val="a3"/>
              <w:spacing w:before="0" w:beforeAutospacing="0" w:after="0" w:afterAutospacing="0"/>
              <w:jc w:val="right"/>
              <w:rPr>
                <w:color w:val="000000"/>
                <w:sz w:val="14"/>
                <w:szCs w:val="14"/>
              </w:rPr>
            </w:pPr>
            <w:r>
              <w:rPr>
                <w:color w:val="000000"/>
                <w:sz w:val="14"/>
                <w:szCs w:val="14"/>
              </w:rPr>
              <w:t>7,427</w:t>
            </w:r>
          </w:p>
        </w:tc>
        <w:tc>
          <w:tcPr>
            <w:tcW w:w="50" w:type="pct"/>
            <w:shd w:val="clear" w:color="auto" w:fill="FFFFFF"/>
            <w:noWrap/>
            <w:tcMar>
              <w:top w:w="15" w:type="dxa"/>
              <w:left w:w="0" w:type="dxa"/>
              <w:bottom w:w="0" w:type="dxa"/>
              <w:right w:w="15" w:type="dxa"/>
            </w:tcMar>
            <w:vAlign w:val="bottom"/>
            <w:hideMark/>
          </w:tcPr>
          <w:p w14:paraId="5B3B5A20"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FA6AFB2" w14:textId="77777777">
        <w:trPr>
          <w:divId w:val="623660763"/>
        </w:trPr>
        <w:tc>
          <w:tcPr>
            <w:tcW w:w="2629" w:type="pct"/>
            <w:shd w:val="clear" w:color="auto" w:fill="CFF0FC"/>
            <w:tcMar>
              <w:top w:w="15" w:type="dxa"/>
              <w:left w:w="0" w:type="dxa"/>
              <w:bottom w:w="0" w:type="dxa"/>
              <w:right w:w="15" w:type="dxa"/>
            </w:tcMar>
            <w:hideMark/>
          </w:tcPr>
          <w:p w14:paraId="279E4714" w14:textId="77777777" w:rsidR="00000000" w:rsidRDefault="00582324">
            <w:pPr>
              <w:pStyle w:val="a3"/>
              <w:spacing w:before="0" w:beforeAutospacing="0" w:after="0" w:afterAutospacing="0"/>
              <w:ind w:left="821"/>
              <w:rPr>
                <w:color w:val="000000"/>
                <w:sz w:val="14"/>
                <w:szCs w:val="14"/>
              </w:rPr>
            </w:pPr>
            <w:r>
              <w:rPr>
                <w:color w:val="000000"/>
                <w:sz w:val="14"/>
                <w:szCs w:val="14"/>
              </w:rPr>
              <w:t>Prepaid expenses and other current assets</w:t>
            </w:r>
          </w:p>
        </w:tc>
        <w:tc>
          <w:tcPr>
            <w:tcW w:w="113" w:type="pct"/>
            <w:shd w:val="clear" w:color="auto" w:fill="CFF0FC"/>
            <w:tcMar>
              <w:top w:w="15" w:type="dxa"/>
              <w:left w:w="0" w:type="dxa"/>
              <w:bottom w:w="0" w:type="dxa"/>
              <w:right w:w="15" w:type="dxa"/>
            </w:tcMar>
            <w:vAlign w:val="bottom"/>
            <w:hideMark/>
          </w:tcPr>
          <w:p w14:paraId="7E1988A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49D60D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1497F118" w14:textId="77777777" w:rsidR="00000000" w:rsidRDefault="00582324">
            <w:pPr>
              <w:pStyle w:val="a3"/>
              <w:spacing w:before="0" w:beforeAutospacing="0" w:after="0" w:afterAutospacing="0"/>
              <w:jc w:val="right"/>
              <w:rPr>
                <w:color w:val="000000"/>
                <w:sz w:val="14"/>
                <w:szCs w:val="14"/>
              </w:rPr>
            </w:pPr>
            <w:r>
              <w:rPr>
                <w:color w:val="000000"/>
                <w:sz w:val="14"/>
                <w:szCs w:val="14"/>
              </w:rPr>
              <w:t>1,316</w:t>
            </w:r>
          </w:p>
        </w:tc>
        <w:tc>
          <w:tcPr>
            <w:tcW w:w="50" w:type="pct"/>
            <w:shd w:val="clear" w:color="auto" w:fill="CFF0FC"/>
            <w:noWrap/>
            <w:tcMar>
              <w:top w:w="15" w:type="dxa"/>
              <w:left w:w="0" w:type="dxa"/>
              <w:bottom w:w="0" w:type="dxa"/>
              <w:right w:w="15" w:type="dxa"/>
            </w:tcMar>
            <w:vAlign w:val="bottom"/>
            <w:hideMark/>
          </w:tcPr>
          <w:p w14:paraId="2408DDE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3363CB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2C30E3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2006465B" w14:textId="77777777" w:rsidR="00000000" w:rsidRDefault="00582324">
            <w:pPr>
              <w:pStyle w:val="a3"/>
              <w:spacing w:before="0" w:beforeAutospacing="0" w:after="0" w:afterAutospacing="0"/>
              <w:jc w:val="right"/>
              <w:rPr>
                <w:color w:val="000000"/>
                <w:sz w:val="14"/>
                <w:szCs w:val="14"/>
              </w:rPr>
            </w:pPr>
            <w:r>
              <w:rPr>
                <w:color w:val="000000"/>
                <w:sz w:val="14"/>
                <w:szCs w:val="14"/>
              </w:rPr>
              <w:t>(789</w:t>
            </w:r>
          </w:p>
        </w:tc>
        <w:tc>
          <w:tcPr>
            <w:tcW w:w="50" w:type="pct"/>
            <w:shd w:val="clear" w:color="auto" w:fill="CFF0FC"/>
            <w:noWrap/>
            <w:tcMar>
              <w:top w:w="15" w:type="dxa"/>
              <w:left w:w="0" w:type="dxa"/>
              <w:bottom w:w="0" w:type="dxa"/>
              <w:right w:w="15" w:type="dxa"/>
            </w:tcMar>
            <w:vAlign w:val="bottom"/>
            <w:hideMark/>
          </w:tcPr>
          <w:p w14:paraId="2BC5D5C5"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7490587" w14:textId="77777777">
        <w:trPr>
          <w:divId w:val="623660763"/>
        </w:trPr>
        <w:tc>
          <w:tcPr>
            <w:tcW w:w="2629" w:type="pct"/>
            <w:shd w:val="clear" w:color="auto" w:fill="FFFFFF"/>
            <w:tcMar>
              <w:top w:w="15" w:type="dxa"/>
              <w:left w:w="0" w:type="dxa"/>
              <w:bottom w:w="0" w:type="dxa"/>
              <w:right w:w="15" w:type="dxa"/>
            </w:tcMar>
            <w:hideMark/>
          </w:tcPr>
          <w:p w14:paraId="18AF244C" w14:textId="77777777" w:rsidR="00000000" w:rsidRDefault="00582324">
            <w:pPr>
              <w:pStyle w:val="a3"/>
              <w:spacing w:before="0" w:beforeAutospacing="0" w:after="0" w:afterAutospacing="0"/>
              <w:ind w:left="821"/>
              <w:rPr>
                <w:color w:val="000000"/>
                <w:sz w:val="14"/>
                <w:szCs w:val="14"/>
              </w:rPr>
            </w:pPr>
            <w:r>
              <w:rPr>
                <w:color w:val="000000"/>
                <w:sz w:val="14"/>
                <w:szCs w:val="14"/>
              </w:rPr>
              <w:t>Accounts payable and other accrued liabilities</w:t>
            </w:r>
          </w:p>
        </w:tc>
        <w:tc>
          <w:tcPr>
            <w:tcW w:w="113" w:type="pct"/>
            <w:shd w:val="clear" w:color="auto" w:fill="FFFFFF"/>
            <w:tcMar>
              <w:top w:w="15" w:type="dxa"/>
              <w:left w:w="0" w:type="dxa"/>
              <w:bottom w:w="0" w:type="dxa"/>
              <w:right w:w="15" w:type="dxa"/>
            </w:tcMar>
            <w:vAlign w:val="bottom"/>
            <w:hideMark/>
          </w:tcPr>
          <w:p w14:paraId="121028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0FE606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9C5A052" w14:textId="77777777" w:rsidR="00000000" w:rsidRDefault="00582324">
            <w:pPr>
              <w:pStyle w:val="a3"/>
              <w:spacing w:before="0" w:beforeAutospacing="0" w:after="0" w:afterAutospacing="0"/>
              <w:jc w:val="right"/>
              <w:rPr>
                <w:color w:val="000000"/>
                <w:sz w:val="14"/>
                <w:szCs w:val="14"/>
              </w:rPr>
            </w:pPr>
            <w:r>
              <w:rPr>
                <w:color w:val="000000"/>
                <w:sz w:val="14"/>
                <w:szCs w:val="14"/>
              </w:rPr>
              <w:t>1,788</w:t>
            </w:r>
          </w:p>
        </w:tc>
        <w:tc>
          <w:tcPr>
            <w:tcW w:w="50" w:type="pct"/>
            <w:shd w:val="clear" w:color="auto" w:fill="FFFFFF"/>
            <w:noWrap/>
            <w:tcMar>
              <w:top w:w="15" w:type="dxa"/>
              <w:left w:w="0" w:type="dxa"/>
              <w:bottom w:w="0" w:type="dxa"/>
              <w:right w:w="15" w:type="dxa"/>
            </w:tcMar>
            <w:vAlign w:val="bottom"/>
            <w:hideMark/>
          </w:tcPr>
          <w:p w14:paraId="7DA42D2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1E64EFF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1566C3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B8318A9" w14:textId="77777777" w:rsidR="00000000" w:rsidRDefault="00582324">
            <w:pPr>
              <w:pStyle w:val="a3"/>
              <w:spacing w:before="0" w:beforeAutospacing="0" w:after="0" w:afterAutospacing="0"/>
              <w:jc w:val="right"/>
              <w:rPr>
                <w:color w:val="000000"/>
                <w:sz w:val="14"/>
                <w:szCs w:val="14"/>
              </w:rPr>
            </w:pPr>
            <w:r>
              <w:rPr>
                <w:color w:val="000000"/>
                <w:sz w:val="14"/>
                <w:szCs w:val="14"/>
              </w:rPr>
              <w:t>(8,296</w:t>
            </w:r>
          </w:p>
        </w:tc>
        <w:tc>
          <w:tcPr>
            <w:tcW w:w="50" w:type="pct"/>
            <w:shd w:val="clear" w:color="auto" w:fill="FFFFFF"/>
            <w:noWrap/>
            <w:tcMar>
              <w:top w:w="15" w:type="dxa"/>
              <w:left w:w="0" w:type="dxa"/>
              <w:bottom w:w="0" w:type="dxa"/>
              <w:right w:w="15" w:type="dxa"/>
            </w:tcMar>
            <w:vAlign w:val="bottom"/>
            <w:hideMark/>
          </w:tcPr>
          <w:p w14:paraId="3F55BD39"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3E1F89AD" w14:textId="77777777">
        <w:trPr>
          <w:divId w:val="623660763"/>
        </w:trPr>
        <w:tc>
          <w:tcPr>
            <w:tcW w:w="2629" w:type="pct"/>
            <w:shd w:val="clear" w:color="auto" w:fill="CFF0FC"/>
            <w:tcMar>
              <w:top w:w="15" w:type="dxa"/>
              <w:left w:w="0" w:type="dxa"/>
              <w:bottom w:w="0" w:type="dxa"/>
              <w:right w:w="15" w:type="dxa"/>
            </w:tcMar>
            <w:hideMark/>
          </w:tcPr>
          <w:p w14:paraId="2765F35F" w14:textId="77777777" w:rsidR="00000000" w:rsidRDefault="00582324">
            <w:pPr>
              <w:pStyle w:val="a3"/>
              <w:spacing w:before="0" w:beforeAutospacing="0" w:after="0" w:afterAutospacing="0"/>
              <w:ind w:left="821"/>
              <w:rPr>
                <w:color w:val="000000"/>
                <w:sz w:val="14"/>
                <w:szCs w:val="14"/>
              </w:rPr>
            </w:pPr>
            <w:r>
              <w:rPr>
                <w:color w:val="000000"/>
                <w:sz w:val="14"/>
                <w:szCs w:val="14"/>
              </w:rPr>
              <w:t>Accrued payroll and benefits</w:t>
            </w:r>
          </w:p>
        </w:tc>
        <w:tc>
          <w:tcPr>
            <w:tcW w:w="113" w:type="pct"/>
            <w:shd w:val="clear" w:color="auto" w:fill="CFF0FC"/>
            <w:tcMar>
              <w:top w:w="15" w:type="dxa"/>
              <w:left w:w="0" w:type="dxa"/>
              <w:bottom w:w="0" w:type="dxa"/>
              <w:right w:w="15" w:type="dxa"/>
            </w:tcMar>
            <w:vAlign w:val="bottom"/>
            <w:hideMark/>
          </w:tcPr>
          <w:p w14:paraId="0D36498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6AE59A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19B1AD84" w14:textId="77777777" w:rsidR="00000000" w:rsidRDefault="00582324">
            <w:pPr>
              <w:pStyle w:val="a3"/>
              <w:spacing w:before="0" w:beforeAutospacing="0" w:after="0" w:afterAutospacing="0"/>
              <w:jc w:val="right"/>
              <w:rPr>
                <w:color w:val="000000"/>
                <w:sz w:val="14"/>
                <w:szCs w:val="14"/>
              </w:rPr>
            </w:pPr>
            <w:r>
              <w:rPr>
                <w:color w:val="000000"/>
                <w:sz w:val="14"/>
                <w:szCs w:val="14"/>
              </w:rPr>
              <w:t>(2,846</w:t>
            </w:r>
          </w:p>
        </w:tc>
        <w:tc>
          <w:tcPr>
            <w:tcW w:w="50" w:type="pct"/>
            <w:shd w:val="clear" w:color="auto" w:fill="CFF0FC"/>
            <w:noWrap/>
            <w:tcMar>
              <w:top w:w="15" w:type="dxa"/>
              <w:left w:w="0" w:type="dxa"/>
              <w:bottom w:w="0" w:type="dxa"/>
              <w:right w:w="15" w:type="dxa"/>
            </w:tcMar>
            <w:vAlign w:val="bottom"/>
            <w:hideMark/>
          </w:tcPr>
          <w:p w14:paraId="505A58A0"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3506CA6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08F371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71425D1A" w14:textId="77777777" w:rsidR="00000000" w:rsidRDefault="00582324">
            <w:pPr>
              <w:pStyle w:val="a3"/>
              <w:spacing w:before="0" w:beforeAutospacing="0" w:after="0" w:afterAutospacing="0"/>
              <w:jc w:val="right"/>
              <w:rPr>
                <w:color w:val="000000"/>
                <w:sz w:val="14"/>
                <w:szCs w:val="14"/>
              </w:rPr>
            </w:pPr>
            <w:r>
              <w:rPr>
                <w:color w:val="000000"/>
                <w:sz w:val="14"/>
                <w:szCs w:val="14"/>
              </w:rPr>
              <w:t>1,886</w:t>
            </w:r>
          </w:p>
        </w:tc>
        <w:tc>
          <w:tcPr>
            <w:tcW w:w="50" w:type="pct"/>
            <w:shd w:val="clear" w:color="auto" w:fill="CFF0FC"/>
            <w:noWrap/>
            <w:tcMar>
              <w:top w:w="15" w:type="dxa"/>
              <w:left w:w="0" w:type="dxa"/>
              <w:bottom w:w="0" w:type="dxa"/>
              <w:right w:w="15" w:type="dxa"/>
            </w:tcMar>
            <w:vAlign w:val="bottom"/>
            <w:hideMark/>
          </w:tcPr>
          <w:p w14:paraId="19FA9B2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0F097B6E" w14:textId="77777777">
        <w:trPr>
          <w:divId w:val="623660763"/>
        </w:trPr>
        <w:tc>
          <w:tcPr>
            <w:tcW w:w="2629" w:type="pct"/>
            <w:shd w:val="clear" w:color="auto" w:fill="FFFFFF"/>
            <w:tcMar>
              <w:top w:w="15" w:type="dxa"/>
              <w:left w:w="0" w:type="dxa"/>
              <w:bottom w:w="0" w:type="dxa"/>
              <w:right w:w="15" w:type="dxa"/>
            </w:tcMar>
            <w:hideMark/>
          </w:tcPr>
          <w:p w14:paraId="5AF18F82" w14:textId="77777777" w:rsidR="00000000" w:rsidRDefault="00582324">
            <w:pPr>
              <w:pStyle w:val="a3"/>
              <w:spacing w:before="0" w:beforeAutospacing="0" w:after="0" w:afterAutospacing="0"/>
              <w:ind w:left="821"/>
              <w:rPr>
                <w:color w:val="000000"/>
                <w:sz w:val="14"/>
                <w:szCs w:val="14"/>
              </w:rPr>
            </w:pPr>
            <w:r>
              <w:rPr>
                <w:color w:val="000000"/>
                <w:sz w:val="14"/>
                <w:szCs w:val="14"/>
              </w:rPr>
              <w:t>Payment of contingent consideration and other</w:t>
            </w:r>
          </w:p>
          <w:p w14:paraId="001B4A05" w14:textId="77777777" w:rsidR="00000000" w:rsidRDefault="00582324">
            <w:pPr>
              <w:pStyle w:val="a3"/>
              <w:spacing w:before="0" w:beforeAutospacing="0" w:after="0" w:afterAutospacing="0"/>
              <w:ind w:left="821"/>
              <w:rPr>
                <w:color w:val="000000"/>
                <w:sz w:val="14"/>
                <w:szCs w:val="14"/>
              </w:rPr>
            </w:pPr>
            <w:r>
              <w:rPr>
                <w:color w:val="000000"/>
                <w:sz w:val="14"/>
                <w:szCs w:val="14"/>
              </w:rPr>
              <w:t>   assumed purchase price obligations</w:t>
            </w:r>
          </w:p>
        </w:tc>
        <w:tc>
          <w:tcPr>
            <w:tcW w:w="113" w:type="pct"/>
            <w:shd w:val="clear" w:color="auto" w:fill="FFFFFF"/>
            <w:tcMar>
              <w:top w:w="15" w:type="dxa"/>
              <w:left w:w="0" w:type="dxa"/>
              <w:bottom w:w="0" w:type="dxa"/>
              <w:right w:w="15" w:type="dxa"/>
            </w:tcMar>
            <w:vAlign w:val="bottom"/>
            <w:hideMark/>
          </w:tcPr>
          <w:p w14:paraId="31F342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C4A706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2EC61F97" w14:textId="77777777" w:rsidR="00000000" w:rsidRDefault="00582324">
            <w:pPr>
              <w:pStyle w:val="a3"/>
              <w:spacing w:before="0" w:beforeAutospacing="0" w:after="0" w:afterAutospacing="0"/>
              <w:jc w:val="right"/>
              <w:rPr>
                <w:color w:val="000000"/>
                <w:sz w:val="14"/>
                <w:szCs w:val="14"/>
              </w:rPr>
            </w:pPr>
            <w:r>
              <w:rPr>
                <w:color w:val="000000"/>
                <w:sz w:val="14"/>
                <w:szCs w:val="14"/>
              </w:rPr>
              <w:t>(15,549</w:t>
            </w:r>
          </w:p>
        </w:tc>
        <w:tc>
          <w:tcPr>
            <w:tcW w:w="50" w:type="pct"/>
            <w:shd w:val="clear" w:color="auto" w:fill="FFFFFF"/>
            <w:noWrap/>
            <w:tcMar>
              <w:top w:w="15" w:type="dxa"/>
              <w:left w:w="0" w:type="dxa"/>
              <w:bottom w:w="0" w:type="dxa"/>
              <w:right w:w="15" w:type="dxa"/>
            </w:tcMar>
            <w:vAlign w:val="bottom"/>
            <w:hideMark/>
          </w:tcPr>
          <w:p w14:paraId="01B6C25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5B4A5F5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F378CD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212383A7" w14:textId="77777777" w:rsidR="00000000" w:rsidRDefault="00582324">
            <w:pPr>
              <w:pStyle w:val="a3"/>
              <w:spacing w:before="0" w:beforeAutospacing="0" w:after="0" w:afterAutospacing="0"/>
              <w:jc w:val="right"/>
              <w:rPr>
                <w:color w:val="000000"/>
                <w:sz w:val="14"/>
                <w:szCs w:val="14"/>
              </w:rPr>
            </w:pPr>
            <w:r>
              <w:rPr>
                <w:color w:val="000000"/>
                <w:sz w:val="14"/>
                <w:szCs w:val="14"/>
              </w:rPr>
              <w:t>(6,175</w:t>
            </w:r>
          </w:p>
        </w:tc>
        <w:tc>
          <w:tcPr>
            <w:tcW w:w="50" w:type="pct"/>
            <w:shd w:val="clear" w:color="auto" w:fill="FFFFFF"/>
            <w:noWrap/>
            <w:tcMar>
              <w:top w:w="15" w:type="dxa"/>
              <w:left w:w="0" w:type="dxa"/>
              <w:bottom w:w="0" w:type="dxa"/>
              <w:right w:w="15" w:type="dxa"/>
            </w:tcMar>
            <w:vAlign w:val="bottom"/>
            <w:hideMark/>
          </w:tcPr>
          <w:p w14:paraId="6A7E6C31"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3631FF0C" w14:textId="77777777">
        <w:trPr>
          <w:divId w:val="623660763"/>
        </w:trPr>
        <w:tc>
          <w:tcPr>
            <w:tcW w:w="2629" w:type="pct"/>
            <w:shd w:val="clear" w:color="auto" w:fill="CFF0FC"/>
            <w:tcMar>
              <w:top w:w="15" w:type="dxa"/>
              <w:left w:w="0" w:type="dxa"/>
              <w:bottom w:w="0" w:type="dxa"/>
              <w:right w:w="15" w:type="dxa"/>
            </w:tcMar>
            <w:hideMark/>
          </w:tcPr>
          <w:p w14:paraId="79D0E673" w14:textId="77777777" w:rsidR="00000000" w:rsidRDefault="00582324">
            <w:pPr>
              <w:pStyle w:val="a3"/>
              <w:spacing w:before="0" w:beforeAutospacing="0" w:after="0" w:afterAutospacing="0"/>
              <w:ind w:left="821"/>
              <w:rPr>
                <w:color w:val="000000"/>
                <w:sz w:val="14"/>
                <w:szCs w:val="14"/>
              </w:rPr>
            </w:pPr>
            <w:r>
              <w:rPr>
                <w:color w:val="000000"/>
                <w:sz w:val="14"/>
                <w:szCs w:val="14"/>
              </w:rPr>
              <w:t>Other assets</w:t>
            </w:r>
          </w:p>
        </w:tc>
        <w:tc>
          <w:tcPr>
            <w:tcW w:w="113" w:type="pct"/>
            <w:shd w:val="clear" w:color="auto" w:fill="CFF0FC"/>
            <w:tcMar>
              <w:top w:w="15" w:type="dxa"/>
              <w:left w:w="0" w:type="dxa"/>
              <w:bottom w:w="0" w:type="dxa"/>
              <w:right w:w="15" w:type="dxa"/>
            </w:tcMar>
            <w:vAlign w:val="bottom"/>
            <w:hideMark/>
          </w:tcPr>
          <w:p w14:paraId="5E25D28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C0A252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C41795A" w14:textId="77777777" w:rsidR="00000000" w:rsidRDefault="00582324">
            <w:pPr>
              <w:pStyle w:val="a3"/>
              <w:spacing w:before="0" w:beforeAutospacing="0" w:after="0" w:afterAutospacing="0"/>
              <w:jc w:val="right"/>
              <w:rPr>
                <w:color w:val="000000"/>
                <w:sz w:val="14"/>
                <w:szCs w:val="14"/>
              </w:rPr>
            </w:pPr>
            <w:r>
              <w:rPr>
                <w:color w:val="000000"/>
                <w:sz w:val="14"/>
                <w:szCs w:val="14"/>
              </w:rPr>
              <w:t>(107</w:t>
            </w:r>
          </w:p>
        </w:tc>
        <w:tc>
          <w:tcPr>
            <w:tcW w:w="50" w:type="pct"/>
            <w:shd w:val="clear" w:color="auto" w:fill="CFF0FC"/>
            <w:noWrap/>
            <w:tcMar>
              <w:top w:w="15" w:type="dxa"/>
              <w:left w:w="0" w:type="dxa"/>
              <w:bottom w:w="0" w:type="dxa"/>
              <w:right w:w="15" w:type="dxa"/>
            </w:tcMar>
            <w:vAlign w:val="bottom"/>
            <w:hideMark/>
          </w:tcPr>
          <w:p w14:paraId="56D9668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6D3E69E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E70E91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1CAA8659" w14:textId="77777777" w:rsidR="00000000" w:rsidRDefault="00582324">
            <w:pPr>
              <w:pStyle w:val="a3"/>
              <w:spacing w:before="0" w:beforeAutospacing="0" w:after="0" w:afterAutospacing="0"/>
              <w:jc w:val="right"/>
              <w:rPr>
                <w:color w:val="000000"/>
                <w:sz w:val="14"/>
                <w:szCs w:val="14"/>
              </w:rPr>
            </w:pPr>
            <w:r>
              <w:rPr>
                <w:color w:val="000000"/>
                <w:sz w:val="14"/>
                <w:szCs w:val="14"/>
              </w:rPr>
              <w:t>(1,346</w:t>
            </w:r>
          </w:p>
        </w:tc>
        <w:tc>
          <w:tcPr>
            <w:tcW w:w="50" w:type="pct"/>
            <w:shd w:val="clear" w:color="auto" w:fill="CFF0FC"/>
            <w:noWrap/>
            <w:tcMar>
              <w:top w:w="15" w:type="dxa"/>
              <w:left w:w="0" w:type="dxa"/>
              <w:bottom w:w="0" w:type="dxa"/>
              <w:right w:w="15" w:type="dxa"/>
            </w:tcMar>
            <w:vAlign w:val="bottom"/>
            <w:hideMark/>
          </w:tcPr>
          <w:p w14:paraId="54F0D541"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73CB373B" w14:textId="77777777">
        <w:trPr>
          <w:divId w:val="623660763"/>
        </w:trPr>
        <w:tc>
          <w:tcPr>
            <w:tcW w:w="2629" w:type="pct"/>
            <w:shd w:val="clear" w:color="auto" w:fill="FFFFFF"/>
            <w:tcMar>
              <w:top w:w="15" w:type="dxa"/>
              <w:left w:w="0" w:type="dxa"/>
              <w:bottom w:w="0" w:type="dxa"/>
              <w:right w:w="15" w:type="dxa"/>
            </w:tcMar>
            <w:hideMark/>
          </w:tcPr>
          <w:p w14:paraId="3712406F" w14:textId="77777777" w:rsidR="00000000" w:rsidRDefault="00582324">
            <w:pPr>
              <w:pStyle w:val="a3"/>
              <w:spacing w:before="0" w:beforeAutospacing="0" w:after="0" w:afterAutospacing="0"/>
              <w:ind w:left="821"/>
              <w:rPr>
                <w:color w:val="000000"/>
                <w:sz w:val="14"/>
                <w:szCs w:val="14"/>
              </w:rPr>
            </w:pPr>
            <w:r>
              <w:rPr>
                <w:color w:val="000000"/>
                <w:sz w:val="14"/>
                <w:szCs w:val="14"/>
              </w:rPr>
              <w:t>Change in operating leases</w:t>
            </w:r>
          </w:p>
        </w:tc>
        <w:tc>
          <w:tcPr>
            <w:tcW w:w="113" w:type="pct"/>
            <w:shd w:val="clear" w:color="auto" w:fill="FFFFFF"/>
            <w:tcMar>
              <w:top w:w="15" w:type="dxa"/>
              <w:left w:w="0" w:type="dxa"/>
              <w:bottom w:w="0" w:type="dxa"/>
              <w:right w:w="15" w:type="dxa"/>
            </w:tcMar>
            <w:vAlign w:val="bottom"/>
            <w:hideMark/>
          </w:tcPr>
          <w:p w14:paraId="523EAA5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1947B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FFFFFF"/>
            <w:noWrap/>
            <w:tcMar>
              <w:top w:w="15" w:type="dxa"/>
              <w:left w:w="0" w:type="dxa"/>
              <w:bottom w:w="0" w:type="dxa"/>
              <w:right w:w="15" w:type="dxa"/>
            </w:tcMar>
            <w:vAlign w:val="bottom"/>
            <w:hideMark/>
          </w:tcPr>
          <w:p w14:paraId="69E0D9DF" w14:textId="77777777" w:rsidR="00000000" w:rsidRDefault="00582324">
            <w:pPr>
              <w:pStyle w:val="a3"/>
              <w:spacing w:before="0" w:beforeAutospacing="0" w:after="0" w:afterAutospacing="0"/>
              <w:jc w:val="right"/>
              <w:rPr>
                <w:color w:val="000000"/>
                <w:sz w:val="14"/>
                <w:szCs w:val="14"/>
              </w:rPr>
            </w:pPr>
            <w:r>
              <w:rPr>
                <w:color w:val="000000"/>
                <w:sz w:val="14"/>
                <w:szCs w:val="14"/>
              </w:rPr>
              <w:t>(3,937</w:t>
            </w:r>
          </w:p>
        </w:tc>
        <w:tc>
          <w:tcPr>
            <w:tcW w:w="50" w:type="pct"/>
            <w:shd w:val="clear" w:color="auto" w:fill="FFFFFF"/>
            <w:noWrap/>
            <w:tcMar>
              <w:top w:w="15" w:type="dxa"/>
              <w:left w:w="0" w:type="dxa"/>
              <w:bottom w:w="0" w:type="dxa"/>
              <w:right w:w="15" w:type="dxa"/>
            </w:tcMar>
            <w:vAlign w:val="bottom"/>
            <w:hideMark/>
          </w:tcPr>
          <w:p w14:paraId="72132829"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63F899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18CC3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FFFFFF"/>
            <w:noWrap/>
            <w:tcMar>
              <w:top w:w="15" w:type="dxa"/>
              <w:left w:w="0" w:type="dxa"/>
              <w:bottom w:w="0" w:type="dxa"/>
              <w:right w:w="15" w:type="dxa"/>
            </w:tcMar>
            <w:vAlign w:val="bottom"/>
            <w:hideMark/>
          </w:tcPr>
          <w:p w14:paraId="795FC374"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69DA390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0114097" w14:textId="77777777">
        <w:trPr>
          <w:divId w:val="623660763"/>
        </w:trPr>
        <w:tc>
          <w:tcPr>
            <w:tcW w:w="2629" w:type="pct"/>
            <w:shd w:val="clear" w:color="auto" w:fill="CFF0FC"/>
            <w:tcMar>
              <w:top w:w="15" w:type="dxa"/>
              <w:left w:w="0" w:type="dxa"/>
              <w:bottom w:w="0" w:type="dxa"/>
              <w:right w:w="15" w:type="dxa"/>
            </w:tcMar>
            <w:hideMark/>
          </w:tcPr>
          <w:p w14:paraId="5612C346" w14:textId="77777777" w:rsidR="00000000" w:rsidRDefault="00582324">
            <w:pPr>
              <w:pStyle w:val="a3"/>
              <w:spacing w:before="0" w:beforeAutospacing="0" w:after="0" w:afterAutospacing="0"/>
              <w:ind w:left="1094"/>
              <w:rPr>
                <w:color w:val="000000"/>
                <w:sz w:val="14"/>
                <w:szCs w:val="14"/>
              </w:rPr>
            </w:pPr>
            <w:r>
              <w:rPr>
                <w:color w:val="000000"/>
                <w:sz w:val="14"/>
                <w:szCs w:val="14"/>
              </w:rPr>
              <w:t>Net cash used in operating activities</w:t>
            </w:r>
          </w:p>
        </w:tc>
        <w:tc>
          <w:tcPr>
            <w:tcW w:w="113" w:type="pct"/>
            <w:shd w:val="clear" w:color="auto" w:fill="CFF0FC"/>
            <w:tcMar>
              <w:top w:w="15" w:type="dxa"/>
              <w:left w:w="0" w:type="dxa"/>
              <w:bottom w:w="0" w:type="dxa"/>
              <w:right w:w="15" w:type="dxa"/>
            </w:tcMar>
            <w:vAlign w:val="bottom"/>
            <w:hideMark/>
          </w:tcPr>
          <w:p w14:paraId="28DA438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5E3A0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E44B00" w14:textId="77777777" w:rsidR="00000000" w:rsidRDefault="00582324">
            <w:pPr>
              <w:pStyle w:val="a3"/>
              <w:spacing w:before="0" w:beforeAutospacing="0" w:after="0" w:afterAutospacing="0"/>
              <w:jc w:val="right"/>
              <w:rPr>
                <w:color w:val="000000"/>
                <w:sz w:val="14"/>
                <w:szCs w:val="14"/>
              </w:rPr>
            </w:pPr>
            <w:r>
              <w:rPr>
                <w:color w:val="000000"/>
                <w:sz w:val="14"/>
                <w:szCs w:val="14"/>
              </w:rPr>
              <w:t>(17,046</w:t>
            </w:r>
          </w:p>
        </w:tc>
        <w:tc>
          <w:tcPr>
            <w:tcW w:w="50" w:type="pct"/>
            <w:shd w:val="clear" w:color="auto" w:fill="CFF0FC"/>
            <w:noWrap/>
            <w:tcMar>
              <w:top w:w="15" w:type="dxa"/>
              <w:left w:w="0" w:type="dxa"/>
              <w:bottom w:w="0" w:type="dxa"/>
              <w:right w:w="15" w:type="dxa"/>
            </w:tcMar>
            <w:vAlign w:val="bottom"/>
            <w:hideMark/>
          </w:tcPr>
          <w:p w14:paraId="1E1E0489"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00A0C4D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ABB05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97C8D9" w14:textId="77777777" w:rsidR="00000000" w:rsidRDefault="00582324">
            <w:pPr>
              <w:pStyle w:val="a3"/>
              <w:spacing w:before="0" w:beforeAutospacing="0" w:after="0" w:afterAutospacing="0"/>
              <w:jc w:val="right"/>
              <w:rPr>
                <w:color w:val="000000"/>
                <w:sz w:val="14"/>
                <w:szCs w:val="14"/>
              </w:rPr>
            </w:pPr>
            <w:r>
              <w:rPr>
                <w:color w:val="000000"/>
                <w:sz w:val="14"/>
                <w:szCs w:val="14"/>
              </w:rPr>
              <w:t>(1,584</w:t>
            </w:r>
          </w:p>
        </w:tc>
        <w:tc>
          <w:tcPr>
            <w:tcW w:w="50" w:type="pct"/>
            <w:shd w:val="clear" w:color="auto" w:fill="CFF0FC"/>
            <w:noWrap/>
            <w:tcMar>
              <w:top w:w="15" w:type="dxa"/>
              <w:left w:w="0" w:type="dxa"/>
              <w:bottom w:w="0" w:type="dxa"/>
              <w:right w:w="15" w:type="dxa"/>
            </w:tcMar>
            <w:vAlign w:val="bottom"/>
            <w:hideMark/>
          </w:tcPr>
          <w:p w14:paraId="7D0125BA"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0E96D15B" w14:textId="77777777">
        <w:trPr>
          <w:divId w:val="623660763"/>
        </w:trPr>
        <w:tc>
          <w:tcPr>
            <w:tcW w:w="2629" w:type="pct"/>
            <w:shd w:val="clear" w:color="auto" w:fill="FFFFFF"/>
            <w:tcMar>
              <w:top w:w="15" w:type="dxa"/>
              <w:left w:w="0" w:type="dxa"/>
              <w:bottom w:w="0" w:type="dxa"/>
              <w:right w:w="15" w:type="dxa"/>
            </w:tcMar>
            <w:hideMark/>
          </w:tcPr>
          <w:p w14:paraId="20E7A99D" w14:textId="77777777" w:rsidR="00000000" w:rsidRDefault="00582324">
            <w:pPr>
              <w:pStyle w:val="a3"/>
              <w:spacing w:before="0" w:beforeAutospacing="0" w:after="0" w:afterAutospacing="0"/>
              <w:rPr>
                <w:color w:val="000000"/>
                <w:sz w:val="14"/>
                <w:szCs w:val="14"/>
              </w:rPr>
            </w:pPr>
            <w:r>
              <w:rPr>
                <w:color w:val="000000"/>
                <w:sz w:val="14"/>
                <w:szCs w:val="14"/>
              </w:rPr>
              <w:t>INVESTING ACTIVITIES:</w:t>
            </w:r>
          </w:p>
        </w:tc>
        <w:tc>
          <w:tcPr>
            <w:tcW w:w="113" w:type="pct"/>
            <w:shd w:val="clear" w:color="auto" w:fill="FFFFFF"/>
            <w:tcMar>
              <w:top w:w="15" w:type="dxa"/>
              <w:left w:w="0" w:type="dxa"/>
              <w:bottom w:w="0" w:type="dxa"/>
              <w:right w:w="15" w:type="dxa"/>
            </w:tcMar>
            <w:vAlign w:val="bottom"/>
            <w:hideMark/>
          </w:tcPr>
          <w:p w14:paraId="7262ADD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EB33D8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FFFFFF"/>
            <w:noWrap/>
            <w:tcMar>
              <w:top w:w="15" w:type="dxa"/>
              <w:left w:w="0" w:type="dxa"/>
              <w:bottom w:w="0" w:type="dxa"/>
              <w:right w:w="15" w:type="dxa"/>
            </w:tcMar>
            <w:vAlign w:val="bottom"/>
            <w:hideMark/>
          </w:tcPr>
          <w:p w14:paraId="4D4D82EC"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1A467C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0B2D570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570109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FFFFFF"/>
            <w:noWrap/>
            <w:tcMar>
              <w:top w:w="15" w:type="dxa"/>
              <w:left w:w="0" w:type="dxa"/>
              <w:bottom w:w="0" w:type="dxa"/>
              <w:right w:w="15" w:type="dxa"/>
            </w:tcMar>
            <w:vAlign w:val="bottom"/>
            <w:hideMark/>
          </w:tcPr>
          <w:p w14:paraId="173A40E9"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0D8F75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1E9457D" w14:textId="77777777">
        <w:trPr>
          <w:divId w:val="623660763"/>
        </w:trPr>
        <w:tc>
          <w:tcPr>
            <w:tcW w:w="2629" w:type="pct"/>
            <w:shd w:val="clear" w:color="auto" w:fill="CFF0FC"/>
            <w:tcMar>
              <w:top w:w="15" w:type="dxa"/>
              <w:left w:w="0" w:type="dxa"/>
              <w:bottom w:w="0" w:type="dxa"/>
              <w:right w:w="15" w:type="dxa"/>
            </w:tcMar>
            <w:hideMark/>
          </w:tcPr>
          <w:p w14:paraId="4AEA3B5E" w14:textId="77777777" w:rsidR="00000000" w:rsidRDefault="00582324">
            <w:pPr>
              <w:pStyle w:val="a3"/>
              <w:spacing w:before="0" w:beforeAutospacing="0" w:after="0" w:afterAutospacing="0"/>
              <w:ind w:left="547"/>
              <w:rPr>
                <w:color w:val="000000"/>
                <w:sz w:val="14"/>
                <w:szCs w:val="14"/>
              </w:rPr>
            </w:pPr>
            <w:r>
              <w:rPr>
                <w:color w:val="000000"/>
                <w:sz w:val="14"/>
                <w:szCs w:val="14"/>
              </w:rPr>
              <w:t>Purchases of property and equipment</w:t>
            </w:r>
          </w:p>
        </w:tc>
        <w:tc>
          <w:tcPr>
            <w:tcW w:w="113" w:type="pct"/>
            <w:shd w:val="clear" w:color="auto" w:fill="CFF0FC"/>
            <w:tcMar>
              <w:top w:w="15" w:type="dxa"/>
              <w:left w:w="0" w:type="dxa"/>
              <w:bottom w:w="0" w:type="dxa"/>
              <w:right w:w="15" w:type="dxa"/>
            </w:tcMar>
            <w:vAlign w:val="bottom"/>
            <w:hideMark/>
          </w:tcPr>
          <w:p w14:paraId="16F45E8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7DBA25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7FF06F2C" w14:textId="77777777" w:rsidR="00000000" w:rsidRDefault="00582324">
            <w:pPr>
              <w:pStyle w:val="a3"/>
              <w:spacing w:before="0" w:beforeAutospacing="0" w:after="0" w:afterAutospacing="0"/>
              <w:jc w:val="right"/>
              <w:rPr>
                <w:color w:val="000000"/>
                <w:sz w:val="14"/>
                <w:szCs w:val="14"/>
              </w:rPr>
            </w:pPr>
            <w:r>
              <w:rPr>
                <w:color w:val="000000"/>
                <w:sz w:val="14"/>
                <w:szCs w:val="14"/>
              </w:rPr>
              <w:t>(2,354</w:t>
            </w:r>
          </w:p>
        </w:tc>
        <w:tc>
          <w:tcPr>
            <w:tcW w:w="50" w:type="pct"/>
            <w:shd w:val="clear" w:color="auto" w:fill="CFF0FC"/>
            <w:noWrap/>
            <w:tcMar>
              <w:top w:w="15" w:type="dxa"/>
              <w:left w:w="0" w:type="dxa"/>
              <w:bottom w:w="0" w:type="dxa"/>
              <w:right w:w="15" w:type="dxa"/>
            </w:tcMar>
            <w:vAlign w:val="bottom"/>
            <w:hideMark/>
          </w:tcPr>
          <w:p w14:paraId="45E5DD53"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1E689A3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DEFDF8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665F31CE" w14:textId="77777777" w:rsidR="00000000" w:rsidRDefault="00582324">
            <w:pPr>
              <w:pStyle w:val="a3"/>
              <w:spacing w:before="0" w:beforeAutospacing="0" w:after="0" w:afterAutospacing="0"/>
              <w:jc w:val="right"/>
              <w:rPr>
                <w:color w:val="000000"/>
                <w:sz w:val="14"/>
                <w:szCs w:val="14"/>
              </w:rPr>
            </w:pPr>
            <w:r>
              <w:rPr>
                <w:color w:val="000000"/>
                <w:sz w:val="14"/>
                <w:szCs w:val="14"/>
              </w:rPr>
              <w:t>(3,160</w:t>
            </w:r>
          </w:p>
        </w:tc>
        <w:tc>
          <w:tcPr>
            <w:tcW w:w="50" w:type="pct"/>
            <w:shd w:val="clear" w:color="auto" w:fill="CFF0FC"/>
            <w:noWrap/>
            <w:tcMar>
              <w:top w:w="15" w:type="dxa"/>
              <w:left w:w="0" w:type="dxa"/>
              <w:bottom w:w="0" w:type="dxa"/>
              <w:right w:w="15" w:type="dxa"/>
            </w:tcMar>
            <w:vAlign w:val="bottom"/>
            <w:hideMark/>
          </w:tcPr>
          <w:p w14:paraId="6D069E06"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2CB2DED6" w14:textId="77777777">
        <w:trPr>
          <w:divId w:val="623660763"/>
        </w:trPr>
        <w:tc>
          <w:tcPr>
            <w:tcW w:w="2629" w:type="pct"/>
            <w:shd w:val="clear" w:color="auto" w:fill="FFFFFF"/>
            <w:tcMar>
              <w:top w:w="15" w:type="dxa"/>
              <w:left w:w="0" w:type="dxa"/>
              <w:bottom w:w="0" w:type="dxa"/>
              <w:right w:w="15" w:type="dxa"/>
            </w:tcMar>
            <w:hideMark/>
          </w:tcPr>
          <w:p w14:paraId="5D1BA93F" w14:textId="77777777" w:rsidR="00000000" w:rsidRDefault="00582324">
            <w:pPr>
              <w:pStyle w:val="a3"/>
              <w:spacing w:before="0" w:beforeAutospacing="0" w:after="0" w:afterAutospacing="0"/>
              <w:ind w:left="547"/>
              <w:rPr>
                <w:color w:val="000000"/>
                <w:sz w:val="14"/>
                <w:szCs w:val="14"/>
              </w:rPr>
            </w:pPr>
            <w:r>
              <w:rPr>
                <w:color w:val="000000"/>
                <w:sz w:val="14"/>
                <w:szCs w:val="14"/>
              </w:rPr>
              <w:t>Proprietary software development and other software costs</w:t>
            </w:r>
          </w:p>
        </w:tc>
        <w:tc>
          <w:tcPr>
            <w:tcW w:w="113" w:type="pct"/>
            <w:shd w:val="clear" w:color="auto" w:fill="FFFFFF"/>
            <w:tcMar>
              <w:top w:w="15" w:type="dxa"/>
              <w:left w:w="0" w:type="dxa"/>
              <w:bottom w:w="0" w:type="dxa"/>
              <w:right w:w="15" w:type="dxa"/>
            </w:tcMar>
            <w:vAlign w:val="bottom"/>
            <w:hideMark/>
          </w:tcPr>
          <w:p w14:paraId="0938B1C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F07E0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4C4602F6" w14:textId="77777777" w:rsidR="00000000" w:rsidRDefault="00582324">
            <w:pPr>
              <w:pStyle w:val="a3"/>
              <w:spacing w:before="0" w:beforeAutospacing="0" w:after="0" w:afterAutospacing="0"/>
              <w:jc w:val="right"/>
              <w:rPr>
                <w:color w:val="000000"/>
                <w:sz w:val="14"/>
                <w:szCs w:val="14"/>
              </w:rPr>
            </w:pPr>
            <w:r>
              <w:rPr>
                <w:color w:val="000000"/>
                <w:sz w:val="14"/>
                <w:szCs w:val="14"/>
              </w:rPr>
              <w:t>(208</w:t>
            </w:r>
          </w:p>
        </w:tc>
        <w:tc>
          <w:tcPr>
            <w:tcW w:w="50" w:type="pct"/>
            <w:shd w:val="clear" w:color="auto" w:fill="FFFFFF"/>
            <w:noWrap/>
            <w:tcMar>
              <w:top w:w="15" w:type="dxa"/>
              <w:left w:w="0" w:type="dxa"/>
              <w:bottom w:w="0" w:type="dxa"/>
              <w:right w:w="15" w:type="dxa"/>
            </w:tcMar>
            <w:vAlign w:val="bottom"/>
            <w:hideMark/>
          </w:tcPr>
          <w:p w14:paraId="34EC6FB5"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6D86528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5184AA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FF595A8" w14:textId="77777777" w:rsidR="00000000" w:rsidRDefault="00582324">
            <w:pPr>
              <w:pStyle w:val="a3"/>
              <w:spacing w:before="0" w:beforeAutospacing="0" w:after="0" w:afterAutospacing="0"/>
              <w:jc w:val="right"/>
              <w:rPr>
                <w:color w:val="000000"/>
                <w:sz w:val="14"/>
                <w:szCs w:val="14"/>
              </w:rPr>
            </w:pPr>
            <w:r>
              <w:rPr>
                <w:color w:val="000000"/>
                <w:sz w:val="14"/>
                <w:szCs w:val="14"/>
              </w:rPr>
              <w:t>(155</w:t>
            </w:r>
          </w:p>
        </w:tc>
        <w:tc>
          <w:tcPr>
            <w:tcW w:w="50" w:type="pct"/>
            <w:shd w:val="clear" w:color="auto" w:fill="FFFFFF"/>
            <w:noWrap/>
            <w:tcMar>
              <w:top w:w="15" w:type="dxa"/>
              <w:left w:w="0" w:type="dxa"/>
              <w:bottom w:w="0" w:type="dxa"/>
              <w:right w:w="15" w:type="dxa"/>
            </w:tcMar>
            <w:vAlign w:val="bottom"/>
            <w:hideMark/>
          </w:tcPr>
          <w:p w14:paraId="2B7B1A76"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DE097CA" w14:textId="77777777">
        <w:trPr>
          <w:divId w:val="623660763"/>
        </w:trPr>
        <w:tc>
          <w:tcPr>
            <w:tcW w:w="2629" w:type="pct"/>
            <w:shd w:val="clear" w:color="auto" w:fill="CFF0FC"/>
            <w:tcMar>
              <w:top w:w="15" w:type="dxa"/>
              <w:left w:w="0" w:type="dxa"/>
              <w:bottom w:w="0" w:type="dxa"/>
              <w:right w:w="15" w:type="dxa"/>
            </w:tcMar>
            <w:hideMark/>
          </w:tcPr>
          <w:p w14:paraId="651B7388" w14:textId="77777777" w:rsidR="00000000" w:rsidRDefault="00582324">
            <w:pPr>
              <w:pStyle w:val="a3"/>
              <w:spacing w:before="0" w:beforeAutospacing="0" w:after="0" w:afterAutospacing="0"/>
              <w:ind w:left="547"/>
              <w:rPr>
                <w:color w:val="000000"/>
                <w:sz w:val="14"/>
                <w:szCs w:val="14"/>
              </w:rPr>
            </w:pPr>
            <w:r>
              <w:rPr>
                <w:color w:val="000000"/>
                <w:sz w:val="14"/>
                <w:szCs w:val="14"/>
              </w:rPr>
              <w:t>Purchase price true ups</w:t>
            </w:r>
          </w:p>
        </w:tc>
        <w:tc>
          <w:tcPr>
            <w:tcW w:w="113" w:type="pct"/>
            <w:shd w:val="clear" w:color="auto" w:fill="CFF0FC"/>
            <w:tcMar>
              <w:top w:w="15" w:type="dxa"/>
              <w:left w:w="0" w:type="dxa"/>
              <w:bottom w:w="0" w:type="dxa"/>
              <w:right w:w="15" w:type="dxa"/>
            </w:tcMar>
            <w:vAlign w:val="bottom"/>
            <w:hideMark/>
          </w:tcPr>
          <w:p w14:paraId="692C26A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DD3FDB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28B8DA34" w14:textId="77777777" w:rsidR="00000000" w:rsidRDefault="00582324">
            <w:pPr>
              <w:pStyle w:val="a3"/>
              <w:spacing w:before="0" w:beforeAutospacing="0" w:after="0" w:afterAutospacing="0"/>
              <w:jc w:val="right"/>
              <w:rPr>
                <w:color w:val="000000"/>
                <w:sz w:val="14"/>
                <w:szCs w:val="14"/>
              </w:rPr>
            </w:pPr>
            <w:r>
              <w:rPr>
                <w:color w:val="000000"/>
                <w:sz w:val="14"/>
                <w:szCs w:val="14"/>
              </w:rPr>
              <w:t>(8,377</w:t>
            </w:r>
          </w:p>
        </w:tc>
        <w:tc>
          <w:tcPr>
            <w:tcW w:w="50" w:type="pct"/>
            <w:shd w:val="clear" w:color="auto" w:fill="CFF0FC"/>
            <w:noWrap/>
            <w:tcMar>
              <w:top w:w="15" w:type="dxa"/>
              <w:left w:w="0" w:type="dxa"/>
              <w:bottom w:w="0" w:type="dxa"/>
              <w:right w:w="15" w:type="dxa"/>
            </w:tcMar>
            <w:vAlign w:val="bottom"/>
            <w:hideMark/>
          </w:tcPr>
          <w:p w14:paraId="5697C160"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16E25A7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4B551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B123B77"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5801634"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483A90E" w14:textId="77777777">
        <w:trPr>
          <w:divId w:val="623660763"/>
        </w:trPr>
        <w:tc>
          <w:tcPr>
            <w:tcW w:w="2629" w:type="pct"/>
            <w:shd w:val="clear" w:color="auto" w:fill="FFFFFF"/>
            <w:tcMar>
              <w:top w:w="15" w:type="dxa"/>
              <w:left w:w="0" w:type="dxa"/>
              <w:bottom w:w="0" w:type="dxa"/>
              <w:right w:w="15" w:type="dxa"/>
            </w:tcMar>
            <w:hideMark/>
          </w:tcPr>
          <w:p w14:paraId="0C2C047E" w14:textId="77777777" w:rsidR="00000000" w:rsidRDefault="00582324">
            <w:pPr>
              <w:pStyle w:val="a3"/>
              <w:spacing w:before="0" w:beforeAutospacing="0" w:after="0" w:afterAutospacing="0"/>
              <w:ind w:left="547"/>
              <w:rPr>
                <w:color w:val="000000"/>
                <w:sz w:val="14"/>
                <w:szCs w:val="14"/>
              </w:rPr>
            </w:pPr>
            <w:r>
              <w:rPr>
                <w:color w:val="000000"/>
                <w:sz w:val="14"/>
                <w:szCs w:val="14"/>
              </w:rPr>
              <w:t>Proceeds from net working capital adjustment</w:t>
            </w:r>
          </w:p>
          <w:p w14:paraId="0FB4FCAA" w14:textId="77777777" w:rsidR="00000000" w:rsidRDefault="00582324">
            <w:pPr>
              <w:pStyle w:val="a3"/>
              <w:spacing w:before="0" w:beforeAutospacing="0" w:after="0" w:afterAutospacing="0"/>
              <w:ind w:left="547"/>
              <w:rPr>
                <w:color w:val="000000"/>
                <w:sz w:val="14"/>
                <w:szCs w:val="14"/>
              </w:rPr>
            </w:pPr>
            <w:r>
              <w:rPr>
                <w:color w:val="000000"/>
                <w:sz w:val="14"/>
                <w:szCs w:val="14"/>
              </w:rPr>
              <w:t>   related to acquisitions</w:t>
            </w:r>
          </w:p>
        </w:tc>
        <w:tc>
          <w:tcPr>
            <w:tcW w:w="113" w:type="pct"/>
            <w:shd w:val="clear" w:color="auto" w:fill="FFFFFF"/>
            <w:tcMar>
              <w:top w:w="15" w:type="dxa"/>
              <w:left w:w="0" w:type="dxa"/>
              <w:bottom w:w="0" w:type="dxa"/>
              <w:right w:w="15" w:type="dxa"/>
            </w:tcMar>
            <w:vAlign w:val="bottom"/>
            <w:hideMark/>
          </w:tcPr>
          <w:p w14:paraId="2D4DC3A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B57927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99BC7CA"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384C45F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61249CF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4A6D58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F5B3494" w14:textId="77777777" w:rsidR="00000000" w:rsidRDefault="00582324">
            <w:pPr>
              <w:pStyle w:val="a3"/>
              <w:spacing w:before="0" w:beforeAutospacing="0" w:after="0" w:afterAutospacing="0"/>
              <w:jc w:val="right"/>
              <w:rPr>
                <w:color w:val="000000"/>
                <w:sz w:val="14"/>
                <w:szCs w:val="14"/>
              </w:rPr>
            </w:pPr>
            <w:r>
              <w:rPr>
                <w:color w:val="000000"/>
                <w:sz w:val="14"/>
                <w:szCs w:val="14"/>
              </w:rPr>
              <w:t>2,819</w:t>
            </w:r>
          </w:p>
        </w:tc>
        <w:tc>
          <w:tcPr>
            <w:tcW w:w="50" w:type="pct"/>
            <w:shd w:val="clear" w:color="auto" w:fill="FFFFFF"/>
            <w:noWrap/>
            <w:tcMar>
              <w:top w:w="15" w:type="dxa"/>
              <w:left w:w="0" w:type="dxa"/>
              <w:bottom w:w="0" w:type="dxa"/>
              <w:right w:w="15" w:type="dxa"/>
            </w:tcMar>
            <w:vAlign w:val="bottom"/>
            <w:hideMark/>
          </w:tcPr>
          <w:p w14:paraId="08FCC7A5"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726F935" w14:textId="77777777">
        <w:trPr>
          <w:divId w:val="623660763"/>
        </w:trPr>
        <w:tc>
          <w:tcPr>
            <w:tcW w:w="2629" w:type="pct"/>
            <w:shd w:val="clear" w:color="auto" w:fill="CFF0FC"/>
            <w:tcMar>
              <w:top w:w="15" w:type="dxa"/>
              <w:left w:w="0" w:type="dxa"/>
              <w:bottom w:w="0" w:type="dxa"/>
              <w:right w:w="15" w:type="dxa"/>
            </w:tcMar>
            <w:hideMark/>
          </w:tcPr>
          <w:p w14:paraId="29F96D0E" w14:textId="77777777" w:rsidR="00000000" w:rsidRDefault="00582324">
            <w:pPr>
              <w:pStyle w:val="a3"/>
              <w:spacing w:before="0" w:beforeAutospacing="0" w:after="0" w:afterAutospacing="0"/>
              <w:ind w:left="547"/>
              <w:rPr>
                <w:color w:val="000000"/>
                <w:sz w:val="14"/>
                <w:szCs w:val="14"/>
              </w:rPr>
            </w:pPr>
            <w:r>
              <w:rPr>
                <w:color w:val="000000"/>
                <w:sz w:val="14"/>
                <w:szCs w:val="14"/>
              </w:rPr>
              <w:t>Cash paid for acquisitions—net of cash acquired</w:t>
            </w:r>
          </w:p>
        </w:tc>
        <w:tc>
          <w:tcPr>
            <w:tcW w:w="113" w:type="pct"/>
            <w:shd w:val="clear" w:color="auto" w:fill="CFF0FC"/>
            <w:tcMar>
              <w:top w:w="15" w:type="dxa"/>
              <w:left w:w="0" w:type="dxa"/>
              <w:bottom w:w="0" w:type="dxa"/>
              <w:right w:w="15" w:type="dxa"/>
            </w:tcMar>
            <w:vAlign w:val="bottom"/>
            <w:hideMark/>
          </w:tcPr>
          <w:p w14:paraId="60D98C4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E8342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CFF0FC"/>
            <w:noWrap/>
            <w:tcMar>
              <w:top w:w="15" w:type="dxa"/>
              <w:left w:w="0" w:type="dxa"/>
              <w:bottom w:w="0" w:type="dxa"/>
              <w:right w:w="15" w:type="dxa"/>
            </w:tcMar>
            <w:vAlign w:val="bottom"/>
            <w:hideMark/>
          </w:tcPr>
          <w:p w14:paraId="2B247469" w14:textId="77777777" w:rsidR="00000000" w:rsidRDefault="00582324">
            <w:pPr>
              <w:pStyle w:val="a3"/>
              <w:spacing w:before="0" w:beforeAutospacing="0" w:after="0" w:afterAutospacing="0"/>
              <w:jc w:val="right"/>
              <w:rPr>
                <w:color w:val="000000"/>
                <w:sz w:val="14"/>
                <w:szCs w:val="14"/>
              </w:rPr>
            </w:pPr>
            <w:r>
              <w:rPr>
                <w:color w:val="000000"/>
                <w:sz w:val="14"/>
                <w:szCs w:val="14"/>
              </w:rPr>
              <w:t>(14,876</w:t>
            </w:r>
          </w:p>
        </w:tc>
        <w:tc>
          <w:tcPr>
            <w:tcW w:w="50" w:type="pct"/>
            <w:shd w:val="clear" w:color="auto" w:fill="CFF0FC"/>
            <w:noWrap/>
            <w:tcMar>
              <w:top w:w="15" w:type="dxa"/>
              <w:left w:w="0" w:type="dxa"/>
              <w:bottom w:w="0" w:type="dxa"/>
              <w:right w:w="15" w:type="dxa"/>
            </w:tcMar>
            <w:vAlign w:val="bottom"/>
            <w:hideMark/>
          </w:tcPr>
          <w:p w14:paraId="3092B03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06801B0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B99D9F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CFF0FC"/>
            <w:noWrap/>
            <w:tcMar>
              <w:top w:w="15" w:type="dxa"/>
              <w:left w:w="0" w:type="dxa"/>
              <w:bottom w:w="0" w:type="dxa"/>
              <w:right w:w="15" w:type="dxa"/>
            </w:tcMar>
            <w:vAlign w:val="bottom"/>
            <w:hideMark/>
          </w:tcPr>
          <w:p w14:paraId="584B0329" w14:textId="77777777" w:rsidR="00000000" w:rsidRDefault="00582324">
            <w:pPr>
              <w:pStyle w:val="a3"/>
              <w:spacing w:before="0" w:beforeAutospacing="0" w:after="0" w:afterAutospacing="0"/>
              <w:jc w:val="right"/>
              <w:rPr>
                <w:color w:val="000000"/>
                <w:sz w:val="14"/>
                <w:szCs w:val="14"/>
              </w:rPr>
            </w:pPr>
            <w:r>
              <w:rPr>
                <w:color w:val="000000"/>
                <w:sz w:val="14"/>
                <w:szCs w:val="14"/>
              </w:rPr>
              <w:t>(173,473</w:t>
            </w:r>
          </w:p>
        </w:tc>
        <w:tc>
          <w:tcPr>
            <w:tcW w:w="50" w:type="pct"/>
            <w:shd w:val="clear" w:color="auto" w:fill="CFF0FC"/>
            <w:noWrap/>
            <w:tcMar>
              <w:top w:w="15" w:type="dxa"/>
              <w:left w:w="0" w:type="dxa"/>
              <w:bottom w:w="0" w:type="dxa"/>
              <w:right w:w="15" w:type="dxa"/>
            </w:tcMar>
            <w:vAlign w:val="bottom"/>
            <w:hideMark/>
          </w:tcPr>
          <w:p w14:paraId="50C52B9D"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734AC388" w14:textId="77777777">
        <w:trPr>
          <w:divId w:val="623660763"/>
        </w:trPr>
        <w:tc>
          <w:tcPr>
            <w:tcW w:w="2629" w:type="pct"/>
            <w:shd w:val="clear" w:color="auto" w:fill="FFFFFF"/>
            <w:tcMar>
              <w:top w:w="15" w:type="dxa"/>
              <w:left w:w="0" w:type="dxa"/>
              <w:bottom w:w="0" w:type="dxa"/>
              <w:right w:w="15" w:type="dxa"/>
            </w:tcMar>
            <w:hideMark/>
          </w:tcPr>
          <w:p w14:paraId="6D33318E" w14:textId="77777777" w:rsidR="00000000" w:rsidRDefault="00582324">
            <w:pPr>
              <w:pStyle w:val="a3"/>
              <w:spacing w:before="0" w:beforeAutospacing="0" w:after="0" w:afterAutospacing="0"/>
              <w:ind w:left="1094"/>
              <w:rPr>
                <w:color w:val="000000"/>
                <w:sz w:val="14"/>
                <w:szCs w:val="14"/>
              </w:rPr>
            </w:pPr>
            <w:r>
              <w:rPr>
                <w:color w:val="000000"/>
                <w:sz w:val="14"/>
                <w:szCs w:val="14"/>
              </w:rPr>
              <w:t>Net cash used in investing activities</w:t>
            </w:r>
          </w:p>
        </w:tc>
        <w:tc>
          <w:tcPr>
            <w:tcW w:w="113" w:type="pct"/>
            <w:shd w:val="clear" w:color="auto" w:fill="FFFFFF"/>
            <w:tcMar>
              <w:top w:w="15" w:type="dxa"/>
              <w:left w:w="0" w:type="dxa"/>
              <w:bottom w:w="0" w:type="dxa"/>
              <w:right w:w="15" w:type="dxa"/>
            </w:tcMar>
            <w:vAlign w:val="bottom"/>
            <w:hideMark/>
          </w:tcPr>
          <w:p w14:paraId="6001037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EF58E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3374BB" w14:textId="77777777" w:rsidR="00000000" w:rsidRDefault="00582324">
            <w:pPr>
              <w:pStyle w:val="a3"/>
              <w:spacing w:before="0" w:beforeAutospacing="0" w:after="0" w:afterAutospacing="0"/>
              <w:jc w:val="right"/>
              <w:rPr>
                <w:color w:val="000000"/>
                <w:sz w:val="14"/>
                <w:szCs w:val="14"/>
              </w:rPr>
            </w:pPr>
            <w:r>
              <w:rPr>
                <w:color w:val="000000"/>
                <w:sz w:val="14"/>
                <w:szCs w:val="14"/>
              </w:rPr>
              <w:t>(25,815</w:t>
            </w:r>
          </w:p>
        </w:tc>
        <w:tc>
          <w:tcPr>
            <w:tcW w:w="50" w:type="pct"/>
            <w:shd w:val="clear" w:color="auto" w:fill="FFFFFF"/>
            <w:noWrap/>
            <w:tcMar>
              <w:top w:w="15" w:type="dxa"/>
              <w:left w:w="0" w:type="dxa"/>
              <w:bottom w:w="0" w:type="dxa"/>
              <w:right w:w="15" w:type="dxa"/>
            </w:tcMar>
            <w:vAlign w:val="bottom"/>
            <w:hideMark/>
          </w:tcPr>
          <w:p w14:paraId="2F1214B5"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63B1377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0A90C7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513630" w14:textId="77777777" w:rsidR="00000000" w:rsidRDefault="00582324">
            <w:pPr>
              <w:pStyle w:val="a3"/>
              <w:spacing w:before="0" w:beforeAutospacing="0" w:after="0" w:afterAutospacing="0"/>
              <w:jc w:val="right"/>
              <w:rPr>
                <w:color w:val="000000"/>
                <w:sz w:val="14"/>
                <w:szCs w:val="14"/>
              </w:rPr>
            </w:pPr>
            <w:r>
              <w:rPr>
                <w:color w:val="000000"/>
                <w:sz w:val="14"/>
                <w:szCs w:val="14"/>
              </w:rPr>
              <w:t>(173,969</w:t>
            </w:r>
          </w:p>
        </w:tc>
        <w:tc>
          <w:tcPr>
            <w:tcW w:w="50" w:type="pct"/>
            <w:shd w:val="clear" w:color="auto" w:fill="FFFFFF"/>
            <w:noWrap/>
            <w:tcMar>
              <w:top w:w="15" w:type="dxa"/>
              <w:left w:w="0" w:type="dxa"/>
              <w:bottom w:w="0" w:type="dxa"/>
              <w:right w:w="15" w:type="dxa"/>
            </w:tcMar>
            <w:vAlign w:val="bottom"/>
            <w:hideMark/>
          </w:tcPr>
          <w:p w14:paraId="16987EF2"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15E3675C" w14:textId="77777777">
        <w:trPr>
          <w:divId w:val="623660763"/>
        </w:trPr>
        <w:tc>
          <w:tcPr>
            <w:tcW w:w="2629" w:type="pct"/>
            <w:shd w:val="clear" w:color="auto" w:fill="CFF0FC"/>
            <w:tcMar>
              <w:top w:w="15" w:type="dxa"/>
              <w:left w:w="0" w:type="dxa"/>
              <w:bottom w:w="0" w:type="dxa"/>
              <w:right w:w="15" w:type="dxa"/>
            </w:tcMar>
            <w:hideMark/>
          </w:tcPr>
          <w:p w14:paraId="163C2C66" w14:textId="77777777" w:rsidR="00000000" w:rsidRDefault="00582324">
            <w:pPr>
              <w:pStyle w:val="a3"/>
              <w:spacing w:before="0" w:beforeAutospacing="0" w:after="0" w:afterAutospacing="0"/>
              <w:rPr>
                <w:color w:val="000000"/>
                <w:sz w:val="14"/>
                <w:szCs w:val="14"/>
              </w:rPr>
            </w:pPr>
            <w:r>
              <w:rPr>
                <w:color w:val="000000"/>
                <w:sz w:val="14"/>
                <w:szCs w:val="14"/>
              </w:rPr>
              <w:t>FINANCING ACTIVITIES:</w:t>
            </w:r>
          </w:p>
        </w:tc>
        <w:tc>
          <w:tcPr>
            <w:tcW w:w="113" w:type="pct"/>
            <w:shd w:val="clear" w:color="auto" w:fill="CFF0FC"/>
            <w:tcMar>
              <w:top w:w="15" w:type="dxa"/>
              <w:left w:w="0" w:type="dxa"/>
              <w:bottom w:w="0" w:type="dxa"/>
              <w:right w:w="15" w:type="dxa"/>
            </w:tcMar>
            <w:vAlign w:val="bottom"/>
            <w:hideMark/>
          </w:tcPr>
          <w:p w14:paraId="1D7FFF6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76BF2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30912599"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B5C28E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299A53A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88F64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415DDBBD"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8C3AD7D"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81E4685" w14:textId="77777777">
        <w:trPr>
          <w:divId w:val="623660763"/>
        </w:trPr>
        <w:tc>
          <w:tcPr>
            <w:tcW w:w="2629" w:type="pct"/>
            <w:shd w:val="clear" w:color="auto" w:fill="FFFFFF"/>
            <w:tcMar>
              <w:top w:w="15" w:type="dxa"/>
              <w:left w:w="0" w:type="dxa"/>
              <w:bottom w:w="0" w:type="dxa"/>
              <w:right w:w="15" w:type="dxa"/>
            </w:tcMar>
            <w:hideMark/>
          </w:tcPr>
          <w:p w14:paraId="5000EAD2" w14:textId="77777777" w:rsidR="00000000" w:rsidRDefault="00582324">
            <w:pPr>
              <w:pStyle w:val="a3"/>
              <w:spacing w:before="0" w:beforeAutospacing="0" w:after="0" w:afterAutospacing="0"/>
              <w:ind w:left="547"/>
              <w:rPr>
                <w:color w:val="000000"/>
                <w:sz w:val="14"/>
                <w:szCs w:val="14"/>
              </w:rPr>
            </w:pPr>
            <w:r>
              <w:rPr>
                <w:color w:val="000000"/>
                <w:sz w:val="14"/>
                <w:szCs w:val="14"/>
              </w:rPr>
              <w:t>Proceeds from line of credit</w:t>
            </w:r>
          </w:p>
        </w:tc>
        <w:tc>
          <w:tcPr>
            <w:tcW w:w="113" w:type="pct"/>
            <w:shd w:val="clear" w:color="auto" w:fill="FFFFFF"/>
            <w:tcMar>
              <w:top w:w="15" w:type="dxa"/>
              <w:left w:w="0" w:type="dxa"/>
              <w:bottom w:w="0" w:type="dxa"/>
              <w:right w:w="15" w:type="dxa"/>
            </w:tcMar>
            <w:vAlign w:val="bottom"/>
            <w:hideMark/>
          </w:tcPr>
          <w:p w14:paraId="4E3D4F2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113903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68FAB01" w14:textId="77777777" w:rsidR="00000000" w:rsidRDefault="00582324">
            <w:pPr>
              <w:pStyle w:val="a3"/>
              <w:spacing w:before="0" w:beforeAutospacing="0" w:after="0" w:afterAutospacing="0"/>
              <w:jc w:val="right"/>
              <w:rPr>
                <w:color w:val="000000"/>
                <w:sz w:val="14"/>
                <w:szCs w:val="14"/>
              </w:rPr>
            </w:pPr>
            <w:r>
              <w:rPr>
                <w:color w:val="000000"/>
                <w:sz w:val="14"/>
                <w:szCs w:val="14"/>
              </w:rPr>
              <w:t>105,000</w:t>
            </w:r>
          </w:p>
        </w:tc>
        <w:tc>
          <w:tcPr>
            <w:tcW w:w="50" w:type="pct"/>
            <w:shd w:val="clear" w:color="auto" w:fill="FFFFFF"/>
            <w:noWrap/>
            <w:tcMar>
              <w:top w:w="15" w:type="dxa"/>
              <w:left w:w="0" w:type="dxa"/>
              <w:bottom w:w="0" w:type="dxa"/>
              <w:right w:w="15" w:type="dxa"/>
            </w:tcMar>
            <w:vAlign w:val="bottom"/>
            <w:hideMark/>
          </w:tcPr>
          <w:p w14:paraId="509FFA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2467BE4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AFBD3B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9F68546" w14:textId="77777777" w:rsidR="00000000" w:rsidRDefault="00582324">
            <w:pPr>
              <w:pStyle w:val="a3"/>
              <w:spacing w:before="0" w:beforeAutospacing="0" w:after="0" w:afterAutospacing="0"/>
              <w:jc w:val="right"/>
              <w:rPr>
                <w:color w:val="000000"/>
                <w:sz w:val="14"/>
                <w:szCs w:val="14"/>
              </w:rPr>
            </w:pPr>
            <w:r>
              <w:rPr>
                <w:color w:val="000000"/>
                <w:sz w:val="14"/>
                <w:szCs w:val="14"/>
              </w:rPr>
              <w:t>104,390</w:t>
            </w:r>
          </w:p>
        </w:tc>
        <w:tc>
          <w:tcPr>
            <w:tcW w:w="50" w:type="pct"/>
            <w:shd w:val="clear" w:color="auto" w:fill="FFFFFF"/>
            <w:noWrap/>
            <w:tcMar>
              <w:top w:w="15" w:type="dxa"/>
              <w:left w:w="0" w:type="dxa"/>
              <w:bottom w:w="0" w:type="dxa"/>
              <w:right w:w="15" w:type="dxa"/>
            </w:tcMar>
            <w:vAlign w:val="bottom"/>
            <w:hideMark/>
          </w:tcPr>
          <w:p w14:paraId="3163AE30"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E8B677E" w14:textId="77777777">
        <w:trPr>
          <w:divId w:val="623660763"/>
        </w:trPr>
        <w:tc>
          <w:tcPr>
            <w:tcW w:w="2629" w:type="pct"/>
            <w:shd w:val="clear" w:color="auto" w:fill="CFF0FC"/>
            <w:tcMar>
              <w:top w:w="15" w:type="dxa"/>
              <w:left w:w="0" w:type="dxa"/>
              <w:bottom w:w="0" w:type="dxa"/>
              <w:right w:w="15" w:type="dxa"/>
            </w:tcMar>
            <w:hideMark/>
          </w:tcPr>
          <w:p w14:paraId="1C84496A" w14:textId="77777777" w:rsidR="00000000" w:rsidRDefault="00582324">
            <w:pPr>
              <w:pStyle w:val="a3"/>
              <w:spacing w:before="0" w:beforeAutospacing="0" w:after="0" w:afterAutospacing="0"/>
              <w:ind w:left="547"/>
              <w:rPr>
                <w:color w:val="000000"/>
                <w:sz w:val="14"/>
                <w:szCs w:val="14"/>
              </w:rPr>
            </w:pPr>
            <w:r>
              <w:rPr>
                <w:color w:val="000000"/>
                <w:sz w:val="14"/>
                <w:szCs w:val="14"/>
              </w:rPr>
              <w:t>Payments on line of credit</w:t>
            </w:r>
          </w:p>
        </w:tc>
        <w:tc>
          <w:tcPr>
            <w:tcW w:w="113" w:type="pct"/>
            <w:shd w:val="clear" w:color="auto" w:fill="CFF0FC"/>
            <w:tcMar>
              <w:top w:w="15" w:type="dxa"/>
              <w:left w:w="0" w:type="dxa"/>
              <w:bottom w:w="0" w:type="dxa"/>
              <w:right w:w="15" w:type="dxa"/>
            </w:tcMar>
            <w:vAlign w:val="bottom"/>
            <w:hideMark/>
          </w:tcPr>
          <w:p w14:paraId="1A012CF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A26E82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01A60E7F" w14:textId="77777777" w:rsidR="00000000" w:rsidRDefault="00582324">
            <w:pPr>
              <w:pStyle w:val="a3"/>
              <w:spacing w:before="0" w:beforeAutospacing="0" w:after="0" w:afterAutospacing="0"/>
              <w:jc w:val="right"/>
              <w:rPr>
                <w:color w:val="000000"/>
                <w:sz w:val="14"/>
                <w:szCs w:val="14"/>
              </w:rPr>
            </w:pPr>
            <w:r>
              <w:rPr>
                <w:color w:val="000000"/>
                <w:sz w:val="14"/>
                <w:szCs w:val="14"/>
              </w:rPr>
              <w:t>(40,000</w:t>
            </w:r>
          </w:p>
        </w:tc>
        <w:tc>
          <w:tcPr>
            <w:tcW w:w="50" w:type="pct"/>
            <w:shd w:val="clear" w:color="auto" w:fill="CFF0FC"/>
            <w:noWrap/>
            <w:tcMar>
              <w:top w:w="15" w:type="dxa"/>
              <w:left w:w="0" w:type="dxa"/>
              <w:bottom w:w="0" w:type="dxa"/>
              <w:right w:w="15" w:type="dxa"/>
            </w:tcMar>
            <w:vAlign w:val="bottom"/>
            <w:hideMark/>
          </w:tcPr>
          <w:p w14:paraId="5A86D32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0160A2F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359C54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5F35C23" w14:textId="77777777" w:rsidR="00000000" w:rsidRDefault="00582324">
            <w:pPr>
              <w:pStyle w:val="a3"/>
              <w:spacing w:before="0" w:beforeAutospacing="0" w:after="0" w:afterAutospacing="0"/>
              <w:jc w:val="right"/>
              <w:rPr>
                <w:color w:val="000000"/>
                <w:sz w:val="14"/>
                <w:szCs w:val="14"/>
              </w:rPr>
            </w:pPr>
            <w:r>
              <w:rPr>
                <w:color w:val="000000"/>
                <w:sz w:val="14"/>
                <w:szCs w:val="14"/>
              </w:rPr>
              <w:t>(176,980</w:t>
            </w:r>
          </w:p>
        </w:tc>
        <w:tc>
          <w:tcPr>
            <w:tcW w:w="50" w:type="pct"/>
            <w:shd w:val="clear" w:color="auto" w:fill="CFF0FC"/>
            <w:noWrap/>
            <w:tcMar>
              <w:top w:w="15" w:type="dxa"/>
              <w:left w:w="0" w:type="dxa"/>
              <w:bottom w:w="0" w:type="dxa"/>
              <w:right w:w="15" w:type="dxa"/>
            </w:tcMar>
            <w:vAlign w:val="bottom"/>
            <w:hideMark/>
          </w:tcPr>
          <w:p w14:paraId="74229A6E"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06A551EF" w14:textId="77777777">
        <w:trPr>
          <w:divId w:val="623660763"/>
        </w:trPr>
        <w:tc>
          <w:tcPr>
            <w:tcW w:w="2629" w:type="pct"/>
            <w:shd w:val="clear" w:color="auto" w:fill="FFFFFF"/>
            <w:tcMar>
              <w:top w:w="15" w:type="dxa"/>
              <w:left w:w="0" w:type="dxa"/>
              <w:bottom w:w="0" w:type="dxa"/>
              <w:right w:w="15" w:type="dxa"/>
            </w:tcMar>
            <w:hideMark/>
          </w:tcPr>
          <w:p w14:paraId="750E3E96" w14:textId="77777777" w:rsidR="00000000" w:rsidRDefault="00582324">
            <w:pPr>
              <w:pStyle w:val="a3"/>
              <w:spacing w:before="0" w:beforeAutospacing="0" w:after="0" w:afterAutospacing="0"/>
              <w:ind w:left="547"/>
              <w:rPr>
                <w:color w:val="000000"/>
                <w:sz w:val="14"/>
                <w:szCs w:val="14"/>
              </w:rPr>
            </w:pPr>
            <w:r>
              <w:rPr>
                <w:color w:val="000000"/>
                <w:sz w:val="14"/>
                <w:szCs w:val="14"/>
              </w:rPr>
              <w:t>Proceeds from term loans</w:t>
            </w:r>
          </w:p>
        </w:tc>
        <w:tc>
          <w:tcPr>
            <w:tcW w:w="113" w:type="pct"/>
            <w:shd w:val="clear" w:color="auto" w:fill="FFFFFF"/>
            <w:tcMar>
              <w:top w:w="15" w:type="dxa"/>
              <w:left w:w="0" w:type="dxa"/>
              <w:bottom w:w="0" w:type="dxa"/>
              <w:right w:w="15" w:type="dxa"/>
            </w:tcMar>
            <w:vAlign w:val="bottom"/>
            <w:hideMark/>
          </w:tcPr>
          <w:p w14:paraId="3E83FD6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89D041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AB32F50" w14:textId="77777777" w:rsidR="00000000" w:rsidRDefault="00582324">
            <w:pPr>
              <w:pStyle w:val="a3"/>
              <w:spacing w:before="0" w:beforeAutospacing="0" w:after="0" w:afterAutospacing="0"/>
              <w:jc w:val="right"/>
              <w:rPr>
                <w:color w:val="000000"/>
                <w:sz w:val="14"/>
                <w:szCs w:val="14"/>
              </w:rPr>
            </w:pPr>
            <w:r>
              <w:rPr>
                <w:color w:val="000000"/>
                <w:sz w:val="14"/>
                <w:szCs w:val="14"/>
              </w:rPr>
              <w:t>175,000</w:t>
            </w:r>
          </w:p>
        </w:tc>
        <w:tc>
          <w:tcPr>
            <w:tcW w:w="50" w:type="pct"/>
            <w:shd w:val="clear" w:color="auto" w:fill="FFFFFF"/>
            <w:noWrap/>
            <w:tcMar>
              <w:top w:w="15" w:type="dxa"/>
              <w:left w:w="0" w:type="dxa"/>
              <w:bottom w:w="0" w:type="dxa"/>
              <w:right w:w="15" w:type="dxa"/>
            </w:tcMar>
            <w:vAlign w:val="bottom"/>
            <w:hideMark/>
          </w:tcPr>
          <w:p w14:paraId="772AF00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547C9F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E1CA94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5C96F5BD" w14:textId="77777777" w:rsidR="00000000" w:rsidRDefault="00582324">
            <w:pPr>
              <w:pStyle w:val="a3"/>
              <w:spacing w:before="0" w:beforeAutospacing="0" w:after="0" w:afterAutospacing="0"/>
              <w:jc w:val="right"/>
              <w:rPr>
                <w:color w:val="000000"/>
                <w:sz w:val="14"/>
                <w:szCs w:val="14"/>
              </w:rPr>
            </w:pPr>
            <w:r>
              <w:rPr>
                <w:color w:val="000000"/>
                <w:sz w:val="14"/>
                <w:szCs w:val="14"/>
              </w:rPr>
              <w:t>175,000</w:t>
            </w:r>
          </w:p>
        </w:tc>
        <w:tc>
          <w:tcPr>
            <w:tcW w:w="50" w:type="pct"/>
            <w:shd w:val="clear" w:color="auto" w:fill="FFFFFF"/>
            <w:noWrap/>
            <w:tcMar>
              <w:top w:w="15" w:type="dxa"/>
              <w:left w:w="0" w:type="dxa"/>
              <w:bottom w:w="0" w:type="dxa"/>
              <w:right w:w="15" w:type="dxa"/>
            </w:tcMar>
            <w:vAlign w:val="bottom"/>
            <w:hideMark/>
          </w:tcPr>
          <w:p w14:paraId="265E31B2"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7F26F8B7" w14:textId="77777777">
        <w:trPr>
          <w:divId w:val="623660763"/>
        </w:trPr>
        <w:tc>
          <w:tcPr>
            <w:tcW w:w="2629" w:type="pct"/>
            <w:shd w:val="clear" w:color="auto" w:fill="CFF0FC"/>
            <w:tcMar>
              <w:top w:w="15" w:type="dxa"/>
              <w:left w:w="0" w:type="dxa"/>
              <w:bottom w:w="0" w:type="dxa"/>
              <w:right w:w="15" w:type="dxa"/>
            </w:tcMar>
            <w:hideMark/>
          </w:tcPr>
          <w:p w14:paraId="0F44F041" w14:textId="77777777" w:rsidR="00000000" w:rsidRDefault="00582324">
            <w:pPr>
              <w:pStyle w:val="a3"/>
              <w:spacing w:before="0" w:beforeAutospacing="0" w:after="0" w:afterAutospacing="0"/>
              <w:ind w:left="547"/>
              <w:rPr>
                <w:color w:val="000000"/>
                <w:sz w:val="14"/>
                <w:szCs w:val="14"/>
              </w:rPr>
            </w:pPr>
            <w:r>
              <w:rPr>
                <w:color w:val="000000"/>
                <w:sz w:val="14"/>
                <w:szCs w:val="14"/>
              </w:rPr>
              <w:t>Repayment of term loan</w:t>
            </w:r>
          </w:p>
        </w:tc>
        <w:tc>
          <w:tcPr>
            <w:tcW w:w="113" w:type="pct"/>
            <w:shd w:val="clear" w:color="auto" w:fill="CFF0FC"/>
            <w:tcMar>
              <w:top w:w="15" w:type="dxa"/>
              <w:left w:w="0" w:type="dxa"/>
              <w:bottom w:w="0" w:type="dxa"/>
              <w:right w:w="15" w:type="dxa"/>
            </w:tcMar>
            <w:vAlign w:val="bottom"/>
            <w:hideMark/>
          </w:tcPr>
          <w:p w14:paraId="62C1AA7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AB510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4F54B744" w14:textId="77777777" w:rsidR="00000000" w:rsidRDefault="00582324">
            <w:pPr>
              <w:pStyle w:val="a3"/>
              <w:spacing w:before="0" w:beforeAutospacing="0" w:after="0" w:afterAutospacing="0"/>
              <w:jc w:val="right"/>
              <w:rPr>
                <w:color w:val="000000"/>
                <w:sz w:val="14"/>
                <w:szCs w:val="14"/>
              </w:rPr>
            </w:pPr>
            <w:r>
              <w:rPr>
                <w:color w:val="000000"/>
                <w:sz w:val="14"/>
                <w:szCs w:val="14"/>
              </w:rPr>
              <w:t>(173,905</w:t>
            </w:r>
          </w:p>
        </w:tc>
        <w:tc>
          <w:tcPr>
            <w:tcW w:w="50" w:type="pct"/>
            <w:shd w:val="clear" w:color="auto" w:fill="CFF0FC"/>
            <w:noWrap/>
            <w:tcMar>
              <w:top w:w="15" w:type="dxa"/>
              <w:left w:w="0" w:type="dxa"/>
              <w:bottom w:w="0" w:type="dxa"/>
              <w:right w:w="15" w:type="dxa"/>
            </w:tcMar>
            <w:vAlign w:val="bottom"/>
            <w:hideMark/>
          </w:tcPr>
          <w:p w14:paraId="00078266"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3B223C9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B7BA69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41B35470" w14:textId="77777777" w:rsidR="00000000" w:rsidRDefault="00582324">
            <w:pPr>
              <w:pStyle w:val="a3"/>
              <w:spacing w:before="0" w:beforeAutospacing="0" w:after="0" w:afterAutospacing="0"/>
              <w:jc w:val="right"/>
              <w:rPr>
                <w:color w:val="000000"/>
                <w:sz w:val="14"/>
                <w:szCs w:val="14"/>
              </w:rPr>
            </w:pPr>
            <w:r>
              <w:rPr>
                <w:color w:val="000000"/>
                <w:sz w:val="14"/>
                <w:szCs w:val="14"/>
              </w:rPr>
              <w:t>(</w:t>
            </w:r>
            <w:r>
              <w:rPr>
                <w:color w:val="000000"/>
                <w:sz w:val="14"/>
                <w:szCs w:val="14"/>
              </w:rPr>
              <w:t>48,750</w:t>
            </w:r>
          </w:p>
        </w:tc>
        <w:tc>
          <w:tcPr>
            <w:tcW w:w="50" w:type="pct"/>
            <w:shd w:val="clear" w:color="auto" w:fill="CFF0FC"/>
            <w:noWrap/>
            <w:tcMar>
              <w:top w:w="15" w:type="dxa"/>
              <w:left w:w="0" w:type="dxa"/>
              <w:bottom w:w="0" w:type="dxa"/>
              <w:right w:w="15" w:type="dxa"/>
            </w:tcMar>
            <w:vAlign w:val="bottom"/>
            <w:hideMark/>
          </w:tcPr>
          <w:p w14:paraId="17BB1525"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E7B618C" w14:textId="77777777">
        <w:trPr>
          <w:divId w:val="623660763"/>
        </w:trPr>
        <w:tc>
          <w:tcPr>
            <w:tcW w:w="2629" w:type="pct"/>
            <w:shd w:val="clear" w:color="auto" w:fill="FFFFFF"/>
            <w:tcMar>
              <w:top w:w="15" w:type="dxa"/>
              <w:left w:w="0" w:type="dxa"/>
              <w:bottom w:w="0" w:type="dxa"/>
              <w:right w:w="15" w:type="dxa"/>
            </w:tcMar>
            <w:hideMark/>
          </w:tcPr>
          <w:p w14:paraId="1520813D" w14:textId="77777777" w:rsidR="00000000" w:rsidRDefault="00582324">
            <w:pPr>
              <w:pStyle w:val="a3"/>
              <w:spacing w:before="0" w:beforeAutospacing="0" w:after="0" w:afterAutospacing="0"/>
              <w:ind w:left="547"/>
              <w:rPr>
                <w:color w:val="000000"/>
                <w:sz w:val="14"/>
                <w:szCs w:val="14"/>
              </w:rPr>
            </w:pPr>
            <w:r>
              <w:rPr>
                <w:color w:val="000000"/>
                <w:sz w:val="14"/>
                <w:szCs w:val="14"/>
              </w:rPr>
              <w:t>Payment of contingent consideration and other</w:t>
            </w:r>
          </w:p>
          <w:p w14:paraId="1B0AC546" w14:textId="77777777" w:rsidR="00000000" w:rsidRDefault="00582324">
            <w:pPr>
              <w:pStyle w:val="a3"/>
              <w:spacing w:before="0" w:beforeAutospacing="0" w:after="0" w:afterAutospacing="0"/>
              <w:ind w:left="547"/>
              <w:rPr>
                <w:color w:val="000000"/>
                <w:sz w:val="14"/>
                <w:szCs w:val="14"/>
              </w:rPr>
            </w:pPr>
            <w:r>
              <w:rPr>
                <w:color w:val="000000"/>
                <w:sz w:val="14"/>
                <w:szCs w:val="14"/>
              </w:rPr>
              <w:t>   purchase price obligations</w:t>
            </w:r>
          </w:p>
        </w:tc>
        <w:tc>
          <w:tcPr>
            <w:tcW w:w="113" w:type="pct"/>
            <w:shd w:val="clear" w:color="auto" w:fill="FFFFFF"/>
            <w:tcMar>
              <w:top w:w="15" w:type="dxa"/>
              <w:left w:w="0" w:type="dxa"/>
              <w:bottom w:w="0" w:type="dxa"/>
              <w:right w:w="15" w:type="dxa"/>
            </w:tcMar>
            <w:vAlign w:val="bottom"/>
            <w:hideMark/>
          </w:tcPr>
          <w:p w14:paraId="073EC62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E458B9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D08A7CD" w14:textId="77777777" w:rsidR="00000000" w:rsidRDefault="00582324">
            <w:pPr>
              <w:pStyle w:val="a3"/>
              <w:spacing w:before="0" w:beforeAutospacing="0" w:after="0" w:afterAutospacing="0"/>
              <w:jc w:val="right"/>
              <w:rPr>
                <w:color w:val="000000"/>
                <w:sz w:val="14"/>
                <w:szCs w:val="14"/>
              </w:rPr>
            </w:pPr>
            <w:r>
              <w:rPr>
                <w:color w:val="000000"/>
                <w:sz w:val="14"/>
                <w:szCs w:val="14"/>
              </w:rPr>
              <w:t>(9,605</w:t>
            </w:r>
          </w:p>
        </w:tc>
        <w:tc>
          <w:tcPr>
            <w:tcW w:w="50" w:type="pct"/>
            <w:shd w:val="clear" w:color="auto" w:fill="FFFFFF"/>
            <w:noWrap/>
            <w:tcMar>
              <w:top w:w="15" w:type="dxa"/>
              <w:left w:w="0" w:type="dxa"/>
              <w:bottom w:w="0" w:type="dxa"/>
              <w:right w:w="15" w:type="dxa"/>
            </w:tcMar>
            <w:vAlign w:val="bottom"/>
            <w:hideMark/>
          </w:tcPr>
          <w:p w14:paraId="701A20B0"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3564E92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7B50BE7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3A740B4" w14:textId="77777777" w:rsidR="00000000" w:rsidRDefault="00582324">
            <w:pPr>
              <w:pStyle w:val="a3"/>
              <w:spacing w:before="0" w:beforeAutospacing="0" w:after="0" w:afterAutospacing="0"/>
              <w:jc w:val="right"/>
              <w:rPr>
                <w:color w:val="000000"/>
                <w:sz w:val="14"/>
                <w:szCs w:val="14"/>
              </w:rPr>
            </w:pPr>
            <w:r>
              <w:rPr>
                <w:color w:val="000000"/>
                <w:sz w:val="14"/>
                <w:szCs w:val="14"/>
              </w:rPr>
              <w:t>(6,005</w:t>
            </w:r>
          </w:p>
        </w:tc>
        <w:tc>
          <w:tcPr>
            <w:tcW w:w="50" w:type="pct"/>
            <w:shd w:val="clear" w:color="auto" w:fill="FFFFFF"/>
            <w:noWrap/>
            <w:tcMar>
              <w:top w:w="15" w:type="dxa"/>
              <w:left w:w="0" w:type="dxa"/>
              <w:bottom w:w="0" w:type="dxa"/>
              <w:right w:w="15" w:type="dxa"/>
            </w:tcMar>
            <w:vAlign w:val="bottom"/>
            <w:hideMark/>
          </w:tcPr>
          <w:p w14:paraId="226A2E35"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36447D77" w14:textId="77777777">
        <w:trPr>
          <w:divId w:val="623660763"/>
        </w:trPr>
        <w:tc>
          <w:tcPr>
            <w:tcW w:w="2629" w:type="pct"/>
            <w:shd w:val="clear" w:color="auto" w:fill="CFF0FC"/>
            <w:tcMar>
              <w:top w:w="15" w:type="dxa"/>
              <w:left w:w="0" w:type="dxa"/>
              <w:bottom w:w="0" w:type="dxa"/>
              <w:right w:w="15" w:type="dxa"/>
            </w:tcMar>
            <w:hideMark/>
          </w:tcPr>
          <w:p w14:paraId="3E5A1DD6" w14:textId="77777777" w:rsidR="00000000" w:rsidRDefault="00582324">
            <w:pPr>
              <w:pStyle w:val="a3"/>
              <w:spacing w:before="0" w:beforeAutospacing="0" w:after="0" w:afterAutospacing="0"/>
              <w:ind w:left="547"/>
              <w:rPr>
                <w:color w:val="000000"/>
                <w:sz w:val="14"/>
                <w:szCs w:val="14"/>
              </w:rPr>
            </w:pPr>
            <w:r>
              <w:rPr>
                <w:color w:val="000000"/>
                <w:sz w:val="14"/>
                <w:szCs w:val="14"/>
              </w:rPr>
              <w:t>Repayment of finance leases</w:t>
            </w:r>
          </w:p>
        </w:tc>
        <w:tc>
          <w:tcPr>
            <w:tcW w:w="113" w:type="pct"/>
            <w:shd w:val="clear" w:color="auto" w:fill="CFF0FC"/>
            <w:tcMar>
              <w:top w:w="15" w:type="dxa"/>
              <w:left w:w="0" w:type="dxa"/>
              <w:bottom w:w="0" w:type="dxa"/>
              <w:right w:w="15" w:type="dxa"/>
            </w:tcMar>
            <w:vAlign w:val="bottom"/>
            <w:hideMark/>
          </w:tcPr>
          <w:p w14:paraId="22377C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5B99BB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7C972CF1" w14:textId="77777777" w:rsidR="00000000" w:rsidRDefault="00582324">
            <w:pPr>
              <w:pStyle w:val="a3"/>
              <w:spacing w:before="0" w:beforeAutospacing="0" w:after="0" w:afterAutospacing="0"/>
              <w:jc w:val="right"/>
              <w:rPr>
                <w:color w:val="000000"/>
                <w:sz w:val="14"/>
                <w:szCs w:val="14"/>
              </w:rPr>
            </w:pPr>
            <w:r>
              <w:rPr>
                <w:color w:val="000000"/>
                <w:sz w:val="14"/>
                <w:szCs w:val="14"/>
              </w:rPr>
              <w:t>(1,143</w:t>
            </w:r>
          </w:p>
        </w:tc>
        <w:tc>
          <w:tcPr>
            <w:tcW w:w="50" w:type="pct"/>
            <w:shd w:val="clear" w:color="auto" w:fill="CFF0FC"/>
            <w:noWrap/>
            <w:tcMar>
              <w:top w:w="15" w:type="dxa"/>
              <w:left w:w="0" w:type="dxa"/>
              <w:bottom w:w="0" w:type="dxa"/>
              <w:right w:w="15" w:type="dxa"/>
            </w:tcMar>
            <w:vAlign w:val="bottom"/>
            <w:hideMark/>
          </w:tcPr>
          <w:p w14:paraId="4EA4109C"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071E22A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A23AB9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57BB586" w14:textId="77777777" w:rsidR="00000000" w:rsidRDefault="00582324">
            <w:pPr>
              <w:pStyle w:val="a3"/>
              <w:spacing w:before="0" w:beforeAutospacing="0" w:after="0" w:afterAutospacing="0"/>
              <w:jc w:val="right"/>
              <w:rPr>
                <w:color w:val="000000"/>
                <w:sz w:val="14"/>
                <w:szCs w:val="14"/>
              </w:rPr>
            </w:pPr>
            <w:r>
              <w:rPr>
                <w:color w:val="000000"/>
                <w:sz w:val="14"/>
                <w:szCs w:val="14"/>
              </w:rPr>
              <w:t>(1,249</w:t>
            </w:r>
          </w:p>
        </w:tc>
        <w:tc>
          <w:tcPr>
            <w:tcW w:w="50" w:type="pct"/>
            <w:shd w:val="clear" w:color="auto" w:fill="CFF0FC"/>
            <w:noWrap/>
            <w:tcMar>
              <w:top w:w="15" w:type="dxa"/>
              <w:left w:w="0" w:type="dxa"/>
              <w:bottom w:w="0" w:type="dxa"/>
              <w:right w:w="15" w:type="dxa"/>
            </w:tcMar>
            <w:vAlign w:val="bottom"/>
            <w:hideMark/>
          </w:tcPr>
          <w:p w14:paraId="65EFA973"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76B132F3" w14:textId="77777777">
        <w:trPr>
          <w:divId w:val="623660763"/>
        </w:trPr>
        <w:tc>
          <w:tcPr>
            <w:tcW w:w="2629" w:type="pct"/>
            <w:shd w:val="clear" w:color="auto" w:fill="FFFFFF"/>
            <w:tcMar>
              <w:top w:w="15" w:type="dxa"/>
              <w:left w:w="0" w:type="dxa"/>
              <w:bottom w:w="0" w:type="dxa"/>
              <w:right w:w="15" w:type="dxa"/>
            </w:tcMar>
            <w:hideMark/>
          </w:tcPr>
          <w:p w14:paraId="7C8E0C27" w14:textId="77777777" w:rsidR="00000000" w:rsidRDefault="00582324">
            <w:pPr>
              <w:pStyle w:val="a3"/>
              <w:spacing w:before="0" w:beforeAutospacing="0" w:after="0" w:afterAutospacing="0"/>
              <w:ind w:left="547"/>
              <w:rPr>
                <w:color w:val="000000"/>
                <w:sz w:val="14"/>
                <w:szCs w:val="14"/>
              </w:rPr>
            </w:pPr>
            <w:r>
              <w:rPr>
                <w:color w:val="000000"/>
                <w:sz w:val="14"/>
                <w:szCs w:val="14"/>
              </w:rPr>
              <w:t>Payments of deferred offering costs</w:t>
            </w:r>
          </w:p>
        </w:tc>
        <w:tc>
          <w:tcPr>
            <w:tcW w:w="113" w:type="pct"/>
            <w:shd w:val="clear" w:color="auto" w:fill="FFFFFF"/>
            <w:tcMar>
              <w:top w:w="15" w:type="dxa"/>
              <w:left w:w="0" w:type="dxa"/>
              <w:bottom w:w="0" w:type="dxa"/>
              <w:right w:w="15" w:type="dxa"/>
            </w:tcMar>
            <w:vAlign w:val="bottom"/>
            <w:hideMark/>
          </w:tcPr>
          <w:p w14:paraId="707530C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ADCF87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A34D3A8"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07A8B9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6EE0A1A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AA5D1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6506863" w14:textId="77777777" w:rsidR="00000000" w:rsidRDefault="00582324">
            <w:pPr>
              <w:pStyle w:val="a3"/>
              <w:spacing w:before="0" w:beforeAutospacing="0" w:after="0" w:afterAutospacing="0"/>
              <w:jc w:val="right"/>
              <w:rPr>
                <w:color w:val="000000"/>
                <w:sz w:val="14"/>
                <w:szCs w:val="14"/>
              </w:rPr>
            </w:pPr>
            <w:r>
              <w:rPr>
                <w:color w:val="000000"/>
                <w:sz w:val="14"/>
                <w:szCs w:val="14"/>
              </w:rPr>
              <w:t>(1,462</w:t>
            </w:r>
          </w:p>
        </w:tc>
        <w:tc>
          <w:tcPr>
            <w:tcW w:w="50" w:type="pct"/>
            <w:shd w:val="clear" w:color="auto" w:fill="FFFFFF"/>
            <w:noWrap/>
            <w:tcMar>
              <w:top w:w="15" w:type="dxa"/>
              <w:left w:w="0" w:type="dxa"/>
              <w:bottom w:w="0" w:type="dxa"/>
              <w:right w:w="15" w:type="dxa"/>
            </w:tcMar>
            <w:vAlign w:val="bottom"/>
            <w:hideMark/>
          </w:tcPr>
          <w:p w14:paraId="55C160F3"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6966BC8F" w14:textId="77777777">
        <w:trPr>
          <w:divId w:val="623660763"/>
        </w:trPr>
        <w:tc>
          <w:tcPr>
            <w:tcW w:w="2629" w:type="pct"/>
            <w:shd w:val="clear" w:color="auto" w:fill="CFF0FC"/>
            <w:tcMar>
              <w:top w:w="15" w:type="dxa"/>
              <w:left w:w="0" w:type="dxa"/>
              <w:bottom w:w="0" w:type="dxa"/>
              <w:right w:w="15" w:type="dxa"/>
            </w:tcMar>
            <w:hideMark/>
          </w:tcPr>
          <w:p w14:paraId="06FC8AF8" w14:textId="77777777" w:rsidR="00000000" w:rsidRDefault="00582324">
            <w:pPr>
              <w:pStyle w:val="a3"/>
              <w:spacing w:before="0" w:beforeAutospacing="0" w:after="0" w:afterAutospacing="0"/>
              <w:ind w:left="547"/>
              <w:rPr>
                <w:color w:val="000000"/>
                <w:sz w:val="14"/>
                <w:szCs w:val="14"/>
              </w:rPr>
            </w:pPr>
            <w:r>
              <w:rPr>
                <w:color w:val="000000"/>
                <w:sz w:val="14"/>
                <w:szCs w:val="14"/>
              </w:rPr>
              <w:t>Prepay</w:t>
            </w:r>
            <w:r>
              <w:rPr>
                <w:color w:val="000000"/>
                <w:sz w:val="14"/>
                <w:szCs w:val="14"/>
              </w:rPr>
              <w:t>ment premium on credit facility</w:t>
            </w:r>
          </w:p>
        </w:tc>
        <w:tc>
          <w:tcPr>
            <w:tcW w:w="113" w:type="pct"/>
            <w:shd w:val="clear" w:color="auto" w:fill="CFF0FC"/>
            <w:tcMar>
              <w:top w:w="15" w:type="dxa"/>
              <w:left w:w="0" w:type="dxa"/>
              <w:bottom w:w="0" w:type="dxa"/>
              <w:right w:w="15" w:type="dxa"/>
            </w:tcMar>
            <w:vAlign w:val="bottom"/>
            <w:hideMark/>
          </w:tcPr>
          <w:p w14:paraId="216BF4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59A685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4FA1704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7F5C2C4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E1A8DC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BBD24B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12366723" w14:textId="77777777" w:rsidR="00000000" w:rsidRDefault="00582324">
            <w:pPr>
              <w:pStyle w:val="a3"/>
              <w:spacing w:before="0" w:beforeAutospacing="0" w:after="0" w:afterAutospacing="0"/>
              <w:jc w:val="right"/>
              <w:rPr>
                <w:color w:val="000000"/>
                <w:sz w:val="14"/>
                <w:szCs w:val="14"/>
              </w:rPr>
            </w:pPr>
            <w:r>
              <w:rPr>
                <w:color w:val="000000"/>
                <w:sz w:val="14"/>
                <w:szCs w:val="14"/>
              </w:rPr>
              <w:t>(351</w:t>
            </w:r>
          </w:p>
        </w:tc>
        <w:tc>
          <w:tcPr>
            <w:tcW w:w="50" w:type="pct"/>
            <w:shd w:val="clear" w:color="auto" w:fill="CFF0FC"/>
            <w:noWrap/>
            <w:tcMar>
              <w:top w:w="15" w:type="dxa"/>
              <w:left w:w="0" w:type="dxa"/>
              <w:bottom w:w="0" w:type="dxa"/>
              <w:right w:w="15" w:type="dxa"/>
            </w:tcMar>
            <w:vAlign w:val="bottom"/>
            <w:hideMark/>
          </w:tcPr>
          <w:p w14:paraId="4C1F5759"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FBF57D7" w14:textId="77777777">
        <w:trPr>
          <w:divId w:val="623660763"/>
        </w:trPr>
        <w:tc>
          <w:tcPr>
            <w:tcW w:w="2629" w:type="pct"/>
            <w:shd w:val="clear" w:color="auto" w:fill="FFFFFF"/>
            <w:tcMar>
              <w:top w:w="15" w:type="dxa"/>
              <w:left w:w="0" w:type="dxa"/>
              <w:bottom w:w="0" w:type="dxa"/>
              <w:right w:w="15" w:type="dxa"/>
            </w:tcMar>
            <w:hideMark/>
          </w:tcPr>
          <w:p w14:paraId="255CA1E0" w14:textId="77777777" w:rsidR="00000000" w:rsidRDefault="00582324">
            <w:pPr>
              <w:pStyle w:val="a3"/>
              <w:spacing w:before="0" w:beforeAutospacing="0" w:after="0" w:afterAutospacing="0"/>
              <w:ind w:left="547"/>
              <w:rPr>
                <w:color w:val="000000"/>
                <w:sz w:val="14"/>
                <w:szCs w:val="14"/>
              </w:rPr>
            </w:pPr>
            <w:r>
              <w:rPr>
                <w:color w:val="000000"/>
                <w:sz w:val="14"/>
                <w:szCs w:val="14"/>
              </w:rPr>
              <w:t>Debt issuance costs</w:t>
            </w:r>
          </w:p>
        </w:tc>
        <w:tc>
          <w:tcPr>
            <w:tcW w:w="113" w:type="pct"/>
            <w:shd w:val="clear" w:color="auto" w:fill="FFFFFF"/>
            <w:tcMar>
              <w:top w:w="15" w:type="dxa"/>
              <w:left w:w="0" w:type="dxa"/>
              <w:bottom w:w="0" w:type="dxa"/>
              <w:right w:w="15" w:type="dxa"/>
            </w:tcMar>
            <w:vAlign w:val="bottom"/>
            <w:hideMark/>
          </w:tcPr>
          <w:p w14:paraId="6DBAE5B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60C7BE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7FAD4BE" w14:textId="77777777" w:rsidR="00000000" w:rsidRDefault="00582324">
            <w:pPr>
              <w:pStyle w:val="a3"/>
              <w:spacing w:before="0" w:beforeAutospacing="0" w:after="0" w:afterAutospacing="0"/>
              <w:jc w:val="right"/>
              <w:rPr>
                <w:color w:val="000000"/>
                <w:sz w:val="14"/>
                <w:szCs w:val="14"/>
              </w:rPr>
            </w:pPr>
            <w:r>
              <w:rPr>
                <w:color w:val="000000"/>
                <w:sz w:val="14"/>
                <w:szCs w:val="14"/>
              </w:rPr>
              <w:t>(2,590</w:t>
            </w:r>
          </w:p>
        </w:tc>
        <w:tc>
          <w:tcPr>
            <w:tcW w:w="50" w:type="pct"/>
            <w:shd w:val="clear" w:color="auto" w:fill="FFFFFF"/>
            <w:noWrap/>
            <w:tcMar>
              <w:top w:w="15" w:type="dxa"/>
              <w:left w:w="0" w:type="dxa"/>
              <w:bottom w:w="0" w:type="dxa"/>
              <w:right w:w="15" w:type="dxa"/>
            </w:tcMar>
            <w:vAlign w:val="bottom"/>
            <w:hideMark/>
          </w:tcPr>
          <w:p w14:paraId="0CC045DB"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FFFFFF"/>
            <w:tcMar>
              <w:top w:w="15" w:type="dxa"/>
              <w:left w:w="0" w:type="dxa"/>
              <w:bottom w:w="0" w:type="dxa"/>
              <w:right w:w="15" w:type="dxa"/>
            </w:tcMar>
            <w:vAlign w:val="bottom"/>
            <w:hideMark/>
          </w:tcPr>
          <w:p w14:paraId="4744AB5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06D043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614777E3" w14:textId="77777777" w:rsidR="00000000" w:rsidRDefault="00582324">
            <w:pPr>
              <w:pStyle w:val="a3"/>
              <w:spacing w:before="0" w:beforeAutospacing="0" w:after="0" w:afterAutospacing="0"/>
              <w:jc w:val="right"/>
              <w:rPr>
                <w:color w:val="000000"/>
                <w:sz w:val="14"/>
                <w:szCs w:val="14"/>
              </w:rPr>
            </w:pPr>
            <w:r>
              <w:rPr>
                <w:color w:val="000000"/>
                <w:sz w:val="14"/>
                <w:szCs w:val="14"/>
              </w:rPr>
              <w:t>(4,866</w:t>
            </w:r>
          </w:p>
        </w:tc>
        <w:tc>
          <w:tcPr>
            <w:tcW w:w="50" w:type="pct"/>
            <w:shd w:val="clear" w:color="auto" w:fill="FFFFFF"/>
            <w:noWrap/>
            <w:tcMar>
              <w:top w:w="15" w:type="dxa"/>
              <w:left w:w="0" w:type="dxa"/>
              <w:bottom w:w="0" w:type="dxa"/>
              <w:right w:w="15" w:type="dxa"/>
            </w:tcMar>
            <w:vAlign w:val="bottom"/>
            <w:hideMark/>
          </w:tcPr>
          <w:p w14:paraId="0DCF2B5D" w14:textId="77777777" w:rsidR="00000000" w:rsidRDefault="00582324">
            <w:pPr>
              <w:pStyle w:val="a3"/>
              <w:spacing w:before="0" w:beforeAutospacing="0" w:after="0" w:afterAutospacing="0"/>
              <w:rPr>
                <w:color w:val="000000"/>
                <w:sz w:val="14"/>
                <w:szCs w:val="14"/>
              </w:rPr>
            </w:pPr>
            <w:r>
              <w:rPr>
                <w:color w:val="000000"/>
                <w:sz w:val="14"/>
                <w:szCs w:val="14"/>
              </w:rPr>
              <w:t>)</w:t>
            </w:r>
          </w:p>
        </w:tc>
      </w:tr>
      <w:tr w:rsidR="00000000" w14:paraId="586082C7" w14:textId="77777777">
        <w:trPr>
          <w:divId w:val="623660763"/>
        </w:trPr>
        <w:tc>
          <w:tcPr>
            <w:tcW w:w="2629" w:type="pct"/>
            <w:shd w:val="clear" w:color="auto" w:fill="CFF0FC"/>
            <w:tcMar>
              <w:top w:w="15" w:type="dxa"/>
              <w:left w:w="0" w:type="dxa"/>
              <w:bottom w:w="0" w:type="dxa"/>
              <w:right w:w="15" w:type="dxa"/>
            </w:tcMar>
            <w:hideMark/>
          </w:tcPr>
          <w:p w14:paraId="4A99B0C4" w14:textId="77777777" w:rsidR="00000000" w:rsidRDefault="00582324">
            <w:pPr>
              <w:pStyle w:val="a3"/>
              <w:spacing w:before="0" w:beforeAutospacing="0" w:after="0" w:afterAutospacing="0"/>
              <w:ind w:left="547"/>
              <w:rPr>
                <w:color w:val="000000"/>
                <w:sz w:val="14"/>
                <w:szCs w:val="14"/>
              </w:rPr>
            </w:pPr>
            <w:r>
              <w:rPr>
                <w:color w:val="000000"/>
                <w:sz w:val="14"/>
                <w:szCs w:val="14"/>
              </w:rPr>
              <w:t>Proceeds from issuance of common stock for</w:t>
            </w:r>
          </w:p>
          <w:p w14:paraId="051F2AFF" w14:textId="77777777" w:rsidR="00000000" w:rsidRDefault="00582324">
            <w:pPr>
              <w:pStyle w:val="a3"/>
              <w:spacing w:before="0" w:beforeAutospacing="0" w:after="0" w:afterAutospacing="0"/>
              <w:ind w:left="547"/>
              <w:rPr>
                <w:color w:val="000000"/>
                <w:sz w:val="14"/>
                <w:szCs w:val="14"/>
              </w:rPr>
            </w:pPr>
            <w:r>
              <w:rPr>
                <w:color w:val="000000"/>
                <w:sz w:val="14"/>
                <w:szCs w:val="14"/>
              </w:rPr>
              <w:t>   exercised stock options</w:t>
            </w:r>
          </w:p>
        </w:tc>
        <w:tc>
          <w:tcPr>
            <w:tcW w:w="113" w:type="pct"/>
            <w:shd w:val="clear" w:color="auto" w:fill="CFF0FC"/>
            <w:tcMar>
              <w:top w:w="15" w:type="dxa"/>
              <w:left w:w="0" w:type="dxa"/>
              <w:bottom w:w="0" w:type="dxa"/>
              <w:right w:w="15" w:type="dxa"/>
            </w:tcMar>
            <w:vAlign w:val="bottom"/>
            <w:hideMark/>
          </w:tcPr>
          <w:p w14:paraId="17C1194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65F4A6A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75AAC615" w14:textId="77777777" w:rsidR="00000000" w:rsidRDefault="00582324">
            <w:pPr>
              <w:pStyle w:val="a3"/>
              <w:spacing w:before="0" w:beforeAutospacing="0" w:after="0" w:afterAutospacing="0"/>
              <w:jc w:val="right"/>
              <w:rPr>
                <w:color w:val="000000"/>
                <w:sz w:val="14"/>
                <w:szCs w:val="14"/>
              </w:rPr>
            </w:pPr>
            <w:r>
              <w:rPr>
                <w:color w:val="000000"/>
                <w:sz w:val="14"/>
                <w:szCs w:val="14"/>
              </w:rPr>
              <w:t>3,086</w:t>
            </w:r>
          </w:p>
        </w:tc>
        <w:tc>
          <w:tcPr>
            <w:tcW w:w="50" w:type="pct"/>
            <w:shd w:val="clear" w:color="auto" w:fill="CFF0FC"/>
            <w:noWrap/>
            <w:tcMar>
              <w:top w:w="15" w:type="dxa"/>
              <w:left w:w="0" w:type="dxa"/>
              <w:bottom w:w="0" w:type="dxa"/>
              <w:right w:w="15" w:type="dxa"/>
            </w:tcMar>
            <w:vAlign w:val="bottom"/>
            <w:hideMark/>
          </w:tcPr>
          <w:p w14:paraId="337E1D4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835D3D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40C5E3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986EA33" w14:textId="77777777" w:rsidR="00000000" w:rsidRDefault="00582324">
            <w:pPr>
              <w:pStyle w:val="a3"/>
              <w:spacing w:before="0" w:beforeAutospacing="0" w:after="0" w:afterAutospacing="0"/>
              <w:jc w:val="right"/>
              <w:rPr>
                <w:color w:val="000000"/>
                <w:sz w:val="14"/>
                <w:szCs w:val="14"/>
              </w:rPr>
            </w:pPr>
            <w:r>
              <w:rPr>
                <w:color w:val="000000"/>
                <w:sz w:val="14"/>
                <w:szCs w:val="14"/>
              </w:rPr>
              <w:t>21</w:t>
            </w:r>
          </w:p>
        </w:tc>
        <w:tc>
          <w:tcPr>
            <w:tcW w:w="50" w:type="pct"/>
            <w:shd w:val="clear" w:color="auto" w:fill="CFF0FC"/>
            <w:noWrap/>
            <w:tcMar>
              <w:top w:w="15" w:type="dxa"/>
              <w:left w:w="0" w:type="dxa"/>
              <w:bottom w:w="0" w:type="dxa"/>
              <w:right w:w="15" w:type="dxa"/>
            </w:tcMar>
            <w:vAlign w:val="bottom"/>
            <w:hideMark/>
          </w:tcPr>
          <w:p w14:paraId="07D3834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20A77EFF" w14:textId="77777777">
        <w:trPr>
          <w:divId w:val="623660763"/>
        </w:trPr>
        <w:tc>
          <w:tcPr>
            <w:tcW w:w="2629" w:type="pct"/>
            <w:shd w:val="clear" w:color="auto" w:fill="FFFFFF"/>
            <w:tcMar>
              <w:top w:w="15" w:type="dxa"/>
              <w:left w:w="0" w:type="dxa"/>
              <w:bottom w:w="0" w:type="dxa"/>
              <w:right w:w="15" w:type="dxa"/>
            </w:tcMar>
            <w:hideMark/>
          </w:tcPr>
          <w:p w14:paraId="0985DE6B" w14:textId="77777777" w:rsidR="00000000" w:rsidRDefault="00582324">
            <w:pPr>
              <w:pStyle w:val="a3"/>
              <w:spacing w:before="0" w:beforeAutospacing="0" w:after="0" w:afterAutospacing="0"/>
              <w:ind w:left="547"/>
              <w:rPr>
                <w:color w:val="000000"/>
                <w:sz w:val="14"/>
                <w:szCs w:val="14"/>
              </w:rPr>
            </w:pPr>
            <w:r>
              <w:rPr>
                <w:color w:val="000000"/>
                <w:sz w:val="14"/>
                <w:szCs w:val="14"/>
              </w:rPr>
              <w:t>Issuance of convertible and redeemable Series A-2</w:t>
            </w:r>
          </w:p>
          <w:p w14:paraId="6FB26557" w14:textId="77777777" w:rsidR="00000000" w:rsidRDefault="00582324">
            <w:pPr>
              <w:pStyle w:val="a3"/>
              <w:spacing w:before="0" w:beforeAutospacing="0" w:after="0" w:afterAutospacing="0"/>
              <w:ind w:left="547"/>
              <w:rPr>
                <w:color w:val="000000"/>
                <w:sz w:val="14"/>
                <w:szCs w:val="14"/>
              </w:rPr>
            </w:pPr>
            <w:r>
              <w:rPr>
                <w:color w:val="000000"/>
                <w:sz w:val="14"/>
                <w:szCs w:val="14"/>
              </w:rPr>
              <w:t>   preferred stock and warrant</w:t>
            </w:r>
          </w:p>
        </w:tc>
        <w:tc>
          <w:tcPr>
            <w:tcW w:w="113" w:type="pct"/>
            <w:shd w:val="clear" w:color="auto" w:fill="FFFFFF"/>
            <w:tcMar>
              <w:top w:w="15" w:type="dxa"/>
              <w:left w:w="0" w:type="dxa"/>
              <w:bottom w:w="0" w:type="dxa"/>
              <w:right w:w="15" w:type="dxa"/>
            </w:tcMar>
            <w:vAlign w:val="bottom"/>
            <w:hideMark/>
          </w:tcPr>
          <w:p w14:paraId="29E6BCD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3E7058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20CBF731"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4BD6E2E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0DCB721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0E3A7D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48AB4072" w14:textId="77777777" w:rsidR="00000000" w:rsidRDefault="00582324">
            <w:pPr>
              <w:pStyle w:val="a3"/>
              <w:spacing w:before="0" w:beforeAutospacing="0" w:after="0" w:afterAutospacing="0"/>
              <w:jc w:val="right"/>
              <w:rPr>
                <w:color w:val="000000"/>
                <w:sz w:val="14"/>
                <w:szCs w:val="14"/>
              </w:rPr>
            </w:pPr>
            <w:r>
              <w:rPr>
                <w:color w:val="000000"/>
                <w:sz w:val="14"/>
                <w:szCs w:val="14"/>
              </w:rPr>
              <w:t>173,664</w:t>
            </w:r>
          </w:p>
        </w:tc>
        <w:tc>
          <w:tcPr>
            <w:tcW w:w="50" w:type="pct"/>
            <w:shd w:val="clear" w:color="auto" w:fill="FFFFFF"/>
            <w:noWrap/>
            <w:tcMar>
              <w:top w:w="15" w:type="dxa"/>
              <w:left w:w="0" w:type="dxa"/>
              <w:bottom w:w="0" w:type="dxa"/>
              <w:right w:w="15" w:type="dxa"/>
            </w:tcMar>
            <w:vAlign w:val="bottom"/>
            <w:hideMark/>
          </w:tcPr>
          <w:p w14:paraId="6CD41E9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FC1664F" w14:textId="77777777">
        <w:trPr>
          <w:divId w:val="623660763"/>
        </w:trPr>
        <w:tc>
          <w:tcPr>
            <w:tcW w:w="2629" w:type="pct"/>
            <w:shd w:val="clear" w:color="auto" w:fill="CFF0FC"/>
            <w:tcMar>
              <w:top w:w="15" w:type="dxa"/>
              <w:left w:w="0" w:type="dxa"/>
              <w:bottom w:w="0" w:type="dxa"/>
              <w:right w:w="15" w:type="dxa"/>
            </w:tcMar>
            <w:hideMark/>
          </w:tcPr>
          <w:p w14:paraId="54BFD02E" w14:textId="77777777" w:rsidR="00000000" w:rsidRDefault="00582324">
            <w:pPr>
              <w:pStyle w:val="a3"/>
              <w:spacing w:before="0" w:beforeAutospacing="0" w:after="0" w:afterAutospacing="0"/>
              <w:ind w:left="547"/>
              <w:rPr>
                <w:color w:val="000000"/>
                <w:sz w:val="14"/>
                <w:szCs w:val="14"/>
              </w:rPr>
            </w:pPr>
            <w:r>
              <w:rPr>
                <w:color w:val="000000"/>
                <w:sz w:val="14"/>
                <w:szCs w:val="14"/>
              </w:rPr>
              <w:t>Dividend payment to the Series A-2 shareholders</w:t>
            </w:r>
          </w:p>
        </w:tc>
        <w:tc>
          <w:tcPr>
            <w:tcW w:w="113" w:type="pct"/>
            <w:shd w:val="clear" w:color="auto" w:fill="CFF0FC"/>
            <w:tcMar>
              <w:top w:w="15" w:type="dxa"/>
              <w:left w:w="0" w:type="dxa"/>
              <w:bottom w:w="0" w:type="dxa"/>
              <w:right w:w="15" w:type="dxa"/>
            </w:tcMar>
            <w:vAlign w:val="bottom"/>
            <w:hideMark/>
          </w:tcPr>
          <w:p w14:paraId="5DA262D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B745D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CFF0FC"/>
            <w:noWrap/>
            <w:tcMar>
              <w:top w:w="15" w:type="dxa"/>
              <w:left w:w="0" w:type="dxa"/>
              <w:bottom w:w="0" w:type="dxa"/>
              <w:right w:w="15" w:type="dxa"/>
            </w:tcMar>
            <w:vAlign w:val="bottom"/>
            <w:hideMark/>
          </w:tcPr>
          <w:p w14:paraId="46FF6AF3" w14:textId="77777777" w:rsidR="00000000" w:rsidRDefault="00582324">
            <w:pPr>
              <w:pStyle w:val="a3"/>
              <w:spacing w:before="0" w:beforeAutospacing="0" w:after="0" w:afterAutospacing="0"/>
              <w:jc w:val="right"/>
              <w:rPr>
                <w:color w:val="000000"/>
                <w:sz w:val="14"/>
                <w:szCs w:val="14"/>
              </w:rPr>
            </w:pPr>
            <w:r>
              <w:rPr>
                <w:color w:val="000000"/>
                <w:sz w:val="14"/>
                <w:szCs w:val="14"/>
              </w:rPr>
              <w:t>(8,200</w:t>
            </w:r>
          </w:p>
        </w:tc>
        <w:tc>
          <w:tcPr>
            <w:tcW w:w="50" w:type="pct"/>
            <w:shd w:val="clear" w:color="auto" w:fill="CFF0FC"/>
            <w:noWrap/>
            <w:tcMar>
              <w:top w:w="15" w:type="dxa"/>
              <w:left w:w="0" w:type="dxa"/>
              <w:bottom w:w="0" w:type="dxa"/>
              <w:right w:w="15" w:type="dxa"/>
            </w:tcMar>
            <w:vAlign w:val="bottom"/>
            <w:hideMark/>
          </w:tcPr>
          <w:p w14:paraId="4FB6D34E"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113" w:type="pct"/>
            <w:shd w:val="clear" w:color="auto" w:fill="CFF0FC"/>
            <w:tcMar>
              <w:top w:w="15" w:type="dxa"/>
              <w:left w:w="0" w:type="dxa"/>
              <w:bottom w:w="0" w:type="dxa"/>
              <w:right w:w="15" w:type="dxa"/>
            </w:tcMar>
            <w:vAlign w:val="bottom"/>
            <w:hideMark/>
          </w:tcPr>
          <w:p w14:paraId="33D527C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650D3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CFF0FC"/>
            <w:noWrap/>
            <w:tcMar>
              <w:top w:w="15" w:type="dxa"/>
              <w:left w:w="0" w:type="dxa"/>
              <w:bottom w:w="0" w:type="dxa"/>
              <w:right w:w="15" w:type="dxa"/>
            </w:tcMar>
            <w:vAlign w:val="bottom"/>
            <w:hideMark/>
          </w:tcPr>
          <w:p w14:paraId="26B7ADE0"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6F963021"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35DC906" w14:textId="77777777">
        <w:trPr>
          <w:divId w:val="623660763"/>
        </w:trPr>
        <w:tc>
          <w:tcPr>
            <w:tcW w:w="2629" w:type="pct"/>
            <w:shd w:val="clear" w:color="auto" w:fill="FFFFFF"/>
            <w:tcMar>
              <w:top w:w="15" w:type="dxa"/>
              <w:left w:w="0" w:type="dxa"/>
              <w:bottom w:w="0" w:type="dxa"/>
              <w:right w:w="15" w:type="dxa"/>
            </w:tcMar>
            <w:hideMark/>
          </w:tcPr>
          <w:p w14:paraId="697EDC82" w14:textId="77777777" w:rsidR="00000000" w:rsidRDefault="00582324">
            <w:pPr>
              <w:pStyle w:val="a3"/>
              <w:spacing w:before="0" w:beforeAutospacing="0" w:after="0" w:afterAutospacing="0"/>
              <w:ind w:left="1094"/>
              <w:rPr>
                <w:color w:val="000000"/>
                <w:sz w:val="14"/>
                <w:szCs w:val="14"/>
              </w:rPr>
            </w:pPr>
            <w:r>
              <w:rPr>
                <w:color w:val="000000"/>
                <w:sz w:val="14"/>
                <w:szCs w:val="14"/>
              </w:rPr>
              <w:t>Net cash provided by financing activities</w:t>
            </w:r>
          </w:p>
        </w:tc>
        <w:tc>
          <w:tcPr>
            <w:tcW w:w="113" w:type="pct"/>
            <w:shd w:val="clear" w:color="auto" w:fill="FFFFFF"/>
            <w:tcMar>
              <w:top w:w="15" w:type="dxa"/>
              <w:left w:w="0" w:type="dxa"/>
              <w:bottom w:w="0" w:type="dxa"/>
              <w:right w:w="15" w:type="dxa"/>
            </w:tcMar>
            <w:vAlign w:val="bottom"/>
            <w:hideMark/>
          </w:tcPr>
          <w:p w14:paraId="42DE522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025D5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C47F4C" w14:textId="77777777" w:rsidR="00000000" w:rsidRDefault="00582324">
            <w:pPr>
              <w:pStyle w:val="a3"/>
              <w:spacing w:before="0" w:beforeAutospacing="0" w:after="0" w:afterAutospacing="0"/>
              <w:jc w:val="right"/>
              <w:rPr>
                <w:color w:val="000000"/>
                <w:sz w:val="14"/>
                <w:szCs w:val="14"/>
              </w:rPr>
            </w:pPr>
            <w:r>
              <w:rPr>
                <w:color w:val="000000"/>
                <w:sz w:val="14"/>
                <w:szCs w:val="14"/>
              </w:rPr>
              <w:t>47,643</w:t>
            </w:r>
          </w:p>
        </w:tc>
        <w:tc>
          <w:tcPr>
            <w:tcW w:w="50" w:type="pct"/>
            <w:shd w:val="clear" w:color="auto" w:fill="FFFFFF"/>
            <w:noWrap/>
            <w:tcMar>
              <w:top w:w="15" w:type="dxa"/>
              <w:left w:w="0" w:type="dxa"/>
              <w:bottom w:w="0" w:type="dxa"/>
              <w:right w:w="15" w:type="dxa"/>
            </w:tcMar>
            <w:vAlign w:val="bottom"/>
            <w:hideMark/>
          </w:tcPr>
          <w:p w14:paraId="2454372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DD514B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88446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0B5561F" w14:textId="77777777" w:rsidR="00000000" w:rsidRDefault="00582324">
            <w:pPr>
              <w:pStyle w:val="a3"/>
              <w:spacing w:before="0" w:beforeAutospacing="0" w:after="0" w:afterAutospacing="0"/>
              <w:jc w:val="right"/>
              <w:rPr>
                <w:color w:val="000000"/>
                <w:sz w:val="14"/>
                <w:szCs w:val="14"/>
              </w:rPr>
            </w:pPr>
            <w:r>
              <w:rPr>
                <w:color w:val="000000"/>
                <w:sz w:val="14"/>
                <w:szCs w:val="14"/>
              </w:rPr>
              <w:t>213,412</w:t>
            </w:r>
          </w:p>
        </w:tc>
        <w:tc>
          <w:tcPr>
            <w:tcW w:w="50" w:type="pct"/>
            <w:shd w:val="clear" w:color="auto" w:fill="FFFFFF"/>
            <w:noWrap/>
            <w:tcMar>
              <w:top w:w="15" w:type="dxa"/>
              <w:left w:w="0" w:type="dxa"/>
              <w:bottom w:w="0" w:type="dxa"/>
              <w:right w:w="15" w:type="dxa"/>
            </w:tcMar>
            <w:vAlign w:val="bottom"/>
            <w:hideMark/>
          </w:tcPr>
          <w:p w14:paraId="07B5C546"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24FFFF55" w14:textId="77777777">
        <w:trPr>
          <w:divId w:val="623660763"/>
        </w:trPr>
        <w:tc>
          <w:tcPr>
            <w:tcW w:w="2629" w:type="pct"/>
            <w:shd w:val="clear" w:color="auto" w:fill="CFF0FC"/>
            <w:tcMar>
              <w:top w:w="15" w:type="dxa"/>
              <w:left w:w="0" w:type="dxa"/>
              <w:bottom w:w="0" w:type="dxa"/>
              <w:right w:w="15" w:type="dxa"/>
            </w:tcMar>
            <w:hideMark/>
          </w:tcPr>
          <w:p w14:paraId="1FF5C6AB" w14:textId="77777777" w:rsidR="00000000" w:rsidRDefault="00582324">
            <w:pPr>
              <w:pStyle w:val="a3"/>
              <w:spacing w:before="0" w:beforeAutospacing="0" w:after="0" w:afterAutospacing="0"/>
              <w:rPr>
                <w:color w:val="000000"/>
                <w:sz w:val="14"/>
                <w:szCs w:val="14"/>
              </w:rPr>
            </w:pPr>
            <w:r>
              <w:rPr>
                <w:color w:val="000000"/>
                <w:sz w:val="14"/>
                <w:szCs w:val="14"/>
              </w:rPr>
              <w:t>CHANGE IN CASH, CASH EQUIVALENTS AND</w:t>
            </w:r>
          </w:p>
          <w:p w14:paraId="32D35FA5" w14:textId="77777777" w:rsidR="00000000" w:rsidRDefault="00582324">
            <w:pPr>
              <w:pStyle w:val="a3"/>
              <w:spacing w:before="0" w:beforeAutospacing="0" w:after="0" w:afterAutospacing="0"/>
              <w:rPr>
                <w:color w:val="000000"/>
                <w:sz w:val="14"/>
                <w:szCs w:val="14"/>
              </w:rPr>
            </w:pPr>
            <w:r>
              <w:rPr>
                <w:color w:val="000000"/>
                <w:sz w:val="14"/>
                <w:szCs w:val="14"/>
              </w:rPr>
              <w:t>   RESTRICTED CASH</w:t>
            </w:r>
          </w:p>
        </w:tc>
        <w:tc>
          <w:tcPr>
            <w:tcW w:w="113" w:type="pct"/>
            <w:shd w:val="clear" w:color="auto" w:fill="CFF0FC"/>
            <w:tcMar>
              <w:top w:w="15" w:type="dxa"/>
              <w:left w:w="0" w:type="dxa"/>
              <w:bottom w:w="0" w:type="dxa"/>
              <w:right w:w="15" w:type="dxa"/>
            </w:tcMar>
            <w:vAlign w:val="bottom"/>
            <w:hideMark/>
          </w:tcPr>
          <w:p w14:paraId="7209086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93E1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4731AD0C" w14:textId="77777777" w:rsidR="00000000" w:rsidRDefault="00582324">
            <w:pPr>
              <w:pStyle w:val="a3"/>
              <w:spacing w:before="0" w:beforeAutospacing="0" w:after="0" w:afterAutospacing="0"/>
              <w:jc w:val="right"/>
              <w:rPr>
                <w:color w:val="000000"/>
                <w:sz w:val="14"/>
                <w:szCs w:val="14"/>
              </w:rPr>
            </w:pPr>
            <w:r>
              <w:rPr>
                <w:color w:val="000000"/>
                <w:sz w:val="14"/>
                <w:szCs w:val="14"/>
              </w:rPr>
              <w:t>4,782</w:t>
            </w:r>
          </w:p>
        </w:tc>
        <w:tc>
          <w:tcPr>
            <w:tcW w:w="50" w:type="pct"/>
            <w:shd w:val="clear" w:color="auto" w:fill="CFF0FC"/>
            <w:noWrap/>
            <w:tcMar>
              <w:top w:w="15" w:type="dxa"/>
              <w:left w:w="0" w:type="dxa"/>
              <w:bottom w:w="0" w:type="dxa"/>
              <w:right w:w="15" w:type="dxa"/>
            </w:tcMar>
            <w:vAlign w:val="bottom"/>
            <w:hideMark/>
          </w:tcPr>
          <w:p w14:paraId="57C8865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42D5ACE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575E8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single" w:sz="6" w:space="0" w:color="000000"/>
            </w:tcBorders>
            <w:shd w:val="clear" w:color="auto" w:fill="CFF0FC"/>
            <w:noWrap/>
            <w:tcMar>
              <w:top w:w="15" w:type="dxa"/>
              <w:left w:w="0" w:type="dxa"/>
              <w:bottom w:w="0" w:type="dxa"/>
              <w:right w:w="15" w:type="dxa"/>
            </w:tcMar>
            <w:vAlign w:val="bottom"/>
            <w:hideMark/>
          </w:tcPr>
          <w:p w14:paraId="24D252DC" w14:textId="77777777" w:rsidR="00000000" w:rsidRDefault="00582324">
            <w:pPr>
              <w:pStyle w:val="a3"/>
              <w:spacing w:before="0" w:beforeAutospacing="0" w:after="0" w:afterAutospacing="0"/>
              <w:jc w:val="right"/>
              <w:rPr>
                <w:color w:val="000000"/>
                <w:sz w:val="14"/>
                <w:szCs w:val="14"/>
              </w:rPr>
            </w:pPr>
            <w:r>
              <w:rPr>
                <w:color w:val="000000"/>
                <w:sz w:val="14"/>
                <w:szCs w:val="14"/>
              </w:rPr>
              <w:t>37,859</w:t>
            </w:r>
          </w:p>
        </w:tc>
        <w:tc>
          <w:tcPr>
            <w:tcW w:w="50" w:type="pct"/>
            <w:shd w:val="clear" w:color="auto" w:fill="CFF0FC"/>
            <w:noWrap/>
            <w:tcMar>
              <w:top w:w="15" w:type="dxa"/>
              <w:left w:w="0" w:type="dxa"/>
              <w:bottom w:w="0" w:type="dxa"/>
              <w:right w:w="15" w:type="dxa"/>
            </w:tcMar>
            <w:vAlign w:val="bottom"/>
            <w:hideMark/>
          </w:tcPr>
          <w:p w14:paraId="33C19864"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BED1441" w14:textId="77777777">
        <w:trPr>
          <w:divId w:val="623660763"/>
        </w:trPr>
        <w:tc>
          <w:tcPr>
            <w:tcW w:w="2629" w:type="pct"/>
            <w:shd w:val="clear" w:color="auto" w:fill="FFFFFF"/>
            <w:tcMar>
              <w:top w:w="15" w:type="dxa"/>
              <w:left w:w="0" w:type="dxa"/>
              <w:bottom w:w="0" w:type="dxa"/>
              <w:right w:w="15" w:type="dxa"/>
            </w:tcMar>
            <w:hideMark/>
          </w:tcPr>
          <w:p w14:paraId="0BF332E7" w14:textId="77777777" w:rsidR="00000000" w:rsidRDefault="00582324">
            <w:pPr>
              <w:pStyle w:val="a3"/>
              <w:spacing w:before="0" w:beforeAutospacing="0" w:after="0" w:afterAutospacing="0"/>
              <w:ind w:left="547"/>
              <w:rPr>
                <w:color w:val="000000"/>
                <w:sz w:val="14"/>
                <w:szCs w:val="14"/>
              </w:rPr>
            </w:pPr>
            <w:r>
              <w:rPr>
                <w:color w:val="000000"/>
                <w:sz w:val="14"/>
                <w:szCs w:val="14"/>
              </w:rPr>
              <w:t>Foreign exchange impact on cash balance</w:t>
            </w:r>
          </w:p>
        </w:tc>
        <w:tc>
          <w:tcPr>
            <w:tcW w:w="113" w:type="pct"/>
            <w:shd w:val="clear" w:color="auto" w:fill="FFFFFF"/>
            <w:tcMar>
              <w:top w:w="15" w:type="dxa"/>
              <w:left w:w="0" w:type="dxa"/>
              <w:bottom w:w="0" w:type="dxa"/>
              <w:right w:w="15" w:type="dxa"/>
            </w:tcMar>
            <w:vAlign w:val="bottom"/>
            <w:hideMark/>
          </w:tcPr>
          <w:p w14:paraId="0BF4854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3EAA124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1D8C99BF" w14:textId="77777777" w:rsidR="00000000" w:rsidRDefault="00582324">
            <w:pPr>
              <w:pStyle w:val="a3"/>
              <w:spacing w:before="0" w:beforeAutospacing="0" w:after="0" w:afterAutospacing="0"/>
              <w:jc w:val="right"/>
              <w:rPr>
                <w:color w:val="000000"/>
                <w:sz w:val="14"/>
                <w:szCs w:val="14"/>
              </w:rPr>
            </w:pPr>
            <w:r>
              <w:rPr>
                <w:color w:val="000000"/>
                <w:sz w:val="14"/>
                <w:szCs w:val="14"/>
              </w:rPr>
              <w:t>526</w:t>
            </w:r>
          </w:p>
        </w:tc>
        <w:tc>
          <w:tcPr>
            <w:tcW w:w="50" w:type="pct"/>
            <w:shd w:val="clear" w:color="auto" w:fill="FFFFFF"/>
            <w:noWrap/>
            <w:tcMar>
              <w:top w:w="15" w:type="dxa"/>
              <w:left w:w="0" w:type="dxa"/>
              <w:bottom w:w="0" w:type="dxa"/>
              <w:right w:w="15" w:type="dxa"/>
            </w:tcMar>
            <w:vAlign w:val="bottom"/>
            <w:hideMark/>
          </w:tcPr>
          <w:p w14:paraId="35F2E75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2A1BBD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1B0DD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FFFFFF"/>
            <w:noWrap/>
            <w:tcMar>
              <w:top w:w="15" w:type="dxa"/>
              <w:left w:w="0" w:type="dxa"/>
              <w:bottom w:w="0" w:type="dxa"/>
              <w:right w:w="15" w:type="dxa"/>
            </w:tcMar>
            <w:vAlign w:val="bottom"/>
            <w:hideMark/>
          </w:tcPr>
          <w:p w14:paraId="09213980" w14:textId="77777777" w:rsidR="00000000" w:rsidRDefault="00582324">
            <w:pPr>
              <w:pStyle w:val="a3"/>
              <w:spacing w:before="0" w:beforeAutospacing="0" w:after="0" w:afterAutospacing="0"/>
              <w:jc w:val="right"/>
              <w:rPr>
                <w:color w:val="000000"/>
                <w:sz w:val="14"/>
                <w:szCs w:val="14"/>
              </w:rPr>
            </w:pPr>
            <w:r>
              <w:rPr>
                <w:color w:val="000000"/>
                <w:sz w:val="14"/>
                <w:szCs w:val="14"/>
              </w:rPr>
              <w:t>71</w:t>
            </w:r>
          </w:p>
        </w:tc>
        <w:tc>
          <w:tcPr>
            <w:tcW w:w="50" w:type="pct"/>
            <w:shd w:val="clear" w:color="auto" w:fill="FFFFFF"/>
            <w:noWrap/>
            <w:tcMar>
              <w:top w:w="15" w:type="dxa"/>
              <w:left w:w="0" w:type="dxa"/>
              <w:bottom w:w="0" w:type="dxa"/>
              <w:right w:w="15" w:type="dxa"/>
            </w:tcMar>
            <w:vAlign w:val="bottom"/>
            <w:hideMark/>
          </w:tcPr>
          <w:p w14:paraId="5AA7A18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3F9711B0" w14:textId="77777777">
        <w:trPr>
          <w:divId w:val="623660763"/>
        </w:trPr>
        <w:tc>
          <w:tcPr>
            <w:tcW w:w="2629" w:type="pct"/>
            <w:shd w:val="clear" w:color="auto" w:fill="CFF0FC"/>
            <w:tcMar>
              <w:top w:w="15" w:type="dxa"/>
              <w:left w:w="0" w:type="dxa"/>
              <w:bottom w:w="0" w:type="dxa"/>
              <w:right w:w="15" w:type="dxa"/>
            </w:tcMar>
            <w:hideMark/>
          </w:tcPr>
          <w:p w14:paraId="012EFBC0" w14:textId="77777777" w:rsidR="00000000" w:rsidRDefault="00582324">
            <w:pPr>
              <w:pStyle w:val="a3"/>
              <w:spacing w:before="0" w:beforeAutospacing="0" w:after="0" w:afterAutospacing="0"/>
              <w:rPr>
                <w:color w:val="000000"/>
                <w:sz w:val="14"/>
                <w:szCs w:val="14"/>
              </w:rPr>
            </w:pPr>
            <w:r>
              <w:rPr>
                <w:color w:val="000000"/>
                <w:sz w:val="14"/>
                <w:szCs w:val="14"/>
              </w:rPr>
              <w:t>CASH, CASH EQUIVALENTS AND RESTRICTED CASH:</w:t>
            </w:r>
          </w:p>
        </w:tc>
        <w:tc>
          <w:tcPr>
            <w:tcW w:w="113" w:type="pct"/>
            <w:shd w:val="clear" w:color="auto" w:fill="CFF0FC"/>
            <w:tcMar>
              <w:top w:w="15" w:type="dxa"/>
              <w:left w:w="0" w:type="dxa"/>
              <w:bottom w:w="0" w:type="dxa"/>
              <w:right w:w="15" w:type="dxa"/>
            </w:tcMar>
            <w:vAlign w:val="bottom"/>
            <w:hideMark/>
          </w:tcPr>
          <w:p w14:paraId="027CAB3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3C18593"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322E0B8A"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B7D820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8F104B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14E4AE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39C4DC5"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E604DD8"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102D9929" w14:textId="77777777">
        <w:trPr>
          <w:divId w:val="623660763"/>
        </w:trPr>
        <w:tc>
          <w:tcPr>
            <w:tcW w:w="2629" w:type="pct"/>
            <w:shd w:val="clear" w:color="auto" w:fill="FFFFFF"/>
            <w:tcMar>
              <w:top w:w="15" w:type="dxa"/>
              <w:left w:w="0" w:type="dxa"/>
              <w:bottom w:w="0" w:type="dxa"/>
              <w:right w:w="15" w:type="dxa"/>
            </w:tcMar>
            <w:hideMark/>
          </w:tcPr>
          <w:p w14:paraId="218E6BF3" w14:textId="77777777" w:rsidR="00000000" w:rsidRDefault="00582324">
            <w:pPr>
              <w:pStyle w:val="a3"/>
              <w:spacing w:before="0" w:beforeAutospacing="0" w:after="0" w:afterAutospacing="0"/>
              <w:ind w:left="547"/>
              <w:rPr>
                <w:color w:val="000000"/>
                <w:sz w:val="14"/>
                <w:szCs w:val="14"/>
              </w:rPr>
            </w:pPr>
            <w:r>
              <w:rPr>
                <w:color w:val="000000"/>
                <w:sz w:val="14"/>
                <w:szCs w:val="14"/>
              </w:rPr>
              <w:t>Beginning of year</w:t>
            </w:r>
          </w:p>
        </w:tc>
        <w:tc>
          <w:tcPr>
            <w:tcW w:w="113" w:type="pct"/>
            <w:shd w:val="clear" w:color="auto" w:fill="FFFFFF"/>
            <w:tcMar>
              <w:top w:w="15" w:type="dxa"/>
              <w:left w:w="0" w:type="dxa"/>
              <w:bottom w:w="0" w:type="dxa"/>
              <w:right w:w="15" w:type="dxa"/>
            </w:tcMar>
            <w:vAlign w:val="bottom"/>
            <w:hideMark/>
          </w:tcPr>
          <w:p w14:paraId="6FD0090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F7B49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FFFFFF"/>
            <w:noWrap/>
            <w:tcMar>
              <w:top w:w="15" w:type="dxa"/>
              <w:left w:w="0" w:type="dxa"/>
              <w:bottom w:w="0" w:type="dxa"/>
              <w:right w:w="15" w:type="dxa"/>
            </w:tcMar>
            <w:vAlign w:val="bottom"/>
            <w:hideMark/>
          </w:tcPr>
          <w:p w14:paraId="2BD753A1" w14:textId="77777777" w:rsidR="00000000" w:rsidRDefault="00582324">
            <w:pPr>
              <w:pStyle w:val="a3"/>
              <w:spacing w:before="0" w:beforeAutospacing="0" w:after="0" w:afterAutospacing="0"/>
              <w:jc w:val="right"/>
              <w:rPr>
                <w:color w:val="000000"/>
                <w:sz w:val="14"/>
                <w:szCs w:val="14"/>
              </w:rPr>
            </w:pPr>
            <w:r>
              <w:rPr>
                <w:color w:val="000000"/>
                <w:sz w:val="14"/>
                <w:szCs w:val="14"/>
              </w:rPr>
              <w:t>34,881</w:t>
            </w:r>
          </w:p>
        </w:tc>
        <w:tc>
          <w:tcPr>
            <w:tcW w:w="50" w:type="pct"/>
            <w:shd w:val="clear" w:color="auto" w:fill="FFFFFF"/>
            <w:noWrap/>
            <w:tcMar>
              <w:top w:w="15" w:type="dxa"/>
              <w:left w:w="0" w:type="dxa"/>
              <w:bottom w:w="0" w:type="dxa"/>
              <w:right w:w="15" w:type="dxa"/>
            </w:tcMar>
            <w:vAlign w:val="bottom"/>
            <w:hideMark/>
          </w:tcPr>
          <w:p w14:paraId="7EB0145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40A1B9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D02CD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bottom w:val="single" w:sz="6" w:space="0" w:color="000000"/>
            </w:tcBorders>
            <w:shd w:val="clear" w:color="auto" w:fill="FFFFFF"/>
            <w:noWrap/>
            <w:tcMar>
              <w:top w:w="15" w:type="dxa"/>
              <w:left w:w="0" w:type="dxa"/>
              <w:bottom w:w="0" w:type="dxa"/>
              <w:right w:w="15" w:type="dxa"/>
            </w:tcMar>
            <w:vAlign w:val="bottom"/>
            <w:hideMark/>
          </w:tcPr>
          <w:p w14:paraId="17542F09" w14:textId="77777777" w:rsidR="00000000" w:rsidRDefault="00582324">
            <w:pPr>
              <w:pStyle w:val="a3"/>
              <w:spacing w:before="0" w:beforeAutospacing="0" w:after="0" w:afterAutospacing="0"/>
              <w:jc w:val="right"/>
              <w:rPr>
                <w:color w:val="000000"/>
                <w:sz w:val="14"/>
                <w:szCs w:val="14"/>
              </w:rPr>
            </w:pPr>
            <w:r>
              <w:rPr>
                <w:color w:val="000000"/>
                <w:sz w:val="14"/>
                <w:szCs w:val="14"/>
              </w:rPr>
              <w:t>6,884</w:t>
            </w:r>
          </w:p>
        </w:tc>
        <w:tc>
          <w:tcPr>
            <w:tcW w:w="50" w:type="pct"/>
            <w:shd w:val="clear" w:color="auto" w:fill="FFFFFF"/>
            <w:noWrap/>
            <w:tcMar>
              <w:top w:w="15" w:type="dxa"/>
              <w:left w:w="0" w:type="dxa"/>
              <w:bottom w:w="0" w:type="dxa"/>
              <w:right w:w="15" w:type="dxa"/>
            </w:tcMar>
            <w:vAlign w:val="bottom"/>
            <w:hideMark/>
          </w:tcPr>
          <w:p w14:paraId="139D2F55"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64C8DF2A" w14:textId="77777777">
        <w:trPr>
          <w:divId w:val="623660763"/>
        </w:trPr>
        <w:tc>
          <w:tcPr>
            <w:tcW w:w="2629" w:type="pct"/>
            <w:shd w:val="clear" w:color="auto" w:fill="CFF0FC"/>
            <w:tcMar>
              <w:top w:w="15" w:type="dxa"/>
              <w:left w:w="0" w:type="dxa"/>
              <w:bottom w:w="0" w:type="dxa"/>
              <w:right w:w="15" w:type="dxa"/>
            </w:tcMar>
            <w:hideMark/>
          </w:tcPr>
          <w:p w14:paraId="40598619" w14:textId="77777777" w:rsidR="00000000" w:rsidRDefault="00582324">
            <w:pPr>
              <w:pStyle w:val="a3"/>
              <w:spacing w:before="0" w:beforeAutospacing="0" w:after="0" w:afterAutospacing="0"/>
              <w:ind w:left="547"/>
              <w:rPr>
                <w:color w:val="000000"/>
                <w:sz w:val="14"/>
                <w:szCs w:val="14"/>
              </w:rPr>
            </w:pPr>
            <w:r>
              <w:rPr>
                <w:color w:val="000000"/>
                <w:sz w:val="14"/>
                <w:szCs w:val="14"/>
              </w:rPr>
              <w:t>End of period</w:t>
            </w:r>
          </w:p>
        </w:tc>
        <w:tc>
          <w:tcPr>
            <w:tcW w:w="113" w:type="pct"/>
            <w:shd w:val="clear" w:color="auto" w:fill="CFF0FC"/>
            <w:tcMar>
              <w:top w:w="15" w:type="dxa"/>
              <w:left w:w="0" w:type="dxa"/>
              <w:bottom w:w="0" w:type="dxa"/>
              <w:right w:w="15" w:type="dxa"/>
            </w:tcMar>
            <w:vAlign w:val="bottom"/>
            <w:hideMark/>
          </w:tcPr>
          <w:p w14:paraId="457A3C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700F61"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0AF95E" w14:textId="77777777" w:rsidR="00000000" w:rsidRDefault="00582324">
            <w:pPr>
              <w:pStyle w:val="a3"/>
              <w:spacing w:before="0" w:beforeAutospacing="0" w:after="0" w:afterAutospacing="0"/>
              <w:jc w:val="right"/>
              <w:rPr>
                <w:color w:val="000000"/>
                <w:sz w:val="14"/>
                <w:szCs w:val="14"/>
              </w:rPr>
            </w:pPr>
            <w:r>
              <w:rPr>
                <w:color w:val="000000"/>
                <w:sz w:val="14"/>
                <w:szCs w:val="14"/>
              </w:rPr>
              <w:t>40,189</w:t>
            </w:r>
          </w:p>
        </w:tc>
        <w:tc>
          <w:tcPr>
            <w:tcW w:w="50" w:type="pct"/>
            <w:shd w:val="clear" w:color="auto" w:fill="CFF0FC"/>
            <w:noWrap/>
            <w:tcMar>
              <w:top w:w="15" w:type="dxa"/>
              <w:left w:w="0" w:type="dxa"/>
              <w:bottom w:w="0" w:type="dxa"/>
              <w:right w:w="15" w:type="dxa"/>
            </w:tcMar>
            <w:vAlign w:val="bottom"/>
            <w:hideMark/>
          </w:tcPr>
          <w:p w14:paraId="730D722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65E1F8D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136D6D"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59BFF8" w14:textId="77777777" w:rsidR="00000000" w:rsidRDefault="00582324">
            <w:pPr>
              <w:pStyle w:val="a3"/>
              <w:spacing w:before="0" w:beforeAutospacing="0" w:after="0" w:afterAutospacing="0"/>
              <w:jc w:val="right"/>
              <w:rPr>
                <w:color w:val="000000"/>
                <w:sz w:val="14"/>
                <w:szCs w:val="14"/>
              </w:rPr>
            </w:pPr>
            <w:r>
              <w:rPr>
                <w:color w:val="000000"/>
                <w:sz w:val="14"/>
                <w:szCs w:val="14"/>
              </w:rPr>
              <w:t>44,814</w:t>
            </w:r>
          </w:p>
        </w:tc>
        <w:tc>
          <w:tcPr>
            <w:tcW w:w="50" w:type="pct"/>
            <w:shd w:val="clear" w:color="auto" w:fill="CFF0FC"/>
            <w:noWrap/>
            <w:tcMar>
              <w:top w:w="15" w:type="dxa"/>
              <w:left w:w="0" w:type="dxa"/>
              <w:bottom w:w="0" w:type="dxa"/>
              <w:right w:w="15" w:type="dxa"/>
            </w:tcMar>
            <w:vAlign w:val="bottom"/>
            <w:hideMark/>
          </w:tcPr>
          <w:p w14:paraId="332670F9"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4D735708" w14:textId="77777777">
        <w:trPr>
          <w:divId w:val="623660763"/>
        </w:trPr>
        <w:tc>
          <w:tcPr>
            <w:tcW w:w="2629" w:type="pct"/>
            <w:shd w:val="clear" w:color="auto" w:fill="FFFFFF"/>
            <w:tcMar>
              <w:top w:w="15" w:type="dxa"/>
              <w:left w:w="0" w:type="dxa"/>
              <w:bottom w:w="0" w:type="dxa"/>
              <w:right w:w="15" w:type="dxa"/>
            </w:tcMar>
            <w:hideMark/>
          </w:tcPr>
          <w:p w14:paraId="09263EE1" w14:textId="77777777" w:rsidR="00000000" w:rsidRDefault="00582324">
            <w:pPr>
              <w:pStyle w:val="a3"/>
              <w:spacing w:before="0" w:beforeAutospacing="0" w:after="0" w:afterAutospacing="0"/>
              <w:rPr>
                <w:color w:val="000000"/>
                <w:sz w:val="14"/>
                <w:szCs w:val="14"/>
              </w:rPr>
            </w:pPr>
            <w:r>
              <w:rPr>
                <w:color w:val="000000"/>
                <w:sz w:val="14"/>
                <w:szCs w:val="14"/>
              </w:rPr>
              <w:t>SUPPLEMENTAL DISCLOSURES OF CASH FLOWS</w:t>
            </w:r>
          </w:p>
          <w:p w14:paraId="1B46F171" w14:textId="77777777" w:rsidR="00000000" w:rsidRDefault="00582324">
            <w:pPr>
              <w:pStyle w:val="a3"/>
              <w:spacing w:before="0" w:beforeAutospacing="0" w:after="0" w:afterAutospacing="0"/>
              <w:rPr>
                <w:color w:val="000000"/>
                <w:sz w:val="14"/>
                <w:szCs w:val="14"/>
              </w:rPr>
            </w:pPr>
            <w:r>
              <w:rPr>
                <w:color w:val="000000"/>
                <w:sz w:val="14"/>
                <w:szCs w:val="14"/>
              </w:rPr>
              <w:t>   INFORMATION:</w:t>
            </w:r>
          </w:p>
        </w:tc>
        <w:tc>
          <w:tcPr>
            <w:tcW w:w="113" w:type="pct"/>
            <w:shd w:val="clear" w:color="auto" w:fill="FFFFFF"/>
            <w:tcMar>
              <w:top w:w="15" w:type="dxa"/>
              <w:left w:w="0" w:type="dxa"/>
              <w:bottom w:w="0" w:type="dxa"/>
              <w:right w:w="15" w:type="dxa"/>
            </w:tcMar>
            <w:vAlign w:val="bottom"/>
            <w:hideMark/>
          </w:tcPr>
          <w:p w14:paraId="0BA93C4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679C9BA"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double" w:sz="6" w:space="0" w:color="000000"/>
            </w:tcBorders>
            <w:shd w:val="clear" w:color="auto" w:fill="FFFFFF"/>
            <w:noWrap/>
            <w:tcMar>
              <w:top w:w="15" w:type="dxa"/>
              <w:left w:w="0" w:type="dxa"/>
              <w:bottom w:w="0" w:type="dxa"/>
              <w:right w:w="15" w:type="dxa"/>
            </w:tcMar>
            <w:vAlign w:val="bottom"/>
            <w:hideMark/>
          </w:tcPr>
          <w:p w14:paraId="393CDA49"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E8EE3C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7AC5518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ED4F11E"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tcBorders>
              <w:top w:val="double" w:sz="6" w:space="0" w:color="000000"/>
            </w:tcBorders>
            <w:shd w:val="clear" w:color="auto" w:fill="FFFFFF"/>
            <w:noWrap/>
            <w:tcMar>
              <w:top w:w="15" w:type="dxa"/>
              <w:left w:w="0" w:type="dxa"/>
              <w:bottom w:w="0" w:type="dxa"/>
              <w:right w:w="15" w:type="dxa"/>
            </w:tcMar>
            <w:vAlign w:val="bottom"/>
            <w:hideMark/>
          </w:tcPr>
          <w:p w14:paraId="4A3306B5"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2951C81"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145EBB42" w14:textId="77777777">
        <w:trPr>
          <w:divId w:val="623660763"/>
        </w:trPr>
        <w:tc>
          <w:tcPr>
            <w:tcW w:w="2629" w:type="pct"/>
            <w:shd w:val="clear" w:color="auto" w:fill="CFF0FC"/>
            <w:tcMar>
              <w:top w:w="15" w:type="dxa"/>
              <w:left w:w="0" w:type="dxa"/>
              <w:bottom w:w="0" w:type="dxa"/>
              <w:right w:w="15" w:type="dxa"/>
            </w:tcMar>
            <w:hideMark/>
          </w:tcPr>
          <w:p w14:paraId="5CDEA366" w14:textId="77777777" w:rsidR="00000000" w:rsidRDefault="00582324">
            <w:pPr>
              <w:pStyle w:val="a3"/>
              <w:spacing w:before="0" w:beforeAutospacing="0" w:after="0" w:afterAutospacing="0"/>
              <w:ind w:left="547"/>
              <w:rPr>
                <w:color w:val="000000"/>
                <w:sz w:val="14"/>
                <w:szCs w:val="14"/>
              </w:rPr>
            </w:pPr>
            <w:r>
              <w:rPr>
                <w:color w:val="000000"/>
                <w:sz w:val="14"/>
                <w:szCs w:val="14"/>
              </w:rPr>
              <w:t>Cash paid for interest</w:t>
            </w:r>
          </w:p>
        </w:tc>
        <w:tc>
          <w:tcPr>
            <w:tcW w:w="113" w:type="pct"/>
            <w:shd w:val="clear" w:color="auto" w:fill="CFF0FC"/>
            <w:tcMar>
              <w:top w:w="15" w:type="dxa"/>
              <w:left w:w="0" w:type="dxa"/>
              <w:bottom w:w="0" w:type="dxa"/>
              <w:right w:w="15" w:type="dxa"/>
            </w:tcMar>
            <w:vAlign w:val="bottom"/>
            <w:hideMark/>
          </w:tcPr>
          <w:p w14:paraId="642F638F"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90B472F"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10B68E93" w14:textId="77777777" w:rsidR="00000000" w:rsidRDefault="00582324">
            <w:pPr>
              <w:pStyle w:val="a3"/>
              <w:spacing w:before="0" w:beforeAutospacing="0" w:after="0" w:afterAutospacing="0"/>
              <w:jc w:val="right"/>
              <w:rPr>
                <w:color w:val="000000"/>
                <w:sz w:val="14"/>
                <w:szCs w:val="14"/>
              </w:rPr>
            </w:pPr>
            <w:r>
              <w:rPr>
                <w:color w:val="000000"/>
                <w:sz w:val="14"/>
                <w:szCs w:val="14"/>
              </w:rPr>
              <w:t>3,397</w:t>
            </w:r>
          </w:p>
        </w:tc>
        <w:tc>
          <w:tcPr>
            <w:tcW w:w="50" w:type="pct"/>
            <w:shd w:val="clear" w:color="auto" w:fill="CFF0FC"/>
            <w:noWrap/>
            <w:tcMar>
              <w:top w:w="15" w:type="dxa"/>
              <w:left w:w="0" w:type="dxa"/>
              <w:bottom w:w="0" w:type="dxa"/>
              <w:right w:w="15" w:type="dxa"/>
            </w:tcMar>
            <w:vAlign w:val="bottom"/>
            <w:hideMark/>
          </w:tcPr>
          <w:p w14:paraId="46884F3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76545C4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D6410F1"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22EAB39C" w14:textId="77777777" w:rsidR="00000000" w:rsidRDefault="00582324">
            <w:pPr>
              <w:pStyle w:val="a3"/>
              <w:spacing w:before="0" w:beforeAutospacing="0" w:after="0" w:afterAutospacing="0"/>
              <w:jc w:val="right"/>
              <w:rPr>
                <w:color w:val="000000"/>
                <w:sz w:val="14"/>
                <w:szCs w:val="14"/>
              </w:rPr>
            </w:pPr>
            <w:r>
              <w:rPr>
                <w:color w:val="000000"/>
                <w:sz w:val="14"/>
                <w:szCs w:val="14"/>
              </w:rPr>
              <w:t>6,539</w:t>
            </w:r>
          </w:p>
        </w:tc>
        <w:tc>
          <w:tcPr>
            <w:tcW w:w="50" w:type="pct"/>
            <w:shd w:val="clear" w:color="auto" w:fill="CFF0FC"/>
            <w:noWrap/>
            <w:tcMar>
              <w:top w:w="15" w:type="dxa"/>
              <w:left w:w="0" w:type="dxa"/>
              <w:bottom w:w="0" w:type="dxa"/>
              <w:right w:w="15" w:type="dxa"/>
            </w:tcMar>
            <w:vAlign w:val="bottom"/>
            <w:hideMark/>
          </w:tcPr>
          <w:p w14:paraId="20F93B25"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1C16E499" w14:textId="77777777">
        <w:trPr>
          <w:divId w:val="623660763"/>
        </w:trPr>
        <w:tc>
          <w:tcPr>
            <w:tcW w:w="2629" w:type="pct"/>
            <w:shd w:val="clear" w:color="auto" w:fill="FFFFFF"/>
            <w:tcMar>
              <w:top w:w="15" w:type="dxa"/>
              <w:left w:w="0" w:type="dxa"/>
              <w:bottom w:w="0" w:type="dxa"/>
              <w:right w:w="15" w:type="dxa"/>
            </w:tcMar>
            <w:hideMark/>
          </w:tcPr>
          <w:p w14:paraId="11428B07" w14:textId="77777777" w:rsidR="00000000" w:rsidRDefault="00582324">
            <w:pPr>
              <w:pStyle w:val="a3"/>
              <w:spacing w:before="0" w:beforeAutospacing="0" w:after="0" w:afterAutospacing="0"/>
              <w:ind w:left="547"/>
              <w:rPr>
                <w:color w:val="000000"/>
                <w:sz w:val="14"/>
                <w:szCs w:val="14"/>
              </w:rPr>
            </w:pPr>
            <w:r>
              <w:rPr>
                <w:color w:val="000000"/>
                <w:sz w:val="14"/>
                <w:szCs w:val="14"/>
              </w:rPr>
              <w:t>Cash paid for income tax</w:t>
            </w:r>
          </w:p>
        </w:tc>
        <w:tc>
          <w:tcPr>
            <w:tcW w:w="113" w:type="pct"/>
            <w:shd w:val="clear" w:color="auto" w:fill="FFFFFF"/>
            <w:tcMar>
              <w:top w:w="15" w:type="dxa"/>
              <w:left w:w="0" w:type="dxa"/>
              <w:bottom w:w="0" w:type="dxa"/>
              <w:right w:w="15" w:type="dxa"/>
            </w:tcMar>
            <w:vAlign w:val="bottom"/>
            <w:hideMark/>
          </w:tcPr>
          <w:p w14:paraId="40DC39E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BA6FD4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304F983C" w14:textId="77777777" w:rsidR="00000000" w:rsidRDefault="00582324">
            <w:pPr>
              <w:pStyle w:val="a3"/>
              <w:spacing w:before="0" w:beforeAutospacing="0" w:after="0" w:afterAutospacing="0"/>
              <w:jc w:val="right"/>
              <w:rPr>
                <w:color w:val="000000"/>
                <w:sz w:val="14"/>
                <w:szCs w:val="14"/>
              </w:rPr>
            </w:pPr>
            <w:r>
              <w:rPr>
                <w:color w:val="000000"/>
                <w:sz w:val="14"/>
                <w:szCs w:val="14"/>
              </w:rPr>
              <w:t>305</w:t>
            </w:r>
          </w:p>
        </w:tc>
        <w:tc>
          <w:tcPr>
            <w:tcW w:w="50" w:type="pct"/>
            <w:shd w:val="clear" w:color="auto" w:fill="FFFFFF"/>
            <w:noWrap/>
            <w:tcMar>
              <w:top w:w="15" w:type="dxa"/>
              <w:left w:w="0" w:type="dxa"/>
              <w:bottom w:w="0" w:type="dxa"/>
              <w:right w:w="15" w:type="dxa"/>
            </w:tcMar>
            <w:vAlign w:val="bottom"/>
            <w:hideMark/>
          </w:tcPr>
          <w:p w14:paraId="789010E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9E58FB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6C63313"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7CA21519" w14:textId="77777777" w:rsidR="00000000" w:rsidRDefault="00582324">
            <w:pPr>
              <w:pStyle w:val="a3"/>
              <w:spacing w:before="0" w:beforeAutospacing="0" w:after="0" w:afterAutospacing="0"/>
              <w:jc w:val="right"/>
              <w:rPr>
                <w:color w:val="000000"/>
                <w:sz w:val="14"/>
                <w:szCs w:val="14"/>
              </w:rPr>
            </w:pPr>
            <w:r>
              <w:rPr>
                <w:color w:val="000000"/>
                <w:sz w:val="14"/>
                <w:szCs w:val="14"/>
              </w:rPr>
              <w:t>72</w:t>
            </w:r>
          </w:p>
        </w:tc>
        <w:tc>
          <w:tcPr>
            <w:tcW w:w="50" w:type="pct"/>
            <w:shd w:val="clear" w:color="auto" w:fill="FFFFFF"/>
            <w:noWrap/>
            <w:tcMar>
              <w:top w:w="15" w:type="dxa"/>
              <w:left w:w="0" w:type="dxa"/>
              <w:bottom w:w="0" w:type="dxa"/>
              <w:right w:w="15" w:type="dxa"/>
            </w:tcMar>
            <w:vAlign w:val="bottom"/>
            <w:hideMark/>
          </w:tcPr>
          <w:p w14:paraId="71105EE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133F943B" w14:textId="77777777">
        <w:trPr>
          <w:divId w:val="623660763"/>
        </w:trPr>
        <w:tc>
          <w:tcPr>
            <w:tcW w:w="2629" w:type="pct"/>
            <w:shd w:val="clear" w:color="auto" w:fill="CFF0FC"/>
            <w:tcMar>
              <w:top w:w="15" w:type="dxa"/>
              <w:left w:w="0" w:type="dxa"/>
              <w:bottom w:w="0" w:type="dxa"/>
              <w:right w:w="15" w:type="dxa"/>
            </w:tcMar>
            <w:hideMark/>
          </w:tcPr>
          <w:p w14:paraId="354C791B" w14:textId="77777777" w:rsidR="00000000" w:rsidRDefault="00582324">
            <w:pPr>
              <w:pStyle w:val="a3"/>
              <w:spacing w:before="0" w:beforeAutospacing="0" w:after="0" w:afterAutospacing="0"/>
              <w:rPr>
                <w:color w:val="000000"/>
                <w:sz w:val="14"/>
                <w:szCs w:val="14"/>
              </w:rPr>
            </w:pPr>
            <w:r>
              <w:rPr>
                <w:color w:val="000000"/>
                <w:sz w:val="14"/>
                <w:szCs w:val="14"/>
              </w:rPr>
              <w:t>SUPPLEMENTAL DISCLOSURES OF NON-CASH</w:t>
            </w:r>
          </w:p>
          <w:p w14:paraId="51CECB23" w14:textId="77777777" w:rsidR="00000000" w:rsidRDefault="00582324">
            <w:pPr>
              <w:pStyle w:val="a3"/>
              <w:spacing w:before="0" w:beforeAutospacing="0" w:after="0" w:afterAutospacing="0"/>
              <w:rPr>
                <w:color w:val="000000"/>
                <w:sz w:val="14"/>
                <w:szCs w:val="14"/>
              </w:rPr>
            </w:pPr>
            <w:r>
              <w:rPr>
                <w:color w:val="000000"/>
                <w:sz w:val="14"/>
                <w:szCs w:val="14"/>
              </w:rPr>
              <w:t>   INVESTING AND FINANCING ACTIVITIES:</w:t>
            </w:r>
          </w:p>
        </w:tc>
        <w:tc>
          <w:tcPr>
            <w:tcW w:w="113" w:type="pct"/>
            <w:shd w:val="clear" w:color="auto" w:fill="CFF0FC"/>
            <w:tcMar>
              <w:top w:w="15" w:type="dxa"/>
              <w:left w:w="0" w:type="dxa"/>
              <w:bottom w:w="0" w:type="dxa"/>
              <w:right w:w="15" w:type="dxa"/>
            </w:tcMar>
            <w:vAlign w:val="bottom"/>
            <w:hideMark/>
          </w:tcPr>
          <w:p w14:paraId="0553DEC0"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D9527D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5E2656DE"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FDF74E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3A950EE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36A4C61"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971" w:type="pct"/>
            <w:shd w:val="clear" w:color="auto" w:fill="CFF0FC"/>
            <w:noWrap/>
            <w:tcMar>
              <w:top w:w="15" w:type="dxa"/>
              <w:left w:w="0" w:type="dxa"/>
              <w:bottom w:w="0" w:type="dxa"/>
              <w:right w:w="15" w:type="dxa"/>
            </w:tcMar>
            <w:vAlign w:val="bottom"/>
            <w:hideMark/>
          </w:tcPr>
          <w:p w14:paraId="2000D425"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D75E0A"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0F5C2710" w14:textId="77777777">
        <w:trPr>
          <w:divId w:val="623660763"/>
        </w:trPr>
        <w:tc>
          <w:tcPr>
            <w:tcW w:w="2629" w:type="pct"/>
            <w:shd w:val="clear" w:color="auto" w:fill="FFFFFF"/>
            <w:tcMar>
              <w:top w:w="15" w:type="dxa"/>
              <w:left w:w="0" w:type="dxa"/>
              <w:bottom w:w="0" w:type="dxa"/>
              <w:right w:w="15" w:type="dxa"/>
            </w:tcMar>
            <w:hideMark/>
          </w:tcPr>
          <w:p w14:paraId="092652CF" w14:textId="77777777" w:rsidR="00000000" w:rsidRDefault="00582324">
            <w:pPr>
              <w:pStyle w:val="a3"/>
              <w:spacing w:before="0" w:beforeAutospacing="0" w:after="0" w:afterAutospacing="0"/>
              <w:ind w:left="547"/>
              <w:rPr>
                <w:color w:val="000000"/>
                <w:sz w:val="14"/>
                <w:szCs w:val="14"/>
              </w:rPr>
            </w:pPr>
            <w:r>
              <w:rPr>
                <w:color w:val="000000"/>
                <w:sz w:val="14"/>
                <w:szCs w:val="14"/>
              </w:rPr>
              <w:t>Accrued purchases of property and equipment</w:t>
            </w:r>
          </w:p>
        </w:tc>
        <w:tc>
          <w:tcPr>
            <w:tcW w:w="113" w:type="pct"/>
            <w:shd w:val="clear" w:color="auto" w:fill="FFFFFF"/>
            <w:tcMar>
              <w:top w:w="15" w:type="dxa"/>
              <w:left w:w="0" w:type="dxa"/>
              <w:bottom w:w="0" w:type="dxa"/>
              <w:right w:w="15" w:type="dxa"/>
            </w:tcMar>
            <w:vAlign w:val="bottom"/>
            <w:hideMark/>
          </w:tcPr>
          <w:p w14:paraId="1E438B9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204F092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131E18B3" w14:textId="77777777" w:rsidR="00000000" w:rsidRDefault="00582324">
            <w:pPr>
              <w:pStyle w:val="a3"/>
              <w:spacing w:before="0" w:beforeAutospacing="0" w:after="0" w:afterAutospacing="0"/>
              <w:jc w:val="right"/>
              <w:rPr>
                <w:color w:val="000000"/>
                <w:sz w:val="14"/>
                <w:szCs w:val="14"/>
              </w:rPr>
            </w:pPr>
            <w:r>
              <w:rPr>
                <w:color w:val="000000"/>
                <w:sz w:val="14"/>
                <w:szCs w:val="14"/>
              </w:rPr>
              <w:t>907</w:t>
            </w:r>
          </w:p>
        </w:tc>
        <w:tc>
          <w:tcPr>
            <w:tcW w:w="50" w:type="pct"/>
            <w:shd w:val="clear" w:color="auto" w:fill="FFFFFF"/>
            <w:noWrap/>
            <w:tcMar>
              <w:top w:w="15" w:type="dxa"/>
              <w:left w:w="0" w:type="dxa"/>
              <w:bottom w:w="0" w:type="dxa"/>
              <w:right w:w="15" w:type="dxa"/>
            </w:tcMar>
            <w:vAlign w:val="bottom"/>
            <w:hideMark/>
          </w:tcPr>
          <w:p w14:paraId="04A6391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77E9B5D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BF2150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711DAD98" w14:textId="77777777" w:rsidR="00000000" w:rsidRDefault="00582324">
            <w:pPr>
              <w:pStyle w:val="a3"/>
              <w:spacing w:before="0" w:beforeAutospacing="0" w:after="0" w:afterAutospacing="0"/>
              <w:jc w:val="right"/>
              <w:rPr>
                <w:color w:val="000000"/>
                <w:sz w:val="14"/>
                <w:szCs w:val="14"/>
              </w:rPr>
            </w:pPr>
            <w:r>
              <w:rPr>
                <w:color w:val="000000"/>
                <w:sz w:val="14"/>
                <w:szCs w:val="14"/>
              </w:rPr>
              <w:t>814</w:t>
            </w:r>
          </w:p>
        </w:tc>
        <w:tc>
          <w:tcPr>
            <w:tcW w:w="50" w:type="pct"/>
            <w:shd w:val="clear" w:color="auto" w:fill="FFFFFF"/>
            <w:noWrap/>
            <w:tcMar>
              <w:top w:w="15" w:type="dxa"/>
              <w:left w:w="0" w:type="dxa"/>
              <w:bottom w:w="0" w:type="dxa"/>
              <w:right w:w="15" w:type="dxa"/>
            </w:tcMar>
            <w:vAlign w:val="bottom"/>
            <w:hideMark/>
          </w:tcPr>
          <w:p w14:paraId="1A998A52"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B742D2C" w14:textId="77777777">
        <w:trPr>
          <w:divId w:val="623660763"/>
        </w:trPr>
        <w:tc>
          <w:tcPr>
            <w:tcW w:w="2629" w:type="pct"/>
            <w:shd w:val="clear" w:color="auto" w:fill="CFF0FC"/>
            <w:tcMar>
              <w:top w:w="15" w:type="dxa"/>
              <w:left w:w="0" w:type="dxa"/>
              <w:bottom w:w="0" w:type="dxa"/>
              <w:right w:w="15" w:type="dxa"/>
            </w:tcMar>
            <w:hideMark/>
          </w:tcPr>
          <w:p w14:paraId="5D5337EC" w14:textId="77777777" w:rsidR="00000000" w:rsidRDefault="00582324">
            <w:pPr>
              <w:pStyle w:val="a3"/>
              <w:spacing w:before="0" w:beforeAutospacing="0" w:after="0" w:afterAutospacing="0"/>
              <w:ind w:left="547"/>
              <w:rPr>
                <w:color w:val="000000"/>
                <w:sz w:val="14"/>
                <w:szCs w:val="14"/>
              </w:rPr>
            </w:pPr>
            <w:r>
              <w:rPr>
                <w:color w:val="000000"/>
                <w:sz w:val="14"/>
                <w:szCs w:val="14"/>
              </w:rPr>
              <w:t>Property and equipment purchased under</w:t>
            </w:r>
          </w:p>
          <w:p w14:paraId="5C9551E4" w14:textId="77777777" w:rsidR="00000000" w:rsidRDefault="00582324">
            <w:pPr>
              <w:pStyle w:val="a3"/>
              <w:spacing w:before="0" w:beforeAutospacing="0" w:after="0" w:afterAutospacing="0"/>
              <w:ind w:left="547"/>
              <w:rPr>
                <w:color w:val="000000"/>
                <w:sz w:val="14"/>
                <w:szCs w:val="14"/>
              </w:rPr>
            </w:pPr>
            <w:r>
              <w:rPr>
                <w:color w:val="000000"/>
                <w:sz w:val="14"/>
                <w:szCs w:val="14"/>
              </w:rPr>
              <w:t>   finance leases</w:t>
            </w:r>
          </w:p>
        </w:tc>
        <w:tc>
          <w:tcPr>
            <w:tcW w:w="113" w:type="pct"/>
            <w:shd w:val="clear" w:color="auto" w:fill="CFF0FC"/>
            <w:tcMar>
              <w:top w:w="15" w:type="dxa"/>
              <w:left w:w="0" w:type="dxa"/>
              <w:bottom w:w="0" w:type="dxa"/>
              <w:right w:w="15" w:type="dxa"/>
            </w:tcMar>
            <w:vAlign w:val="bottom"/>
            <w:hideMark/>
          </w:tcPr>
          <w:p w14:paraId="67738D0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6F5AF97"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2A5E053B" w14:textId="77777777" w:rsidR="00000000" w:rsidRDefault="00582324">
            <w:pPr>
              <w:pStyle w:val="a3"/>
              <w:spacing w:before="0" w:beforeAutospacing="0" w:after="0" w:afterAutospacing="0"/>
              <w:jc w:val="right"/>
              <w:rPr>
                <w:color w:val="000000"/>
                <w:sz w:val="14"/>
                <w:szCs w:val="14"/>
              </w:rPr>
            </w:pPr>
            <w:r>
              <w:rPr>
                <w:color w:val="000000"/>
                <w:sz w:val="14"/>
                <w:szCs w:val="14"/>
              </w:rPr>
              <w:t>1,766</w:t>
            </w:r>
          </w:p>
        </w:tc>
        <w:tc>
          <w:tcPr>
            <w:tcW w:w="50" w:type="pct"/>
            <w:shd w:val="clear" w:color="auto" w:fill="CFF0FC"/>
            <w:noWrap/>
            <w:tcMar>
              <w:top w:w="15" w:type="dxa"/>
              <w:left w:w="0" w:type="dxa"/>
              <w:bottom w:w="0" w:type="dxa"/>
              <w:right w:w="15" w:type="dxa"/>
            </w:tcMar>
            <w:vAlign w:val="bottom"/>
            <w:hideMark/>
          </w:tcPr>
          <w:p w14:paraId="73FB65F2"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0E82F9F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1BD292A"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60E10A52" w14:textId="77777777" w:rsidR="00000000" w:rsidRDefault="00582324">
            <w:pPr>
              <w:pStyle w:val="a3"/>
              <w:spacing w:before="0" w:beforeAutospacing="0" w:after="0" w:afterAutospacing="0"/>
              <w:jc w:val="right"/>
              <w:rPr>
                <w:color w:val="000000"/>
                <w:sz w:val="14"/>
                <w:szCs w:val="14"/>
              </w:rPr>
            </w:pPr>
            <w:r>
              <w:rPr>
                <w:color w:val="000000"/>
                <w:sz w:val="14"/>
                <w:szCs w:val="14"/>
              </w:rPr>
              <w:t>1,704</w:t>
            </w:r>
          </w:p>
        </w:tc>
        <w:tc>
          <w:tcPr>
            <w:tcW w:w="50" w:type="pct"/>
            <w:shd w:val="clear" w:color="auto" w:fill="CFF0FC"/>
            <w:noWrap/>
            <w:tcMar>
              <w:top w:w="15" w:type="dxa"/>
              <w:left w:w="0" w:type="dxa"/>
              <w:bottom w:w="0" w:type="dxa"/>
              <w:right w:w="15" w:type="dxa"/>
            </w:tcMar>
            <w:vAlign w:val="bottom"/>
            <w:hideMark/>
          </w:tcPr>
          <w:p w14:paraId="3455D25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7D876810" w14:textId="77777777">
        <w:trPr>
          <w:divId w:val="623660763"/>
        </w:trPr>
        <w:tc>
          <w:tcPr>
            <w:tcW w:w="2629" w:type="pct"/>
            <w:shd w:val="clear" w:color="auto" w:fill="FFFFFF"/>
            <w:tcMar>
              <w:top w:w="15" w:type="dxa"/>
              <w:left w:w="0" w:type="dxa"/>
              <w:bottom w:w="0" w:type="dxa"/>
              <w:right w:w="15" w:type="dxa"/>
            </w:tcMar>
            <w:hideMark/>
          </w:tcPr>
          <w:p w14:paraId="12F5E6B3" w14:textId="77777777" w:rsidR="00000000" w:rsidRDefault="00582324">
            <w:pPr>
              <w:pStyle w:val="a3"/>
              <w:spacing w:before="0" w:beforeAutospacing="0" w:after="0" w:afterAutospacing="0"/>
              <w:ind w:left="547"/>
              <w:rPr>
                <w:color w:val="000000"/>
                <w:sz w:val="14"/>
                <w:szCs w:val="14"/>
              </w:rPr>
            </w:pPr>
            <w:r>
              <w:rPr>
                <w:color w:val="000000"/>
                <w:sz w:val="14"/>
                <w:szCs w:val="14"/>
              </w:rPr>
              <w:t>Accretion of the redeemable series A-1 preferred</w:t>
            </w:r>
          </w:p>
          <w:p w14:paraId="7EA02236" w14:textId="77777777" w:rsidR="00000000" w:rsidRDefault="00582324">
            <w:pPr>
              <w:pStyle w:val="a3"/>
              <w:spacing w:before="0" w:beforeAutospacing="0" w:after="0" w:afterAutospacing="0"/>
              <w:ind w:left="547"/>
              <w:rPr>
                <w:color w:val="000000"/>
                <w:sz w:val="14"/>
                <w:szCs w:val="14"/>
              </w:rPr>
            </w:pPr>
            <w:r>
              <w:rPr>
                <w:color w:val="000000"/>
                <w:sz w:val="14"/>
                <w:szCs w:val="14"/>
              </w:rPr>
              <w:t>   stock to redeemable value</w:t>
            </w:r>
          </w:p>
        </w:tc>
        <w:tc>
          <w:tcPr>
            <w:tcW w:w="113" w:type="pct"/>
            <w:shd w:val="clear" w:color="auto" w:fill="FFFFFF"/>
            <w:tcMar>
              <w:top w:w="15" w:type="dxa"/>
              <w:left w:w="0" w:type="dxa"/>
              <w:bottom w:w="0" w:type="dxa"/>
              <w:right w:w="15" w:type="dxa"/>
            </w:tcMar>
            <w:vAlign w:val="bottom"/>
            <w:hideMark/>
          </w:tcPr>
          <w:p w14:paraId="604D72DE"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63C953A"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2D359F1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D25516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1BB1D084" w14:textId="77777777" w:rsidR="00000000" w:rsidRDefault="00582324">
            <w:pPr>
              <w:pStyle w:val="a3"/>
              <w:spacing w:before="0" w:beforeAutospacing="0" w:after="0" w:afterAutospacing="0"/>
              <w:jc w:val="right"/>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F990CA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7D864A8F" w14:textId="77777777" w:rsidR="00000000" w:rsidRDefault="00582324">
            <w:pPr>
              <w:pStyle w:val="a3"/>
              <w:spacing w:before="0" w:beforeAutospacing="0" w:after="0" w:afterAutospacing="0"/>
              <w:jc w:val="right"/>
              <w:rPr>
                <w:color w:val="000000"/>
                <w:sz w:val="14"/>
                <w:szCs w:val="14"/>
              </w:rPr>
            </w:pPr>
            <w:r>
              <w:rPr>
                <w:color w:val="000000"/>
                <w:sz w:val="14"/>
                <w:szCs w:val="14"/>
              </w:rPr>
              <w:t>11,059</w:t>
            </w:r>
          </w:p>
        </w:tc>
        <w:tc>
          <w:tcPr>
            <w:tcW w:w="50" w:type="pct"/>
            <w:shd w:val="clear" w:color="auto" w:fill="FFFFFF"/>
            <w:noWrap/>
            <w:tcMar>
              <w:top w:w="15" w:type="dxa"/>
              <w:left w:w="0" w:type="dxa"/>
              <w:bottom w:w="0" w:type="dxa"/>
              <w:right w:w="15" w:type="dxa"/>
            </w:tcMar>
            <w:vAlign w:val="bottom"/>
            <w:hideMark/>
          </w:tcPr>
          <w:p w14:paraId="23E75A7E"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532E46DF" w14:textId="77777777">
        <w:trPr>
          <w:divId w:val="623660763"/>
        </w:trPr>
        <w:tc>
          <w:tcPr>
            <w:tcW w:w="2629" w:type="pct"/>
            <w:shd w:val="clear" w:color="auto" w:fill="CFF0FC"/>
            <w:tcMar>
              <w:top w:w="15" w:type="dxa"/>
              <w:left w:w="0" w:type="dxa"/>
              <w:bottom w:w="0" w:type="dxa"/>
              <w:right w:w="15" w:type="dxa"/>
            </w:tcMar>
            <w:hideMark/>
          </w:tcPr>
          <w:p w14:paraId="4EB03B47" w14:textId="77777777" w:rsidR="00000000" w:rsidRDefault="00582324">
            <w:pPr>
              <w:pStyle w:val="a3"/>
              <w:spacing w:before="0" w:beforeAutospacing="0" w:after="0" w:afterAutospacing="0"/>
              <w:ind w:left="547"/>
              <w:rPr>
                <w:color w:val="000000"/>
                <w:sz w:val="14"/>
                <w:szCs w:val="14"/>
              </w:rPr>
            </w:pPr>
            <w:r>
              <w:rPr>
                <w:color w:val="000000"/>
                <w:sz w:val="14"/>
                <w:szCs w:val="14"/>
              </w:rPr>
              <w:t>Common stock issued to acquire new businesses</w:t>
            </w:r>
          </w:p>
        </w:tc>
        <w:tc>
          <w:tcPr>
            <w:tcW w:w="113" w:type="pct"/>
            <w:shd w:val="clear" w:color="auto" w:fill="CFF0FC"/>
            <w:tcMar>
              <w:top w:w="15" w:type="dxa"/>
              <w:left w:w="0" w:type="dxa"/>
              <w:bottom w:w="0" w:type="dxa"/>
              <w:right w:w="15" w:type="dxa"/>
            </w:tcMar>
            <w:vAlign w:val="bottom"/>
            <w:hideMark/>
          </w:tcPr>
          <w:p w14:paraId="59DEEA3C"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7CCD8A9"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68A0B591" w14:textId="77777777" w:rsidR="00000000" w:rsidRDefault="00582324">
            <w:pPr>
              <w:pStyle w:val="a3"/>
              <w:spacing w:before="0" w:beforeAutospacing="0" w:after="0" w:afterAutospacing="0"/>
              <w:jc w:val="right"/>
              <w:rPr>
                <w:color w:val="000000"/>
                <w:sz w:val="14"/>
                <w:szCs w:val="14"/>
              </w:rPr>
            </w:pPr>
            <w:r>
              <w:rPr>
                <w:color w:val="000000"/>
                <w:sz w:val="14"/>
                <w:szCs w:val="14"/>
              </w:rPr>
              <w:t>2,746</w:t>
            </w:r>
          </w:p>
        </w:tc>
        <w:tc>
          <w:tcPr>
            <w:tcW w:w="50" w:type="pct"/>
            <w:shd w:val="clear" w:color="auto" w:fill="CFF0FC"/>
            <w:noWrap/>
            <w:tcMar>
              <w:top w:w="15" w:type="dxa"/>
              <w:left w:w="0" w:type="dxa"/>
              <w:bottom w:w="0" w:type="dxa"/>
              <w:right w:w="15" w:type="dxa"/>
            </w:tcMar>
            <w:vAlign w:val="bottom"/>
            <w:hideMark/>
          </w:tcPr>
          <w:p w14:paraId="7862644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71ADC125"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31D7A20D"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38709F12" w14:textId="77777777" w:rsidR="00000000" w:rsidRDefault="00582324">
            <w:pPr>
              <w:pStyle w:val="a3"/>
              <w:spacing w:before="0" w:beforeAutospacing="0" w:after="0" w:afterAutospacing="0"/>
              <w:jc w:val="right"/>
              <w:rPr>
                <w:color w:val="000000"/>
                <w:sz w:val="14"/>
                <w:szCs w:val="14"/>
              </w:rPr>
            </w:pPr>
            <w:r>
              <w:rPr>
                <w:color w:val="000000"/>
                <w:sz w:val="14"/>
                <w:szCs w:val="14"/>
              </w:rPr>
              <w:t>25,000</w:t>
            </w:r>
          </w:p>
        </w:tc>
        <w:tc>
          <w:tcPr>
            <w:tcW w:w="50" w:type="pct"/>
            <w:shd w:val="clear" w:color="auto" w:fill="CFF0FC"/>
            <w:noWrap/>
            <w:tcMar>
              <w:top w:w="15" w:type="dxa"/>
              <w:left w:w="0" w:type="dxa"/>
              <w:bottom w:w="0" w:type="dxa"/>
              <w:right w:w="15" w:type="dxa"/>
            </w:tcMar>
            <w:vAlign w:val="bottom"/>
            <w:hideMark/>
          </w:tcPr>
          <w:p w14:paraId="539340EB"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221AE124" w14:textId="77777777">
        <w:trPr>
          <w:divId w:val="623660763"/>
        </w:trPr>
        <w:tc>
          <w:tcPr>
            <w:tcW w:w="2629" w:type="pct"/>
            <w:shd w:val="clear" w:color="auto" w:fill="FFFFFF"/>
            <w:tcMar>
              <w:top w:w="15" w:type="dxa"/>
              <w:left w:w="0" w:type="dxa"/>
              <w:bottom w:w="0" w:type="dxa"/>
              <w:right w:w="15" w:type="dxa"/>
            </w:tcMar>
            <w:hideMark/>
          </w:tcPr>
          <w:p w14:paraId="3161A823" w14:textId="77777777" w:rsidR="00000000" w:rsidRDefault="00582324">
            <w:pPr>
              <w:pStyle w:val="a3"/>
              <w:spacing w:before="0" w:beforeAutospacing="0" w:after="0" w:afterAutospacing="0"/>
              <w:ind w:left="547"/>
              <w:rPr>
                <w:color w:val="000000"/>
                <w:sz w:val="14"/>
                <w:szCs w:val="14"/>
              </w:rPr>
            </w:pPr>
            <w:r>
              <w:rPr>
                <w:color w:val="000000"/>
                <w:sz w:val="14"/>
                <w:szCs w:val="14"/>
              </w:rPr>
              <w:t>Acquisitions unpaid contingent consideration</w:t>
            </w:r>
          </w:p>
        </w:tc>
        <w:tc>
          <w:tcPr>
            <w:tcW w:w="113" w:type="pct"/>
            <w:shd w:val="clear" w:color="auto" w:fill="FFFFFF"/>
            <w:tcMar>
              <w:top w:w="15" w:type="dxa"/>
              <w:left w:w="0" w:type="dxa"/>
              <w:bottom w:w="0" w:type="dxa"/>
              <w:right w:w="15" w:type="dxa"/>
            </w:tcMar>
            <w:vAlign w:val="bottom"/>
            <w:hideMark/>
          </w:tcPr>
          <w:p w14:paraId="0A7C195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5E5C5AC"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6ADD3CDC" w14:textId="77777777" w:rsidR="00000000" w:rsidRDefault="00582324">
            <w:pPr>
              <w:pStyle w:val="a3"/>
              <w:spacing w:before="0" w:beforeAutospacing="0" w:after="0" w:afterAutospacing="0"/>
              <w:jc w:val="right"/>
              <w:rPr>
                <w:color w:val="000000"/>
                <w:sz w:val="14"/>
                <w:szCs w:val="14"/>
              </w:rPr>
            </w:pPr>
            <w:r>
              <w:rPr>
                <w:color w:val="000000"/>
                <w:sz w:val="14"/>
                <w:szCs w:val="14"/>
              </w:rPr>
              <w:t>31,152</w:t>
            </w:r>
          </w:p>
        </w:tc>
        <w:tc>
          <w:tcPr>
            <w:tcW w:w="50" w:type="pct"/>
            <w:shd w:val="clear" w:color="auto" w:fill="FFFFFF"/>
            <w:noWrap/>
            <w:tcMar>
              <w:top w:w="15" w:type="dxa"/>
              <w:left w:w="0" w:type="dxa"/>
              <w:bottom w:w="0" w:type="dxa"/>
              <w:right w:w="15" w:type="dxa"/>
            </w:tcMar>
            <w:vAlign w:val="bottom"/>
            <w:hideMark/>
          </w:tcPr>
          <w:p w14:paraId="4474BAE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4D334134"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2594973"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76638748" w14:textId="77777777" w:rsidR="00000000" w:rsidRDefault="00582324">
            <w:pPr>
              <w:pStyle w:val="a3"/>
              <w:spacing w:before="0" w:beforeAutospacing="0" w:after="0" w:afterAutospacing="0"/>
              <w:jc w:val="right"/>
              <w:rPr>
                <w:color w:val="000000"/>
                <w:sz w:val="14"/>
                <w:szCs w:val="14"/>
              </w:rPr>
            </w:pPr>
            <w:r>
              <w:rPr>
                <w:color w:val="000000"/>
                <w:sz w:val="14"/>
                <w:szCs w:val="14"/>
              </w:rPr>
              <w:t>44,994</w:t>
            </w:r>
          </w:p>
        </w:tc>
        <w:tc>
          <w:tcPr>
            <w:tcW w:w="50" w:type="pct"/>
            <w:shd w:val="clear" w:color="auto" w:fill="FFFFFF"/>
            <w:noWrap/>
            <w:tcMar>
              <w:top w:w="15" w:type="dxa"/>
              <w:left w:w="0" w:type="dxa"/>
              <w:bottom w:w="0" w:type="dxa"/>
              <w:right w:w="15" w:type="dxa"/>
            </w:tcMar>
            <w:vAlign w:val="bottom"/>
            <w:hideMark/>
          </w:tcPr>
          <w:p w14:paraId="6349D26F"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72D4154E" w14:textId="77777777">
        <w:trPr>
          <w:divId w:val="623660763"/>
        </w:trPr>
        <w:tc>
          <w:tcPr>
            <w:tcW w:w="2629" w:type="pct"/>
            <w:shd w:val="clear" w:color="auto" w:fill="CFF0FC"/>
            <w:tcMar>
              <w:top w:w="15" w:type="dxa"/>
              <w:left w:w="0" w:type="dxa"/>
              <w:bottom w:w="0" w:type="dxa"/>
              <w:right w:w="15" w:type="dxa"/>
            </w:tcMar>
            <w:hideMark/>
          </w:tcPr>
          <w:p w14:paraId="7C3BDC5E" w14:textId="77777777" w:rsidR="00000000" w:rsidRDefault="00582324">
            <w:pPr>
              <w:pStyle w:val="a3"/>
              <w:spacing w:before="0" w:beforeAutospacing="0" w:after="0" w:afterAutospacing="0"/>
              <w:ind w:left="547"/>
              <w:rPr>
                <w:color w:val="000000"/>
                <w:sz w:val="14"/>
                <w:szCs w:val="14"/>
              </w:rPr>
            </w:pPr>
            <w:r>
              <w:rPr>
                <w:color w:val="000000"/>
                <w:sz w:val="14"/>
                <w:szCs w:val="14"/>
              </w:rPr>
              <w:t>Offering costs included in accounts payable and</w:t>
            </w:r>
          </w:p>
          <w:p w14:paraId="1F820E7E" w14:textId="77777777" w:rsidR="00000000" w:rsidRDefault="00582324">
            <w:pPr>
              <w:pStyle w:val="a3"/>
              <w:spacing w:before="0" w:beforeAutospacing="0" w:after="0" w:afterAutospacing="0"/>
              <w:ind w:left="547"/>
              <w:rPr>
                <w:color w:val="000000"/>
                <w:sz w:val="14"/>
                <w:szCs w:val="14"/>
              </w:rPr>
            </w:pPr>
            <w:r>
              <w:rPr>
                <w:color w:val="000000"/>
                <w:sz w:val="14"/>
                <w:szCs w:val="14"/>
              </w:rPr>
              <w:t>   other accrued liabilities</w:t>
            </w:r>
          </w:p>
        </w:tc>
        <w:tc>
          <w:tcPr>
            <w:tcW w:w="113" w:type="pct"/>
            <w:shd w:val="clear" w:color="auto" w:fill="CFF0FC"/>
            <w:tcMar>
              <w:top w:w="15" w:type="dxa"/>
              <w:left w:w="0" w:type="dxa"/>
              <w:bottom w:w="0" w:type="dxa"/>
              <w:right w:w="15" w:type="dxa"/>
            </w:tcMar>
            <w:vAlign w:val="bottom"/>
            <w:hideMark/>
          </w:tcPr>
          <w:p w14:paraId="5B72B37D"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5A5CB9B2"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324CC219"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CFF0FC"/>
            <w:noWrap/>
            <w:tcMar>
              <w:top w:w="15" w:type="dxa"/>
              <w:left w:w="0" w:type="dxa"/>
              <w:bottom w:w="0" w:type="dxa"/>
              <w:right w:w="15" w:type="dxa"/>
            </w:tcMar>
            <w:vAlign w:val="bottom"/>
            <w:hideMark/>
          </w:tcPr>
          <w:p w14:paraId="45BF0A28"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CFF0FC"/>
            <w:tcMar>
              <w:top w:w="15" w:type="dxa"/>
              <w:left w:w="0" w:type="dxa"/>
              <w:bottom w:w="0" w:type="dxa"/>
              <w:right w:w="15" w:type="dxa"/>
            </w:tcMar>
            <w:vAlign w:val="bottom"/>
            <w:hideMark/>
          </w:tcPr>
          <w:p w14:paraId="4CF56889"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DB83EF6"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CFF0FC"/>
            <w:noWrap/>
            <w:tcMar>
              <w:top w:w="15" w:type="dxa"/>
              <w:left w:w="0" w:type="dxa"/>
              <w:bottom w:w="0" w:type="dxa"/>
              <w:right w:w="15" w:type="dxa"/>
            </w:tcMar>
            <w:vAlign w:val="bottom"/>
            <w:hideMark/>
          </w:tcPr>
          <w:p w14:paraId="2054527D" w14:textId="77777777" w:rsidR="00000000" w:rsidRDefault="00582324">
            <w:pPr>
              <w:pStyle w:val="a3"/>
              <w:spacing w:before="0" w:beforeAutospacing="0" w:after="0" w:afterAutospacing="0"/>
              <w:jc w:val="right"/>
              <w:rPr>
                <w:color w:val="000000"/>
                <w:sz w:val="14"/>
                <w:szCs w:val="14"/>
              </w:rPr>
            </w:pPr>
            <w:r>
              <w:rPr>
                <w:color w:val="000000"/>
                <w:sz w:val="14"/>
                <w:szCs w:val="14"/>
              </w:rPr>
              <w:t>941</w:t>
            </w:r>
          </w:p>
        </w:tc>
        <w:tc>
          <w:tcPr>
            <w:tcW w:w="50" w:type="pct"/>
            <w:shd w:val="clear" w:color="auto" w:fill="CFF0FC"/>
            <w:noWrap/>
            <w:tcMar>
              <w:top w:w="15" w:type="dxa"/>
              <w:left w:w="0" w:type="dxa"/>
              <w:bottom w:w="0" w:type="dxa"/>
              <w:right w:w="15" w:type="dxa"/>
            </w:tcMar>
            <w:vAlign w:val="bottom"/>
            <w:hideMark/>
          </w:tcPr>
          <w:p w14:paraId="5DED4745" w14:textId="77777777" w:rsidR="00000000" w:rsidRDefault="00582324">
            <w:pPr>
              <w:pStyle w:val="a3"/>
              <w:spacing w:before="0" w:beforeAutospacing="0" w:after="0" w:afterAutospacing="0"/>
              <w:rPr>
                <w:color w:val="000000"/>
                <w:sz w:val="14"/>
                <w:szCs w:val="14"/>
              </w:rPr>
            </w:pPr>
            <w:r>
              <w:rPr>
                <w:color w:val="000000"/>
                <w:sz w:val="14"/>
                <w:szCs w:val="14"/>
              </w:rPr>
              <w:t> </w:t>
            </w:r>
          </w:p>
        </w:tc>
      </w:tr>
      <w:tr w:rsidR="00000000" w14:paraId="43C5DE1D" w14:textId="77777777">
        <w:trPr>
          <w:divId w:val="623660763"/>
        </w:trPr>
        <w:tc>
          <w:tcPr>
            <w:tcW w:w="2629" w:type="pct"/>
            <w:shd w:val="clear" w:color="auto" w:fill="FFFFFF"/>
            <w:tcMar>
              <w:top w:w="15" w:type="dxa"/>
              <w:left w:w="0" w:type="dxa"/>
              <w:bottom w:w="0" w:type="dxa"/>
              <w:right w:w="15" w:type="dxa"/>
            </w:tcMar>
            <w:hideMark/>
          </w:tcPr>
          <w:p w14:paraId="4D42391C" w14:textId="77777777" w:rsidR="00000000" w:rsidRDefault="00582324">
            <w:pPr>
              <w:pStyle w:val="a3"/>
              <w:spacing w:before="0" w:beforeAutospacing="0" w:after="0" w:afterAutospacing="0"/>
              <w:ind w:left="547"/>
              <w:rPr>
                <w:color w:val="000000"/>
                <w:sz w:val="14"/>
                <w:szCs w:val="14"/>
              </w:rPr>
            </w:pPr>
            <w:r>
              <w:rPr>
                <w:color w:val="000000"/>
                <w:sz w:val="14"/>
                <w:szCs w:val="14"/>
              </w:rPr>
              <w:t>Acquisitions contingent consideration paid in shares</w:t>
            </w:r>
          </w:p>
        </w:tc>
        <w:tc>
          <w:tcPr>
            <w:tcW w:w="113" w:type="pct"/>
            <w:shd w:val="clear" w:color="auto" w:fill="FFFFFF"/>
            <w:tcMar>
              <w:top w:w="15" w:type="dxa"/>
              <w:left w:w="0" w:type="dxa"/>
              <w:bottom w:w="0" w:type="dxa"/>
              <w:right w:w="15" w:type="dxa"/>
            </w:tcMar>
            <w:vAlign w:val="bottom"/>
            <w:hideMark/>
          </w:tcPr>
          <w:p w14:paraId="0095D70B"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F677BBE"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1002EB17" w14:textId="77777777" w:rsidR="00000000" w:rsidRDefault="00582324">
            <w:pPr>
              <w:pStyle w:val="a3"/>
              <w:spacing w:before="0" w:beforeAutospacing="0" w:after="0" w:afterAutospacing="0"/>
              <w:jc w:val="right"/>
              <w:rPr>
                <w:color w:val="000000"/>
                <w:sz w:val="14"/>
                <w:szCs w:val="14"/>
              </w:rPr>
            </w:pPr>
            <w:r>
              <w:rPr>
                <w:color w:val="000000"/>
                <w:sz w:val="14"/>
                <w:szCs w:val="14"/>
              </w:rPr>
              <w:t>25,000</w:t>
            </w:r>
          </w:p>
        </w:tc>
        <w:tc>
          <w:tcPr>
            <w:tcW w:w="50" w:type="pct"/>
            <w:shd w:val="clear" w:color="auto" w:fill="FFFFFF"/>
            <w:noWrap/>
            <w:tcMar>
              <w:top w:w="15" w:type="dxa"/>
              <w:left w:w="0" w:type="dxa"/>
              <w:bottom w:w="0" w:type="dxa"/>
              <w:right w:w="15" w:type="dxa"/>
            </w:tcMar>
            <w:vAlign w:val="bottom"/>
            <w:hideMark/>
          </w:tcPr>
          <w:p w14:paraId="5B017FC6"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113" w:type="pct"/>
            <w:shd w:val="clear" w:color="auto" w:fill="FFFFFF"/>
            <w:tcMar>
              <w:top w:w="15" w:type="dxa"/>
              <w:left w:w="0" w:type="dxa"/>
              <w:bottom w:w="0" w:type="dxa"/>
              <w:right w:w="15" w:type="dxa"/>
            </w:tcMar>
            <w:vAlign w:val="bottom"/>
            <w:hideMark/>
          </w:tcPr>
          <w:p w14:paraId="638FA9C7" w14:textId="77777777" w:rsidR="00000000" w:rsidRDefault="00582324">
            <w:pPr>
              <w:pStyle w:val="a3"/>
              <w:spacing w:before="0" w:beforeAutospacing="0" w:after="0" w:afterAutospacing="0"/>
              <w:rPr>
                <w:color w:val="000000"/>
                <w:sz w:val="14"/>
                <w:szCs w:val="14"/>
              </w:rPr>
            </w:pPr>
            <w:r>
              <w:rPr>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9712D88" w14:textId="77777777" w:rsidR="00000000" w:rsidRDefault="00582324">
            <w:pPr>
              <w:pStyle w:val="a3"/>
              <w:spacing w:before="0" w:beforeAutospacing="0" w:after="0" w:afterAutospacing="0"/>
              <w:rPr>
                <w:color w:val="000000"/>
                <w:sz w:val="14"/>
                <w:szCs w:val="14"/>
              </w:rPr>
            </w:pPr>
            <w:r>
              <w:rPr>
                <w:color w:val="000000"/>
                <w:sz w:val="14"/>
                <w:szCs w:val="14"/>
              </w:rPr>
              <w:t>$</w:t>
            </w:r>
          </w:p>
        </w:tc>
        <w:tc>
          <w:tcPr>
            <w:tcW w:w="971" w:type="pct"/>
            <w:shd w:val="clear" w:color="auto" w:fill="FFFFFF"/>
            <w:noWrap/>
            <w:tcMar>
              <w:top w:w="15" w:type="dxa"/>
              <w:left w:w="0" w:type="dxa"/>
              <w:bottom w:w="0" w:type="dxa"/>
              <w:right w:w="15" w:type="dxa"/>
            </w:tcMar>
            <w:vAlign w:val="bottom"/>
            <w:hideMark/>
          </w:tcPr>
          <w:p w14:paraId="25EC8603" w14:textId="77777777" w:rsidR="00000000" w:rsidRDefault="00582324">
            <w:pPr>
              <w:pStyle w:val="a3"/>
              <w:spacing w:before="0" w:beforeAutospacing="0" w:after="0" w:afterAutospacing="0"/>
              <w:jc w:val="right"/>
              <w:rPr>
                <w:color w:val="000000"/>
                <w:sz w:val="14"/>
                <w:szCs w:val="14"/>
              </w:rPr>
            </w:pPr>
            <w:r>
              <w:rPr>
                <w:color w:val="000000"/>
                <w:sz w:val="14"/>
                <w:szCs w:val="14"/>
              </w:rPr>
              <w:t>—</w:t>
            </w:r>
          </w:p>
        </w:tc>
        <w:tc>
          <w:tcPr>
            <w:tcW w:w="50" w:type="pct"/>
            <w:shd w:val="clear" w:color="auto" w:fill="FFFFFF"/>
            <w:noWrap/>
            <w:tcMar>
              <w:top w:w="15" w:type="dxa"/>
              <w:left w:w="0" w:type="dxa"/>
              <w:bottom w:w="0" w:type="dxa"/>
              <w:right w:w="15" w:type="dxa"/>
            </w:tcMar>
            <w:vAlign w:val="bottom"/>
            <w:hideMark/>
          </w:tcPr>
          <w:p w14:paraId="7DDDDF21"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18E6D262" w14:textId="77777777" w:rsidR="00000000" w:rsidRDefault="00582324">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p>
    <w:p w14:paraId="6A21B6E4" w14:textId="77777777" w:rsidR="00000000" w:rsidRDefault="00582324">
      <w:pPr>
        <w:pStyle w:val="a3"/>
        <w:spacing w:before="240" w:beforeAutospacing="0" w:after="0" w:afterAutospacing="0"/>
        <w:jc w:val="center"/>
        <w:rPr>
          <w:sz w:val="20"/>
          <w:szCs w:val="20"/>
        </w:rPr>
      </w:pPr>
      <w:r>
        <w:rPr>
          <w:sz w:val="20"/>
          <w:szCs w:val="20"/>
        </w:rPr>
        <w:t>4</w:t>
      </w:r>
    </w:p>
    <w:p w14:paraId="2A7238FF" w14:textId="77777777" w:rsidR="00000000" w:rsidRDefault="00582324">
      <w:pPr>
        <w:rPr>
          <w:rFonts w:eastAsia="Times New Roman"/>
        </w:rPr>
      </w:pPr>
      <w:r>
        <w:rPr>
          <w:rFonts w:eastAsia="Times New Roman"/>
        </w:rPr>
        <w:pict w14:anchorId="03CB2CFC">
          <v:rect id="_x0000_i1030" style="width:0;height:1.5pt" o:hralign="center" o:hrstd="t" o:hr="t" fillcolor="#a0a0a0" stroked="f"/>
        </w:pict>
      </w:r>
    </w:p>
    <w:p w14:paraId="7B016540" w14:textId="77777777" w:rsidR="00000000" w:rsidRDefault="00582324">
      <w:pPr>
        <w:pStyle w:val="a3"/>
        <w:spacing w:before="0" w:beforeAutospacing="0" w:after="0" w:afterAutospacing="0"/>
        <w:rPr>
          <w:sz w:val="20"/>
          <w:szCs w:val="20"/>
        </w:rPr>
      </w:pPr>
      <w:r>
        <w:rPr>
          <w:sz w:val="20"/>
          <w:szCs w:val="20"/>
        </w:rPr>
        <w:t> </w:t>
      </w:r>
    </w:p>
    <w:p w14:paraId="7F96478D"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 xml:space="preserve">MONTROSE ENVIRONMENTAL GROUP, INC. </w:t>
      </w:r>
    </w:p>
    <w:p w14:paraId="4343DD70"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NOTES TO UNAUDITED CONDENSED CONSOLIDATED FINANCIAL STATEMENTS</w:t>
      </w:r>
    </w:p>
    <w:p w14:paraId="1D92FD36" w14:textId="77777777" w:rsidR="00000000" w:rsidRDefault="00582324">
      <w:pPr>
        <w:pStyle w:val="a3"/>
        <w:spacing w:before="0" w:beforeAutospacing="0" w:after="0" w:afterAutospacing="0"/>
        <w:jc w:val="center"/>
        <w:rPr>
          <w:b/>
          <w:bCs/>
          <w:color w:val="000000"/>
          <w:sz w:val="20"/>
          <w:szCs w:val="20"/>
        </w:rPr>
      </w:pPr>
      <w:r>
        <w:rPr>
          <w:b/>
          <w:bCs/>
          <w:color w:val="000000"/>
          <w:sz w:val="20"/>
          <w:szCs w:val="20"/>
        </w:rPr>
        <w:t>(In thousands, except where otherwise indicated)</w:t>
      </w:r>
    </w:p>
    <w:p w14:paraId="2B08CD32" w14:textId="77777777" w:rsidR="00000000" w:rsidRDefault="00582324">
      <w:pPr>
        <w:pStyle w:val="a3"/>
        <w:shd w:val="clear" w:color="auto" w:fill="FFFFFF"/>
        <w:spacing w:before="240" w:beforeAutospacing="0" w:after="0" w:afterAutospacing="0"/>
        <w:rPr>
          <w:b/>
          <w:bCs/>
          <w:color w:val="000000"/>
          <w:sz w:val="20"/>
          <w:szCs w:val="20"/>
        </w:rPr>
      </w:pPr>
      <w:r>
        <w:rPr>
          <w:b/>
          <w:bCs/>
          <w:color w:val="000000"/>
          <w:sz w:val="20"/>
          <w:szCs w:val="20"/>
        </w:rPr>
        <w:t>1. DESCRIPTION OF THE BUSINESS AND BASIS OF PRESENTATION</w:t>
      </w:r>
    </w:p>
    <w:p w14:paraId="0BB4C312" w14:textId="77777777" w:rsidR="00000000" w:rsidRDefault="00582324">
      <w:pPr>
        <w:pStyle w:val="a3"/>
        <w:shd w:val="clear" w:color="auto" w:fill="FFFFFF"/>
        <w:spacing w:before="120" w:beforeAutospacing="0" w:after="0" w:afterAutospacing="0"/>
        <w:ind w:firstLine="416"/>
        <w:rPr>
          <w:b/>
          <w:bCs/>
          <w:color w:val="000000"/>
          <w:sz w:val="20"/>
          <w:szCs w:val="20"/>
        </w:rPr>
      </w:pPr>
      <w:r>
        <w:rPr>
          <w:b/>
          <w:bCs/>
          <w:color w:val="000000"/>
          <w:sz w:val="20"/>
          <w:szCs w:val="20"/>
        </w:rPr>
        <w:t>Description of the Business</w:t>
      </w:r>
      <w:r>
        <w:rPr>
          <w:color w:val="000000"/>
          <w:sz w:val="20"/>
          <w:szCs w:val="20"/>
        </w:rPr>
        <w:t xml:space="preserve">—Montrose Environmental Group, Inc. (“Montrose” or the “Company”) is a corporation formed on November 2013, under the laws </w:t>
      </w:r>
      <w:r>
        <w:rPr>
          <w:color w:val="000000"/>
          <w:sz w:val="20"/>
          <w:szCs w:val="20"/>
        </w:rPr>
        <w:t xml:space="preserve">of the State of Delaware. The Company has approximately 70 offices across the United States, Canada and Australia and over 2,000 employees as of June 30, 2021. </w:t>
      </w:r>
      <w:r>
        <w:rPr>
          <w:color w:val="000000"/>
        </w:rPr>
        <w:t> </w:t>
      </w:r>
    </w:p>
    <w:p w14:paraId="30AC3D17"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Montrose is an environmental services company serving the recurring environmental needs of a d</w:t>
      </w:r>
      <w:r>
        <w:rPr>
          <w:color w:val="000000"/>
          <w:sz w:val="20"/>
          <w:szCs w:val="20"/>
        </w:rPr>
        <w:t>iverse client base, including Fortune 500 companies and federal, state and local governments through the following three segments:</w:t>
      </w:r>
    </w:p>
    <w:p w14:paraId="5AB073FF"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Assessment, Permitting and Response</w:t>
      </w:r>
      <w:r>
        <w:rPr>
          <w:color w:val="000000"/>
          <w:sz w:val="20"/>
          <w:szCs w:val="20"/>
        </w:rPr>
        <w:t>—</w:t>
      </w:r>
      <w:r>
        <w:rPr>
          <w:color w:val="000000"/>
          <w:sz w:val="20"/>
          <w:szCs w:val="20"/>
          <w:shd w:val="clear" w:color="auto" w:fill="FFFFFF"/>
        </w:rPr>
        <w:t>Through its Assessment, Permitting and Response segment, Montrose provides scientific adv</w:t>
      </w:r>
      <w:r>
        <w:rPr>
          <w:color w:val="000000"/>
          <w:sz w:val="20"/>
          <w:szCs w:val="20"/>
          <w:shd w:val="clear" w:color="auto" w:fill="FFFFFF"/>
        </w:rPr>
        <w:t>isory and consulting services to support environmental assessments, environmental emergency response, and environmental audits and permits for current operations, facility upgrades, new projects, decommissioning projects and development projects. The Compa</w:t>
      </w:r>
      <w:r>
        <w:rPr>
          <w:color w:val="000000"/>
          <w:sz w:val="20"/>
          <w:szCs w:val="20"/>
          <w:shd w:val="clear" w:color="auto" w:fill="FFFFFF"/>
        </w:rPr>
        <w:t>ny’s technical advisory and consulting offerings include regulatory compliance support and planning, environmental, ecosystem and toxicological assessments and support during responses to environmental disruption. Montrose helps clients navigate regulation</w:t>
      </w:r>
      <w:r>
        <w:rPr>
          <w:color w:val="000000"/>
          <w:sz w:val="20"/>
          <w:szCs w:val="20"/>
          <w:shd w:val="clear" w:color="auto" w:fill="FFFFFF"/>
        </w:rPr>
        <w:t>s at the local, state, provincial and federal levels.</w:t>
      </w:r>
    </w:p>
    <w:p w14:paraId="3E5ED2E8"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Measurement and Analysis</w:t>
      </w:r>
      <w:r>
        <w:rPr>
          <w:color w:val="000000"/>
          <w:sz w:val="20"/>
          <w:szCs w:val="20"/>
        </w:rPr>
        <w:t>—</w:t>
      </w:r>
      <w:r>
        <w:rPr>
          <w:color w:val="000000"/>
          <w:sz w:val="20"/>
          <w:szCs w:val="20"/>
          <w:shd w:val="clear" w:color="auto" w:fill="FFFFFF"/>
        </w:rPr>
        <w:t>Through its Measurement and Analysis segment, Montrose’s teams test and analyze air, water and soil to determine concentrations of contaminants,</w:t>
      </w:r>
      <w:r>
        <w:rPr>
          <w:color w:val="000000"/>
          <w:sz w:val="20"/>
          <w:szCs w:val="20"/>
        </w:rPr>
        <w:t xml:space="preserve"> including emerging contaminants </w:t>
      </w:r>
      <w:r>
        <w:rPr>
          <w:color w:val="000000"/>
          <w:sz w:val="20"/>
          <w:szCs w:val="20"/>
        </w:rPr>
        <w:t xml:space="preserve">such as PFAS, </w:t>
      </w:r>
      <w:r>
        <w:rPr>
          <w:color w:val="000000"/>
          <w:sz w:val="20"/>
          <w:szCs w:val="20"/>
          <w:shd w:val="clear" w:color="auto" w:fill="FFFFFF"/>
        </w:rPr>
        <w:t xml:space="preserve">as well as determine the toxicological impact of contaminants on flora, fauna and human health. Montrose’s offerings include source and ambient air testing and monitoring, leak detection and repair (“LDAR”) and advanced analytical laboratory </w:t>
      </w:r>
      <w:r>
        <w:rPr>
          <w:color w:val="000000"/>
          <w:sz w:val="20"/>
          <w:szCs w:val="20"/>
          <w:shd w:val="clear" w:color="auto" w:fill="FFFFFF"/>
        </w:rPr>
        <w:t>services such as air, storm water, wastewater and drinking water analysis.</w:t>
      </w:r>
    </w:p>
    <w:p w14:paraId="56CDDCE1"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Remediation and Reuse</w:t>
      </w:r>
      <w:r>
        <w:rPr>
          <w:color w:val="000000"/>
          <w:sz w:val="20"/>
          <w:szCs w:val="20"/>
        </w:rPr>
        <w:t>—</w:t>
      </w:r>
      <w:r>
        <w:rPr>
          <w:color w:val="000000"/>
          <w:sz w:val="20"/>
          <w:szCs w:val="20"/>
          <w:shd w:val="clear" w:color="auto" w:fill="FFFFFF"/>
        </w:rPr>
        <w:t>Through its Remediation and Reuse segment, Montrose provides clients with engineering, design, implementation and operations and maintenance services, primaril</w:t>
      </w:r>
      <w:r>
        <w:rPr>
          <w:color w:val="000000"/>
          <w:sz w:val="20"/>
          <w:szCs w:val="20"/>
          <w:shd w:val="clear" w:color="auto" w:fill="FFFFFF"/>
        </w:rPr>
        <w:t>y to treat contaminated water, remove contaminants from soil or create biogas from waste. The Company does not own the properties or facilities at which it implements these projects or the underlying liabilities, nor does it own material amounts of the equ</w:t>
      </w:r>
      <w:r>
        <w:rPr>
          <w:color w:val="000000"/>
          <w:sz w:val="20"/>
          <w:szCs w:val="20"/>
          <w:shd w:val="clear" w:color="auto" w:fill="FFFFFF"/>
        </w:rPr>
        <w:t>ipment used in projects; instead, the Company assists clients in designing solutions, managing projects and mitigating their environmental risks and liabilities at their locations.</w:t>
      </w:r>
    </w:p>
    <w:p w14:paraId="329F9255"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Initial Public Offering</w:t>
      </w:r>
      <w:r>
        <w:rPr>
          <w:color w:val="000000"/>
          <w:sz w:val="20"/>
          <w:szCs w:val="20"/>
        </w:rPr>
        <w:t>—On July 27, 2020, the Company completed its initial</w:t>
      </w:r>
      <w:r>
        <w:rPr>
          <w:color w:val="000000"/>
          <w:sz w:val="20"/>
          <w:szCs w:val="20"/>
        </w:rPr>
        <w:t xml:space="preserve"> public offering (“IPO”) of common stock, in which it sold 11,500,000 shares, including 1,500,000 shares issued pursuant to the underwriters full exercise on July 24, 2020 of the underwriters’ option to purchase additional shares, at a price to the public </w:t>
      </w:r>
      <w:r>
        <w:rPr>
          <w:color w:val="000000"/>
          <w:sz w:val="20"/>
          <w:szCs w:val="20"/>
        </w:rPr>
        <w:t>of $15.00 per share, resulting in net proceeds to the Company of approximately $161.3 million after deducting underwriting discounts of $11.2 million. Additionally, the Company offset $4.4 million of deferred IPO costs against IPO proceeds recorded to addi</w:t>
      </w:r>
      <w:r>
        <w:rPr>
          <w:color w:val="000000"/>
          <w:sz w:val="20"/>
          <w:szCs w:val="20"/>
        </w:rPr>
        <w:t xml:space="preserve">tional paid in capital. These deferred IPO costs were directly attributable to the IPO offering in accordance with Staff Accounting Bulletin Topic 5: Miscellaneous Accounting. The Company’s common stock began trading on the New York Stock Exchange on July </w:t>
      </w:r>
      <w:r>
        <w:rPr>
          <w:color w:val="000000"/>
          <w:sz w:val="20"/>
          <w:szCs w:val="20"/>
        </w:rPr>
        <w:t>23, 2020.</w:t>
      </w:r>
    </w:p>
    <w:p w14:paraId="2EBDA49E"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Basis of Presentation</w:t>
      </w:r>
      <w:r>
        <w:rPr>
          <w:color w:val="000000"/>
          <w:sz w:val="20"/>
          <w:szCs w:val="20"/>
        </w:rPr>
        <w:t>—</w:t>
      </w:r>
      <w:r>
        <w:rPr>
          <w:color w:val="000000"/>
          <w:sz w:val="20"/>
          <w:szCs w:val="20"/>
        </w:rPr>
        <w:t xml:space="preserve">The unaudited condensed consolidated financial statements include the operations of the Company and its wholly-owned subsidiaries. These unaudited condensed consolidated financial statements are presented in conformity with accounting principles generally </w:t>
      </w:r>
      <w:r>
        <w:rPr>
          <w:color w:val="000000"/>
          <w:sz w:val="20"/>
          <w:szCs w:val="20"/>
        </w:rPr>
        <w:t>accepted in the United States (“U.S. GAAP”) and have been prepared pursuant to the rules and regulations of the U.S. Securities and Exchange Commission (“SEC”) that permit reduced disclosure for interim periods. The unaudited condensed consolidated financi</w:t>
      </w:r>
      <w:r>
        <w:rPr>
          <w:color w:val="000000"/>
          <w:sz w:val="20"/>
          <w:szCs w:val="20"/>
        </w:rPr>
        <w:t>al statements include all accounts of the Company and, in the opinion of management, include all recurring adjustments and normal accruals necessary for a fair statement of the Company’s financial position, results of operations and cash flows for the date</w:t>
      </w:r>
      <w:r>
        <w:rPr>
          <w:color w:val="000000"/>
          <w:sz w:val="20"/>
          <w:szCs w:val="20"/>
        </w:rPr>
        <w:t>s and periods presented. These unaudited condensed consolidated financial statements should be read in conjunction with the Company’s audited financial statements as of and for the year ended December 31, 2020. Results for interim periods are not necessari</w:t>
      </w:r>
      <w:r>
        <w:rPr>
          <w:color w:val="000000"/>
          <w:sz w:val="20"/>
          <w:szCs w:val="20"/>
        </w:rPr>
        <w:t>ly indicative of the results to be expected during the remainder of the current year or for any future period. All intercompany transactions, accounts and profits, have been eliminated in the unaudited condensed consolidated financial statements.</w:t>
      </w:r>
    </w:p>
    <w:p w14:paraId="3C60FDCB"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2. SUMMAR</w:t>
      </w:r>
      <w:r>
        <w:rPr>
          <w:b/>
          <w:bCs/>
          <w:color w:val="000000"/>
          <w:sz w:val="20"/>
          <w:szCs w:val="20"/>
        </w:rPr>
        <w:t>Y OF NEW ACCOUNTING PRONOUNCEMENTS</w:t>
      </w:r>
    </w:p>
    <w:p w14:paraId="6FF517A8" w14:textId="77777777" w:rsidR="00000000" w:rsidRDefault="00582324">
      <w:pPr>
        <w:pStyle w:val="a3"/>
        <w:shd w:val="clear" w:color="auto" w:fill="FFFFFF"/>
        <w:spacing w:before="120" w:beforeAutospacing="0" w:after="0" w:afterAutospacing="0"/>
        <w:ind w:firstLine="416"/>
        <w:rPr>
          <w:b/>
          <w:bCs/>
          <w:color w:val="000000"/>
          <w:sz w:val="20"/>
          <w:szCs w:val="20"/>
        </w:rPr>
      </w:pPr>
      <w:r>
        <w:rPr>
          <w:b/>
          <w:bCs/>
          <w:color w:val="000000"/>
          <w:sz w:val="20"/>
          <w:szCs w:val="20"/>
        </w:rPr>
        <w:t>Recently Adopted Accounting Pronouncements</w:t>
      </w:r>
      <w:r>
        <w:rPr>
          <w:color w:val="000000"/>
          <w:sz w:val="20"/>
          <w:szCs w:val="20"/>
        </w:rPr>
        <w:t xml:space="preserve">—The Company qualifies as an emerging growth company as defined in the Jumpstart Our Business Startups Act of 2012 (“JOBS Act”) and therefore intends to take advantage of certain </w:t>
      </w:r>
      <w:r>
        <w:rPr>
          <w:color w:val="000000"/>
          <w:sz w:val="20"/>
          <w:szCs w:val="20"/>
        </w:rPr>
        <w:t>exemptions from various public company reporting requirements, including delaying adoption of new or revised accounting standards until those standards apply to private companies. The Company has elected to use this extended transition period under the JOB</w:t>
      </w:r>
      <w:r>
        <w:rPr>
          <w:color w:val="000000"/>
          <w:sz w:val="20"/>
          <w:szCs w:val="20"/>
        </w:rPr>
        <w:t xml:space="preserve">S Act. The effective dates shown below reflect the election to use the extended transition period. However, as June 30, 2021, the end of the </w:t>
      </w:r>
    </w:p>
    <w:p w14:paraId="289969BD" w14:textId="77777777" w:rsidR="00000000" w:rsidRDefault="00582324">
      <w:pPr>
        <w:pStyle w:val="a3"/>
        <w:spacing w:before="240" w:beforeAutospacing="0" w:after="0" w:afterAutospacing="0"/>
        <w:jc w:val="center"/>
        <w:rPr>
          <w:sz w:val="20"/>
          <w:szCs w:val="20"/>
        </w:rPr>
      </w:pPr>
      <w:r>
        <w:rPr>
          <w:sz w:val="20"/>
          <w:szCs w:val="20"/>
        </w:rPr>
        <w:t>5</w:t>
      </w:r>
    </w:p>
    <w:p w14:paraId="207A4C1B" w14:textId="77777777" w:rsidR="00000000" w:rsidRDefault="00582324">
      <w:pPr>
        <w:rPr>
          <w:rFonts w:eastAsia="Times New Roman"/>
        </w:rPr>
      </w:pPr>
      <w:r>
        <w:rPr>
          <w:rFonts w:eastAsia="Times New Roman"/>
        </w:rPr>
        <w:pict w14:anchorId="248978A5">
          <v:rect id="_x0000_i1031" style="width:0;height:1.5pt" o:hralign="center" o:hrstd="t" o:hr="t" fillcolor="#a0a0a0" stroked="f"/>
        </w:pict>
      </w:r>
    </w:p>
    <w:p w14:paraId="0EC6767D" w14:textId="77777777" w:rsidR="00000000" w:rsidRDefault="00582324">
      <w:pPr>
        <w:pStyle w:val="a3"/>
        <w:spacing w:before="0" w:beforeAutospacing="0" w:after="0" w:afterAutospacing="0"/>
        <w:rPr>
          <w:sz w:val="20"/>
          <w:szCs w:val="20"/>
        </w:rPr>
      </w:pPr>
      <w:r>
        <w:rPr>
          <w:sz w:val="20"/>
          <w:szCs w:val="20"/>
        </w:rPr>
        <w:t> </w:t>
      </w:r>
    </w:p>
    <w:p w14:paraId="6EBC423E" w14:textId="77777777" w:rsidR="00000000" w:rsidRDefault="00582324">
      <w:pPr>
        <w:pStyle w:val="a3"/>
        <w:shd w:val="clear" w:color="auto" w:fill="FFFFFF"/>
        <w:spacing w:before="120" w:beforeAutospacing="0" w:after="0" w:afterAutospacing="0"/>
        <w:rPr>
          <w:b/>
          <w:bCs/>
          <w:color w:val="000000"/>
          <w:sz w:val="20"/>
          <w:szCs w:val="20"/>
        </w:rPr>
      </w:pPr>
      <w:r>
        <w:rPr>
          <w:color w:val="000000"/>
          <w:sz w:val="20"/>
          <w:szCs w:val="20"/>
        </w:rPr>
        <w:t xml:space="preserve">Company’s second fiscal quarter, the market value of the Company’s common </w:t>
      </w:r>
      <w:r>
        <w:rPr>
          <w:color w:val="000000"/>
          <w:sz w:val="20"/>
          <w:szCs w:val="20"/>
        </w:rPr>
        <w:t xml:space="preserve">stock held by non-affiliates exceeded $700.0 million and, as a result, the Company will no longer qualify as an emerging growth company at the end of the fiscal year ended December 31, 2021. </w:t>
      </w:r>
    </w:p>
    <w:p w14:paraId="47464480"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December 2019, the Financial Accounting Standards Board (“FASB”) issued Accounting Standard Update (“ASU”) 2019-12, Income Taxes (Topic 740): Simplifying the Accounting for Income Taxes. ASU 2019-12 removes certain exceptions to the general principles i</w:t>
      </w:r>
      <w:r>
        <w:rPr>
          <w:color w:val="000000"/>
          <w:sz w:val="20"/>
          <w:szCs w:val="20"/>
        </w:rPr>
        <w:t xml:space="preserve">n Accounting Standard Codification (“ASC”) 740 and clarifies and amends certain guidance to promote consistent application. The standard was adopted as of January 1, 2021 and did not have a material impact on the Company’s unaudited condensed consolidated </w:t>
      </w:r>
      <w:r>
        <w:rPr>
          <w:color w:val="000000"/>
          <w:sz w:val="20"/>
          <w:szCs w:val="20"/>
        </w:rPr>
        <w:t>financial statements.</w:t>
      </w:r>
    </w:p>
    <w:p w14:paraId="6DBEC5A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June 2018, the FASB issued ASU 2018-07, Compensation—Stock Compensation: Improvements to Nonemployee Share-Based Payment Accounting. Under the revised guidance, the accounting for awards issued to non-employees will be similar to t</w:t>
      </w:r>
      <w:r>
        <w:rPr>
          <w:color w:val="000000"/>
          <w:sz w:val="20"/>
          <w:szCs w:val="20"/>
        </w:rPr>
        <w:t>he accounting for employee awards. The new guidance is effective for fiscal years beginning after December 15, 2019. The standard was adopted as of January 1, 2020 and did not have a material impact on the Company’s unaudited condensed consolidated financi</w:t>
      </w:r>
      <w:r>
        <w:rPr>
          <w:color w:val="000000"/>
          <w:sz w:val="20"/>
          <w:szCs w:val="20"/>
        </w:rPr>
        <w:t>al statements.</w:t>
      </w:r>
    </w:p>
    <w:p w14:paraId="4AB0973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January 2017, the FASB issued ASU 2017-04, Intangibles—Goodwill and Other (Topic 350): Simplifying the Accounting for Goodwill Impairment. The revised guidance eliminates Step 2 of the current goodwill impairment analysis test, which requ</w:t>
      </w:r>
      <w:r>
        <w:rPr>
          <w:color w:val="000000"/>
          <w:sz w:val="20"/>
          <w:szCs w:val="20"/>
        </w:rPr>
        <w:t>ires hypothetical purchase price allocation to measure goodwill impairment. A goodwill impairment loss will instead be measured at the amount by which a reporting unit’s carrying amount exceeds its fair value, not to exceed the carrying amount of goodwill.</w:t>
      </w:r>
      <w:r>
        <w:rPr>
          <w:color w:val="000000"/>
          <w:sz w:val="20"/>
          <w:szCs w:val="20"/>
        </w:rPr>
        <w:t xml:space="preserve"> The revised guidance was adopted as of January 1, 2020 and did not have a material impact on the Company’s unaudited condensed consolidated financial statements.</w:t>
      </w:r>
    </w:p>
    <w:p w14:paraId="73A6F2C6" w14:textId="77777777" w:rsidR="00000000" w:rsidRDefault="00582324">
      <w:pPr>
        <w:pStyle w:val="a3"/>
        <w:shd w:val="clear" w:color="auto" w:fill="FFFFFF"/>
        <w:spacing w:before="240" w:beforeAutospacing="0" w:after="0" w:afterAutospacing="0"/>
        <w:ind w:firstLine="416"/>
      </w:pPr>
      <w:r>
        <w:rPr>
          <w:sz w:val="20"/>
          <w:szCs w:val="20"/>
        </w:rPr>
        <w:t>In February 2016, the FASB issued ASU 2016-02, Leases (Topic 842), to improve financial repor</w:t>
      </w:r>
      <w:r>
        <w:rPr>
          <w:sz w:val="20"/>
          <w:szCs w:val="20"/>
        </w:rPr>
        <w:t xml:space="preserve">ting regarding leasing transactions. In June 2021, with an effective adoption date of January 1, 2021, the Company adopted ASU No. 2016-02, using the modified retrospective transition approach with a cumulative effect adjustment to the income statement as </w:t>
      </w:r>
      <w:r>
        <w:rPr>
          <w:sz w:val="20"/>
          <w:szCs w:val="20"/>
        </w:rPr>
        <w:t>of the date of adoption (Note 6). As a result of electing the modified retrospective approach, the Company is not required to restate comparative periods for the effects of ASC 842. The new standard requires lessees to apply a dual approach, classifying le</w:t>
      </w:r>
      <w:r>
        <w:rPr>
          <w:sz w:val="20"/>
          <w:szCs w:val="20"/>
        </w:rPr>
        <w:t>ases as either finance or operating leases based on the principle of whether or not the lease is effectively a financed purchase by the lessee. This classification determines whether lease expense is recognized based on an effective interest method or on a</w:t>
      </w:r>
      <w:r>
        <w:rPr>
          <w:sz w:val="20"/>
          <w:szCs w:val="20"/>
        </w:rPr>
        <w:t xml:space="preserve"> straight-line basis over the term of the lease. A lessee is also required to record a right-of-use asset and a lease liability, regardless of lease classification. The Company elected the package of practical expedients, which allows it not to have to rea</w:t>
      </w:r>
      <w:r>
        <w:rPr>
          <w:sz w:val="20"/>
          <w:szCs w:val="20"/>
        </w:rPr>
        <w:t>ssess previous conclusions about lease identification, lease classification and initial direct costs. In addition, the Company elected to not record operating lease right-of-use assets or operating lease liabilities for leases with an initial term of 12 mo</w:t>
      </w:r>
      <w:r>
        <w:rPr>
          <w:sz w:val="20"/>
          <w:szCs w:val="20"/>
        </w:rPr>
        <w:t xml:space="preserve">nths or less and elected the practical expedient to not separate lease and non-lease components for all of its leases. </w:t>
      </w:r>
      <w:r>
        <w:rPr>
          <w:color w:val="000000"/>
          <w:sz w:val="20"/>
          <w:szCs w:val="20"/>
          <w:shd w:val="clear" w:color="auto" w:fill="FFFFFF"/>
        </w:rPr>
        <w:t xml:space="preserve">As of adoption date, the Company recognized operating lease right-of-use assets, current operating lease liabilities and operating lease </w:t>
      </w:r>
      <w:r>
        <w:rPr>
          <w:color w:val="000000"/>
          <w:sz w:val="20"/>
          <w:szCs w:val="20"/>
          <w:shd w:val="clear" w:color="auto" w:fill="FFFFFF"/>
        </w:rPr>
        <w:t>liabilities, net of current portion of $24.6 million, $7.3 million and $17.3 million, respectively. The Company recognized finance lease right-of-use assets, current finance lease liabilities and finance lease liabilities, net of current portion of $7.2 mi</w:t>
      </w:r>
      <w:r>
        <w:rPr>
          <w:color w:val="000000"/>
          <w:sz w:val="20"/>
          <w:szCs w:val="20"/>
          <w:shd w:val="clear" w:color="auto" w:fill="FFFFFF"/>
        </w:rPr>
        <w:t>llion, $2.9 million and $4.6 million, respectively.</w:t>
      </w:r>
    </w:p>
    <w:p w14:paraId="66BC7A2F"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Recently Issued Accounting Pronouncements Not Yet Adopted</w:t>
      </w:r>
      <w:r>
        <w:rPr>
          <w:color w:val="000000"/>
          <w:sz w:val="20"/>
          <w:szCs w:val="20"/>
        </w:rPr>
        <w:t>—In August 2020, the FASB issued ASU 2020-06, Debt—Debt with Conversion and Other Options (Subtopic 470-20) and Derivatives and Hedging—Contracts i</w:t>
      </w:r>
      <w:r>
        <w:rPr>
          <w:color w:val="000000"/>
          <w:sz w:val="20"/>
          <w:szCs w:val="20"/>
        </w:rPr>
        <w:t>n Entity’s Own Equity (Subtopic 815-40)—Accounting for Convertible Instruments and Contracts in an Entity’s Own Equity. The ASU simplifies accounting for convertible instruments by removing major separation models required under current U.S. GAAP. Conseque</w:t>
      </w:r>
      <w:r>
        <w:rPr>
          <w:color w:val="000000"/>
          <w:sz w:val="20"/>
          <w:szCs w:val="20"/>
        </w:rPr>
        <w:t xml:space="preserve">ntly, more convertible debt instruments will be reported as a single liability instrument with no separate accounting for embedded conversion features. The ASU removes certain settlement conditions that are required for equity contracts to qualify for the </w:t>
      </w:r>
      <w:r>
        <w:rPr>
          <w:color w:val="000000"/>
          <w:sz w:val="20"/>
          <w:szCs w:val="20"/>
        </w:rPr>
        <w:t>derivative scope exception, which will permit more equity contracts to qualify for the exception. The ASU also simplifies the diluted net income per share calculation in certain areas. The new guidance is effective for fiscal years beginning after December</w:t>
      </w:r>
      <w:r>
        <w:rPr>
          <w:color w:val="000000"/>
          <w:sz w:val="20"/>
          <w:szCs w:val="20"/>
        </w:rPr>
        <w:t xml:space="preserve"> 15, 2023, including interim periods within those fiscal years, and early adoption is permitted. The Company is currently evaluating the impact of the adoption of the standard on the unaudited condensed consolidated financial statements.</w:t>
      </w:r>
    </w:p>
    <w:p w14:paraId="67A83869"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March 2020, the</w:t>
      </w:r>
      <w:r>
        <w:rPr>
          <w:color w:val="000000"/>
          <w:sz w:val="20"/>
          <w:szCs w:val="20"/>
        </w:rPr>
        <w:t xml:space="preserve"> FASB issued ASU 2020-04, Reference Rate Reform (Topic 848): Facilitation of the Effects of Reference Rate Reform on Financial Reporting. ASU 2020-04 provides optional expedients and exceptions for applying U.S. GAAP to contracts, hedging relationships and</w:t>
      </w:r>
      <w:r>
        <w:rPr>
          <w:color w:val="000000"/>
          <w:sz w:val="20"/>
          <w:szCs w:val="20"/>
        </w:rPr>
        <w:t xml:space="preserve"> other transactions affected by the expected transition away from reference rates that are expected to be discontinued, such as LIBOR. ASU 2020-04 was effective upon issuance. The Company may elect to apply the guidance prospectively through December 31, 2</w:t>
      </w:r>
      <w:r>
        <w:rPr>
          <w:color w:val="000000"/>
          <w:sz w:val="20"/>
          <w:szCs w:val="20"/>
        </w:rPr>
        <w:t>022. The Company is currently evaluating the impact of the adoption of the standard on the unaudited condensed consolidated financial statements.</w:t>
      </w:r>
    </w:p>
    <w:p w14:paraId="3B88FE1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June 2016, the FASB issued ASU 2016-13, Financial Instruments—Credit Losses (Topic 326). The standard intro</w:t>
      </w:r>
      <w:r>
        <w:rPr>
          <w:color w:val="000000"/>
          <w:sz w:val="20"/>
          <w:szCs w:val="20"/>
        </w:rPr>
        <w:t>duces a new model for recognizing credit losses on financial instruments based on an estimate of current expected credit losses and will apply to trade receivables. The new guidance will be effective for the Company’s annual and interim periods beginning a</w:t>
      </w:r>
      <w:r>
        <w:rPr>
          <w:color w:val="000000"/>
          <w:sz w:val="20"/>
          <w:szCs w:val="20"/>
        </w:rPr>
        <w:t xml:space="preserve">fter December 15, </w:t>
      </w:r>
    </w:p>
    <w:p w14:paraId="1188B26B" w14:textId="77777777" w:rsidR="00000000" w:rsidRDefault="00582324">
      <w:pPr>
        <w:pStyle w:val="a3"/>
        <w:spacing w:before="240" w:beforeAutospacing="0" w:after="0" w:afterAutospacing="0"/>
        <w:jc w:val="center"/>
        <w:rPr>
          <w:sz w:val="20"/>
          <w:szCs w:val="20"/>
        </w:rPr>
      </w:pPr>
      <w:r>
        <w:rPr>
          <w:sz w:val="20"/>
          <w:szCs w:val="20"/>
        </w:rPr>
        <w:t>6</w:t>
      </w:r>
    </w:p>
    <w:p w14:paraId="4431623A" w14:textId="77777777" w:rsidR="00000000" w:rsidRDefault="00582324">
      <w:pPr>
        <w:rPr>
          <w:rFonts w:eastAsia="Times New Roman"/>
        </w:rPr>
      </w:pPr>
      <w:r>
        <w:rPr>
          <w:rFonts w:eastAsia="Times New Roman"/>
        </w:rPr>
        <w:pict w14:anchorId="48E61527">
          <v:rect id="_x0000_i1032" style="width:0;height:1.5pt" o:hralign="center" o:hrstd="t" o:hr="t" fillcolor="#a0a0a0" stroked="f"/>
        </w:pict>
      </w:r>
    </w:p>
    <w:p w14:paraId="35921D1E" w14:textId="77777777" w:rsidR="00000000" w:rsidRDefault="00582324">
      <w:pPr>
        <w:pStyle w:val="a3"/>
        <w:spacing w:before="0" w:beforeAutospacing="0" w:after="0" w:afterAutospacing="0"/>
        <w:rPr>
          <w:sz w:val="20"/>
          <w:szCs w:val="20"/>
        </w:rPr>
      </w:pPr>
      <w:r>
        <w:rPr>
          <w:sz w:val="20"/>
          <w:szCs w:val="20"/>
        </w:rPr>
        <w:t> </w:t>
      </w:r>
    </w:p>
    <w:p w14:paraId="4173DDC4" w14:textId="77777777" w:rsidR="00000000" w:rsidRDefault="00582324">
      <w:pPr>
        <w:pStyle w:val="a3"/>
        <w:shd w:val="clear" w:color="auto" w:fill="FFFFFF"/>
        <w:spacing w:before="240" w:beforeAutospacing="0" w:after="0" w:afterAutospacing="0"/>
        <w:rPr>
          <w:color w:val="000000"/>
          <w:sz w:val="20"/>
          <w:szCs w:val="20"/>
        </w:rPr>
      </w:pPr>
      <w:r>
        <w:rPr>
          <w:color w:val="000000"/>
          <w:sz w:val="20"/>
          <w:szCs w:val="20"/>
        </w:rPr>
        <w:t>2022. The Company does not anticipate that the adoption of this standard will have a material impact on the unaudited condensed consolidated financial statements.</w:t>
      </w:r>
    </w:p>
    <w:p w14:paraId="150F8830" w14:textId="77777777" w:rsidR="00000000" w:rsidRDefault="00582324">
      <w:pPr>
        <w:pStyle w:val="a3"/>
        <w:shd w:val="clear" w:color="auto" w:fill="FFFFFF"/>
        <w:spacing w:before="360" w:beforeAutospacing="0" w:after="0" w:afterAutospacing="0"/>
        <w:rPr>
          <w:b/>
          <w:bCs/>
          <w:sz w:val="20"/>
          <w:szCs w:val="20"/>
        </w:rPr>
      </w:pPr>
      <w:r>
        <w:rPr>
          <w:b/>
          <w:bCs/>
          <w:sz w:val="20"/>
          <w:szCs w:val="20"/>
        </w:rPr>
        <w:t>3. REVENUES AND ACCOUNTS RECEIVAB</w:t>
      </w:r>
      <w:r>
        <w:rPr>
          <w:b/>
          <w:bCs/>
          <w:sz w:val="20"/>
          <w:szCs w:val="20"/>
        </w:rPr>
        <w:t>LE</w:t>
      </w:r>
    </w:p>
    <w:p w14:paraId="0FE8671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Company’s main revenue sources derive from the following revenue streams:</w:t>
      </w:r>
    </w:p>
    <w:p w14:paraId="61C6B18B"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Assessment, Permitting and Response Revenues</w:t>
      </w:r>
      <w:r>
        <w:rPr>
          <w:color w:val="000000"/>
          <w:sz w:val="20"/>
          <w:szCs w:val="20"/>
        </w:rPr>
        <w:t xml:space="preserve">—Assessment, Permitting and Response revenues are generated from multidisciplinary environmental consulting services. The majority </w:t>
      </w:r>
      <w:r>
        <w:rPr>
          <w:color w:val="000000"/>
          <w:sz w:val="20"/>
          <w:szCs w:val="20"/>
        </w:rPr>
        <w:t>of the contracts are fixed-price or time and material based.</w:t>
      </w:r>
    </w:p>
    <w:p w14:paraId="1E960E72"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Measurement and Analysis Revenues</w:t>
      </w:r>
      <w:r>
        <w:rPr>
          <w:color w:val="000000"/>
          <w:sz w:val="20"/>
          <w:szCs w:val="20"/>
        </w:rPr>
        <w:t>—Measurement and Analysis revenues are generated from emissions sampling, testing and reporting services, leak detection services, ambient air monitoring services</w:t>
      </w:r>
      <w:r>
        <w:rPr>
          <w:color w:val="000000"/>
          <w:sz w:val="20"/>
          <w:szCs w:val="20"/>
        </w:rPr>
        <w:t xml:space="preserve"> and laboratory testing services. The majority of the contracts are fixed-price or time-and-materials based.</w:t>
      </w:r>
    </w:p>
    <w:p w14:paraId="7DB4E2EF"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Remediation and Reuse Revenues</w:t>
      </w:r>
      <w:r>
        <w:rPr>
          <w:color w:val="000000"/>
          <w:sz w:val="20"/>
          <w:szCs w:val="20"/>
        </w:rPr>
        <w:t>—</w:t>
      </w:r>
      <w:r>
        <w:rPr>
          <w:color w:val="000000"/>
          <w:sz w:val="20"/>
          <w:szCs w:val="20"/>
          <w:shd w:val="clear" w:color="auto" w:fill="FFFFFF"/>
        </w:rPr>
        <w:t>Remediation and Reuse revenues are generated from operating and maintenance (“O&amp;M”) services (on biogas and waste wa</w:t>
      </w:r>
      <w:r>
        <w:rPr>
          <w:color w:val="000000"/>
          <w:sz w:val="20"/>
          <w:szCs w:val="20"/>
          <w:shd w:val="clear" w:color="auto" w:fill="FFFFFF"/>
        </w:rPr>
        <w:t xml:space="preserve">ter treatment facilities), as well as remediation, monitoring and environmental compliance services. Services on the majority of O&amp;M contracts are provided under long-term fixed-fee contracts. Remediation, monitoring and environmental compliance contracts </w:t>
      </w:r>
      <w:r>
        <w:rPr>
          <w:color w:val="000000"/>
          <w:sz w:val="20"/>
          <w:szCs w:val="20"/>
          <w:shd w:val="clear" w:color="auto" w:fill="FFFFFF"/>
        </w:rPr>
        <w:t>are predominantly fixed-fee and time-and-materials based.</w:t>
      </w:r>
    </w:p>
    <w:p w14:paraId="1F72DB85"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Disaggregation of Revenue</w:t>
      </w:r>
      <w:r>
        <w:rPr>
          <w:color w:val="000000"/>
          <w:sz w:val="20"/>
          <w:szCs w:val="20"/>
        </w:rPr>
        <w:t>—The Company disaggregates revenue by its operating segments</w:t>
      </w:r>
      <w:r>
        <w:rPr>
          <w:b/>
          <w:bCs/>
          <w:color w:val="000000"/>
          <w:sz w:val="20"/>
          <w:szCs w:val="20"/>
        </w:rPr>
        <w:t>.</w:t>
      </w:r>
      <w:r>
        <w:rPr>
          <w:color w:val="000000"/>
          <w:sz w:val="20"/>
          <w:szCs w:val="20"/>
        </w:rPr>
        <w:t> </w:t>
      </w:r>
      <w:r>
        <w:rPr>
          <w:color w:val="000000"/>
          <w:sz w:val="20"/>
          <w:szCs w:val="20"/>
        </w:rPr>
        <w:t>The Company believes disaggregating revenue into these categories achieves the disclosure objectives to depict how the nature, amount, and uncertainty of revenue and cash flows are affected by economic factors. Disaggregated revenue disclosures are provide</w:t>
      </w:r>
      <w:r>
        <w:rPr>
          <w:color w:val="000000"/>
          <w:sz w:val="20"/>
          <w:szCs w:val="20"/>
        </w:rPr>
        <w:t>d in Note 20.</w:t>
      </w:r>
    </w:p>
    <w:p w14:paraId="145C37FD"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Contract Balances</w:t>
      </w:r>
      <w:r>
        <w:rPr>
          <w:color w:val="000000"/>
          <w:sz w:val="20"/>
          <w:szCs w:val="20"/>
        </w:rPr>
        <w:t>—The Company presents contract balances for unbilled receivables (contract assets), as well as customer advances, deposits and deferred revenue (contract liabilities) within contract assets and accounts payable and accrued ex</w:t>
      </w:r>
      <w:r>
        <w:rPr>
          <w:color w:val="000000"/>
          <w:sz w:val="20"/>
          <w:szCs w:val="20"/>
        </w:rPr>
        <w:t>penses, respectively, on the unaudited condensed consolidated statements of financial position. Amounts are generally billed at periodic intervals (e.g., weekly, bi-weekly or monthly) as work progresses in accordance with agreed-upon contractual terms. The</w:t>
      </w:r>
      <w:r>
        <w:rPr>
          <w:color w:val="000000"/>
          <w:sz w:val="20"/>
          <w:szCs w:val="20"/>
        </w:rPr>
        <w:t xml:space="preserve"> Company utilizes the practical expedient to not adjust the promised amount of consideration for the effects of a significant financing component as the period between when the Company transfers services to a customer and when the customer pays for those s</w:t>
      </w:r>
      <w:r>
        <w:rPr>
          <w:color w:val="000000"/>
          <w:sz w:val="20"/>
          <w:szCs w:val="20"/>
        </w:rPr>
        <w:t>ervices is one year or less. Amounts recorded as unbilled receivables are generally for services the Company is not entitled to bill based on the passage of time. Under certain contracts, billing occurs subsequent to revenue recognition, resulting in contr</w:t>
      </w:r>
      <w:r>
        <w:rPr>
          <w:color w:val="000000"/>
          <w:sz w:val="20"/>
          <w:szCs w:val="20"/>
        </w:rPr>
        <w:t>act assets. The Company sometimes receives advances or deposits from customers before revenue is recognized, resulting in contract liabilities.</w:t>
      </w:r>
    </w:p>
    <w:p w14:paraId="30DCA10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table presents the Company’s contract balances:</w:t>
      </w:r>
    </w:p>
    <w:p w14:paraId="1B1970C4"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721"/>
        <w:gridCol w:w="60"/>
        <w:gridCol w:w="106"/>
        <w:gridCol w:w="650"/>
        <w:gridCol w:w="60"/>
        <w:gridCol w:w="60"/>
        <w:gridCol w:w="106"/>
        <w:gridCol w:w="991"/>
        <w:gridCol w:w="60"/>
      </w:tblGrid>
      <w:tr w:rsidR="00000000" w14:paraId="018D5FB1" w14:textId="77777777">
        <w:trPr>
          <w:divId w:val="1459565896"/>
        </w:trPr>
        <w:tc>
          <w:tcPr>
            <w:tcW w:w="3281" w:type="pct"/>
            <w:shd w:val="clear" w:color="auto" w:fill="FFFFFF"/>
            <w:tcMar>
              <w:top w:w="15" w:type="dxa"/>
              <w:left w:w="0" w:type="dxa"/>
              <w:bottom w:w="0" w:type="dxa"/>
              <w:right w:w="15" w:type="dxa"/>
            </w:tcMar>
            <w:vAlign w:val="bottom"/>
            <w:hideMark/>
          </w:tcPr>
          <w:p w14:paraId="3A07DB08" w14:textId="77777777" w:rsidR="00000000" w:rsidRDefault="00582324">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14:paraId="5A6A94D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shd w:val="clear" w:color="auto" w:fill="FFFFFF"/>
            <w:tcMar>
              <w:top w:w="15" w:type="dxa"/>
              <w:left w:w="0" w:type="dxa"/>
              <w:bottom w:w="0" w:type="dxa"/>
              <w:right w:w="15" w:type="dxa"/>
            </w:tcMar>
            <w:vAlign w:val="bottom"/>
            <w:hideMark/>
          </w:tcPr>
          <w:p w14:paraId="45DD4B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55B7CAE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bottom"/>
            <w:hideMark/>
          </w:tcPr>
          <w:p w14:paraId="06EFABA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shd w:val="clear" w:color="auto" w:fill="FFFFFF"/>
            <w:tcMar>
              <w:top w:w="15" w:type="dxa"/>
              <w:left w:w="0" w:type="dxa"/>
              <w:bottom w:w="0" w:type="dxa"/>
              <w:right w:w="15" w:type="dxa"/>
            </w:tcMar>
            <w:vAlign w:val="bottom"/>
            <w:hideMark/>
          </w:tcPr>
          <w:p w14:paraId="3399E8A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32805D7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254EA77" w14:textId="77777777">
        <w:trPr>
          <w:divId w:val="1459565896"/>
        </w:trPr>
        <w:tc>
          <w:tcPr>
            <w:tcW w:w="3281" w:type="pct"/>
            <w:shd w:val="clear" w:color="auto" w:fill="FFFFFF"/>
            <w:tcMar>
              <w:top w:w="15" w:type="dxa"/>
              <w:left w:w="0" w:type="dxa"/>
              <w:bottom w:w="0" w:type="dxa"/>
              <w:right w:w="15" w:type="dxa"/>
            </w:tcMar>
            <w:vAlign w:val="bottom"/>
            <w:hideMark/>
          </w:tcPr>
          <w:p w14:paraId="279CC02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77" w:type="pct"/>
            <w:shd w:val="clear" w:color="auto" w:fill="FFFFFF"/>
            <w:tcMar>
              <w:top w:w="15" w:type="dxa"/>
              <w:left w:w="0" w:type="dxa"/>
              <w:bottom w:w="0" w:type="dxa"/>
              <w:right w:w="15" w:type="dxa"/>
            </w:tcMar>
            <w:vAlign w:val="bottom"/>
            <w:hideMark/>
          </w:tcPr>
          <w:p w14:paraId="43844A2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tcBorders>
              <w:bottom w:val="single" w:sz="6" w:space="0" w:color="000000"/>
            </w:tcBorders>
            <w:shd w:val="clear" w:color="auto" w:fill="FFFFFF"/>
            <w:tcMar>
              <w:top w:w="15" w:type="dxa"/>
              <w:left w:w="0" w:type="dxa"/>
              <w:bottom w:w="0" w:type="dxa"/>
              <w:right w:w="15" w:type="dxa"/>
            </w:tcMar>
            <w:vAlign w:val="bottom"/>
            <w:hideMark/>
          </w:tcPr>
          <w:p w14:paraId="451D58B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11E0B8B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bottom"/>
            <w:hideMark/>
          </w:tcPr>
          <w:p w14:paraId="751B680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tcBorders>
              <w:bottom w:val="single" w:sz="6" w:space="0" w:color="000000"/>
            </w:tcBorders>
            <w:shd w:val="clear" w:color="auto" w:fill="FFFFFF"/>
            <w:tcMar>
              <w:top w:w="15" w:type="dxa"/>
              <w:left w:w="0" w:type="dxa"/>
              <w:bottom w:w="0" w:type="dxa"/>
              <w:right w:w="15" w:type="dxa"/>
            </w:tcMar>
            <w:vAlign w:val="bottom"/>
            <w:hideMark/>
          </w:tcPr>
          <w:p w14:paraId="3773823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6556E9D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4D7F87D" w14:textId="77777777">
        <w:trPr>
          <w:divId w:val="1459565896"/>
        </w:trPr>
        <w:tc>
          <w:tcPr>
            <w:tcW w:w="3281" w:type="pct"/>
            <w:shd w:val="clear" w:color="auto" w:fill="CFF0FC"/>
            <w:tcMar>
              <w:top w:w="15" w:type="dxa"/>
              <w:left w:w="0" w:type="dxa"/>
              <w:bottom w:w="0" w:type="dxa"/>
              <w:right w:w="15" w:type="dxa"/>
            </w:tcMar>
            <w:hideMark/>
          </w:tcPr>
          <w:p w14:paraId="1EB3B485" w14:textId="77777777" w:rsidR="00000000" w:rsidRDefault="00582324">
            <w:pPr>
              <w:pStyle w:val="a3"/>
              <w:spacing w:before="0" w:beforeAutospacing="0" w:after="0" w:afterAutospacing="0"/>
              <w:rPr>
                <w:color w:val="000000"/>
                <w:sz w:val="18"/>
                <w:szCs w:val="18"/>
              </w:rPr>
            </w:pPr>
            <w:r>
              <w:rPr>
                <w:color w:val="000000"/>
                <w:sz w:val="18"/>
                <w:szCs w:val="18"/>
              </w:rPr>
              <w:t>Contract assets</w:t>
            </w:r>
          </w:p>
        </w:tc>
        <w:tc>
          <w:tcPr>
            <w:tcW w:w="77" w:type="pct"/>
            <w:shd w:val="clear" w:color="auto" w:fill="CFF0FC"/>
            <w:tcMar>
              <w:top w:w="15" w:type="dxa"/>
              <w:left w:w="0" w:type="dxa"/>
              <w:bottom w:w="0" w:type="dxa"/>
              <w:right w:w="15" w:type="dxa"/>
            </w:tcMar>
            <w:vAlign w:val="bottom"/>
            <w:hideMark/>
          </w:tcPr>
          <w:p w14:paraId="6F210B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B9E4F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tcBorders>
            <w:shd w:val="clear" w:color="auto" w:fill="CFF0FC"/>
            <w:noWrap/>
            <w:tcMar>
              <w:top w:w="15" w:type="dxa"/>
              <w:left w:w="0" w:type="dxa"/>
              <w:bottom w:w="0" w:type="dxa"/>
              <w:right w:w="15" w:type="dxa"/>
            </w:tcMar>
            <w:vAlign w:val="bottom"/>
            <w:hideMark/>
          </w:tcPr>
          <w:p w14:paraId="33922A5B" w14:textId="77777777" w:rsidR="00000000" w:rsidRDefault="00582324">
            <w:pPr>
              <w:pStyle w:val="a3"/>
              <w:spacing w:before="0" w:beforeAutospacing="0" w:after="0" w:afterAutospacing="0"/>
              <w:jc w:val="right"/>
              <w:rPr>
                <w:color w:val="000000"/>
                <w:sz w:val="18"/>
                <w:szCs w:val="18"/>
              </w:rPr>
            </w:pPr>
            <w:r>
              <w:rPr>
                <w:color w:val="000000"/>
                <w:sz w:val="18"/>
                <w:szCs w:val="18"/>
              </w:rPr>
              <w:t>55,033</w:t>
            </w:r>
          </w:p>
        </w:tc>
        <w:tc>
          <w:tcPr>
            <w:tcW w:w="50" w:type="pct"/>
            <w:shd w:val="clear" w:color="auto" w:fill="CFF0FC"/>
            <w:noWrap/>
            <w:tcMar>
              <w:top w:w="15" w:type="dxa"/>
              <w:left w:w="0" w:type="dxa"/>
              <w:bottom w:w="0" w:type="dxa"/>
              <w:right w:w="15" w:type="dxa"/>
            </w:tcMar>
            <w:vAlign w:val="bottom"/>
            <w:hideMark/>
          </w:tcPr>
          <w:p w14:paraId="096FAF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bottom"/>
            <w:hideMark/>
          </w:tcPr>
          <w:p w14:paraId="1CA28A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9ECA5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tcBorders>
            <w:shd w:val="clear" w:color="auto" w:fill="CFF0FC"/>
            <w:noWrap/>
            <w:tcMar>
              <w:top w:w="15" w:type="dxa"/>
              <w:left w:w="0" w:type="dxa"/>
              <w:bottom w:w="0" w:type="dxa"/>
              <w:right w:w="15" w:type="dxa"/>
            </w:tcMar>
            <w:vAlign w:val="bottom"/>
            <w:hideMark/>
          </w:tcPr>
          <w:p w14:paraId="40C42BB7" w14:textId="77777777" w:rsidR="00000000" w:rsidRDefault="00582324">
            <w:pPr>
              <w:pStyle w:val="a3"/>
              <w:spacing w:before="0" w:beforeAutospacing="0" w:after="0" w:afterAutospacing="0"/>
              <w:jc w:val="right"/>
              <w:rPr>
                <w:color w:val="000000"/>
                <w:sz w:val="18"/>
                <w:szCs w:val="18"/>
              </w:rPr>
            </w:pPr>
            <w:r>
              <w:rPr>
                <w:color w:val="000000"/>
                <w:sz w:val="18"/>
                <w:szCs w:val="18"/>
              </w:rPr>
              <w:t>38,576</w:t>
            </w:r>
          </w:p>
        </w:tc>
        <w:tc>
          <w:tcPr>
            <w:tcW w:w="50" w:type="pct"/>
            <w:shd w:val="clear" w:color="auto" w:fill="CFF0FC"/>
            <w:noWrap/>
            <w:tcMar>
              <w:top w:w="15" w:type="dxa"/>
              <w:left w:w="0" w:type="dxa"/>
              <w:bottom w:w="0" w:type="dxa"/>
              <w:right w:w="15" w:type="dxa"/>
            </w:tcMar>
            <w:vAlign w:val="bottom"/>
            <w:hideMark/>
          </w:tcPr>
          <w:p w14:paraId="40CDDE5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87A3DF8" w14:textId="77777777">
        <w:trPr>
          <w:divId w:val="1459565896"/>
        </w:trPr>
        <w:tc>
          <w:tcPr>
            <w:tcW w:w="3281" w:type="pct"/>
            <w:shd w:val="clear" w:color="auto" w:fill="FFFFFF"/>
            <w:tcMar>
              <w:top w:w="15" w:type="dxa"/>
              <w:left w:w="0" w:type="dxa"/>
              <w:bottom w:w="0" w:type="dxa"/>
              <w:right w:w="15" w:type="dxa"/>
            </w:tcMar>
            <w:hideMark/>
          </w:tcPr>
          <w:p w14:paraId="5C64AC6C" w14:textId="77777777" w:rsidR="00000000" w:rsidRDefault="00582324">
            <w:pPr>
              <w:pStyle w:val="a3"/>
              <w:spacing w:before="0" w:beforeAutospacing="0" w:after="0" w:afterAutospacing="0"/>
              <w:rPr>
                <w:color w:val="000000"/>
                <w:sz w:val="18"/>
                <w:szCs w:val="18"/>
              </w:rPr>
            </w:pPr>
            <w:r>
              <w:rPr>
                <w:color w:val="000000"/>
                <w:sz w:val="18"/>
                <w:szCs w:val="18"/>
              </w:rPr>
              <w:t>Contract liabilities</w:t>
            </w:r>
          </w:p>
        </w:tc>
        <w:tc>
          <w:tcPr>
            <w:tcW w:w="77" w:type="pct"/>
            <w:shd w:val="clear" w:color="auto" w:fill="FFFFFF"/>
            <w:tcMar>
              <w:top w:w="15" w:type="dxa"/>
              <w:left w:w="0" w:type="dxa"/>
              <w:bottom w:w="0" w:type="dxa"/>
              <w:right w:w="15" w:type="dxa"/>
            </w:tcMar>
            <w:vAlign w:val="bottom"/>
            <w:hideMark/>
          </w:tcPr>
          <w:p w14:paraId="1D37A3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8247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shd w:val="clear" w:color="auto" w:fill="FFFFFF"/>
            <w:noWrap/>
            <w:tcMar>
              <w:top w:w="15" w:type="dxa"/>
              <w:left w:w="0" w:type="dxa"/>
              <w:bottom w:w="0" w:type="dxa"/>
              <w:right w:w="15" w:type="dxa"/>
            </w:tcMar>
            <w:vAlign w:val="bottom"/>
            <w:hideMark/>
          </w:tcPr>
          <w:p w14:paraId="72F72B9E" w14:textId="77777777" w:rsidR="00000000" w:rsidRDefault="00582324">
            <w:pPr>
              <w:pStyle w:val="a3"/>
              <w:spacing w:before="0" w:beforeAutospacing="0" w:after="0" w:afterAutospacing="0"/>
              <w:jc w:val="right"/>
              <w:rPr>
                <w:color w:val="000000"/>
                <w:sz w:val="18"/>
                <w:szCs w:val="18"/>
              </w:rPr>
            </w:pPr>
            <w:r>
              <w:rPr>
                <w:color w:val="000000"/>
                <w:sz w:val="18"/>
                <w:szCs w:val="18"/>
              </w:rPr>
              <w:t>7,292</w:t>
            </w:r>
          </w:p>
        </w:tc>
        <w:tc>
          <w:tcPr>
            <w:tcW w:w="50" w:type="pct"/>
            <w:shd w:val="clear" w:color="auto" w:fill="FFFFFF"/>
            <w:noWrap/>
            <w:tcMar>
              <w:top w:w="15" w:type="dxa"/>
              <w:left w:w="0" w:type="dxa"/>
              <w:bottom w:w="0" w:type="dxa"/>
              <w:right w:w="15" w:type="dxa"/>
            </w:tcMar>
            <w:vAlign w:val="bottom"/>
            <w:hideMark/>
          </w:tcPr>
          <w:p w14:paraId="0F513E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bottom"/>
            <w:hideMark/>
          </w:tcPr>
          <w:p w14:paraId="3AE959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10FB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shd w:val="clear" w:color="auto" w:fill="FFFFFF"/>
            <w:noWrap/>
            <w:tcMar>
              <w:top w:w="15" w:type="dxa"/>
              <w:left w:w="0" w:type="dxa"/>
              <w:bottom w:w="0" w:type="dxa"/>
              <w:right w:w="15" w:type="dxa"/>
            </w:tcMar>
            <w:vAlign w:val="bottom"/>
            <w:hideMark/>
          </w:tcPr>
          <w:p w14:paraId="178F6F99" w14:textId="77777777" w:rsidR="00000000" w:rsidRDefault="00582324">
            <w:pPr>
              <w:pStyle w:val="a3"/>
              <w:spacing w:before="0" w:beforeAutospacing="0" w:after="0" w:afterAutospacing="0"/>
              <w:jc w:val="right"/>
              <w:rPr>
                <w:color w:val="000000"/>
                <w:sz w:val="18"/>
                <w:szCs w:val="18"/>
              </w:rPr>
            </w:pPr>
            <w:r>
              <w:rPr>
                <w:color w:val="000000"/>
                <w:sz w:val="18"/>
                <w:szCs w:val="18"/>
              </w:rPr>
              <w:t>6,114</w:t>
            </w:r>
          </w:p>
        </w:tc>
        <w:tc>
          <w:tcPr>
            <w:tcW w:w="50" w:type="pct"/>
            <w:shd w:val="clear" w:color="auto" w:fill="FFFFFF"/>
            <w:noWrap/>
            <w:tcMar>
              <w:top w:w="15" w:type="dxa"/>
              <w:left w:w="0" w:type="dxa"/>
              <w:bottom w:w="0" w:type="dxa"/>
              <w:right w:w="15" w:type="dxa"/>
            </w:tcMar>
            <w:vAlign w:val="bottom"/>
            <w:hideMark/>
          </w:tcPr>
          <w:p w14:paraId="74B90178"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04A84A2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4731AC22"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 xml:space="preserve">Contract assets acquired through business acquisitions amounted to $0.4 million and $6.5 </w:t>
      </w:r>
      <w:r>
        <w:rPr>
          <w:color w:val="000000"/>
          <w:sz w:val="20"/>
          <w:szCs w:val="20"/>
        </w:rPr>
        <w:t xml:space="preserve">million as of June 30, 2021 and December 31, 2020, respectively. Contract liabilities acquired through business acquisitions amounted to $0.5 million and zero as of June 30, 2021 and December 31, 2020, respectively. Revenue recognized during the three and </w:t>
      </w:r>
      <w:r>
        <w:rPr>
          <w:color w:val="000000"/>
          <w:sz w:val="20"/>
          <w:szCs w:val="20"/>
        </w:rPr>
        <w:t xml:space="preserve">six months ended June 30, 2021, included in the contract liabilities balance at the beginning of the year was $1.3 million and $2.5 million, respectively. The revenue recognized from the contract liabilities consisted of the Company satisfying performance </w:t>
      </w:r>
      <w:r>
        <w:rPr>
          <w:color w:val="000000"/>
          <w:sz w:val="20"/>
          <w:szCs w:val="20"/>
        </w:rPr>
        <w:t>obligations during the normal course of business.</w:t>
      </w:r>
    </w:p>
    <w:p w14:paraId="57A578C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amount of revenue recognized from changes in the transaction price associated with performance obligations satisfied in prior periods during the three and six months ended June 30, 2021 was not material</w:t>
      </w:r>
      <w:r>
        <w:rPr>
          <w:color w:val="000000"/>
          <w:sz w:val="20"/>
          <w:szCs w:val="20"/>
        </w:rPr>
        <w:t>.</w:t>
      </w:r>
    </w:p>
    <w:p w14:paraId="02166D3E"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Remaining Unsatisfied Performance Obligations</w:t>
      </w:r>
      <w:r>
        <w:rPr>
          <w:color w:val="000000"/>
          <w:sz w:val="20"/>
          <w:szCs w:val="20"/>
        </w:rPr>
        <w:t>—Remaining unsatisfied performance obligations represent the total dollar value of work to be performed on contracts awarded and in progress. The amount of remaining unsatisfied performance obligations increas</w:t>
      </w:r>
      <w:r>
        <w:rPr>
          <w:color w:val="000000"/>
          <w:sz w:val="20"/>
          <w:szCs w:val="20"/>
        </w:rPr>
        <w:t xml:space="preserve">es with new contracts or additions to existing contracts and decreases as revenue is recognized on existing contracts. Contracts are included in the amount of remaining unsatisfied performance obligations when an enforceable agreement has been reached. As </w:t>
      </w:r>
      <w:r>
        <w:rPr>
          <w:color w:val="000000"/>
          <w:sz w:val="20"/>
          <w:szCs w:val="20"/>
        </w:rPr>
        <w:t>of June 30, 2021, and December 31, 2020, the estimated revenue expected to be recognized in the future related to performance obligations that are unsatisfied was approximately $33.7 million and $24.4 million, respectively. As of June 30, 2021, the Company</w:t>
      </w:r>
      <w:r>
        <w:rPr>
          <w:color w:val="000000"/>
          <w:sz w:val="20"/>
          <w:szCs w:val="20"/>
        </w:rPr>
        <w:t xml:space="preserve"> expected to recognize approximately $27.0 million of this amount as revenue within the next year and $6.7 million the</w:t>
      </w:r>
      <w:r>
        <w:rPr>
          <w:color w:val="000000"/>
          <w:sz w:val="20"/>
          <w:szCs w:val="20"/>
        </w:rPr>
        <w:t xml:space="preserve"> </w:t>
      </w:r>
      <w:r>
        <w:rPr>
          <w:color w:val="000000"/>
          <w:sz w:val="20"/>
          <w:szCs w:val="20"/>
        </w:rPr>
        <w:t>year afte</w:t>
      </w:r>
      <w:r>
        <w:rPr>
          <w:color w:val="000000"/>
          <w:sz w:val="20"/>
          <w:szCs w:val="20"/>
        </w:rPr>
        <w:t>r</w:t>
      </w:r>
      <w:r>
        <w:rPr>
          <w:color w:val="000000"/>
          <w:sz w:val="20"/>
          <w:szCs w:val="20"/>
        </w:rPr>
        <w:t>.</w:t>
      </w:r>
    </w:p>
    <w:p w14:paraId="316990EE" w14:textId="77777777" w:rsidR="00000000" w:rsidRDefault="00582324">
      <w:pPr>
        <w:pStyle w:val="a3"/>
        <w:spacing w:before="240" w:beforeAutospacing="0" w:after="0" w:afterAutospacing="0"/>
        <w:jc w:val="center"/>
        <w:rPr>
          <w:sz w:val="20"/>
          <w:szCs w:val="20"/>
        </w:rPr>
      </w:pPr>
      <w:r>
        <w:rPr>
          <w:sz w:val="20"/>
          <w:szCs w:val="20"/>
        </w:rPr>
        <w:t>7</w:t>
      </w:r>
    </w:p>
    <w:p w14:paraId="39E9D726" w14:textId="77777777" w:rsidR="00000000" w:rsidRDefault="00582324">
      <w:pPr>
        <w:rPr>
          <w:rFonts w:eastAsia="Times New Roman"/>
        </w:rPr>
      </w:pPr>
      <w:r>
        <w:rPr>
          <w:rFonts w:eastAsia="Times New Roman"/>
        </w:rPr>
        <w:pict w14:anchorId="3DC65063">
          <v:rect id="_x0000_i1033" style="width:0;height:1.5pt" o:hralign="center" o:hrstd="t" o:hr="t" fillcolor="#a0a0a0" stroked="f"/>
        </w:pict>
      </w:r>
    </w:p>
    <w:p w14:paraId="5AEFB1BB" w14:textId="77777777" w:rsidR="00000000" w:rsidRDefault="00582324">
      <w:pPr>
        <w:pStyle w:val="a3"/>
        <w:spacing w:before="0" w:beforeAutospacing="0" w:after="0" w:afterAutospacing="0"/>
        <w:rPr>
          <w:sz w:val="20"/>
          <w:szCs w:val="20"/>
        </w:rPr>
      </w:pPr>
      <w:r>
        <w:rPr>
          <w:sz w:val="20"/>
          <w:szCs w:val="20"/>
        </w:rPr>
        <w:t> </w:t>
      </w:r>
    </w:p>
    <w:p w14:paraId="38824679"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Accounts Receivable, Net</w:t>
      </w:r>
      <w:r>
        <w:rPr>
          <w:color w:val="000000"/>
          <w:sz w:val="20"/>
          <w:szCs w:val="20"/>
        </w:rPr>
        <w:t>—Accounts receivable, net consisted of the following:</w:t>
      </w:r>
    </w:p>
    <w:p w14:paraId="78D66D3D"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709"/>
        <w:gridCol w:w="60"/>
        <w:gridCol w:w="106"/>
        <w:gridCol w:w="632"/>
        <w:gridCol w:w="75"/>
        <w:gridCol w:w="60"/>
        <w:gridCol w:w="106"/>
        <w:gridCol w:w="991"/>
        <w:gridCol w:w="75"/>
      </w:tblGrid>
      <w:tr w:rsidR="00000000" w14:paraId="32C4B86C" w14:textId="77777777">
        <w:trPr>
          <w:divId w:val="500437287"/>
        </w:trPr>
        <w:tc>
          <w:tcPr>
            <w:tcW w:w="3281" w:type="pct"/>
            <w:shd w:val="clear" w:color="auto" w:fill="FFFFFF"/>
            <w:tcMar>
              <w:top w:w="15" w:type="dxa"/>
              <w:left w:w="0" w:type="dxa"/>
              <w:bottom w:w="0" w:type="dxa"/>
              <w:right w:w="15" w:type="dxa"/>
            </w:tcMar>
            <w:vAlign w:val="bottom"/>
            <w:hideMark/>
          </w:tcPr>
          <w:p w14:paraId="5529C2D5" w14:textId="77777777" w:rsidR="00000000" w:rsidRDefault="00582324">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14:paraId="3E24410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shd w:val="clear" w:color="auto" w:fill="FFFFFF"/>
            <w:tcMar>
              <w:top w:w="15" w:type="dxa"/>
              <w:left w:w="0" w:type="dxa"/>
              <w:bottom w:w="0" w:type="dxa"/>
              <w:right w:w="15" w:type="dxa"/>
            </w:tcMar>
            <w:vAlign w:val="bottom"/>
            <w:hideMark/>
          </w:tcPr>
          <w:p w14:paraId="0FDF15E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7C58753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bottom"/>
            <w:hideMark/>
          </w:tcPr>
          <w:p w14:paraId="6895BC8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shd w:val="clear" w:color="auto" w:fill="FFFFFF"/>
            <w:tcMar>
              <w:top w:w="15" w:type="dxa"/>
              <w:left w:w="0" w:type="dxa"/>
              <w:bottom w:w="0" w:type="dxa"/>
              <w:right w:w="15" w:type="dxa"/>
            </w:tcMar>
            <w:vAlign w:val="bottom"/>
            <w:hideMark/>
          </w:tcPr>
          <w:p w14:paraId="536FA44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7CFDE1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9DAE9AB" w14:textId="77777777">
        <w:trPr>
          <w:divId w:val="500437287"/>
        </w:trPr>
        <w:tc>
          <w:tcPr>
            <w:tcW w:w="3281" w:type="pct"/>
            <w:shd w:val="clear" w:color="auto" w:fill="FFFFFF"/>
            <w:tcMar>
              <w:top w:w="15" w:type="dxa"/>
              <w:left w:w="0" w:type="dxa"/>
              <w:bottom w:w="0" w:type="dxa"/>
              <w:right w:w="15" w:type="dxa"/>
            </w:tcMar>
            <w:vAlign w:val="bottom"/>
            <w:hideMark/>
          </w:tcPr>
          <w:p w14:paraId="3FE3DB3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77" w:type="pct"/>
            <w:shd w:val="clear" w:color="auto" w:fill="FFFFFF"/>
            <w:tcMar>
              <w:top w:w="15" w:type="dxa"/>
              <w:left w:w="0" w:type="dxa"/>
              <w:bottom w:w="0" w:type="dxa"/>
              <w:right w:w="15" w:type="dxa"/>
            </w:tcMar>
            <w:vAlign w:val="bottom"/>
            <w:hideMark/>
          </w:tcPr>
          <w:p w14:paraId="235E31A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tcBorders>
              <w:bottom w:val="single" w:sz="6" w:space="0" w:color="000000"/>
            </w:tcBorders>
            <w:shd w:val="clear" w:color="auto" w:fill="FFFFFF"/>
            <w:tcMar>
              <w:top w:w="15" w:type="dxa"/>
              <w:left w:w="0" w:type="dxa"/>
              <w:bottom w:w="0" w:type="dxa"/>
              <w:right w:w="15" w:type="dxa"/>
            </w:tcMar>
            <w:vAlign w:val="bottom"/>
            <w:hideMark/>
          </w:tcPr>
          <w:p w14:paraId="6FA4085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02E0092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bottom"/>
            <w:hideMark/>
          </w:tcPr>
          <w:p w14:paraId="67CC159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9" w:type="pct"/>
            <w:gridSpan w:val="2"/>
            <w:tcBorders>
              <w:bottom w:val="single" w:sz="6" w:space="0" w:color="000000"/>
            </w:tcBorders>
            <w:shd w:val="clear" w:color="auto" w:fill="FFFFFF"/>
            <w:tcMar>
              <w:top w:w="15" w:type="dxa"/>
              <w:left w:w="0" w:type="dxa"/>
              <w:bottom w:w="0" w:type="dxa"/>
              <w:right w:w="15" w:type="dxa"/>
            </w:tcMar>
            <w:vAlign w:val="bottom"/>
            <w:hideMark/>
          </w:tcPr>
          <w:p w14:paraId="1B64A4A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7F0CD1D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F85A3E3" w14:textId="77777777">
        <w:trPr>
          <w:divId w:val="500437287"/>
        </w:trPr>
        <w:tc>
          <w:tcPr>
            <w:tcW w:w="3281" w:type="pct"/>
            <w:shd w:val="clear" w:color="auto" w:fill="CFF0FC"/>
            <w:tcMar>
              <w:top w:w="15" w:type="dxa"/>
              <w:left w:w="0" w:type="dxa"/>
              <w:bottom w:w="0" w:type="dxa"/>
              <w:right w:w="15" w:type="dxa"/>
            </w:tcMar>
            <w:hideMark/>
          </w:tcPr>
          <w:p w14:paraId="4E430064" w14:textId="77777777" w:rsidR="00000000" w:rsidRDefault="00582324">
            <w:pPr>
              <w:pStyle w:val="a3"/>
              <w:spacing w:before="0" w:beforeAutospacing="0" w:after="0" w:afterAutospacing="0"/>
              <w:rPr>
                <w:color w:val="000000"/>
                <w:sz w:val="18"/>
                <w:szCs w:val="18"/>
              </w:rPr>
            </w:pPr>
            <w:r>
              <w:rPr>
                <w:color w:val="000000"/>
                <w:sz w:val="18"/>
                <w:szCs w:val="18"/>
              </w:rPr>
              <w:t>Accounts receivable, invoiced</w:t>
            </w:r>
          </w:p>
        </w:tc>
        <w:tc>
          <w:tcPr>
            <w:tcW w:w="77" w:type="pct"/>
            <w:shd w:val="clear" w:color="auto" w:fill="CFF0FC"/>
            <w:tcMar>
              <w:top w:w="15" w:type="dxa"/>
              <w:left w:w="0" w:type="dxa"/>
              <w:bottom w:w="0" w:type="dxa"/>
              <w:right w:w="15" w:type="dxa"/>
            </w:tcMar>
            <w:vAlign w:val="bottom"/>
            <w:hideMark/>
          </w:tcPr>
          <w:p w14:paraId="7B72C9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B4B6A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tcBorders>
            <w:shd w:val="clear" w:color="auto" w:fill="CFF0FC"/>
            <w:noWrap/>
            <w:tcMar>
              <w:top w:w="15" w:type="dxa"/>
              <w:left w:w="0" w:type="dxa"/>
              <w:bottom w:w="0" w:type="dxa"/>
              <w:right w:w="15" w:type="dxa"/>
            </w:tcMar>
            <w:vAlign w:val="bottom"/>
            <w:hideMark/>
          </w:tcPr>
          <w:p w14:paraId="18CF33C1" w14:textId="77777777" w:rsidR="00000000" w:rsidRDefault="00582324">
            <w:pPr>
              <w:pStyle w:val="a3"/>
              <w:spacing w:before="0" w:beforeAutospacing="0" w:after="0" w:afterAutospacing="0"/>
              <w:jc w:val="right"/>
              <w:rPr>
                <w:color w:val="000000"/>
                <w:sz w:val="18"/>
                <w:szCs w:val="18"/>
              </w:rPr>
            </w:pPr>
            <w:r>
              <w:rPr>
                <w:color w:val="000000"/>
                <w:sz w:val="18"/>
                <w:szCs w:val="18"/>
              </w:rPr>
              <w:t>74,668</w:t>
            </w:r>
          </w:p>
        </w:tc>
        <w:tc>
          <w:tcPr>
            <w:tcW w:w="50" w:type="pct"/>
            <w:shd w:val="clear" w:color="auto" w:fill="CFF0FC"/>
            <w:noWrap/>
            <w:tcMar>
              <w:top w:w="15" w:type="dxa"/>
              <w:left w:w="0" w:type="dxa"/>
              <w:bottom w:w="0" w:type="dxa"/>
              <w:right w:w="15" w:type="dxa"/>
            </w:tcMar>
            <w:vAlign w:val="bottom"/>
            <w:hideMark/>
          </w:tcPr>
          <w:p w14:paraId="600130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bottom"/>
            <w:hideMark/>
          </w:tcPr>
          <w:p w14:paraId="28BEEE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D7695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tcBorders>
            <w:shd w:val="clear" w:color="auto" w:fill="CFF0FC"/>
            <w:noWrap/>
            <w:tcMar>
              <w:top w:w="15" w:type="dxa"/>
              <w:left w:w="0" w:type="dxa"/>
              <w:bottom w:w="0" w:type="dxa"/>
              <w:right w:w="15" w:type="dxa"/>
            </w:tcMar>
            <w:vAlign w:val="bottom"/>
            <w:hideMark/>
          </w:tcPr>
          <w:p w14:paraId="45F13088" w14:textId="77777777" w:rsidR="00000000" w:rsidRDefault="00582324">
            <w:pPr>
              <w:pStyle w:val="a3"/>
              <w:spacing w:before="0" w:beforeAutospacing="0" w:after="0" w:afterAutospacing="0"/>
              <w:jc w:val="right"/>
              <w:rPr>
                <w:color w:val="000000"/>
                <w:sz w:val="18"/>
                <w:szCs w:val="18"/>
              </w:rPr>
            </w:pPr>
            <w:r>
              <w:rPr>
                <w:color w:val="000000"/>
                <w:sz w:val="18"/>
                <w:szCs w:val="18"/>
              </w:rPr>
              <w:t>57,228</w:t>
            </w:r>
          </w:p>
        </w:tc>
        <w:tc>
          <w:tcPr>
            <w:tcW w:w="50" w:type="pct"/>
            <w:shd w:val="clear" w:color="auto" w:fill="CFF0FC"/>
            <w:noWrap/>
            <w:tcMar>
              <w:top w:w="15" w:type="dxa"/>
              <w:left w:w="0" w:type="dxa"/>
              <w:bottom w:w="0" w:type="dxa"/>
              <w:right w:w="15" w:type="dxa"/>
            </w:tcMar>
            <w:vAlign w:val="bottom"/>
            <w:hideMark/>
          </w:tcPr>
          <w:p w14:paraId="50DFA9E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1536281" w14:textId="77777777">
        <w:trPr>
          <w:divId w:val="500437287"/>
        </w:trPr>
        <w:tc>
          <w:tcPr>
            <w:tcW w:w="3281" w:type="pct"/>
            <w:shd w:val="clear" w:color="auto" w:fill="FFFFFF"/>
            <w:tcMar>
              <w:top w:w="15" w:type="dxa"/>
              <w:left w:w="0" w:type="dxa"/>
              <w:bottom w:w="0" w:type="dxa"/>
              <w:right w:w="15" w:type="dxa"/>
            </w:tcMar>
            <w:hideMark/>
          </w:tcPr>
          <w:p w14:paraId="34ED124F" w14:textId="77777777" w:rsidR="00000000" w:rsidRDefault="00582324">
            <w:pPr>
              <w:pStyle w:val="a3"/>
              <w:spacing w:before="0" w:beforeAutospacing="0" w:after="0" w:afterAutospacing="0"/>
              <w:rPr>
                <w:color w:val="000000"/>
                <w:sz w:val="18"/>
                <w:szCs w:val="18"/>
              </w:rPr>
            </w:pPr>
            <w:r>
              <w:rPr>
                <w:color w:val="000000"/>
                <w:sz w:val="18"/>
                <w:szCs w:val="18"/>
              </w:rPr>
              <w:t>Accounts receivable, other</w:t>
            </w:r>
          </w:p>
        </w:tc>
        <w:tc>
          <w:tcPr>
            <w:tcW w:w="77" w:type="pct"/>
            <w:shd w:val="clear" w:color="auto" w:fill="FFFFFF"/>
            <w:tcMar>
              <w:top w:w="15" w:type="dxa"/>
              <w:left w:w="0" w:type="dxa"/>
              <w:bottom w:w="0" w:type="dxa"/>
              <w:right w:w="15" w:type="dxa"/>
            </w:tcMar>
            <w:vAlign w:val="bottom"/>
            <w:hideMark/>
          </w:tcPr>
          <w:p w14:paraId="05E428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E651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shd w:val="clear" w:color="auto" w:fill="FFFFFF"/>
            <w:noWrap/>
            <w:tcMar>
              <w:top w:w="15" w:type="dxa"/>
              <w:left w:w="0" w:type="dxa"/>
              <w:bottom w:w="0" w:type="dxa"/>
              <w:right w:w="15" w:type="dxa"/>
            </w:tcMar>
            <w:vAlign w:val="bottom"/>
            <w:hideMark/>
          </w:tcPr>
          <w:p w14:paraId="4AD10E03" w14:textId="77777777" w:rsidR="00000000" w:rsidRDefault="00582324">
            <w:pPr>
              <w:pStyle w:val="a3"/>
              <w:spacing w:before="0" w:beforeAutospacing="0" w:after="0" w:afterAutospacing="0"/>
              <w:jc w:val="right"/>
              <w:rPr>
                <w:color w:val="000000"/>
                <w:sz w:val="18"/>
                <w:szCs w:val="18"/>
              </w:rPr>
            </w:pPr>
            <w:r>
              <w:rPr>
                <w:color w:val="000000"/>
                <w:sz w:val="18"/>
                <w:szCs w:val="18"/>
              </w:rPr>
              <w:t>1,906</w:t>
            </w:r>
          </w:p>
        </w:tc>
        <w:tc>
          <w:tcPr>
            <w:tcW w:w="50" w:type="pct"/>
            <w:shd w:val="clear" w:color="auto" w:fill="FFFFFF"/>
            <w:noWrap/>
            <w:tcMar>
              <w:top w:w="15" w:type="dxa"/>
              <w:left w:w="0" w:type="dxa"/>
              <w:bottom w:w="0" w:type="dxa"/>
              <w:right w:w="15" w:type="dxa"/>
            </w:tcMar>
            <w:vAlign w:val="bottom"/>
            <w:hideMark/>
          </w:tcPr>
          <w:p w14:paraId="51136E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bottom"/>
            <w:hideMark/>
          </w:tcPr>
          <w:p w14:paraId="718781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9176A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shd w:val="clear" w:color="auto" w:fill="FFFFFF"/>
            <w:noWrap/>
            <w:tcMar>
              <w:top w:w="15" w:type="dxa"/>
              <w:left w:w="0" w:type="dxa"/>
              <w:bottom w:w="0" w:type="dxa"/>
              <w:right w:w="15" w:type="dxa"/>
            </w:tcMar>
            <w:vAlign w:val="bottom"/>
            <w:hideMark/>
          </w:tcPr>
          <w:p w14:paraId="4582F9F4" w14:textId="77777777" w:rsidR="00000000" w:rsidRDefault="00582324">
            <w:pPr>
              <w:pStyle w:val="a3"/>
              <w:spacing w:before="0" w:beforeAutospacing="0" w:after="0" w:afterAutospacing="0"/>
              <w:jc w:val="right"/>
              <w:rPr>
                <w:color w:val="000000"/>
                <w:sz w:val="18"/>
                <w:szCs w:val="18"/>
              </w:rPr>
            </w:pPr>
            <w:r>
              <w:rPr>
                <w:color w:val="000000"/>
                <w:sz w:val="18"/>
                <w:szCs w:val="18"/>
              </w:rPr>
              <w:t>1,139</w:t>
            </w:r>
          </w:p>
        </w:tc>
        <w:tc>
          <w:tcPr>
            <w:tcW w:w="50" w:type="pct"/>
            <w:shd w:val="clear" w:color="auto" w:fill="FFFFFF"/>
            <w:noWrap/>
            <w:tcMar>
              <w:top w:w="15" w:type="dxa"/>
              <w:left w:w="0" w:type="dxa"/>
              <w:bottom w:w="0" w:type="dxa"/>
              <w:right w:w="15" w:type="dxa"/>
            </w:tcMar>
            <w:vAlign w:val="bottom"/>
            <w:hideMark/>
          </w:tcPr>
          <w:p w14:paraId="4CBBF28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39CBFB7" w14:textId="77777777">
        <w:trPr>
          <w:divId w:val="500437287"/>
        </w:trPr>
        <w:tc>
          <w:tcPr>
            <w:tcW w:w="3281" w:type="pct"/>
            <w:shd w:val="clear" w:color="auto" w:fill="CFF0FC"/>
            <w:tcMar>
              <w:top w:w="15" w:type="dxa"/>
              <w:left w:w="0" w:type="dxa"/>
              <w:bottom w:w="0" w:type="dxa"/>
              <w:right w:w="15" w:type="dxa"/>
            </w:tcMar>
            <w:hideMark/>
          </w:tcPr>
          <w:p w14:paraId="56F6E3AD" w14:textId="77777777" w:rsidR="00000000" w:rsidRDefault="00582324">
            <w:pPr>
              <w:pStyle w:val="a3"/>
              <w:spacing w:before="0" w:beforeAutospacing="0" w:after="0" w:afterAutospacing="0"/>
              <w:rPr>
                <w:color w:val="000000"/>
                <w:sz w:val="18"/>
                <w:szCs w:val="18"/>
              </w:rPr>
            </w:pPr>
            <w:r>
              <w:rPr>
                <w:color w:val="000000"/>
                <w:sz w:val="18"/>
                <w:szCs w:val="18"/>
              </w:rPr>
              <w:t>Allowance for doubtful accounts</w:t>
            </w:r>
          </w:p>
        </w:tc>
        <w:tc>
          <w:tcPr>
            <w:tcW w:w="77" w:type="pct"/>
            <w:shd w:val="clear" w:color="auto" w:fill="CFF0FC"/>
            <w:tcMar>
              <w:top w:w="15" w:type="dxa"/>
              <w:left w:w="0" w:type="dxa"/>
              <w:bottom w:w="0" w:type="dxa"/>
              <w:right w:w="15" w:type="dxa"/>
            </w:tcMar>
            <w:vAlign w:val="bottom"/>
            <w:hideMark/>
          </w:tcPr>
          <w:p w14:paraId="588944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15EE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tcBorders>
              <w:bottom w:val="single" w:sz="6" w:space="0" w:color="000000"/>
            </w:tcBorders>
            <w:shd w:val="clear" w:color="auto" w:fill="CFF0FC"/>
            <w:noWrap/>
            <w:tcMar>
              <w:top w:w="15" w:type="dxa"/>
              <w:left w:w="0" w:type="dxa"/>
              <w:bottom w:w="0" w:type="dxa"/>
              <w:right w:w="15" w:type="dxa"/>
            </w:tcMar>
            <w:vAlign w:val="bottom"/>
            <w:hideMark/>
          </w:tcPr>
          <w:p w14:paraId="5578901C" w14:textId="77777777" w:rsidR="00000000" w:rsidRDefault="00582324">
            <w:pPr>
              <w:pStyle w:val="a3"/>
              <w:spacing w:before="0" w:beforeAutospacing="0" w:after="0" w:afterAutospacing="0"/>
              <w:jc w:val="right"/>
              <w:rPr>
                <w:color w:val="000000"/>
                <w:sz w:val="18"/>
                <w:szCs w:val="18"/>
              </w:rPr>
            </w:pPr>
            <w:r>
              <w:rPr>
                <w:color w:val="000000"/>
                <w:sz w:val="18"/>
                <w:szCs w:val="18"/>
              </w:rPr>
              <w:t>(4,223</w:t>
            </w:r>
          </w:p>
        </w:tc>
        <w:tc>
          <w:tcPr>
            <w:tcW w:w="50" w:type="pct"/>
            <w:shd w:val="clear" w:color="auto" w:fill="CFF0FC"/>
            <w:noWrap/>
            <w:tcMar>
              <w:top w:w="15" w:type="dxa"/>
              <w:left w:w="0" w:type="dxa"/>
              <w:bottom w:w="0" w:type="dxa"/>
              <w:right w:w="15" w:type="dxa"/>
            </w:tcMar>
            <w:vAlign w:val="bottom"/>
            <w:hideMark/>
          </w:tcPr>
          <w:p w14:paraId="0D3D727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2" w:type="pct"/>
            <w:shd w:val="clear" w:color="auto" w:fill="CFF0FC"/>
            <w:tcMar>
              <w:top w:w="15" w:type="dxa"/>
              <w:left w:w="0" w:type="dxa"/>
              <w:bottom w:w="0" w:type="dxa"/>
              <w:right w:w="15" w:type="dxa"/>
            </w:tcMar>
            <w:vAlign w:val="bottom"/>
            <w:hideMark/>
          </w:tcPr>
          <w:p w14:paraId="095E09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B119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9" w:type="pct"/>
            <w:tcBorders>
              <w:bottom w:val="single" w:sz="6" w:space="0" w:color="000000"/>
            </w:tcBorders>
            <w:shd w:val="clear" w:color="auto" w:fill="CFF0FC"/>
            <w:noWrap/>
            <w:tcMar>
              <w:top w:w="15" w:type="dxa"/>
              <w:left w:w="0" w:type="dxa"/>
              <w:bottom w:w="0" w:type="dxa"/>
              <w:right w:w="15" w:type="dxa"/>
            </w:tcMar>
            <w:vAlign w:val="bottom"/>
            <w:hideMark/>
          </w:tcPr>
          <w:p w14:paraId="60295C7D" w14:textId="77777777" w:rsidR="00000000" w:rsidRDefault="00582324">
            <w:pPr>
              <w:pStyle w:val="a3"/>
              <w:spacing w:before="0" w:beforeAutospacing="0" w:after="0" w:afterAutospacing="0"/>
              <w:jc w:val="right"/>
              <w:rPr>
                <w:color w:val="000000"/>
                <w:sz w:val="18"/>
                <w:szCs w:val="18"/>
              </w:rPr>
            </w:pPr>
            <w:r>
              <w:rPr>
                <w:color w:val="000000"/>
                <w:sz w:val="18"/>
                <w:szCs w:val="18"/>
              </w:rPr>
              <w:t>(4,265</w:t>
            </w:r>
          </w:p>
        </w:tc>
        <w:tc>
          <w:tcPr>
            <w:tcW w:w="50" w:type="pct"/>
            <w:shd w:val="clear" w:color="auto" w:fill="CFF0FC"/>
            <w:noWrap/>
            <w:tcMar>
              <w:top w:w="15" w:type="dxa"/>
              <w:left w:w="0" w:type="dxa"/>
              <w:bottom w:w="0" w:type="dxa"/>
              <w:right w:w="15" w:type="dxa"/>
            </w:tcMar>
            <w:vAlign w:val="bottom"/>
            <w:hideMark/>
          </w:tcPr>
          <w:p w14:paraId="2DCE04D9"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11C86A4" w14:textId="77777777">
        <w:trPr>
          <w:divId w:val="500437287"/>
        </w:trPr>
        <w:tc>
          <w:tcPr>
            <w:tcW w:w="3281" w:type="pct"/>
            <w:shd w:val="clear" w:color="auto" w:fill="FFFFFF"/>
            <w:tcMar>
              <w:top w:w="15" w:type="dxa"/>
              <w:left w:w="0" w:type="dxa"/>
              <w:bottom w:w="0" w:type="dxa"/>
              <w:right w:w="15" w:type="dxa"/>
            </w:tcMar>
            <w:hideMark/>
          </w:tcPr>
          <w:p w14:paraId="3F73A2E0" w14:textId="77777777" w:rsidR="00000000" w:rsidRDefault="00582324">
            <w:pPr>
              <w:pStyle w:val="a3"/>
              <w:spacing w:before="0" w:beforeAutospacing="0" w:after="0" w:afterAutospacing="0"/>
              <w:rPr>
                <w:color w:val="000000"/>
                <w:sz w:val="18"/>
                <w:szCs w:val="18"/>
              </w:rPr>
            </w:pPr>
            <w:r>
              <w:rPr>
                <w:color w:val="000000"/>
                <w:sz w:val="18"/>
                <w:szCs w:val="18"/>
              </w:rPr>
              <w:t>Accounts receivable—net</w:t>
            </w:r>
          </w:p>
        </w:tc>
        <w:tc>
          <w:tcPr>
            <w:tcW w:w="77" w:type="pct"/>
            <w:shd w:val="clear" w:color="auto" w:fill="FFFFFF"/>
            <w:tcMar>
              <w:top w:w="15" w:type="dxa"/>
              <w:left w:w="0" w:type="dxa"/>
              <w:bottom w:w="0" w:type="dxa"/>
              <w:right w:w="15" w:type="dxa"/>
            </w:tcMar>
            <w:vAlign w:val="bottom"/>
            <w:hideMark/>
          </w:tcPr>
          <w:p w14:paraId="523C4B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2C75A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AAA8C4" w14:textId="77777777" w:rsidR="00000000" w:rsidRDefault="00582324">
            <w:pPr>
              <w:pStyle w:val="a3"/>
              <w:spacing w:before="0" w:beforeAutospacing="0" w:after="0" w:afterAutospacing="0"/>
              <w:jc w:val="right"/>
              <w:rPr>
                <w:color w:val="000000"/>
                <w:sz w:val="18"/>
                <w:szCs w:val="18"/>
              </w:rPr>
            </w:pPr>
            <w:r>
              <w:rPr>
                <w:color w:val="000000"/>
                <w:sz w:val="18"/>
                <w:szCs w:val="18"/>
              </w:rPr>
              <w:t>72,351</w:t>
            </w:r>
          </w:p>
        </w:tc>
        <w:tc>
          <w:tcPr>
            <w:tcW w:w="50" w:type="pct"/>
            <w:shd w:val="clear" w:color="auto" w:fill="FFFFFF"/>
            <w:noWrap/>
            <w:tcMar>
              <w:top w:w="15" w:type="dxa"/>
              <w:left w:w="0" w:type="dxa"/>
              <w:bottom w:w="0" w:type="dxa"/>
              <w:right w:w="15" w:type="dxa"/>
            </w:tcMar>
            <w:vAlign w:val="bottom"/>
            <w:hideMark/>
          </w:tcPr>
          <w:p w14:paraId="40192F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bottom"/>
            <w:hideMark/>
          </w:tcPr>
          <w:p w14:paraId="212F33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DF77C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01E826" w14:textId="77777777" w:rsidR="00000000" w:rsidRDefault="00582324">
            <w:pPr>
              <w:pStyle w:val="a3"/>
              <w:spacing w:before="0" w:beforeAutospacing="0" w:after="0" w:afterAutospacing="0"/>
              <w:jc w:val="right"/>
              <w:rPr>
                <w:color w:val="000000"/>
                <w:sz w:val="18"/>
                <w:szCs w:val="18"/>
              </w:rPr>
            </w:pPr>
            <w:r>
              <w:rPr>
                <w:color w:val="000000"/>
                <w:sz w:val="18"/>
                <w:szCs w:val="18"/>
              </w:rPr>
              <w:t>54,102</w:t>
            </w:r>
          </w:p>
        </w:tc>
        <w:tc>
          <w:tcPr>
            <w:tcW w:w="50" w:type="pct"/>
            <w:shd w:val="clear" w:color="auto" w:fill="FFFFFF"/>
            <w:noWrap/>
            <w:tcMar>
              <w:top w:w="15" w:type="dxa"/>
              <w:left w:w="0" w:type="dxa"/>
              <w:bottom w:w="0" w:type="dxa"/>
              <w:right w:w="15" w:type="dxa"/>
            </w:tcMar>
            <w:vAlign w:val="bottom"/>
            <w:hideMark/>
          </w:tcPr>
          <w:p w14:paraId="1633ED1F"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1E662D41" w14:textId="77777777" w:rsidR="00000000" w:rsidRDefault="00582324">
      <w:pPr>
        <w:pStyle w:val="a3"/>
        <w:shd w:val="clear" w:color="auto" w:fill="FFFFFF"/>
        <w:spacing w:before="0" w:beforeAutospacing="0" w:after="0" w:afterAutospacing="0"/>
        <w:rPr>
          <w:sz w:val="20"/>
          <w:szCs w:val="20"/>
        </w:rPr>
      </w:pPr>
      <w:r>
        <w:rPr>
          <w:sz w:val="20"/>
          <w:szCs w:val="20"/>
        </w:rPr>
        <w:t> </w:t>
      </w:r>
    </w:p>
    <w:p w14:paraId="50E2CAC3"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The Company extends non-interest-bearing </w:t>
      </w:r>
      <w:r>
        <w:rPr>
          <w:color w:val="000000"/>
          <w:sz w:val="20"/>
          <w:szCs w:val="20"/>
        </w:rPr>
        <w:t>trade credit to its customers in the ordinary course of business. Accounts receivable are shown on the face of the unaudited condensed consolidated statements of financial position, net of an allowance for doubtful accounts. In determining the allowance fo</w:t>
      </w:r>
      <w:r>
        <w:rPr>
          <w:color w:val="000000"/>
          <w:sz w:val="20"/>
          <w:szCs w:val="20"/>
        </w:rPr>
        <w:t>r doubtful accounts, the Company analyzes the aging of accounts receivable, historical bad debts, customer creditworthiness and current economic trends. During the first quarter of 2020, there was a global outbreak of a new strain of coronavirus, COVID-19.</w:t>
      </w:r>
      <w:r>
        <w:rPr>
          <w:color w:val="000000"/>
          <w:sz w:val="20"/>
          <w:szCs w:val="20"/>
        </w:rPr>
        <w:t> The COVID-19 pandemic has added uncertainty to the collectability of certain receivables, particularly in industries hard hit by the pandemic. As a result, the Company recorded a $6.3 million bad debt reserve during the first quarter of 2020. The bad debt</w:t>
      </w:r>
      <w:r>
        <w:rPr>
          <w:color w:val="000000"/>
          <w:sz w:val="20"/>
          <w:szCs w:val="20"/>
        </w:rPr>
        <w:t xml:space="preserve"> adjustment included a $5.5 million reserve for one customer in the Company’s Remediation and Reuse segment in which management concluded to discontinue select service lines as of June 30, 2020 (Note 20).</w:t>
      </w:r>
      <w:r>
        <w:rPr>
          <w:color w:val="000000"/>
        </w:rPr>
        <w:t xml:space="preserve"> </w:t>
      </w:r>
    </w:p>
    <w:p w14:paraId="278984D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As of June 30, 2021 and December 31, 2020, the Com</w:t>
      </w:r>
      <w:r>
        <w:rPr>
          <w:color w:val="000000"/>
          <w:sz w:val="20"/>
          <w:szCs w:val="20"/>
        </w:rPr>
        <w:t>pany had one customer who accounted for 13.0% and 10.2%, respectively, of our gross accounts receivable. During the three and six months ended June 30, 2021, the Company had three customers who accounted for 14.1%, 14.1% and 10.2% and 13.4%, 13.2% and 11.9</w:t>
      </w:r>
      <w:r>
        <w:rPr>
          <w:color w:val="000000"/>
          <w:sz w:val="20"/>
          <w:szCs w:val="20"/>
        </w:rPr>
        <w:t xml:space="preserve">% of revenue, respectively. </w:t>
      </w:r>
      <w:r>
        <w:rPr>
          <w:color w:val="000000"/>
          <w:sz w:val="20"/>
          <w:szCs w:val="20"/>
          <w:shd w:val="clear" w:color="auto" w:fill="FFFFFF"/>
        </w:rPr>
        <w:t>The Company did not have any customers that exceeded 10.0% of revenue during the three or six months ended June 30, 2020. The Company performs ongoing credit evaluations, and accordingly, believes that the balances from these la</w:t>
      </w:r>
      <w:r>
        <w:rPr>
          <w:color w:val="000000"/>
          <w:sz w:val="20"/>
          <w:szCs w:val="20"/>
          <w:shd w:val="clear" w:color="auto" w:fill="FFFFFF"/>
        </w:rPr>
        <w:t>rgest customers do not represent a significant credit risk.</w:t>
      </w:r>
      <w:r>
        <w:rPr>
          <w:color w:val="000000"/>
          <w:sz w:val="20"/>
          <w:szCs w:val="20"/>
        </w:rPr>
        <w:t xml:space="preserve"> </w:t>
      </w:r>
    </w:p>
    <w:p w14:paraId="61BAECF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allowance for doubtful accounts consisted of the following:</w:t>
      </w:r>
    </w:p>
    <w:p w14:paraId="5B20F7DF"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20"/>
        <w:gridCol w:w="70"/>
        <w:gridCol w:w="106"/>
        <w:gridCol w:w="706"/>
        <w:gridCol w:w="67"/>
        <w:gridCol w:w="70"/>
        <w:gridCol w:w="106"/>
        <w:gridCol w:w="645"/>
        <w:gridCol w:w="67"/>
        <w:gridCol w:w="70"/>
        <w:gridCol w:w="106"/>
        <w:gridCol w:w="723"/>
        <w:gridCol w:w="75"/>
        <w:gridCol w:w="64"/>
        <w:gridCol w:w="106"/>
        <w:gridCol w:w="646"/>
        <w:gridCol w:w="68"/>
        <w:gridCol w:w="71"/>
        <w:gridCol w:w="106"/>
        <w:gridCol w:w="646"/>
        <w:gridCol w:w="68"/>
      </w:tblGrid>
      <w:tr w:rsidR="00000000" w14:paraId="772BBBE3" w14:textId="77777777">
        <w:trPr>
          <w:divId w:val="1437141765"/>
        </w:trPr>
        <w:tc>
          <w:tcPr>
            <w:tcW w:w="2245" w:type="pct"/>
            <w:shd w:val="clear" w:color="auto" w:fill="FFFFFF"/>
            <w:tcMar>
              <w:top w:w="15" w:type="dxa"/>
              <w:left w:w="0" w:type="dxa"/>
              <w:bottom w:w="0" w:type="dxa"/>
              <w:right w:w="15" w:type="dxa"/>
            </w:tcMar>
            <w:vAlign w:val="bottom"/>
            <w:hideMark/>
          </w:tcPr>
          <w:p w14:paraId="1AD21ECC" w14:textId="77777777" w:rsidR="00000000" w:rsidRDefault="00582324">
            <w:pPr>
              <w:pStyle w:val="a3"/>
              <w:spacing w:before="0" w:beforeAutospacing="0" w:after="0" w:afterAutospacing="0"/>
              <w:jc w:val="center"/>
              <w:rPr>
                <w:sz w:val="20"/>
                <w:szCs w:val="20"/>
              </w:rPr>
            </w:pPr>
            <w:r>
              <w:rPr>
                <w:sz w:val="20"/>
                <w:szCs w:val="20"/>
              </w:rPr>
              <w:t> </w:t>
            </w:r>
          </w:p>
        </w:tc>
        <w:tc>
          <w:tcPr>
            <w:tcW w:w="52" w:type="pct"/>
            <w:shd w:val="clear" w:color="auto" w:fill="FFFFFF"/>
            <w:tcMar>
              <w:top w:w="15" w:type="dxa"/>
              <w:left w:w="0" w:type="dxa"/>
              <w:bottom w:w="0" w:type="dxa"/>
              <w:right w:w="15" w:type="dxa"/>
            </w:tcMar>
            <w:vAlign w:val="bottom"/>
            <w:hideMark/>
          </w:tcPr>
          <w:p w14:paraId="09F44A7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BD935E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Beginning</w:t>
            </w:r>
          </w:p>
          <w:p w14:paraId="56F4EE9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Balance</w:t>
            </w:r>
          </w:p>
        </w:tc>
        <w:tc>
          <w:tcPr>
            <w:tcW w:w="50" w:type="pct"/>
            <w:shd w:val="clear" w:color="auto" w:fill="FFFFFF"/>
            <w:noWrap/>
            <w:tcMar>
              <w:top w:w="15" w:type="dxa"/>
              <w:left w:w="0" w:type="dxa"/>
              <w:bottom w:w="0" w:type="dxa"/>
              <w:right w:w="15" w:type="dxa"/>
            </w:tcMar>
            <w:vAlign w:val="bottom"/>
            <w:hideMark/>
          </w:tcPr>
          <w:p w14:paraId="0D72592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2" w:type="pct"/>
            <w:shd w:val="clear" w:color="auto" w:fill="FFFFFF"/>
            <w:tcMar>
              <w:top w:w="15" w:type="dxa"/>
              <w:left w:w="0" w:type="dxa"/>
              <w:bottom w:w="0" w:type="dxa"/>
              <w:right w:w="15" w:type="dxa"/>
            </w:tcMar>
            <w:vAlign w:val="bottom"/>
            <w:hideMark/>
          </w:tcPr>
          <w:p w14:paraId="76D2BA0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D388E3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Bad Debt</w:t>
            </w:r>
          </w:p>
          <w:p w14:paraId="4DB4B9C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Expense</w:t>
            </w:r>
          </w:p>
        </w:tc>
        <w:tc>
          <w:tcPr>
            <w:tcW w:w="50" w:type="pct"/>
            <w:shd w:val="clear" w:color="auto" w:fill="FFFFFF"/>
            <w:noWrap/>
            <w:tcMar>
              <w:top w:w="15" w:type="dxa"/>
              <w:left w:w="0" w:type="dxa"/>
              <w:bottom w:w="0" w:type="dxa"/>
              <w:right w:w="15" w:type="dxa"/>
            </w:tcMar>
            <w:vAlign w:val="bottom"/>
            <w:hideMark/>
          </w:tcPr>
          <w:p w14:paraId="29490E4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2" w:type="pct"/>
            <w:shd w:val="clear" w:color="auto" w:fill="FFFFFF"/>
            <w:tcMar>
              <w:top w:w="15" w:type="dxa"/>
              <w:left w:w="0" w:type="dxa"/>
              <w:bottom w:w="0" w:type="dxa"/>
              <w:right w:w="15" w:type="dxa"/>
            </w:tcMar>
            <w:vAlign w:val="bottom"/>
            <w:hideMark/>
          </w:tcPr>
          <w:p w14:paraId="72B53F4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2E48D1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Charged to</w:t>
            </w:r>
          </w:p>
          <w:p w14:paraId="3A8C502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Allowance</w:t>
            </w:r>
          </w:p>
        </w:tc>
        <w:tc>
          <w:tcPr>
            <w:tcW w:w="50" w:type="pct"/>
            <w:shd w:val="clear" w:color="auto" w:fill="FFFFFF"/>
            <w:noWrap/>
            <w:tcMar>
              <w:top w:w="15" w:type="dxa"/>
              <w:left w:w="0" w:type="dxa"/>
              <w:bottom w:w="0" w:type="dxa"/>
              <w:right w:w="15" w:type="dxa"/>
            </w:tcMar>
            <w:vAlign w:val="bottom"/>
            <w:hideMark/>
          </w:tcPr>
          <w:p w14:paraId="33ECE97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2" w:type="pct"/>
            <w:shd w:val="clear" w:color="auto" w:fill="FFFFFF"/>
            <w:tcMar>
              <w:top w:w="15" w:type="dxa"/>
              <w:left w:w="0" w:type="dxa"/>
              <w:bottom w:w="0" w:type="dxa"/>
              <w:right w:w="15" w:type="dxa"/>
            </w:tcMar>
            <w:vAlign w:val="bottom"/>
            <w:hideMark/>
          </w:tcPr>
          <w:p w14:paraId="22C4BA7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7032515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w:t>
            </w:r>
            <w:r>
              <w:rPr>
                <w:b/>
                <w:bCs/>
                <w:color w:val="000000"/>
                <w:sz w:val="15"/>
                <w:szCs w:val="15"/>
                <w:vertAlign w:val="superscript"/>
              </w:rPr>
              <w:t>(1)</w:t>
            </w:r>
          </w:p>
        </w:tc>
        <w:tc>
          <w:tcPr>
            <w:tcW w:w="50" w:type="pct"/>
            <w:shd w:val="clear" w:color="auto" w:fill="FFFFFF"/>
            <w:noWrap/>
            <w:tcMar>
              <w:top w:w="15" w:type="dxa"/>
              <w:left w:w="0" w:type="dxa"/>
              <w:bottom w:w="0" w:type="dxa"/>
              <w:right w:w="15" w:type="dxa"/>
            </w:tcMar>
            <w:vAlign w:val="bottom"/>
            <w:hideMark/>
          </w:tcPr>
          <w:p w14:paraId="5566E525"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2" w:type="pct"/>
            <w:shd w:val="clear" w:color="auto" w:fill="FFFFFF"/>
            <w:tcMar>
              <w:top w:w="15" w:type="dxa"/>
              <w:left w:w="0" w:type="dxa"/>
              <w:bottom w:w="0" w:type="dxa"/>
              <w:right w:w="15" w:type="dxa"/>
            </w:tcMar>
            <w:vAlign w:val="bottom"/>
            <w:hideMark/>
          </w:tcPr>
          <w:p w14:paraId="6771B05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0F876CD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Ending</w:t>
            </w:r>
          </w:p>
          <w:p w14:paraId="5966A5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Balance</w:t>
            </w:r>
          </w:p>
        </w:tc>
        <w:tc>
          <w:tcPr>
            <w:tcW w:w="50" w:type="pct"/>
            <w:shd w:val="clear" w:color="auto" w:fill="FFFFFF"/>
            <w:noWrap/>
            <w:tcMar>
              <w:top w:w="15" w:type="dxa"/>
              <w:left w:w="0" w:type="dxa"/>
              <w:bottom w:w="0" w:type="dxa"/>
              <w:right w:w="15" w:type="dxa"/>
            </w:tcMar>
            <w:vAlign w:val="bottom"/>
            <w:hideMark/>
          </w:tcPr>
          <w:p w14:paraId="51E2719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DF4F81A" w14:textId="77777777">
        <w:trPr>
          <w:divId w:val="1437141765"/>
        </w:trPr>
        <w:tc>
          <w:tcPr>
            <w:tcW w:w="2245" w:type="pct"/>
            <w:shd w:val="clear" w:color="auto" w:fill="CFF0FC"/>
            <w:tcMar>
              <w:top w:w="15" w:type="dxa"/>
              <w:left w:w="0" w:type="dxa"/>
              <w:bottom w:w="0" w:type="dxa"/>
              <w:right w:w="15" w:type="dxa"/>
            </w:tcMar>
            <w:hideMark/>
          </w:tcPr>
          <w:p w14:paraId="63D3E91A" w14:textId="77777777" w:rsidR="00000000" w:rsidRDefault="00582324">
            <w:pPr>
              <w:pStyle w:val="a3"/>
              <w:spacing w:before="0" w:beforeAutospacing="0" w:after="0" w:afterAutospacing="0"/>
              <w:rPr>
                <w:color w:val="000000"/>
                <w:sz w:val="18"/>
                <w:szCs w:val="18"/>
              </w:rPr>
            </w:pPr>
            <w:r>
              <w:rPr>
                <w:color w:val="000000"/>
                <w:sz w:val="18"/>
                <w:szCs w:val="18"/>
              </w:rPr>
              <w:t>Six months ended June 30, 2021</w:t>
            </w:r>
          </w:p>
        </w:tc>
        <w:tc>
          <w:tcPr>
            <w:tcW w:w="52" w:type="pct"/>
            <w:shd w:val="clear" w:color="auto" w:fill="CFF0FC"/>
            <w:tcMar>
              <w:top w:w="15" w:type="dxa"/>
              <w:left w:w="0" w:type="dxa"/>
              <w:bottom w:w="0" w:type="dxa"/>
              <w:right w:w="15" w:type="dxa"/>
            </w:tcMar>
            <w:vAlign w:val="bottom"/>
            <w:hideMark/>
          </w:tcPr>
          <w:p w14:paraId="53A26B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F68A4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5243D22" w14:textId="77777777" w:rsidR="00000000" w:rsidRDefault="00582324">
            <w:pPr>
              <w:pStyle w:val="a3"/>
              <w:spacing w:before="0" w:beforeAutospacing="0" w:after="0" w:afterAutospacing="0"/>
              <w:jc w:val="right"/>
              <w:rPr>
                <w:color w:val="000000"/>
                <w:sz w:val="18"/>
                <w:szCs w:val="18"/>
              </w:rPr>
            </w:pPr>
            <w:r>
              <w:rPr>
                <w:color w:val="000000"/>
                <w:sz w:val="18"/>
                <w:szCs w:val="18"/>
              </w:rPr>
              <w:t>4,265</w:t>
            </w:r>
          </w:p>
        </w:tc>
        <w:tc>
          <w:tcPr>
            <w:tcW w:w="50" w:type="pct"/>
            <w:shd w:val="clear" w:color="auto" w:fill="CFF0FC"/>
            <w:noWrap/>
            <w:tcMar>
              <w:top w:w="15" w:type="dxa"/>
              <w:left w:w="0" w:type="dxa"/>
              <w:bottom w:w="0" w:type="dxa"/>
              <w:right w:w="15" w:type="dxa"/>
            </w:tcMar>
            <w:vAlign w:val="bottom"/>
            <w:hideMark/>
          </w:tcPr>
          <w:p w14:paraId="1A4A0B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5AEF3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B673F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98C3196" w14:textId="77777777" w:rsidR="00000000" w:rsidRDefault="00582324">
            <w:pPr>
              <w:pStyle w:val="a3"/>
              <w:spacing w:before="0" w:beforeAutospacing="0" w:after="0" w:afterAutospacing="0"/>
              <w:jc w:val="right"/>
              <w:rPr>
                <w:color w:val="000000"/>
                <w:sz w:val="18"/>
                <w:szCs w:val="18"/>
              </w:rPr>
            </w:pPr>
            <w:r>
              <w:rPr>
                <w:color w:val="000000"/>
                <w:sz w:val="18"/>
                <w:szCs w:val="18"/>
              </w:rPr>
              <w:t>590</w:t>
            </w:r>
          </w:p>
        </w:tc>
        <w:tc>
          <w:tcPr>
            <w:tcW w:w="50" w:type="pct"/>
            <w:shd w:val="clear" w:color="auto" w:fill="CFF0FC"/>
            <w:noWrap/>
            <w:tcMar>
              <w:top w:w="15" w:type="dxa"/>
              <w:left w:w="0" w:type="dxa"/>
              <w:bottom w:w="0" w:type="dxa"/>
              <w:right w:w="15" w:type="dxa"/>
            </w:tcMar>
            <w:vAlign w:val="bottom"/>
            <w:hideMark/>
          </w:tcPr>
          <w:p w14:paraId="225713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18D03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D5201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03BB459" w14:textId="77777777" w:rsidR="00000000" w:rsidRDefault="00582324">
            <w:pPr>
              <w:pStyle w:val="a3"/>
              <w:spacing w:before="0" w:beforeAutospacing="0" w:after="0" w:afterAutospacing="0"/>
              <w:jc w:val="right"/>
              <w:rPr>
                <w:color w:val="000000"/>
                <w:sz w:val="18"/>
                <w:szCs w:val="18"/>
              </w:rPr>
            </w:pPr>
            <w:r>
              <w:rPr>
                <w:color w:val="000000"/>
                <w:sz w:val="18"/>
                <w:szCs w:val="18"/>
              </w:rPr>
              <w:t>(1,056</w:t>
            </w:r>
          </w:p>
        </w:tc>
        <w:tc>
          <w:tcPr>
            <w:tcW w:w="50" w:type="pct"/>
            <w:shd w:val="clear" w:color="auto" w:fill="CFF0FC"/>
            <w:noWrap/>
            <w:tcMar>
              <w:top w:w="15" w:type="dxa"/>
              <w:left w:w="0" w:type="dxa"/>
              <w:bottom w:w="0" w:type="dxa"/>
              <w:right w:w="15" w:type="dxa"/>
            </w:tcMar>
            <w:vAlign w:val="bottom"/>
            <w:hideMark/>
          </w:tcPr>
          <w:p w14:paraId="2D82719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004C99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A37AE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BADEAE3" w14:textId="77777777" w:rsidR="00000000" w:rsidRDefault="00582324">
            <w:pPr>
              <w:pStyle w:val="a3"/>
              <w:spacing w:before="0" w:beforeAutospacing="0" w:after="0" w:afterAutospacing="0"/>
              <w:jc w:val="right"/>
              <w:rPr>
                <w:color w:val="000000"/>
                <w:sz w:val="18"/>
                <w:szCs w:val="18"/>
              </w:rPr>
            </w:pPr>
            <w:r>
              <w:rPr>
                <w:color w:val="000000"/>
                <w:sz w:val="18"/>
                <w:szCs w:val="18"/>
              </w:rPr>
              <w:t>424</w:t>
            </w:r>
          </w:p>
        </w:tc>
        <w:tc>
          <w:tcPr>
            <w:tcW w:w="50" w:type="pct"/>
            <w:shd w:val="clear" w:color="auto" w:fill="CFF0FC"/>
            <w:noWrap/>
            <w:tcMar>
              <w:top w:w="15" w:type="dxa"/>
              <w:left w:w="0" w:type="dxa"/>
              <w:bottom w:w="0" w:type="dxa"/>
              <w:right w:w="15" w:type="dxa"/>
            </w:tcMar>
            <w:vAlign w:val="bottom"/>
            <w:hideMark/>
          </w:tcPr>
          <w:p w14:paraId="1A18C8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3C503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27F1D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F75256A" w14:textId="77777777" w:rsidR="00000000" w:rsidRDefault="00582324">
            <w:pPr>
              <w:pStyle w:val="a3"/>
              <w:spacing w:before="0" w:beforeAutospacing="0" w:after="0" w:afterAutospacing="0"/>
              <w:jc w:val="right"/>
              <w:rPr>
                <w:color w:val="000000"/>
                <w:sz w:val="18"/>
                <w:szCs w:val="18"/>
              </w:rPr>
            </w:pPr>
            <w:r>
              <w:rPr>
                <w:color w:val="000000"/>
                <w:sz w:val="18"/>
                <w:szCs w:val="18"/>
              </w:rPr>
              <w:t>4,223</w:t>
            </w:r>
          </w:p>
        </w:tc>
        <w:tc>
          <w:tcPr>
            <w:tcW w:w="50" w:type="pct"/>
            <w:shd w:val="clear" w:color="auto" w:fill="CFF0FC"/>
            <w:noWrap/>
            <w:tcMar>
              <w:top w:w="15" w:type="dxa"/>
              <w:left w:w="0" w:type="dxa"/>
              <w:bottom w:w="0" w:type="dxa"/>
              <w:right w:w="15" w:type="dxa"/>
            </w:tcMar>
            <w:vAlign w:val="bottom"/>
            <w:hideMark/>
          </w:tcPr>
          <w:p w14:paraId="3C290D6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478E971" w14:textId="77777777">
        <w:trPr>
          <w:divId w:val="1437141765"/>
        </w:trPr>
        <w:tc>
          <w:tcPr>
            <w:tcW w:w="2245" w:type="pct"/>
            <w:shd w:val="clear" w:color="auto" w:fill="FFFFFF"/>
            <w:tcMar>
              <w:top w:w="15" w:type="dxa"/>
              <w:left w:w="0" w:type="dxa"/>
              <w:bottom w:w="0" w:type="dxa"/>
              <w:right w:w="15" w:type="dxa"/>
            </w:tcMar>
            <w:hideMark/>
          </w:tcPr>
          <w:p w14:paraId="09DEA755" w14:textId="77777777" w:rsidR="00000000" w:rsidRDefault="00582324">
            <w:pPr>
              <w:pStyle w:val="a3"/>
              <w:spacing w:before="0" w:beforeAutospacing="0" w:after="0" w:afterAutospacing="0"/>
              <w:rPr>
                <w:color w:val="000000"/>
                <w:sz w:val="18"/>
                <w:szCs w:val="18"/>
              </w:rPr>
            </w:pPr>
            <w:r>
              <w:rPr>
                <w:color w:val="000000"/>
                <w:sz w:val="18"/>
                <w:szCs w:val="18"/>
              </w:rPr>
              <w:t>Year ended December 31, 2020</w:t>
            </w:r>
          </w:p>
        </w:tc>
        <w:tc>
          <w:tcPr>
            <w:tcW w:w="52" w:type="pct"/>
            <w:shd w:val="clear" w:color="auto" w:fill="FFFFFF"/>
            <w:tcMar>
              <w:top w:w="15" w:type="dxa"/>
              <w:left w:w="0" w:type="dxa"/>
              <w:bottom w:w="0" w:type="dxa"/>
              <w:right w:w="15" w:type="dxa"/>
            </w:tcMar>
            <w:vAlign w:val="bottom"/>
            <w:hideMark/>
          </w:tcPr>
          <w:p w14:paraId="3DC62F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2AC0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3E1AF641" w14:textId="77777777" w:rsidR="00000000" w:rsidRDefault="00582324">
            <w:pPr>
              <w:pStyle w:val="a3"/>
              <w:spacing w:before="0" w:beforeAutospacing="0" w:after="0" w:afterAutospacing="0"/>
              <w:jc w:val="right"/>
              <w:rPr>
                <w:color w:val="000000"/>
                <w:sz w:val="18"/>
                <w:szCs w:val="18"/>
              </w:rPr>
            </w:pPr>
            <w:r>
              <w:rPr>
                <w:color w:val="000000"/>
                <w:sz w:val="18"/>
                <w:szCs w:val="18"/>
              </w:rPr>
              <w:t>1,327</w:t>
            </w:r>
          </w:p>
        </w:tc>
        <w:tc>
          <w:tcPr>
            <w:tcW w:w="50" w:type="pct"/>
            <w:shd w:val="clear" w:color="auto" w:fill="FFFFFF"/>
            <w:noWrap/>
            <w:tcMar>
              <w:top w:w="15" w:type="dxa"/>
              <w:left w:w="0" w:type="dxa"/>
              <w:bottom w:w="0" w:type="dxa"/>
              <w:right w:w="15" w:type="dxa"/>
            </w:tcMar>
            <w:vAlign w:val="bottom"/>
            <w:hideMark/>
          </w:tcPr>
          <w:p w14:paraId="2B6604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3B99B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28DFB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1BF70E9C" w14:textId="77777777" w:rsidR="00000000" w:rsidRDefault="00582324">
            <w:pPr>
              <w:pStyle w:val="a3"/>
              <w:spacing w:before="0" w:beforeAutospacing="0" w:after="0" w:afterAutospacing="0"/>
              <w:jc w:val="right"/>
              <w:rPr>
                <w:color w:val="000000"/>
                <w:sz w:val="18"/>
                <w:szCs w:val="18"/>
              </w:rPr>
            </w:pPr>
            <w:r>
              <w:rPr>
                <w:color w:val="000000"/>
                <w:sz w:val="18"/>
                <w:szCs w:val="18"/>
              </w:rPr>
              <w:t>4,532</w:t>
            </w:r>
          </w:p>
        </w:tc>
        <w:tc>
          <w:tcPr>
            <w:tcW w:w="50" w:type="pct"/>
            <w:shd w:val="clear" w:color="auto" w:fill="FFFFFF"/>
            <w:noWrap/>
            <w:tcMar>
              <w:top w:w="15" w:type="dxa"/>
              <w:left w:w="0" w:type="dxa"/>
              <w:bottom w:w="0" w:type="dxa"/>
              <w:right w:w="15" w:type="dxa"/>
            </w:tcMar>
            <w:vAlign w:val="bottom"/>
            <w:hideMark/>
          </w:tcPr>
          <w:p w14:paraId="6FF842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224B2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CFD7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64805D27" w14:textId="77777777" w:rsidR="00000000" w:rsidRDefault="00582324">
            <w:pPr>
              <w:pStyle w:val="a3"/>
              <w:spacing w:before="0" w:beforeAutospacing="0" w:after="0" w:afterAutospacing="0"/>
              <w:jc w:val="right"/>
              <w:rPr>
                <w:color w:val="000000"/>
                <w:sz w:val="18"/>
                <w:szCs w:val="18"/>
              </w:rPr>
            </w:pPr>
            <w:r>
              <w:rPr>
                <w:color w:val="000000"/>
                <w:sz w:val="18"/>
                <w:szCs w:val="18"/>
              </w:rPr>
              <w:t>(2,633</w:t>
            </w:r>
          </w:p>
        </w:tc>
        <w:tc>
          <w:tcPr>
            <w:tcW w:w="50" w:type="pct"/>
            <w:shd w:val="clear" w:color="auto" w:fill="FFFFFF"/>
            <w:noWrap/>
            <w:tcMar>
              <w:top w:w="15" w:type="dxa"/>
              <w:left w:w="0" w:type="dxa"/>
              <w:bottom w:w="0" w:type="dxa"/>
              <w:right w:w="15" w:type="dxa"/>
            </w:tcMar>
            <w:vAlign w:val="bottom"/>
            <w:hideMark/>
          </w:tcPr>
          <w:p w14:paraId="2B828AE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4A1731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E54C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55AB9DA0" w14:textId="77777777" w:rsidR="00000000" w:rsidRDefault="00582324">
            <w:pPr>
              <w:pStyle w:val="a3"/>
              <w:spacing w:before="0" w:beforeAutospacing="0" w:after="0" w:afterAutospacing="0"/>
              <w:jc w:val="right"/>
              <w:rPr>
                <w:color w:val="000000"/>
                <w:sz w:val="18"/>
                <w:szCs w:val="18"/>
              </w:rPr>
            </w:pPr>
            <w:r>
              <w:rPr>
                <w:color w:val="000000"/>
                <w:sz w:val="18"/>
                <w:szCs w:val="18"/>
              </w:rPr>
              <w:t>1,039</w:t>
            </w:r>
          </w:p>
        </w:tc>
        <w:tc>
          <w:tcPr>
            <w:tcW w:w="50" w:type="pct"/>
            <w:shd w:val="clear" w:color="auto" w:fill="FFFFFF"/>
            <w:noWrap/>
            <w:tcMar>
              <w:top w:w="15" w:type="dxa"/>
              <w:left w:w="0" w:type="dxa"/>
              <w:bottom w:w="0" w:type="dxa"/>
              <w:right w:w="15" w:type="dxa"/>
            </w:tcMar>
            <w:vAlign w:val="bottom"/>
            <w:hideMark/>
          </w:tcPr>
          <w:p w14:paraId="33CAE3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988B6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BBCC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2B951645" w14:textId="77777777" w:rsidR="00000000" w:rsidRDefault="00582324">
            <w:pPr>
              <w:pStyle w:val="a3"/>
              <w:spacing w:before="0" w:beforeAutospacing="0" w:after="0" w:afterAutospacing="0"/>
              <w:jc w:val="right"/>
              <w:rPr>
                <w:color w:val="000000"/>
                <w:sz w:val="18"/>
                <w:szCs w:val="18"/>
              </w:rPr>
            </w:pPr>
            <w:r>
              <w:rPr>
                <w:color w:val="000000"/>
                <w:sz w:val="18"/>
                <w:szCs w:val="18"/>
              </w:rPr>
              <w:t>4,265</w:t>
            </w:r>
          </w:p>
        </w:tc>
        <w:tc>
          <w:tcPr>
            <w:tcW w:w="50" w:type="pct"/>
            <w:shd w:val="clear" w:color="auto" w:fill="FFFFFF"/>
            <w:noWrap/>
            <w:tcMar>
              <w:top w:w="15" w:type="dxa"/>
              <w:left w:w="0" w:type="dxa"/>
              <w:bottom w:w="0" w:type="dxa"/>
              <w:right w:w="15" w:type="dxa"/>
            </w:tcMar>
            <w:vAlign w:val="bottom"/>
            <w:hideMark/>
          </w:tcPr>
          <w:p w14:paraId="11841DD3"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7DA059F5" w14:textId="77777777" w:rsidR="00000000" w:rsidRDefault="00582324">
      <w:pPr>
        <w:pStyle w:val="a3"/>
        <w:shd w:val="clear" w:color="auto" w:fill="FFFFFF"/>
        <w:spacing w:before="0" w:beforeAutospacing="0" w:after="0" w:afterAutospacing="0"/>
        <w:rPr>
          <w:color w:val="000000"/>
          <w:sz w:val="20"/>
          <w:szCs w:val="20"/>
        </w:rPr>
      </w:pPr>
      <w:r>
        <w:rPr>
          <w:color w:val="000000"/>
          <w:sz w:val="20"/>
          <w:szCs w:val="20"/>
        </w:rPr>
        <w:t>____________________</w:t>
      </w:r>
    </w:p>
    <w:tbl>
      <w:tblPr>
        <w:tblW w:w="5000" w:type="pct"/>
        <w:tblCellMar>
          <w:left w:w="0" w:type="dxa"/>
          <w:right w:w="0" w:type="dxa"/>
        </w:tblCellMar>
        <w:tblLook w:val="04A0" w:firstRow="1" w:lastRow="0" w:firstColumn="1" w:lastColumn="0" w:noHBand="0" w:noVBand="1"/>
      </w:tblPr>
      <w:tblGrid>
        <w:gridCol w:w="282"/>
        <w:gridCol w:w="8024"/>
      </w:tblGrid>
      <w:tr w:rsidR="00000000" w14:paraId="75CA2B1D" w14:textId="77777777">
        <w:trPr>
          <w:divId w:val="422607128"/>
        </w:trPr>
        <w:tc>
          <w:tcPr>
            <w:tcW w:w="170" w:type="pct"/>
            <w:noWrap/>
            <w:hideMark/>
          </w:tcPr>
          <w:p w14:paraId="0BA7F7E7" w14:textId="77777777" w:rsidR="00000000" w:rsidRDefault="00582324">
            <w:pPr>
              <w:pStyle w:val="a3"/>
              <w:spacing w:before="40" w:beforeAutospacing="0" w:after="0" w:afterAutospacing="0"/>
              <w:rPr>
                <w:sz w:val="18"/>
                <w:szCs w:val="18"/>
              </w:rPr>
            </w:pPr>
            <w:r>
              <w:rPr>
                <w:sz w:val="18"/>
                <w:szCs w:val="18"/>
              </w:rPr>
              <w:t>(1)</w:t>
            </w:r>
          </w:p>
        </w:tc>
        <w:tc>
          <w:tcPr>
            <w:tcW w:w="0" w:type="auto"/>
            <w:hideMark/>
          </w:tcPr>
          <w:p w14:paraId="45DE21F9" w14:textId="77777777" w:rsidR="00000000" w:rsidRDefault="00582324">
            <w:pPr>
              <w:pStyle w:val="a3"/>
              <w:spacing w:before="40" w:beforeAutospacing="0" w:after="0" w:afterAutospacing="0"/>
              <w:rPr>
                <w:sz w:val="18"/>
                <w:szCs w:val="18"/>
              </w:rPr>
            </w:pPr>
            <w:r>
              <w:rPr>
                <w:sz w:val="18"/>
                <w:szCs w:val="18"/>
              </w:rPr>
              <w:t>This amount consists of additions to the allowance due to business acquisitions.</w:t>
            </w:r>
          </w:p>
        </w:tc>
      </w:tr>
    </w:tbl>
    <w:p w14:paraId="67E4F9AF"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4. PREPAID AND OTHER CURRENT ASSETS</w:t>
      </w:r>
    </w:p>
    <w:p w14:paraId="564B9C0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Prepaid and other current assets consisted of the following:</w:t>
      </w:r>
    </w:p>
    <w:p w14:paraId="2DAE3A4C"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95"/>
        <w:gridCol w:w="133"/>
        <w:gridCol w:w="106"/>
        <w:gridCol w:w="1310"/>
        <w:gridCol w:w="60"/>
        <w:gridCol w:w="134"/>
        <w:gridCol w:w="106"/>
        <w:gridCol w:w="1310"/>
        <w:gridCol w:w="60"/>
      </w:tblGrid>
      <w:tr w:rsidR="00000000" w14:paraId="11468EE3" w14:textId="77777777">
        <w:trPr>
          <w:divId w:val="1269238163"/>
        </w:trPr>
        <w:tc>
          <w:tcPr>
            <w:tcW w:w="2248" w:type="pct"/>
            <w:shd w:val="clear" w:color="auto" w:fill="FFFFFF"/>
            <w:tcMar>
              <w:top w:w="15" w:type="dxa"/>
              <w:left w:w="0" w:type="dxa"/>
              <w:bottom w:w="0" w:type="dxa"/>
              <w:right w:w="15" w:type="dxa"/>
            </w:tcMar>
            <w:vAlign w:val="bottom"/>
            <w:hideMark/>
          </w:tcPr>
          <w:p w14:paraId="0FFF4975" w14:textId="77777777" w:rsidR="00000000" w:rsidRDefault="00582324">
            <w:pPr>
              <w:pStyle w:val="a3"/>
              <w:spacing w:before="0" w:beforeAutospacing="0" w:after="0" w:afterAutospacing="0"/>
              <w:jc w:val="center"/>
              <w:rPr>
                <w:sz w:val="20"/>
                <w:szCs w:val="20"/>
              </w:rPr>
            </w:pPr>
            <w:r>
              <w:rPr>
                <w:sz w:val="20"/>
                <w:szCs w:val="20"/>
              </w:rPr>
              <w:t> </w:t>
            </w:r>
          </w:p>
        </w:tc>
        <w:tc>
          <w:tcPr>
            <w:tcW w:w="132" w:type="pct"/>
            <w:shd w:val="clear" w:color="auto" w:fill="FFFFFF"/>
            <w:tcMar>
              <w:top w:w="15" w:type="dxa"/>
              <w:left w:w="0" w:type="dxa"/>
              <w:bottom w:w="0" w:type="dxa"/>
              <w:right w:w="15" w:type="dxa"/>
            </w:tcMar>
            <w:vAlign w:val="bottom"/>
            <w:hideMark/>
          </w:tcPr>
          <w:p w14:paraId="4FB1CAC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93" w:type="pct"/>
            <w:gridSpan w:val="2"/>
            <w:shd w:val="clear" w:color="auto" w:fill="FFFFFF"/>
            <w:tcMar>
              <w:top w:w="15" w:type="dxa"/>
              <w:left w:w="0" w:type="dxa"/>
              <w:bottom w:w="0" w:type="dxa"/>
              <w:right w:w="15" w:type="dxa"/>
            </w:tcMar>
            <w:vAlign w:val="bottom"/>
            <w:hideMark/>
          </w:tcPr>
          <w:p w14:paraId="72BDBDE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742B909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4658231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93" w:type="pct"/>
            <w:gridSpan w:val="2"/>
            <w:shd w:val="clear" w:color="auto" w:fill="FFFFFF"/>
            <w:tcMar>
              <w:top w:w="15" w:type="dxa"/>
              <w:left w:w="0" w:type="dxa"/>
              <w:bottom w:w="0" w:type="dxa"/>
              <w:right w:w="15" w:type="dxa"/>
            </w:tcMar>
            <w:vAlign w:val="bottom"/>
            <w:hideMark/>
          </w:tcPr>
          <w:p w14:paraId="3E460E0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20950DF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FB6A27F" w14:textId="77777777">
        <w:trPr>
          <w:divId w:val="1269238163"/>
        </w:trPr>
        <w:tc>
          <w:tcPr>
            <w:tcW w:w="2248" w:type="pct"/>
            <w:shd w:val="clear" w:color="auto" w:fill="FFFFFF"/>
            <w:tcMar>
              <w:top w:w="15" w:type="dxa"/>
              <w:left w:w="0" w:type="dxa"/>
              <w:bottom w:w="0" w:type="dxa"/>
              <w:right w:w="15" w:type="dxa"/>
            </w:tcMar>
            <w:vAlign w:val="bottom"/>
            <w:hideMark/>
          </w:tcPr>
          <w:p w14:paraId="5AE4442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0216592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93" w:type="pct"/>
            <w:gridSpan w:val="2"/>
            <w:tcBorders>
              <w:bottom w:val="single" w:sz="6" w:space="0" w:color="000000"/>
            </w:tcBorders>
            <w:shd w:val="clear" w:color="auto" w:fill="FFFFFF"/>
            <w:tcMar>
              <w:top w:w="15" w:type="dxa"/>
              <w:left w:w="0" w:type="dxa"/>
              <w:bottom w:w="0" w:type="dxa"/>
              <w:right w:w="15" w:type="dxa"/>
            </w:tcMar>
            <w:vAlign w:val="bottom"/>
            <w:hideMark/>
          </w:tcPr>
          <w:p w14:paraId="2E677C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31CFEB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1A65C9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93" w:type="pct"/>
            <w:gridSpan w:val="2"/>
            <w:tcBorders>
              <w:bottom w:val="single" w:sz="6" w:space="0" w:color="000000"/>
            </w:tcBorders>
            <w:shd w:val="clear" w:color="auto" w:fill="FFFFFF"/>
            <w:tcMar>
              <w:top w:w="15" w:type="dxa"/>
              <w:left w:w="0" w:type="dxa"/>
              <w:bottom w:w="0" w:type="dxa"/>
              <w:right w:w="15" w:type="dxa"/>
            </w:tcMar>
            <w:vAlign w:val="bottom"/>
            <w:hideMark/>
          </w:tcPr>
          <w:p w14:paraId="4DE154A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587A1CF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55F4AEA" w14:textId="77777777">
        <w:trPr>
          <w:divId w:val="1269238163"/>
        </w:trPr>
        <w:tc>
          <w:tcPr>
            <w:tcW w:w="2248" w:type="pct"/>
            <w:shd w:val="clear" w:color="auto" w:fill="CFF0FC"/>
            <w:tcMar>
              <w:top w:w="15" w:type="dxa"/>
              <w:left w:w="0" w:type="dxa"/>
              <w:bottom w:w="0" w:type="dxa"/>
              <w:right w:w="15" w:type="dxa"/>
            </w:tcMar>
            <w:hideMark/>
          </w:tcPr>
          <w:p w14:paraId="7C84CFC1" w14:textId="77777777" w:rsidR="00000000" w:rsidRDefault="00582324">
            <w:pPr>
              <w:pStyle w:val="a3"/>
              <w:spacing w:before="0" w:beforeAutospacing="0" w:after="0" w:afterAutospacing="0"/>
              <w:rPr>
                <w:color w:val="000000"/>
                <w:sz w:val="18"/>
                <w:szCs w:val="18"/>
              </w:rPr>
            </w:pPr>
            <w:r>
              <w:rPr>
                <w:color w:val="000000"/>
                <w:sz w:val="18"/>
                <w:szCs w:val="18"/>
              </w:rPr>
              <w:t>Deposits</w:t>
            </w:r>
          </w:p>
        </w:tc>
        <w:tc>
          <w:tcPr>
            <w:tcW w:w="132" w:type="pct"/>
            <w:shd w:val="clear" w:color="auto" w:fill="CFF0FC"/>
            <w:tcMar>
              <w:top w:w="15" w:type="dxa"/>
              <w:left w:w="0" w:type="dxa"/>
              <w:bottom w:w="0" w:type="dxa"/>
              <w:right w:w="15" w:type="dxa"/>
            </w:tcMar>
            <w:vAlign w:val="bottom"/>
            <w:hideMark/>
          </w:tcPr>
          <w:p w14:paraId="0E2315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6E97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3" w:type="pct"/>
            <w:tcBorders>
              <w:top w:val="single" w:sz="6" w:space="0" w:color="000000"/>
            </w:tcBorders>
            <w:shd w:val="clear" w:color="auto" w:fill="CFF0FC"/>
            <w:noWrap/>
            <w:tcMar>
              <w:top w:w="15" w:type="dxa"/>
              <w:left w:w="0" w:type="dxa"/>
              <w:bottom w:w="0" w:type="dxa"/>
              <w:right w:w="15" w:type="dxa"/>
            </w:tcMar>
            <w:vAlign w:val="bottom"/>
            <w:hideMark/>
          </w:tcPr>
          <w:p w14:paraId="0566ACC2" w14:textId="77777777" w:rsidR="00000000" w:rsidRDefault="00582324">
            <w:pPr>
              <w:pStyle w:val="a3"/>
              <w:spacing w:before="0" w:beforeAutospacing="0" w:after="0" w:afterAutospacing="0"/>
              <w:jc w:val="right"/>
              <w:rPr>
                <w:color w:val="000000"/>
                <w:sz w:val="18"/>
                <w:szCs w:val="18"/>
              </w:rPr>
            </w:pPr>
            <w:r>
              <w:rPr>
                <w:color w:val="000000"/>
                <w:sz w:val="18"/>
                <w:szCs w:val="18"/>
              </w:rPr>
              <w:t>791</w:t>
            </w:r>
          </w:p>
        </w:tc>
        <w:tc>
          <w:tcPr>
            <w:tcW w:w="50" w:type="pct"/>
            <w:shd w:val="clear" w:color="auto" w:fill="CFF0FC"/>
            <w:noWrap/>
            <w:tcMar>
              <w:top w:w="15" w:type="dxa"/>
              <w:left w:w="0" w:type="dxa"/>
              <w:bottom w:w="0" w:type="dxa"/>
              <w:right w:w="15" w:type="dxa"/>
            </w:tcMar>
            <w:vAlign w:val="bottom"/>
            <w:hideMark/>
          </w:tcPr>
          <w:p w14:paraId="4EFE49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0C48F2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9B2EF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3" w:type="pct"/>
            <w:tcBorders>
              <w:top w:val="single" w:sz="6" w:space="0" w:color="000000"/>
            </w:tcBorders>
            <w:shd w:val="clear" w:color="auto" w:fill="CFF0FC"/>
            <w:noWrap/>
            <w:tcMar>
              <w:top w:w="15" w:type="dxa"/>
              <w:left w:w="0" w:type="dxa"/>
              <w:bottom w:w="0" w:type="dxa"/>
              <w:right w:w="15" w:type="dxa"/>
            </w:tcMar>
            <w:vAlign w:val="bottom"/>
            <w:hideMark/>
          </w:tcPr>
          <w:p w14:paraId="0D6538D6" w14:textId="77777777" w:rsidR="00000000" w:rsidRDefault="00582324">
            <w:pPr>
              <w:pStyle w:val="a3"/>
              <w:spacing w:before="0" w:beforeAutospacing="0" w:after="0" w:afterAutospacing="0"/>
              <w:jc w:val="right"/>
              <w:rPr>
                <w:color w:val="000000"/>
                <w:sz w:val="18"/>
                <w:szCs w:val="18"/>
              </w:rPr>
            </w:pPr>
            <w:r>
              <w:rPr>
                <w:color w:val="000000"/>
                <w:sz w:val="18"/>
                <w:szCs w:val="18"/>
              </w:rPr>
              <w:t>708</w:t>
            </w:r>
          </w:p>
        </w:tc>
        <w:tc>
          <w:tcPr>
            <w:tcW w:w="50" w:type="pct"/>
            <w:shd w:val="clear" w:color="auto" w:fill="CFF0FC"/>
            <w:noWrap/>
            <w:tcMar>
              <w:top w:w="15" w:type="dxa"/>
              <w:left w:w="0" w:type="dxa"/>
              <w:bottom w:w="0" w:type="dxa"/>
              <w:right w:w="15" w:type="dxa"/>
            </w:tcMar>
            <w:vAlign w:val="bottom"/>
            <w:hideMark/>
          </w:tcPr>
          <w:p w14:paraId="7F42165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1C924A4" w14:textId="77777777">
        <w:trPr>
          <w:divId w:val="1269238163"/>
        </w:trPr>
        <w:tc>
          <w:tcPr>
            <w:tcW w:w="2248" w:type="pct"/>
            <w:shd w:val="clear" w:color="auto" w:fill="FFFFFF"/>
            <w:tcMar>
              <w:top w:w="15" w:type="dxa"/>
              <w:left w:w="0" w:type="dxa"/>
              <w:bottom w:w="0" w:type="dxa"/>
              <w:right w:w="15" w:type="dxa"/>
            </w:tcMar>
            <w:hideMark/>
          </w:tcPr>
          <w:p w14:paraId="53C9C80D" w14:textId="77777777" w:rsidR="00000000" w:rsidRDefault="00582324">
            <w:pPr>
              <w:pStyle w:val="a3"/>
              <w:spacing w:before="0" w:beforeAutospacing="0" w:after="0" w:afterAutospacing="0"/>
              <w:rPr>
                <w:color w:val="000000"/>
                <w:sz w:val="18"/>
                <w:szCs w:val="18"/>
              </w:rPr>
            </w:pPr>
            <w:r>
              <w:rPr>
                <w:color w:val="000000"/>
                <w:sz w:val="18"/>
                <w:szCs w:val="18"/>
              </w:rPr>
              <w:t>Prepaid expenses</w:t>
            </w:r>
          </w:p>
        </w:tc>
        <w:tc>
          <w:tcPr>
            <w:tcW w:w="132" w:type="pct"/>
            <w:shd w:val="clear" w:color="auto" w:fill="FFFFFF"/>
            <w:tcMar>
              <w:top w:w="15" w:type="dxa"/>
              <w:left w:w="0" w:type="dxa"/>
              <w:bottom w:w="0" w:type="dxa"/>
              <w:right w:w="15" w:type="dxa"/>
            </w:tcMar>
            <w:vAlign w:val="bottom"/>
            <w:hideMark/>
          </w:tcPr>
          <w:p w14:paraId="7F0C7A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CF1F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3" w:type="pct"/>
            <w:shd w:val="clear" w:color="auto" w:fill="FFFFFF"/>
            <w:noWrap/>
            <w:tcMar>
              <w:top w:w="15" w:type="dxa"/>
              <w:left w:w="0" w:type="dxa"/>
              <w:bottom w:w="0" w:type="dxa"/>
              <w:right w:w="15" w:type="dxa"/>
            </w:tcMar>
            <w:vAlign w:val="bottom"/>
            <w:hideMark/>
          </w:tcPr>
          <w:p w14:paraId="50EEB6F0" w14:textId="77777777" w:rsidR="00000000" w:rsidRDefault="00582324">
            <w:pPr>
              <w:pStyle w:val="a3"/>
              <w:spacing w:before="0" w:beforeAutospacing="0" w:after="0" w:afterAutospacing="0"/>
              <w:jc w:val="right"/>
              <w:rPr>
                <w:color w:val="000000"/>
                <w:sz w:val="18"/>
                <w:szCs w:val="18"/>
              </w:rPr>
            </w:pPr>
            <w:r>
              <w:rPr>
                <w:color w:val="000000"/>
                <w:sz w:val="18"/>
                <w:szCs w:val="18"/>
              </w:rPr>
              <w:t>4,568</w:t>
            </w:r>
          </w:p>
        </w:tc>
        <w:tc>
          <w:tcPr>
            <w:tcW w:w="50" w:type="pct"/>
            <w:shd w:val="clear" w:color="auto" w:fill="FFFFFF"/>
            <w:noWrap/>
            <w:tcMar>
              <w:top w:w="15" w:type="dxa"/>
              <w:left w:w="0" w:type="dxa"/>
              <w:bottom w:w="0" w:type="dxa"/>
              <w:right w:w="15" w:type="dxa"/>
            </w:tcMar>
            <w:vAlign w:val="bottom"/>
            <w:hideMark/>
          </w:tcPr>
          <w:p w14:paraId="70ECE3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FFFFFF"/>
            <w:tcMar>
              <w:top w:w="15" w:type="dxa"/>
              <w:left w:w="0" w:type="dxa"/>
              <w:bottom w:w="0" w:type="dxa"/>
              <w:right w:w="15" w:type="dxa"/>
            </w:tcMar>
            <w:vAlign w:val="bottom"/>
            <w:hideMark/>
          </w:tcPr>
          <w:p w14:paraId="4AD1A5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D19F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3" w:type="pct"/>
            <w:shd w:val="clear" w:color="auto" w:fill="FFFFFF"/>
            <w:noWrap/>
            <w:tcMar>
              <w:top w:w="15" w:type="dxa"/>
              <w:left w:w="0" w:type="dxa"/>
              <w:bottom w:w="0" w:type="dxa"/>
              <w:right w:w="15" w:type="dxa"/>
            </w:tcMar>
            <w:vAlign w:val="bottom"/>
            <w:hideMark/>
          </w:tcPr>
          <w:p w14:paraId="6FED6E5D" w14:textId="77777777" w:rsidR="00000000" w:rsidRDefault="00582324">
            <w:pPr>
              <w:pStyle w:val="a3"/>
              <w:spacing w:before="0" w:beforeAutospacing="0" w:after="0" w:afterAutospacing="0"/>
              <w:jc w:val="right"/>
              <w:rPr>
                <w:color w:val="000000"/>
                <w:sz w:val="18"/>
                <w:szCs w:val="18"/>
              </w:rPr>
            </w:pPr>
            <w:r>
              <w:rPr>
                <w:color w:val="000000"/>
                <w:sz w:val="18"/>
                <w:szCs w:val="18"/>
              </w:rPr>
              <w:t>3,510</w:t>
            </w:r>
          </w:p>
        </w:tc>
        <w:tc>
          <w:tcPr>
            <w:tcW w:w="50" w:type="pct"/>
            <w:shd w:val="clear" w:color="auto" w:fill="FFFFFF"/>
            <w:noWrap/>
            <w:tcMar>
              <w:top w:w="15" w:type="dxa"/>
              <w:left w:w="0" w:type="dxa"/>
              <w:bottom w:w="0" w:type="dxa"/>
              <w:right w:w="15" w:type="dxa"/>
            </w:tcMar>
            <w:vAlign w:val="bottom"/>
            <w:hideMark/>
          </w:tcPr>
          <w:p w14:paraId="02AFEAA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52836E3" w14:textId="77777777">
        <w:trPr>
          <w:divId w:val="1269238163"/>
        </w:trPr>
        <w:tc>
          <w:tcPr>
            <w:tcW w:w="2248" w:type="pct"/>
            <w:shd w:val="clear" w:color="auto" w:fill="CFF0FC"/>
            <w:tcMar>
              <w:top w:w="15" w:type="dxa"/>
              <w:left w:w="0" w:type="dxa"/>
              <w:bottom w:w="0" w:type="dxa"/>
              <w:right w:w="15" w:type="dxa"/>
            </w:tcMar>
            <w:hideMark/>
          </w:tcPr>
          <w:p w14:paraId="0C8F6E9E" w14:textId="77777777" w:rsidR="00000000" w:rsidRDefault="00582324">
            <w:pPr>
              <w:pStyle w:val="a3"/>
              <w:spacing w:before="0" w:beforeAutospacing="0" w:after="0" w:afterAutospacing="0"/>
              <w:rPr>
                <w:color w:val="000000"/>
                <w:sz w:val="18"/>
                <w:szCs w:val="18"/>
              </w:rPr>
            </w:pPr>
            <w:r>
              <w:rPr>
                <w:color w:val="000000"/>
                <w:sz w:val="18"/>
                <w:szCs w:val="18"/>
              </w:rPr>
              <w:t>Supplies</w:t>
            </w:r>
          </w:p>
        </w:tc>
        <w:tc>
          <w:tcPr>
            <w:tcW w:w="132" w:type="pct"/>
            <w:shd w:val="clear" w:color="auto" w:fill="CFF0FC"/>
            <w:tcMar>
              <w:top w:w="15" w:type="dxa"/>
              <w:left w:w="0" w:type="dxa"/>
              <w:bottom w:w="0" w:type="dxa"/>
              <w:right w:w="15" w:type="dxa"/>
            </w:tcMar>
            <w:vAlign w:val="bottom"/>
            <w:hideMark/>
          </w:tcPr>
          <w:p w14:paraId="75934F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4ACE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3" w:type="pct"/>
            <w:tcBorders>
              <w:bottom w:val="single" w:sz="6" w:space="0" w:color="000000"/>
            </w:tcBorders>
            <w:shd w:val="clear" w:color="auto" w:fill="CFF0FC"/>
            <w:noWrap/>
            <w:tcMar>
              <w:top w:w="15" w:type="dxa"/>
              <w:left w:w="0" w:type="dxa"/>
              <w:bottom w:w="0" w:type="dxa"/>
              <w:right w:w="15" w:type="dxa"/>
            </w:tcMar>
            <w:vAlign w:val="bottom"/>
            <w:hideMark/>
          </w:tcPr>
          <w:p w14:paraId="63E5B44D" w14:textId="77777777" w:rsidR="00000000" w:rsidRDefault="00582324">
            <w:pPr>
              <w:pStyle w:val="a3"/>
              <w:spacing w:before="0" w:beforeAutospacing="0" w:after="0" w:afterAutospacing="0"/>
              <w:jc w:val="right"/>
              <w:rPr>
                <w:color w:val="000000"/>
                <w:sz w:val="18"/>
                <w:szCs w:val="18"/>
              </w:rPr>
            </w:pPr>
            <w:r>
              <w:rPr>
                <w:color w:val="000000"/>
                <w:sz w:val="18"/>
                <w:szCs w:val="18"/>
              </w:rPr>
              <w:t>2,347</w:t>
            </w:r>
          </w:p>
        </w:tc>
        <w:tc>
          <w:tcPr>
            <w:tcW w:w="50" w:type="pct"/>
            <w:shd w:val="clear" w:color="auto" w:fill="CFF0FC"/>
            <w:noWrap/>
            <w:tcMar>
              <w:top w:w="15" w:type="dxa"/>
              <w:left w:w="0" w:type="dxa"/>
              <w:bottom w:w="0" w:type="dxa"/>
              <w:right w:w="15" w:type="dxa"/>
            </w:tcMar>
            <w:vAlign w:val="bottom"/>
            <w:hideMark/>
          </w:tcPr>
          <w:p w14:paraId="7E42E8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67E06F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2AC1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3" w:type="pct"/>
            <w:tcBorders>
              <w:bottom w:val="single" w:sz="6" w:space="0" w:color="000000"/>
            </w:tcBorders>
            <w:shd w:val="clear" w:color="auto" w:fill="CFF0FC"/>
            <w:noWrap/>
            <w:tcMar>
              <w:top w:w="15" w:type="dxa"/>
              <w:left w:w="0" w:type="dxa"/>
              <w:bottom w:w="0" w:type="dxa"/>
              <w:right w:w="15" w:type="dxa"/>
            </w:tcMar>
            <w:vAlign w:val="bottom"/>
            <w:hideMark/>
          </w:tcPr>
          <w:p w14:paraId="0B4D6B25" w14:textId="77777777" w:rsidR="00000000" w:rsidRDefault="00582324">
            <w:pPr>
              <w:pStyle w:val="a3"/>
              <w:spacing w:before="0" w:beforeAutospacing="0" w:after="0" w:afterAutospacing="0"/>
              <w:jc w:val="right"/>
              <w:rPr>
                <w:color w:val="000000"/>
                <w:sz w:val="18"/>
                <w:szCs w:val="18"/>
              </w:rPr>
            </w:pPr>
            <w:r>
              <w:rPr>
                <w:color w:val="000000"/>
                <w:sz w:val="18"/>
                <w:szCs w:val="18"/>
              </w:rPr>
              <w:t>2,491</w:t>
            </w:r>
          </w:p>
        </w:tc>
        <w:tc>
          <w:tcPr>
            <w:tcW w:w="50" w:type="pct"/>
            <w:shd w:val="clear" w:color="auto" w:fill="CFF0FC"/>
            <w:noWrap/>
            <w:tcMar>
              <w:top w:w="15" w:type="dxa"/>
              <w:left w:w="0" w:type="dxa"/>
              <w:bottom w:w="0" w:type="dxa"/>
              <w:right w:w="15" w:type="dxa"/>
            </w:tcMar>
            <w:vAlign w:val="bottom"/>
            <w:hideMark/>
          </w:tcPr>
          <w:p w14:paraId="34142DA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11835F1" w14:textId="77777777">
        <w:trPr>
          <w:divId w:val="1269238163"/>
        </w:trPr>
        <w:tc>
          <w:tcPr>
            <w:tcW w:w="2248" w:type="pct"/>
            <w:shd w:val="clear" w:color="auto" w:fill="FFFFFF"/>
            <w:tcMar>
              <w:top w:w="15" w:type="dxa"/>
              <w:left w:w="0" w:type="dxa"/>
              <w:bottom w:w="0" w:type="dxa"/>
              <w:right w:w="15" w:type="dxa"/>
            </w:tcMar>
            <w:hideMark/>
          </w:tcPr>
          <w:p w14:paraId="72CE666C" w14:textId="77777777" w:rsidR="00000000" w:rsidRDefault="00582324">
            <w:pPr>
              <w:pStyle w:val="a3"/>
              <w:spacing w:before="0" w:beforeAutospacing="0" w:after="0" w:afterAutospacing="0"/>
              <w:rPr>
                <w:color w:val="000000"/>
                <w:sz w:val="18"/>
                <w:szCs w:val="18"/>
              </w:rPr>
            </w:pPr>
            <w:r>
              <w:rPr>
                <w:color w:val="000000"/>
                <w:sz w:val="18"/>
                <w:szCs w:val="18"/>
              </w:rPr>
              <w:t>Prepaid and other current assets</w:t>
            </w:r>
          </w:p>
        </w:tc>
        <w:tc>
          <w:tcPr>
            <w:tcW w:w="132" w:type="pct"/>
            <w:shd w:val="clear" w:color="auto" w:fill="FFFFFF"/>
            <w:tcMar>
              <w:top w:w="15" w:type="dxa"/>
              <w:left w:w="0" w:type="dxa"/>
              <w:bottom w:w="0" w:type="dxa"/>
              <w:right w:w="15" w:type="dxa"/>
            </w:tcMar>
            <w:vAlign w:val="bottom"/>
            <w:hideMark/>
          </w:tcPr>
          <w:p w14:paraId="733C33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9AF43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96DDBC" w14:textId="77777777" w:rsidR="00000000" w:rsidRDefault="00582324">
            <w:pPr>
              <w:pStyle w:val="a3"/>
              <w:spacing w:before="0" w:beforeAutospacing="0" w:after="0" w:afterAutospacing="0"/>
              <w:jc w:val="right"/>
              <w:rPr>
                <w:color w:val="000000"/>
                <w:sz w:val="18"/>
                <w:szCs w:val="18"/>
              </w:rPr>
            </w:pPr>
            <w:r>
              <w:rPr>
                <w:color w:val="000000"/>
                <w:sz w:val="18"/>
                <w:szCs w:val="18"/>
              </w:rPr>
              <w:t>7,706</w:t>
            </w:r>
          </w:p>
        </w:tc>
        <w:tc>
          <w:tcPr>
            <w:tcW w:w="50" w:type="pct"/>
            <w:shd w:val="clear" w:color="auto" w:fill="FFFFFF"/>
            <w:noWrap/>
            <w:tcMar>
              <w:top w:w="15" w:type="dxa"/>
              <w:left w:w="0" w:type="dxa"/>
              <w:bottom w:w="0" w:type="dxa"/>
              <w:right w:w="15" w:type="dxa"/>
            </w:tcMar>
            <w:vAlign w:val="bottom"/>
            <w:hideMark/>
          </w:tcPr>
          <w:p w14:paraId="3CC538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FFFFFF"/>
            <w:tcMar>
              <w:top w:w="15" w:type="dxa"/>
              <w:left w:w="0" w:type="dxa"/>
              <w:bottom w:w="0" w:type="dxa"/>
              <w:right w:w="15" w:type="dxa"/>
            </w:tcMar>
            <w:vAlign w:val="bottom"/>
            <w:hideMark/>
          </w:tcPr>
          <w:p w14:paraId="750D0A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655DB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C89171" w14:textId="77777777" w:rsidR="00000000" w:rsidRDefault="00582324">
            <w:pPr>
              <w:pStyle w:val="a3"/>
              <w:spacing w:before="0" w:beforeAutospacing="0" w:after="0" w:afterAutospacing="0"/>
              <w:jc w:val="right"/>
              <w:rPr>
                <w:color w:val="000000"/>
                <w:sz w:val="18"/>
                <w:szCs w:val="18"/>
              </w:rPr>
            </w:pPr>
            <w:r>
              <w:rPr>
                <w:color w:val="000000"/>
                <w:sz w:val="18"/>
                <w:szCs w:val="18"/>
              </w:rPr>
              <w:t>6,709</w:t>
            </w:r>
          </w:p>
        </w:tc>
        <w:tc>
          <w:tcPr>
            <w:tcW w:w="50" w:type="pct"/>
            <w:shd w:val="clear" w:color="auto" w:fill="FFFFFF"/>
            <w:noWrap/>
            <w:tcMar>
              <w:top w:w="15" w:type="dxa"/>
              <w:left w:w="0" w:type="dxa"/>
              <w:bottom w:w="0" w:type="dxa"/>
              <w:right w:w="15" w:type="dxa"/>
            </w:tcMar>
            <w:vAlign w:val="bottom"/>
            <w:hideMark/>
          </w:tcPr>
          <w:p w14:paraId="788067BA"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8DA43A1" w14:textId="77777777" w:rsidR="00000000" w:rsidRDefault="00582324">
      <w:pPr>
        <w:pStyle w:val="a3"/>
        <w:shd w:val="clear" w:color="auto" w:fill="FFFFFF"/>
        <w:spacing w:before="0" w:beforeAutospacing="0" w:after="0" w:afterAutospacing="0"/>
        <w:rPr>
          <w:b/>
          <w:bCs/>
          <w:sz w:val="20"/>
          <w:szCs w:val="20"/>
        </w:rPr>
      </w:pPr>
      <w:r>
        <w:rPr>
          <w:b/>
          <w:bCs/>
          <w:sz w:val="20"/>
          <w:szCs w:val="20"/>
        </w:rPr>
        <w:t> </w:t>
      </w:r>
    </w:p>
    <w:p w14:paraId="786152AC"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shd w:val="clear" w:color="auto" w:fill="FFFFFF"/>
        </w:rPr>
        <w:t>5. PROPERTY AND EQUIPMENT, NET</w:t>
      </w:r>
      <w:r>
        <w:rPr>
          <w:color w:val="000000"/>
          <w:sz w:val="20"/>
          <w:szCs w:val="20"/>
        </w:rPr>
        <w:t xml:space="preserve"> </w:t>
      </w:r>
    </w:p>
    <w:p w14:paraId="48AD92DC"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shd w:val="clear" w:color="auto" w:fill="FFFFFF"/>
        </w:rPr>
        <w:t xml:space="preserve">Property and equipment are stated at cost or estimated fair value for assets acquired through business combinations. Depreciation and amortization are provided using the straight-line method over the estimated useful lives of the assets. Leasehold </w:t>
      </w:r>
    </w:p>
    <w:p w14:paraId="45E7DDDC" w14:textId="77777777" w:rsidR="00000000" w:rsidRDefault="00582324">
      <w:pPr>
        <w:pStyle w:val="a3"/>
        <w:spacing w:before="240" w:beforeAutospacing="0" w:after="0" w:afterAutospacing="0"/>
        <w:jc w:val="center"/>
        <w:rPr>
          <w:sz w:val="20"/>
          <w:szCs w:val="20"/>
        </w:rPr>
      </w:pPr>
      <w:r>
        <w:rPr>
          <w:sz w:val="20"/>
          <w:szCs w:val="20"/>
        </w:rPr>
        <w:t>8</w:t>
      </w:r>
    </w:p>
    <w:p w14:paraId="6B3715E3" w14:textId="77777777" w:rsidR="00000000" w:rsidRDefault="00582324">
      <w:pPr>
        <w:rPr>
          <w:rFonts w:eastAsia="Times New Roman"/>
        </w:rPr>
      </w:pPr>
      <w:r>
        <w:rPr>
          <w:rFonts w:eastAsia="Times New Roman"/>
        </w:rPr>
        <w:pict w14:anchorId="7C06A9EC">
          <v:rect id="_x0000_i1034" style="width:0;height:1.5pt" o:hralign="center" o:hrstd="t" o:hr="t" fillcolor="#a0a0a0" stroked="f"/>
        </w:pict>
      </w:r>
    </w:p>
    <w:p w14:paraId="3B4FA4EB" w14:textId="77777777" w:rsidR="00000000" w:rsidRDefault="00582324">
      <w:pPr>
        <w:pStyle w:val="a3"/>
        <w:spacing w:before="0" w:beforeAutospacing="0" w:after="0" w:afterAutospacing="0"/>
        <w:rPr>
          <w:sz w:val="20"/>
          <w:szCs w:val="20"/>
        </w:rPr>
      </w:pPr>
      <w:r>
        <w:rPr>
          <w:sz w:val="20"/>
          <w:szCs w:val="20"/>
        </w:rPr>
        <w:t> </w:t>
      </w:r>
    </w:p>
    <w:p w14:paraId="7976A428" w14:textId="77777777" w:rsidR="00000000" w:rsidRDefault="00582324">
      <w:pPr>
        <w:pStyle w:val="a3"/>
        <w:shd w:val="clear" w:color="auto" w:fill="FFFFFF"/>
        <w:spacing w:before="120" w:beforeAutospacing="0" w:after="0" w:afterAutospacing="0"/>
        <w:rPr>
          <w:color w:val="000000"/>
          <w:sz w:val="20"/>
          <w:szCs w:val="20"/>
        </w:rPr>
      </w:pPr>
      <w:r>
        <w:rPr>
          <w:color w:val="000000"/>
          <w:sz w:val="20"/>
          <w:szCs w:val="20"/>
          <w:shd w:val="clear" w:color="auto" w:fill="FFFFFF"/>
        </w:rPr>
        <w:t>improvements are amortized using the straight-line method over the shorter of the remaining lease term, including options that are deemed to be reasonably assured, or the estimated useful life of the improvement.</w:t>
      </w:r>
    </w:p>
    <w:p w14:paraId="57849C19"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Property and equipment, net, consisted of t</w:t>
      </w:r>
      <w:r>
        <w:rPr>
          <w:color w:val="000000"/>
          <w:sz w:val="20"/>
          <w:szCs w:val="20"/>
          <w:shd w:val="clear" w:color="auto" w:fill="FFFFFF"/>
        </w:rPr>
        <w:t>he following:</w:t>
      </w:r>
    </w:p>
    <w:p w14:paraId="156557CE" w14:textId="77777777" w:rsidR="00000000" w:rsidRDefault="00582324">
      <w:pPr>
        <w:pStyle w:val="a3"/>
        <w:shd w:val="clear" w:color="auto" w:fill="FFFFFF"/>
        <w:spacing w:before="160" w:beforeAutospacing="0" w:after="0" w:afterAutospacing="0"/>
        <w:ind w:firstLine="41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84"/>
        <w:gridCol w:w="174"/>
        <w:gridCol w:w="1655"/>
        <w:gridCol w:w="174"/>
        <w:gridCol w:w="105"/>
        <w:gridCol w:w="1488"/>
        <w:gridCol w:w="78"/>
        <w:gridCol w:w="174"/>
        <w:gridCol w:w="106"/>
        <w:gridCol w:w="1489"/>
        <w:gridCol w:w="79"/>
      </w:tblGrid>
      <w:tr w:rsidR="00000000" w14:paraId="405DCCE0" w14:textId="77777777">
        <w:trPr>
          <w:divId w:val="1447655422"/>
        </w:trPr>
        <w:tc>
          <w:tcPr>
            <w:tcW w:w="1678" w:type="pct"/>
            <w:shd w:val="clear" w:color="auto" w:fill="FFFFFF"/>
            <w:tcMar>
              <w:top w:w="15" w:type="dxa"/>
              <w:left w:w="0" w:type="dxa"/>
              <w:bottom w:w="0" w:type="dxa"/>
              <w:right w:w="15" w:type="dxa"/>
            </w:tcMar>
            <w:vAlign w:val="bottom"/>
            <w:hideMark/>
          </w:tcPr>
          <w:p w14:paraId="6BE642D0" w14:textId="77777777" w:rsidR="00000000" w:rsidRDefault="00582324">
            <w:pPr>
              <w:pStyle w:val="a3"/>
              <w:spacing w:before="0" w:beforeAutospacing="0" w:after="0" w:afterAutospacing="0"/>
              <w:rPr>
                <w:sz w:val="20"/>
                <w:szCs w:val="20"/>
              </w:rPr>
            </w:pPr>
            <w:r>
              <w:rPr>
                <w:sz w:val="20"/>
                <w:szCs w:val="20"/>
              </w:rPr>
              <w:t> </w:t>
            </w:r>
          </w:p>
        </w:tc>
        <w:tc>
          <w:tcPr>
            <w:tcW w:w="108" w:type="pct"/>
            <w:shd w:val="clear" w:color="auto" w:fill="FFFFFF"/>
            <w:tcMar>
              <w:top w:w="15" w:type="dxa"/>
              <w:left w:w="0" w:type="dxa"/>
              <w:bottom w:w="0" w:type="dxa"/>
              <w:right w:w="15" w:type="dxa"/>
            </w:tcMar>
            <w:vAlign w:val="bottom"/>
            <w:hideMark/>
          </w:tcPr>
          <w:p w14:paraId="7B9E229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98" w:type="pct"/>
            <w:shd w:val="clear" w:color="auto" w:fill="FFFFFF"/>
            <w:tcMar>
              <w:top w:w="15" w:type="dxa"/>
              <w:left w:w="0" w:type="dxa"/>
              <w:bottom w:w="0" w:type="dxa"/>
              <w:right w:w="15" w:type="dxa"/>
            </w:tcMar>
            <w:vAlign w:val="bottom"/>
            <w:hideMark/>
          </w:tcPr>
          <w:p w14:paraId="7CA2E76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Estimated</w:t>
            </w:r>
          </w:p>
        </w:tc>
        <w:tc>
          <w:tcPr>
            <w:tcW w:w="108" w:type="pct"/>
            <w:shd w:val="clear" w:color="auto" w:fill="FFFFFF"/>
            <w:tcMar>
              <w:top w:w="15" w:type="dxa"/>
              <w:left w:w="0" w:type="dxa"/>
              <w:bottom w:w="0" w:type="dxa"/>
              <w:right w:w="15" w:type="dxa"/>
            </w:tcMar>
            <w:vAlign w:val="bottom"/>
            <w:hideMark/>
          </w:tcPr>
          <w:p w14:paraId="1093684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shd w:val="clear" w:color="auto" w:fill="FFFFFF"/>
            <w:tcMar>
              <w:top w:w="15" w:type="dxa"/>
              <w:left w:w="0" w:type="dxa"/>
              <w:bottom w:w="0" w:type="dxa"/>
              <w:right w:w="15" w:type="dxa"/>
            </w:tcMar>
            <w:vAlign w:val="bottom"/>
            <w:hideMark/>
          </w:tcPr>
          <w:p w14:paraId="021539C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0355442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shd w:val="clear" w:color="auto" w:fill="FFFFFF"/>
            <w:tcMar>
              <w:top w:w="15" w:type="dxa"/>
              <w:left w:w="0" w:type="dxa"/>
              <w:bottom w:w="0" w:type="dxa"/>
              <w:right w:w="15" w:type="dxa"/>
            </w:tcMar>
            <w:vAlign w:val="bottom"/>
            <w:hideMark/>
          </w:tcPr>
          <w:p w14:paraId="792572D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shd w:val="clear" w:color="auto" w:fill="FFFFFF"/>
            <w:tcMar>
              <w:top w:w="15" w:type="dxa"/>
              <w:left w:w="0" w:type="dxa"/>
              <w:bottom w:w="0" w:type="dxa"/>
              <w:right w:w="15" w:type="dxa"/>
            </w:tcMar>
            <w:vAlign w:val="bottom"/>
            <w:hideMark/>
          </w:tcPr>
          <w:p w14:paraId="2CB3F36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0E8C888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5F7561A" w14:textId="77777777">
        <w:trPr>
          <w:divId w:val="1447655422"/>
        </w:trPr>
        <w:tc>
          <w:tcPr>
            <w:tcW w:w="1678" w:type="pct"/>
            <w:shd w:val="clear" w:color="auto" w:fill="FFFFFF"/>
            <w:tcMar>
              <w:top w:w="15" w:type="dxa"/>
              <w:left w:w="0" w:type="dxa"/>
              <w:bottom w:w="0" w:type="dxa"/>
              <w:right w:w="15" w:type="dxa"/>
            </w:tcMar>
            <w:vAlign w:val="bottom"/>
            <w:hideMark/>
          </w:tcPr>
          <w:p w14:paraId="69898B8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shd w:val="clear" w:color="auto" w:fill="FFFFFF"/>
            <w:tcMar>
              <w:top w:w="15" w:type="dxa"/>
              <w:left w:w="0" w:type="dxa"/>
              <w:bottom w:w="0" w:type="dxa"/>
              <w:right w:w="15" w:type="dxa"/>
            </w:tcMar>
            <w:vAlign w:val="bottom"/>
            <w:hideMark/>
          </w:tcPr>
          <w:p w14:paraId="5CBBD32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98" w:type="pct"/>
            <w:tcBorders>
              <w:bottom w:val="single" w:sz="6" w:space="0" w:color="000000"/>
            </w:tcBorders>
            <w:shd w:val="clear" w:color="auto" w:fill="FFFFFF"/>
            <w:tcMar>
              <w:top w:w="15" w:type="dxa"/>
              <w:left w:w="0" w:type="dxa"/>
              <w:bottom w:w="0" w:type="dxa"/>
              <w:right w:w="15" w:type="dxa"/>
            </w:tcMar>
            <w:vAlign w:val="bottom"/>
            <w:hideMark/>
          </w:tcPr>
          <w:p w14:paraId="2CA04FB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Useful Life</w:t>
            </w:r>
          </w:p>
        </w:tc>
        <w:tc>
          <w:tcPr>
            <w:tcW w:w="108" w:type="pct"/>
            <w:shd w:val="clear" w:color="auto" w:fill="FFFFFF"/>
            <w:tcMar>
              <w:top w:w="15" w:type="dxa"/>
              <w:left w:w="0" w:type="dxa"/>
              <w:bottom w:w="0" w:type="dxa"/>
              <w:right w:w="15" w:type="dxa"/>
            </w:tcMar>
            <w:vAlign w:val="bottom"/>
            <w:hideMark/>
          </w:tcPr>
          <w:p w14:paraId="1D1F037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bottom w:val="single" w:sz="6" w:space="0" w:color="000000"/>
            </w:tcBorders>
            <w:shd w:val="clear" w:color="auto" w:fill="FFFFFF"/>
            <w:tcMar>
              <w:top w:w="15" w:type="dxa"/>
              <w:left w:w="0" w:type="dxa"/>
              <w:bottom w:w="0" w:type="dxa"/>
              <w:right w:w="15" w:type="dxa"/>
            </w:tcMar>
            <w:vAlign w:val="bottom"/>
            <w:hideMark/>
          </w:tcPr>
          <w:p w14:paraId="49D39F0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687AF7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shd w:val="clear" w:color="auto" w:fill="FFFFFF"/>
            <w:tcMar>
              <w:top w:w="15" w:type="dxa"/>
              <w:left w:w="0" w:type="dxa"/>
              <w:bottom w:w="0" w:type="dxa"/>
              <w:right w:w="15" w:type="dxa"/>
            </w:tcMar>
            <w:vAlign w:val="bottom"/>
            <w:hideMark/>
          </w:tcPr>
          <w:p w14:paraId="2E64759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bottom w:val="single" w:sz="6" w:space="0" w:color="000000"/>
            </w:tcBorders>
            <w:shd w:val="clear" w:color="auto" w:fill="FFFFFF"/>
            <w:tcMar>
              <w:top w:w="15" w:type="dxa"/>
              <w:left w:w="0" w:type="dxa"/>
              <w:bottom w:w="0" w:type="dxa"/>
              <w:right w:w="15" w:type="dxa"/>
            </w:tcMar>
            <w:vAlign w:val="bottom"/>
            <w:hideMark/>
          </w:tcPr>
          <w:p w14:paraId="5EFF6B7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07CA46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20110E" w14:textId="77777777">
        <w:trPr>
          <w:divId w:val="1447655422"/>
        </w:trPr>
        <w:tc>
          <w:tcPr>
            <w:tcW w:w="1678" w:type="pct"/>
            <w:shd w:val="clear" w:color="auto" w:fill="CFF0FC"/>
            <w:tcMar>
              <w:top w:w="15" w:type="dxa"/>
              <w:left w:w="0" w:type="dxa"/>
              <w:bottom w:w="0" w:type="dxa"/>
              <w:right w:w="15" w:type="dxa"/>
            </w:tcMar>
            <w:hideMark/>
          </w:tcPr>
          <w:p w14:paraId="2CAF1FC1" w14:textId="77777777" w:rsidR="00000000" w:rsidRDefault="00582324">
            <w:pPr>
              <w:pStyle w:val="a3"/>
              <w:spacing w:before="0" w:beforeAutospacing="0" w:after="0" w:afterAutospacing="0"/>
              <w:rPr>
                <w:color w:val="000000"/>
                <w:sz w:val="18"/>
                <w:szCs w:val="18"/>
              </w:rPr>
            </w:pPr>
            <w:r>
              <w:rPr>
                <w:color w:val="000000"/>
                <w:sz w:val="18"/>
                <w:szCs w:val="18"/>
              </w:rPr>
              <w:t>Lab and test equipment</w:t>
            </w:r>
          </w:p>
        </w:tc>
        <w:tc>
          <w:tcPr>
            <w:tcW w:w="108" w:type="pct"/>
            <w:shd w:val="clear" w:color="auto" w:fill="CFF0FC"/>
            <w:tcMar>
              <w:top w:w="15" w:type="dxa"/>
              <w:left w:w="0" w:type="dxa"/>
              <w:bottom w:w="0" w:type="dxa"/>
              <w:right w:w="15" w:type="dxa"/>
            </w:tcMar>
            <w:vAlign w:val="bottom"/>
            <w:hideMark/>
          </w:tcPr>
          <w:p w14:paraId="5561EF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tcBorders>
              <w:top w:val="single" w:sz="6" w:space="0" w:color="000000"/>
            </w:tcBorders>
            <w:shd w:val="clear" w:color="auto" w:fill="CFF0FC"/>
            <w:tcMar>
              <w:top w:w="15" w:type="dxa"/>
              <w:left w:w="0" w:type="dxa"/>
              <w:bottom w:w="0" w:type="dxa"/>
              <w:right w:w="15" w:type="dxa"/>
            </w:tcMar>
            <w:vAlign w:val="bottom"/>
            <w:hideMark/>
          </w:tcPr>
          <w:p w14:paraId="293875C5" w14:textId="77777777" w:rsidR="00000000" w:rsidRDefault="00582324">
            <w:pPr>
              <w:pStyle w:val="a3"/>
              <w:spacing w:before="0" w:beforeAutospacing="0" w:after="0" w:afterAutospacing="0"/>
              <w:jc w:val="center"/>
              <w:rPr>
                <w:color w:val="000000"/>
                <w:sz w:val="18"/>
                <w:szCs w:val="18"/>
              </w:rPr>
            </w:pPr>
            <w:r>
              <w:rPr>
                <w:color w:val="000000"/>
                <w:sz w:val="18"/>
                <w:szCs w:val="18"/>
              </w:rPr>
              <w:t>7 years</w:t>
            </w:r>
          </w:p>
        </w:tc>
        <w:tc>
          <w:tcPr>
            <w:tcW w:w="108" w:type="pct"/>
            <w:shd w:val="clear" w:color="auto" w:fill="CFF0FC"/>
            <w:tcMar>
              <w:top w:w="15" w:type="dxa"/>
              <w:left w:w="0" w:type="dxa"/>
              <w:bottom w:w="0" w:type="dxa"/>
              <w:right w:w="15" w:type="dxa"/>
            </w:tcMar>
            <w:vAlign w:val="bottom"/>
            <w:hideMark/>
          </w:tcPr>
          <w:p w14:paraId="760ABD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08C43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0C5D1DEC" w14:textId="77777777" w:rsidR="00000000" w:rsidRDefault="00582324">
            <w:pPr>
              <w:pStyle w:val="a3"/>
              <w:spacing w:before="0" w:beforeAutospacing="0" w:after="0" w:afterAutospacing="0"/>
              <w:jc w:val="right"/>
              <w:rPr>
                <w:color w:val="000000"/>
                <w:sz w:val="18"/>
                <w:szCs w:val="18"/>
              </w:rPr>
            </w:pPr>
            <w:r>
              <w:rPr>
                <w:color w:val="000000"/>
                <w:sz w:val="18"/>
                <w:szCs w:val="18"/>
              </w:rPr>
              <w:t>17,401</w:t>
            </w:r>
          </w:p>
        </w:tc>
        <w:tc>
          <w:tcPr>
            <w:tcW w:w="50" w:type="pct"/>
            <w:shd w:val="clear" w:color="auto" w:fill="CFF0FC"/>
            <w:noWrap/>
            <w:tcMar>
              <w:top w:w="15" w:type="dxa"/>
              <w:left w:w="0" w:type="dxa"/>
              <w:bottom w:w="0" w:type="dxa"/>
              <w:right w:w="15" w:type="dxa"/>
            </w:tcMar>
            <w:vAlign w:val="bottom"/>
            <w:hideMark/>
          </w:tcPr>
          <w:p w14:paraId="6B519E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3533F4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2B3F5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072989AE" w14:textId="77777777" w:rsidR="00000000" w:rsidRDefault="00582324">
            <w:pPr>
              <w:pStyle w:val="a3"/>
              <w:spacing w:before="0" w:beforeAutospacing="0" w:after="0" w:afterAutospacing="0"/>
              <w:jc w:val="right"/>
              <w:rPr>
                <w:color w:val="000000"/>
                <w:sz w:val="18"/>
                <w:szCs w:val="18"/>
              </w:rPr>
            </w:pPr>
            <w:r>
              <w:rPr>
                <w:color w:val="000000"/>
                <w:sz w:val="18"/>
                <w:szCs w:val="18"/>
              </w:rPr>
              <w:t>18,631</w:t>
            </w:r>
          </w:p>
        </w:tc>
        <w:tc>
          <w:tcPr>
            <w:tcW w:w="50" w:type="pct"/>
            <w:shd w:val="clear" w:color="auto" w:fill="CFF0FC"/>
            <w:noWrap/>
            <w:tcMar>
              <w:top w:w="15" w:type="dxa"/>
              <w:left w:w="0" w:type="dxa"/>
              <w:bottom w:w="0" w:type="dxa"/>
              <w:right w:w="15" w:type="dxa"/>
            </w:tcMar>
            <w:vAlign w:val="bottom"/>
            <w:hideMark/>
          </w:tcPr>
          <w:p w14:paraId="5F939DF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1E2673C" w14:textId="77777777">
        <w:trPr>
          <w:divId w:val="1447655422"/>
        </w:trPr>
        <w:tc>
          <w:tcPr>
            <w:tcW w:w="1678" w:type="pct"/>
            <w:shd w:val="clear" w:color="auto" w:fill="FFFFFF"/>
            <w:tcMar>
              <w:top w:w="15" w:type="dxa"/>
              <w:left w:w="0" w:type="dxa"/>
              <w:bottom w:w="0" w:type="dxa"/>
              <w:right w:w="15" w:type="dxa"/>
            </w:tcMar>
            <w:hideMark/>
          </w:tcPr>
          <w:p w14:paraId="123B1763" w14:textId="77777777" w:rsidR="00000000" w:rsidRDefault="00582324">
            <w:pPr>
              <w:pStyle w:val="a3"/>
              <w:spacing w:before="0" w:beforeAutospacing="0" w:after="0" w:afterAutospacing="0"/>
              <w:rPr>
                <w:color w:val="000000"/>
                <w:sz w:val="18"/>
                <w:szCs w:val="18"/>
              </w:rPr>
            </w:pPr>
            <w:r>
              <w:rPr>
                <w:color w:val="000000"/>
                <w:sz w:val="18"/>
                <w:szCs w:val="18"/>
              </w:rPr>
              <w:t>Vehicles</w:t>
            </w:r>
          </w:p>
        </w:tc>
        <w:tc>
          <w:tcPr>
            <w:tcW w:w="108" w:type="pct"/>
            <w:shd w:val="clear" w:color="auto" w:fill="FFFFFF"/>
            <w:tcMar>
              <w:top w:w="15" w:type="dxa"/>
              <w:left w:w="0" w:type="dxa"/>
              <w:bottom w:w="0" w:type="dxa"/>
              <w:right w:w="15" w:type="dxa"/>
            </w:tcMar>
            <w:vAlign w:val="bottom"/>
            <w:hideMark/>
          </w:tcPr>
          <w:p w14:paraId="7FFCE78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244A6F6C" w14:textId="77777777" w:rsidR="00000000" w:rsidRDefault="00582324">
            <w:pPr>
              <w:pStyle w:val="a3"/>
              <w:spacing w:before="0" w:beforeAutospacing="0" w:after="0" w:afterAutospacing="0"/>
              <w:jc w:val="center"/>
              <w:rPr>
                <w:color w:val="000000"/>
                <w:sz w:val="18"/>
                <w:szCs w:val="18"/>
              </w:rPr>
            </w:pPr>
            <w:r>
              <w:rPr>
                <w:color w:val="000000"/>
                <w:sz w:val="18"/>
                <w:szCs w:val="18"/>
              </w:rPr>
              <w:t>5 years</w:t>
            </w:r>
          </w:p>
        </w:tc>
        <w:tc>
          <w:tcPr>
            <w:tcW w:w="108" w:type="pct"/>
            <w:shd w:val="clear" w:color="auto" w:fill="FFFFFF"/>
            <w:tcMar>
              <w:top w:w="15" w:type="dxa"/>
              <w:left w:w="0" w:type="dxa"/>
              <w:bottom w:w="0" w:type="dxa"/>
              <w:right w:w="15" w:type="dxa"/>
            </w:tcMar>
            <w:vAlign w:val="bottom"/>
            <w:hideMark/>
          </w:tcPr>
          <w:p w14:paraId="56A14C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4F4B1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3A5D2DF9" w14:textId="77777777" w:rsidR="00000000" w:rsidRDefault="00582324">
            <w:pPr>
              <w:pStyle w:val="a3"/>
              <w:spacing w:before="0" w:beforeAutospacing="0" w:after="0" w:afterAutospacing="0"/>
              <w:jc w:val="right"/>
              <w:rPr>
                <w:color w:val="000000"/>
                <w:sz w:val="18"/>
                <w:szCs w:val="18"/>
              </w:rPr>
            </w:pPr>
            <w:r>
              <w:rPr>
                <w:color w:val="000000"/>
                <w:sz w:val="18"/>
                <w:szCs w:val="18"/>
              </w:rPr>
              <w:t>5,059</w:t>
            </w:r>
          </w:p>
        </w:tc>
        <w:tc>
          <w:tcPr>
            <w:tcW w:w="50" w:type="pct"/>
            <w:shd w:val="clear" w:color="auto" w:fill="FFFFFF"/>
            <w:noWrap/>
            <w:tcMar>
              <w:top w:w="15" w:type="dxa"/>
              <w:left w:w="0" w:type="dxa"/>
              <w:bottom w:w="0" w:type="dxa"/>
              <w:right w:w="15" w:type="dxa"/>
            </w:tcMar>
            <w:vAlign w:val="bottom"/>
            <w:hideMark/>
          </w:tcPr>
          <w:p w14:paraId="23B974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1CC9C4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96BE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4914555B" w14:textId="77777777" w:rsidR="00000000" w:rsidRDefault="00582324">
            <w:pPr>
              <w:pStyle w:val="a3"/>
              <w:spacing w:before="0" w:beforeAutospacing="0" w:after="0" w:afterAutospacing="0"/>
              <w:jc w:val="right"/>
              <w:rPr>
                <w:color w:val="000000"/>
                <w:sz w:val="18"/>
                <w:szCs w:val="18"/>
              </w:rPr>
            </w:pPr>
            <w:r>
              <w:rPr>
                <w:color w:val="000000"/>
                <w:sz w:val="18"/>
                <w:szCs w:val="18"/>
              </w:rPr>
              <w:t>13,320</w:t>
            </w:r>
          </w:p>
        </w:tc>
        <w:tc>
          <w:tcPr>
            <w:tcW w:w="50" w:type="pct"/>
            <w:shd w:val="clear" w:color="auto" w:fill="FFFFFF"/>
            <w:noWrap/>
            <w:tcMar>
              <w:top w:w="15" w:type="dxa"/>
              <w:left w:w="0" w:type="dxa"/>
              <w:bottom w:w="0" w:type="dxa"/>
              <w:right w:w="15" w:type="dxa"/>
            </w:tcMar>
            <w:vAlign w:val="bottom"/>
            <w:hideMark/>
          </w:tcPr>
          <w:p w14:paraId="2C1B644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6EEDC1" w14:textId="77777777">
        <w:trPr>
          <w:divId w:val="1447655422"/>
        </w:trPr>
        <w:tc>
          <w:tcPr>
            <w:tcW w:w="1678" w:type="pct"/>
            <w:shd w:val="clear" w:color="auto" w:fill="CFF0FC"/>
            <w:tcMar>
              <w:top w:w="15" w:type="dxa"/>
              <w:left w:w="0" w:type="dxa"/>
              <w:bottom w:w="0" w:type="dxa"/>
              <w:right w:w="15" w:type="dxa"/>
            </w:tcMar>
            <w:hideMark/>
          </w:tcPr>
          <w:p w14:paraId="559F3D2A" w14:textId="77777777" w:rsidR="00000000" w:rsidRDefault="00582324">
            <w:pPr>
              <w:pStyle w:val="a3"/>
              <w:spacing w:before="0" w:beforeAutospacing="0" w:after="0" w:afterAutospacing="0"/>
              <w:rPr>
                <w:color w:val="000000"/>
                <w:sz w:val="18"/>
                <w:szCs w:val="18"/>
              </w:rPr>
            </w:pPr>
            <w:r>
              <w:rPr>
                <w:color w:val="000000"/>
                <w:sz w:val="18"/>
                <w:szCs w:val="18"/>
              </w:rPr>
              <w:t>Equipment</w:t>
            </w:r>
          </w:p>
        </w:tc>
        <w:tc>
          <w:tcPr>
            <w:tcW w:w="108" w:type="pct"/>
            <w:shd w:val="clear" w:color="auto" w:fill="CFF0FC"/>
            <w:tcMar>
              <w:top w:w="15" w:type="dxa"/>
              <w:left w:w="0" w:type="dxa"/>
              <w:bottom w:w="0" w:type="dxa"/>
              <w:right w:w="15" w:type="dxa"/>
            </w:tcMar>
            <w:vAlign w:val="bottom"/>
            <w:hideMark/>
          </w:tcPr>
          <w:p w14:paraId="58FA62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CFF0FC"/>
            <w:tcMar>
              <w:top w:w="15" w:type="dxa"/>
              <w:left w:w="0" w:type="dxa"/>
              <w:bottom w:w="0" w:type="dxa"/>
              <w:right w:w="15" w:type="dxa"/>
            </w:tcMar>
            <w:vAlign w:val="bottom"/>
            <w:hideMark/>
          </w:tcPr>
          <w:p w14:paraId="189B03D7" w14:textId="77777777" w:rsidR="00000000" w:rsidRDefault="00582324">
            <w:pPr>
              <w:pStyle w:val="a3"/>
              <w:spacing w:before="0" w:beforeAutospacing="0" w:after="0" w:afterAutospacing="0"/>
              <w:jc w:val="center"/>
              <w:rPr>
                <w:color w:val="000000"/>
                <w:sz w:val="18"/>
                <w:szCs w:val="18"/>
              </w:rPr>
            </w:pPr>
            <w:r>
              <w:rPr>
                <w:color w:val="000000"/>
                <w:sz w:val="18"/>
                <w:szCs w:val="18"/>
              </w:rPr>
              <w:t>3-7 years</w:t>
            </w:r>
          </w:p>
        </w:tc>
        <w:tc>
          <w:tcPr>
            <w:tcW w:w="108" w:type="pct"/>
            <w:shd w:val="clear" w:color="auto" w:fill="CFF0FC"/>
            <w:tcMar>
              <w:top w:w="15" w:type="dxa"/>
              <w:left w:w="0" w:type="dxa"/>
              <w:bottom w:w="0" w:type="dxa"/>
              <w:right w:w="15" w:type="dxa"/>
            </w:tcMar>
            <w:vAlign w:val="bottom"/>
            <w:hideMark/>
          </w:tcPr>
          <w:p w14:paraId="0DEF01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52BE0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1F5D45BD" w14:textId="77777777" w:rsidR="00000000" w:rsidRDefault="00582324">
            <w:pPr>
              <w:pStyle w:val="a3"/>
              <w:spacing w:before="0" w:beforeAutospacing="0" w:after="0" w:afterAutospacing="0"/>
              <w:jc w:val="right"/>
              <w:rPr>
                <w:color w:val="000000"/>
                <w:sz w:val="18"/>
                <w:szCs w:val="18"/>
              </w:rPr>
            </w:pPr>
            <w:r>
              <w:rPr>
                <w:color w:val="000000"/>
                <w:sz w:val="18"/>
                <w:szCs w:val="18"/>
              </w:rPr>
              <w:t>33,315</w:t>
            </w:r>
          </w:p>
        </w:tc>
        <w:tc>
          <w:tcPr>
            <w:tcW w:w="50" w:type="pct"/>
            <w:shd w:val="clear" w:color="auto" w:fill="CFF0FC"/>
            <w:noWrap/>
            <w:tcMar>
              <w:top w:w="15" w:type="dxa"/>
              <w:left w:w="0" w:type="dxa"/>
              <w:bottom w:w="0" w:type="dxa"/>
              <w:right w:w="15" w:type="dxa"/>
            </w:tcMar>
            <w:vAlign w:val="bottom"/>
            <w:hideMark/>
          </w:tcPr>
          <w:p w14:paraId="58492E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0A98A2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9AAD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7506578F" w14:textId="77777777" w:rsidR="00000000" w:rsidRDefault="00582324">
            <w:pPr>
              <w:pStyle w:val="a3"/>
              <w:spacing w:before="0" w:beforeAutospacing="0" w:after="0" w:afterAutospacing="0"/>
              <w:jc w:val="right"/>
              <w:rPr>
                <w:color w:val="000000"/>
                <w:sz w:val="18"/>
                <w:szCs w:val="18"/>
              </w:rPr>
            </w:pPr>
            <w:r>
              <w:rPr>
                <w:color w:val="000000"/>
                <w:sz w:val="18"/>
                <w:szCs w:val="18"/>
              </w:rPr>
              <w:t>32,177</w:t>
            </w:r>
          </w:p>
        </w:tc>
        <w:tc>
          <w:tcPr>
            <w:tcW w:w="50" w:type="pct"/>
            <w:shd w:val="clear" w:color="auto" w:fill="CFF0FC"/>
            <w:noWrap/>
            <w:tcMar>
              <w:top w:w="15" w:type="dxa"/>
              <w:left w:w="0" w:type="dxa"/>
              <w:bottom w:w="0" w:type="dxa"/>
              <w:right w:w="15" w:type="dxa"/>
            </w:tcMar>
            <w:vAlign w:val="bottom"/>
            <w:hideMark/>
          </w:tcPr>
          <w:p w14:paraId="0F59F73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26CDEC3" w14:textId="77777777">
        <w:trPr>
          <w:divId w:val="1447655422"/>
        </w:trPr>
        <w:tc>
          <w:tcPr>
            <w:tcW w:w="1678" w:type="pct"/>
            <w:shd w:val="clear" w:color="auto" w:fill="FFFFFF"/>
            <w:tcMar>
              <w:top w:w="15" w:type="dxa"/>
              <w:left w:w="0" w:type="dxa"/>
              <w:bottom w:w="0" w:type="dxa"/>
              <w:right w:w="15" w:type="dxa"/>
            </w:tcMar>
            <w:hideMark/>
          </w:tcPr>
          <w:p w14:paraId="7FA3AB9F" w14:textId="77777777" w:rsidR="00000000" w:rsidRDefault="00582324">
            <w:pPr>
              <w:pStyle w:val="a3"/>
              <w:spacing w:before="0" w:beforeAutospacing="0" w:after="0" w:afterAutospacing="0"/>
              <w:rPr>
                <w:color w:val="000000"/>
                <w:sz w:val="18"/>
                <w:szCs w:val="18"/>
              </w:rPr>
            </w:pPr>
            <w:r>
              <w:rPr>
                <w:color w:val="000000"/>
                <w:sz w:val="18"/>
                <w:szCs w:val="18"/>
              </w:rPr>
              <w:t>Furniture and fixtures</w:t>
            </w:r>
          </w:p>
        </w:tc>
        <w:tc>
          <w:tcPr>
            <w:tcW w:w="108" w:type="pct"/>
            <w:shd w:val="clear" w:color="auto" w:fill="FFFFFF"/>
            <w:tcMar>
              <w:top w:w="15" w:type="dxa"/>
              <w:left w:w="0" w:type="dxa"/>
              <w:bottom w:w="0" w:type="dxa"/>
              <w:right w:w="15" w:type="dxa"/>
            </w:tcMar>
            <w:vAlign w:val="bottom"/>
            <w:hideMark/>
          </w:tcPr>
          <w:p w14:paraId="44FC00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12BB676D" w14:textId="77777777" w:rsidR="00000000" w:rsidRDefault="00582324">
            <w:pPr>
              <w:pStyle w:val="a3"/>
              <w:spacing w:before="0" w:beforeAutospacing="0" w:after="0" w:afterAutospacing="0"/>
              <w:jc w:val="center"/>
              <w:rPr>
                <w:color w:val="000000"/>
                <w:sz w:val="18"/>
                <w:szCs w:val="18"/>
              </w:rPr>
            </w:pPr>
            <w:r>
              <w:rPr>
                <w:color w:val="000000"/>
                <w:sz w:val="18"/>
                <w:szCs w:val="18"/>
              </w:rPr>
              <w:t>7 years</w:t>
            </w:r>
          </w:p>
        </w:tc>
        <w:tc>
          <w:tcPr>
            <w:tcW w:w="108" w:type="pct"/>
            <w:shd w:val="clear" w:color="auto" w:fill="FFFFFF"/>
            <w:tcMar>
              <w:top w:w="15" w:type="dxa"/>
              <w:left w:w="0" w:type="dxa"/>
              <w:bottom w:w="0" w:type="dxa"/>
              <w:right w:w="15" w:type="dxa"/>
            </w:tcMar>
            <w:vAlign w:val="bottom"/>
            <w:hideMark/>
          </w:tcPr>
          <w:p w14:paraId="3A7B7B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37A2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274FD630" w14:textId="77777777" w:rsidR="00000000" w:rsidRDefault="00582324">
            <w:pPr>
              <w:pStyle w:val="a3"/>
              <w:spacing w:before="0" w:beforeAutospacing="0" w:after="0" w:afterAutospacing="0"/>
              <w:jc w:val="right"/>
              <w:rPr>
                <w:color w:val="000000"/>
                <w:sz w:val="18"/>
                <w:szCs w:val="18"/>
              </w:rPr>
            </w:pPr>
            <w:r>
              <w:rPr>
                <w:color w:val="000000"/>
                <w:sz w:val="18"/>
                <w:szCs w:val="18"/>
              </w:rPr>
              <w:t>2,998</w:t>
            </w:r>
          </w:p>
        </w:tc>
        <w:tc>
          <w:tcPr>
            <w:tcW w:w="50" w:type="pct"/>
            <w:shd w:val="clear" w:color="auto" w:fill="FFFFFF"/>
            <w:noWrap/>
            <w:tcMar>
              <w:top w:w="15" w:type="dxa"/>
              <w:left w:w="0" w:type="dxa"/>
              <w:bottom w:w="0" w:type="dxa"/>
              <w:right w:w="15" w:type="dxa"/>
            </w:tcMar>
            <w:vAlign w:val="bottom"/>
            <w:hideMark/>
          </w:tcPr>
          <w:p w14:paraId="3CD8BB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61A352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8DB8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44EC9D15" w14:textId="77777777" w:rsidR="00000000" w:rsidRDefault="00582324">
            <w:pPr>
              <w:pStyle w:val="a3"/>
              <w:spacing w:before="0" w:beforeAutospacing="0" w:after="0" w:afterAutospacing="0"/>
              <w:jc w:val="right"/>
              <w:rPr>
                <w:color w:val="000000"/>
                <w:sz w:val="18"/>
                <w:szCs w:val="18"/>
              </w:rPr>
            </w:pPr>
            <w:r>
              <w:rPr>
                <w:color w:val="000000"/>
                <w:sz w:val="18"/>
                <w:szCs w:val="18"/>
              </w:rPr>
              <w:t>2,938</w:t>
            </w:r>
          </w:p>
        </w:tc>
        <w:tc>
          <w:tcPr>
            <w:tcW w:w="50" w:type="pct"/>
            <w:shd w:val="clear" w:color="auto" w:fill="FFFFFF"/>
            <w:noWrap/>
            <w:tcMar>
              <w:top w:w="15" w:type="dxa"/>
              <w:left w:w="0" w:type="dxa"/>
              <w:bottom w:w="0" w:type="dxa"/>
              <w:right w:w="15" w:type="dxa"/>
            </w:tcMar>
            <w:vAlign w:val="bottom"/>
            <w:hideMark/>
          </w:tcPr>
          <w:p w14:paraId="4453158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940FCF2" w14:textId="77777777">
        <w:trPr>
          <w:divId w:val="1447655422"/>
        </w:trPr>
        <w:tc>
          <w:tcPr>
            <w:tcW w:w="1678" w:type="pct"/>
            <w:shd w:val="clear" w:color="auto" w:fill="CFF0FC"/>
            <w:tcMar>
              <w:top w:w="15" w:type="dxa"/>
              <w:left w:w="0" w:type="dxa"/>
              <w:bottom w:w="0" w:type="dxa"/>
              <w:right w:w="15" w:type="dxa"/>
            </w:tcMar>
            <w:hideMark/>
          </w:tcPr>
          <w:p w14:paraId="65AAC411" w14:textId="77777777" w:rsidR="00000000" w:rsidRDefault="00582324">
            <w:pPr>
              <w:pStyle w:val="a3"/>
              <w:spacing w:before="0" w:beforeAutospacing="0" w:after="0" w:afterAutospacing="0"/>
              <w:rPr>
                <w:color w:val="000000"/>
                <w:sz w:val="18"/>
                <w:szCs w:val="18"/>
              </w:rPr>
            </w:pPr>
            <w:r>
              <w:rPr>
                <w:color w:val="000000"/>
                <w:sz w:val="18"/>
                <w:szCs w:val="18"/>
              </w:rPr>
              <w:t>Leasehold improvements</w:t>
            </w:r>
          </w:p>
        </w:tc>
        <w:tc>
          <w:tcPr>
            <w:tcW w:w="108" w:type="pct"/>
            <w:shd w:val="clear" w:color="auto" w:fill="CFF0FC"/>
            <w:tcMar>
              <w:top w:w="15" w:type="dxa"/>
              <w:left w:w="0" w:type="dxa"/>
              <w:bottom w:w="0" w:type="dxa"/>
              <w:right w:w="15" w:type="dxa"/>
            </w:tcMar>
            <w:vAlign w:val="bottom"/>
            <w:hideMark/>
          </w:tcPr>
          <w:p w14:paraId="6330A9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CFF0FC"/>
            <w:tcMar>
              <w:top w:w="15" w:type="dxa"/>
              <w:left w:w="0" w:type="dxa"/>
              <w:bottom w:w="0" w:type="dxa"/>
              <w:right w:w="15" w:type="dxa"/>
            </w:tcMar>
            <w:vAlign w:val="bottom"/>
            <w:hideMark/>
          </w:tcPr>
          <w:p w14:paraId="5CD8E2DF" w14:textId="77777777" w:rsidR="00000000" w:rsidRDefault="00582324">
            <w:pPr>
              <w:pStyle w:val="a3"/>
              <w:spacing w:before="0" w:beforeAutospacing="0" w:after="0" w:afterAutospacing="0"/>
              <w:jc w:val="center"/>
              <w:rPr>
                <w:color w:val="000000"/>
                <w:sz w:val="18"/>
                <w:szCs w:val="18"/>
              </w:rPr>
            </w:pPr>
            <w:r>
              <w:rPr>
                <w:color w:val="000000"/>
                <w:sz w:val="18"/>
                <w:szCs w:val="18"/>
              </w:rPr>
              <w:t>7 years</w:t>
            </w:r>
          </w:p>
        </w:tc>
        <w:tc>
          <w:tcPr>
            <w:tcW w:w="108" w:type="pct"/>
            <w:shd w:val="clear" w:color="auto" w:fill="CFF0FC"/>
            <w:tcMar>
              <w:top w:w="15" w:type="dxa"/>
              <w:left w:w="0" w:type="dxa"/>
              <w:bottom w:w="0" w:type="dxa"/>
              <w:right w:w="15" w:type="dxa"/>
            </w:tcMar>
            <w:vAlign w:val="bottom"/>
            <w:hideMark/>
          </w:tcPr>
          <w:p w14:paraId="078465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42F6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0D046FDF" w14:textId="77777777" w:rsidR="00000000" w:rsidRDefault="00582324">
            <w:pPr>
              <w:pStyle w:val="a3"/>
              <w:spacing w:before="0" w:beforeAutospacing="0" w:after="0" w:afterAutospacing="0"/>
              <w:jc w:val="right"/>
              <w:rPr>
                <w:color w:val="000000"/>
                <w:sz w:val="18"/>
                <w:szCs w:val="18"/>
              </w:rPr>
            </w:pPr>
            <w:r>
              <w:rPr>
                <w:color w:val="000000"/>
                <w:sz w:val="18"/>
                <w:szCs w:val="18"/>
              </w:rPr>
              <w:t>6,824</w:t>
            </w:r>
          </w:p>
        </w:tc>
        <w:tc>
          <w:tcPr>
            <w:tcW w:w="50" w:type="pct"/>
            <w:shd w:val="clear" w:color="auto" w:fill="CFF0FC"/>
            <w:noWrap/>
            <w:tcMar>
              <w:top w:w="15" w:type="dxa"/>
              <w:left w:w="0" w:type="dxa"/>
              <w:bottom w:w="0" w:type="dxa"/>
              <w:right w:w="15" w:type="dxa"/>
            </w:tcMar>
            <w:vAlign w:val="bottom"/>
            <w:hideMark/>
          </w:tcPr>
          <w:p w14:paraId="7E4488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264371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6EFF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313B9A0C" w14:textId="77777777" w:rsidR="00000000" w:rsidRDefault="00582324">
            <w:pPr>
              <w:pStyle w:val="a3"/>
              <w:spacing w:before="0" w:beforeAutospacing="0" w:after="0" w:afterAutospacing="0"/>
              <w:jc w:val="right"/>
              <w:rPr>
                <w:color w:val="000000"/>
                <w:sz w:val="18"/>
                <w:szCs w:val="18"/>
              </w:rPr>
            </w:pPr>
            <w:r>
              <w:rPr>
                <w:color w:val="000000"/>
                <w:sz w:val="18"/>
                <w:szCs w:val="18"/>
              </w:rPr>
              <w:t>6,767</w:t>
            </w:r>
          </w:p>
        </w:tc>
        <w:tc>
          <w:tcPr>
            <w:tcW w:w="50" w:type="pct"/>
            <w:shd w:val="clear" w:color="auto" w:fill="CFF0FC"/>
            <w:noWrap/>
            <w:tcMar>
              <w:top w:w="15" w:type="dxa"/>
              <w:left w:w="0" w:type="dxa"/>
              <w:bottom w:w="0" w:type="dxa"/>
              <w:right w:w="15" w:type="dxa"/>
            </w:tcMar>
            <w:vAlign w:val="bottom"/>
            <w:hideMark/>
          </w:tcPr>
          <w:p w14:paraId="56918FA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F4964A4" w14:textId="77777777">
        <w:trPr>
          <w:divId w:val="1447655422"/>
        </w:trPr>
        <w:tc>
          <w:tcPr>
            <w:tcW w:w="1678" w:type="pct"/>
            <w:shd w:val="clear" w:color="auto" w:fill="FFFFFF"/>
            <w:tcMar>
              <w:top w:w="15" w:type="dxa"/>
              <w:left w:w="0" w:type="dxa"/>
              <w:bottom w:w="0" w:type="dxa"/>
              <w:right w:w="15" w:type="dxa"/>
            </w:tcMar>
            <w:hideMark/>
          </w:tcPr>
          <w:p w14:paraId="3D348C62" w14:textId="77777777" w:rsidR="00000000" w:rsidRDefault="00582324">
            <w:pPr>
              <w:pStyle w:val="a3"/>
              <w:spacing w:before="0" w:beforeAutospacing="0" w:after="0" w:afterAutospacing="0"/>
              <w:rPr>
                <w:color w:val="000000"/>
                <w:sz w:val="18"/>
                <w:szCs w:val="18"/>
              </w:rPr>
            </w:pPr>
            <w:r>
              <w:rPr>
                <w:color w:val="000000"/>
                <w:sz w:val="18"/>
                <w:szCs w:val="18"/>
              </w:rPr>
              <w:t>Aircraft</w:t>
            </w:r>
          </w:p>
        </w:tc>
        <w:tc>
          <w:tcPr>
            <w:tcW w:w="108" w:type="pct"/>
            <w:shd w:val="clear" w:color="auto" w:fill="FFFFFF"/>
            <w:tcMar>
              <w:top w:w="15" w:type="dxa"/>
              <w:left w:w="0" w:type="dxa"/>
              <w:bottom w:w="0" w:type="dxa"/>
              <w:right w:w="15" w:type="dxa"/>
            </w:tcMar>
            <w:vAlign w:val="bottom"/>
            <w:hideMark/>
          </w:tcPr>
          <w:p w14:paraId="23FA55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55AE2D45" w14:textId="77777777" w:rsidR="00000000" w:rsidRDefault="00582324">
            <w:pPr>
              <w:pStyle w:val="a3"/>
              <w:spacing w:before="0" w:beforeAutospacing="0" w:after="0" w:afterAutospacing="0"/>
              <w:jc w:val="center"/>
              <w:rPr>
                <w:color w:val="000000"/>
                <w:sz w:val="18"/>
                <w:szCs w:val="18"/>
              </w:rPr>
            </w:pPr>
            <w:r>
              <w:rPr>
                <w:color w:val="000000"/>
                <w:sz w:val="18"/>
                <w:szCs w:val="18"/>
              </w:rPr>
              <w:t>10 years</w:t>
            </w:r>
          </w:p>
        </w:tc>
        <w:tc>
          <w:tcPr>
            <w:tcW w:w="108" w:type="pct"/>
            <w:shd w:val="clear" w:color="auto" w:fill="FFFFFF"/>
            <w:tcMar>
              <w:top w:w="15" w:type="dxa"/>
              <w:left w:w="0" w:type="dxa"/>
              <w:bottom w:w="0" w:type="dxa"/>
              <w:right w:w="15" w:type="dxa"/>
            </w:tcMar>
            <w:vAlign w:val="bottom"/>
            <w:hideMark/>
          </w:tcPr>
          <w:p w14:paraId="160B84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F5C3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395E655B" w14:textId="77777777" w:rsidR="00000000" w:rsidRDefault="00582324">
            <w:pPr>
              <w:pStyle w:val="a3"/>
              <w:spacing w:before="0" w:beforeAutospacing="0" w:after="0" w:afterAutospacing="0"/>
              <w:jc w:val="right"/>
              <w:rPr>
                <w:color w:val="000000"/>
                <w:sz w:val="18"/>
                <w:szCs w:val="18"/>
              </w:rPr>
            </w:pPr>
            <w:r>
              <w:rPr>
                <w:color w:val="000000"/>
                <w:sz w:val="18"/>
                <w:szCs w:val="18"/>
              </w:rPr>
              <w:t>834</w:t>
            </w:r>
          </w:p>
        </w:tc>
        <w:tc>
          <w:tcPr>
            <w:tcW w:w="50" w:type="pct"/>
            <w:shd w:val="clear" w:color="auto" w:fill="FFFFFF"/>
            <w:noWrap/>
            <w:tcMar>
              <w:top w:w="15" w:type="dxa"/>
              <w:left w:w="0" w:type="dxa"/>
              <w:bottom w:w="0" w:type="dxa"/>
              <w:right w:w="15" w:type="dxa"/>
            </w:tcMar>
            <w:vAlign w:val="bottom"/>
            <w:hideMark/>
          </w:tcPr>
          <w:p w14:paraId="75632F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7923DF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3D7E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0219B5A2" w14:textId="77777777" w:rsidR="00000000" w:rsidRDefault="00582324">
            <w:pPr>
              <w:pStyle w:val="a3"/>
              <w:spacing w:before="0" w:beforeAutospacing="0" w:after="0" w:afterAutospacing="0"/>
              <w:jc w:val="right"/>
              <w:rPr>
                <w:color w:val="000000"/>
                <w:sz w:val="18"/>
                <w:szCs w:val="18"/>
              </w:rPr>
            </w:pPr>
            <w:r>
              <w:rPr>
                <w:color w:val="000000"/>
                <w:sz w:val="18"/>
                <w:szCs w:val="18"/>
              </w:rPr>
              <w:t>834</w:t>
            </w:r>
          </w:p>
        </w:tc>
        <w:tc>
          <w:tcPr>
            <w:tcW w:w="50" w:type="pct"/>
            <w:shd w:val="clear" w:color="auto" w:fill="FFFFFF"/>
            <w:noWrap/>
            <w:tcMar>
              <w:top w:w="15" w:type="dxa"/>
              <w:left w:w="0" w:type="dxa"/>
              <w:bottom w:w="0" w:type="dxa"/>
              <w:right w:w="15" w:type="dxa"/>
            </w:tcMar>
            <w:vAlign w:val="bottom"/>
            <w:hideMark/>
          </w:tcPr>
          <w:p w14:paraId="2F59B38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0168700" w14:textId="77777777">
        <w:trPr>
          <w:divId w:val="1447655422"/>
        </w:trPr>
        <w:tc>
          <w:tcPr>
            <w:tcW w:w="1678" w:type="pct"/>
            <w:shd w:val="clear" w:color="auto" w:fill="CFF0FC"/>
            <w:tcMar>
              <w:top w:w="15" w:type="dxa"/>
              <w:left w:w="0" w:type="dxa"/>
              <w:bottom w:w="0" w:type="dxa"/>
              <w:right w:w="15" w:type="dxa"/>
            </w:tcMar>
            <w:hideMark/>
          </w:tcPr>
          <w:p w14:paraId="5DA6B833" w14:textId="77777777" w:rsidR="00000000" w:rsidRDefault="00582324">
            <w:pPr>
              <w:pStyle w:val="a3"/>
              <w:spacing w:before="0" w:beforeAutospacing="0" w:after="0" w:afterAutospacing="0"/>
              <w:rPr>
                <w:color w:val="000000"/>
                <w:sz w:val="18"/>
                <w:szCs w:val="18"/>
              </w:rPr>
            </w:pPr>
            <w:r>
              <w:rPr>
                <w:color w:val="000000"/>
                <w:sz w:val="18"/>
                <w:szCs w:val="18"/>
              </w:rPr>
              <w:t>Building</w:t>
            </w:r>
          </w:p>
        </w:tc>
        <w:tc>
          <w:tcPr>
            <w:tcW w:w="108" w:type="pct"/>
            <w:shd w:val="clear" w:color="auto" w:fill="CFF0FC"/>
            <w:tcMar>
              <w:top w:w="15" w:type="dxa"/>
              <w:left w:w="0" w:type="dxa"/>
              <w:bottom w:w="0" w:type="dxa"/>
              <w:right w:w="15" w:type="dxa"/>
            </w:tcMar>
            <w:vAlign w:val="bottom"/>
            <w:hideMark/>
          </w:tcPr>
          <w:p w14:paraId="5FF567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CFF0FC"/>
            <w:tcMar>
              <w:top w:w="15" w:type="dxa"/>
              <w:left w:w="0" w:type="dxa"/>
              <w:bottom w:w="0" w:type="dxa"/>
              <w:right w:w="15" w:type="dxa"/>
            </w:tcMar>
            <w:vAlign w:val="bottom"/>
            <w:hideMark/>
          </w:tcPr>
          <w:p w14:paraId="648E8855" w14:textId="77777777" w:rsidR="00000000" w:rsidRDefault="00582324">
            <w:pPr>
              <w:pStyle w:val="a3"/>
              <w:spacing w:before="0" w:beforeAutospacing="0" w:after="0" w:afterAutospacing="0"/>
              <w:jc w:val="center"/>
              <w:rPr>
                <w:color w:val="000000"/>
                <w:sz w:val="18"/>
                <w:szCs w:val="18"/>
              </w:rPr>
            </w:pPr>
            <w:r>
              <w:rPr>
                <w:color w:val="000000"/>
                <w:sz w:val="18"/>
                <w:szCs w:val="18"/>
              </w:rPr>
              <w:t>39 years</w:t>
            </w:r>
          </w:p>
        </w:tc>
        <w:tc>
          <w:tcPr>
            <w:tcW w:w="108" w:type="pct"/>
            <w:shd w:val="clear" w:color="auto" w:fill="CFF0FC"/>
            <w:tcMar>
              <w:top w:w="15" w:type="dxa"/>
              <w:left w:w="0" w:type="dxa"/>
              <w:bottom w:w="0" w:type="dxa"/>
              <w:right w:w="15" w:type="dxa"/>
            </w:tcMar>
            <w:vAlign w:val="bottom"/>
            <w:hideMark/>
          </w:tcPr>
          <w:p w14:paraId="4B1111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E2C9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bottom w:val="single" w:sz="6" w:space="0" w:color="000000"/>
            </w:tcBorders>
            <w:shd w:val="clear" w:color="auto" w:fill="CFF0FC"/>
            <w:noWrap/>
            <w:tcMar>
              <w:top w:w="15" w:type="dxa"/>
              <w:left w:w="0" w:type="dxa"/>
              <w:bottom w:w="0" w:type="dxa"/>
              <w:right w:w="15" w:type="dxa"/>
            </w:tcMar>
            <w:vAlign w:val="bottom"/>
            <w:hideMark/>
          </w:tcPr>
          <w:p w14:paraId="5F5F7392" w14:textId="77777777" w:rsidR="00000000" w:rsidRDefault="00582324">
            <w:pPr>
              <w:pStyle w:val="a3"/>
              <w:spacing w:before="0" w:beforeAutospacing="0" w:after="0" w:afterAutospacing="0"/>
              <w:jc w:val="right"/>
              <w:rPr>
                <w:color w:val="000000"/>
                <w:sz w:val="18"/>
                <w:szCs w:val="18"/>
              </w:rPr>
            </w:pPr>
            <w:r>
              <w:rPr>
                <w:color w:val="000000"/>
                <w:sz w:val="18"/>
                <w:szCs w:val="18"/>
              </w:rPr>
              <w:t>2,975</w:t>
            </w:r>
          </w:p>
        </w:tc>
        <w:tc>
          <w:tcPr>
            <w:tcW w:w="50" w:type="pct"/>
            <w:shd w:val="clear" w:color="auto" w:fill="CFF0FC"/>
            <w:noWrap/>
            <w:tcMar>
              <w:top w:w="15" w:type="dxa"/>
              <w:left w:w="0" w:type="dxa"/>
              <w:bottom w:w="0" w:type="dxa"/>
              <w:right w:w="15" w:type="dxa"/>
            </w:tcMar>
            <w:vAlign w:val="bottom"/>
            <w:hideMark/>
          </w:tcPr>
          <w:p w14:paraId="6BE188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4645FA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5AD47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bottom w:val="single" w:sz="6" w:space="0" w:color="000000"/>
            </w:tcBorders>
            <w:shd w:val="clear" w:color="auto" w:fill="CFF0FC"/>
            <w:noWrap/>
            <w:tcMar>
              <w:top w:w="15" w:type="dxa"/>
              <w:left w:w="0" w:type="dxa"/>
              <w:bottom w:w="0" w:type="dxa"/>
              <w:right w:w="15" w:type="dxa"/>
            </w:tcMar>
            <w:vAlign w:val="bottom"/>
            <w:hideMark/>
          </w:tcPr>
          <w:p w14:paraId="63A2EF51" w14:textId="77777777" w:rsidR="00000000" w:rsidRDefault="00582324">
            <w:pPr>
              <w:pStyle w:val="a3"/>
              <w:spacing w:before="0" w:beforeAutospacing="0" w:after="0" w:afterAutospacing="0"/>
              <w:jc w:val="right"/>
              <w:rPr>
                <w:color w:val="000000"/>
                <w:sz w:val="18"/>
                <w:szCs w:val="18"/>
              </w:rPr>
            </w:pPr>
            <w:r>
              <w:rPr>
                <w:color w:val="000000"/>
                <w:sz w:val="18"/>
                <w:szCs w:val="18"/>
              </w:rPr>
              <w:t>2,975</w:t>
            </w:r>
          </w:p>
        </w:tc>
        <w:tc>
          <w:tcPr>
            <w:tcW w:w="50" w:type="pct"/>
            <w:shd w:val="clear" w:color="auto" w:fill="CFF0FC"/>
            <w:noWrap/>
            <w:tcMar>
              <w:top w:w="15" w:type="dxa"/>
              <w:left w:w="0" w:type="dxa"/>
              <w:bottom w:w="0" w:type="dxa"/>
              <w:right w:w="15" w:type="dxa"/>
            </w:tcMar>
            <w:vAlign w:val="bottom"/>
            <w:hideMark/>
          </w:tcPr>
          <w:p w14:paraId="7CC3D6D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9244F65" w14:textId="77777777">
        <w:trPr>
          <w:divId w:val="1447655422"/>
        </w:trPr>
        <w:tc>
          <w:tcPr>
            <w:tcW w:w="1678" w:type="pct"/>
            <w:shd w:val="clear" w:color="auto" w:fill="FFFFFF"/>
            <w:tcMar>
              <w:top w:w="15" w:type="dxa"/>
              <w:left w:w="0" w:type="dxa"/>
              <w:bottom w:w="0" w:type="dxa"/>
              <w:right w:w="15" w:type="dxa"/>
            </w:tcMar>
            <w:hideMark/>
          </w:tcPr>
          <w:p w14:paraId="7B45AC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3B02BE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73539C4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699E3C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67D771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FFFFFF"/>
            <w:noWrap/>
            <w:tcMar>
              <w:top w:w="15" w:type="dxa"/>
              <w:left w:w="0" w:type="dxa"/>
              <w:bottom w:w="0" w:type="dxa"/>
              <w:right w:w="15" w:type="dxa"/>
            </w:tcMar>
            <w:vAlign w:val="bottom"/>
            <w:hideMark/>
          </w:tcPr>
          <w:p w14:paraId="464EDB57" w14:textId="77777777" w:rsidR="00000000" w:rsidRDefault="00582324">
            <w:pPr>
              <w:pStyle w:val="a3"/>
              <w:spacing w:before="0" w:beforeAutospacing="0" w:after="0" w:afterAutospacing="0"/>
              <w:jc w:val="right"/>
              <w:rPr>
                <w:color w:val="000000"/>
                <w:sz w:val="18"/>
                <w:szCs w:val="18"/>
              </w:rPr>
            </w:pPr>
            <w:r>
              <w:rPr>
                <w:color w:val="000000"/>
                <w:sz w:val="18"/>
                <w:szCs w:val="18"/>
              </w:rPr>
              <w:t>69,406</w:t>
            </w:r>
          </w:p>
        </w:tc>
        <w:tc>
          <w:tcPr>
            <w:tcW w:w="50" w:type="pct"/>
            <w:shd w:val="clear" w:color="auto" w:fill="FFFFFF"/>
            <w:noWrap/>
            <w:tcMar>
              <w:top w:w="15" w:type="dxa"/>
              <w:left w:w="0" w:type="dxa"/>
              <w:bottom w:w="0" w:type="dxa"/>
              <w:right w:w="15" w:type="dxa"/>
            </w:tcMar>
            <w:vAlign w:val="bottom"/>
            <w:hideMark/>
          </w:tcPr>
          <w:p w14:paraId="5A4169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1A82E0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DB97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FFFFFF"/>
            <w:noWrap/>
            <w:tcMar>
              <w:top w:w="15" w:type="dxa"/>
              <w:left w:w="0" w:type="dxa"/>
              <w:bottom w:w="0" w:type="dxa"/>
              <w:right w:w="15" w:type="dxa"/>
            </w:tcMar>
            <w:vAlign w:val="bottom"/>
            <w:hideMark/>
          </w:tcPr>
          <w:p w14:paraId="683F304E" w14:textId="77777777" w:rsidR="00000000" w:rsidRDefault="00582324">
            <w:pPr>
              <w:pStyle w:val="a3"/>
              <w:spacing w:before="0" w:beforeAutospacing="0" w:after="0" w:afterAutospacing="0"/>
              <w:jc w:val="right"/>
              <w:rPr>
                <w:color w:val="000000"/>
                <w:sz w:val="18"/>
                <w:szCs w:val="18"/>
              </w:rPr>
            </w:pPr>
            <w:r>
              <w:rPr>
                <w:color w:val="000000"/>
                <w:sz w:val="18"/>
                <w:szCs w:val="18"/>
              </w:rPr>
              <w:t>77,642</w:t>
            </w:r>
          </w:p>
        </w:tc>
        <w:tc>
          <w:tcPr>
            <w:tcW w:w="50" w:type="pct"/>
            <w:shd w:val="clear" w:color="auto" w:fill="FFFFFF"/>
            <w:noWrap/>
            <w:tcMar>
              <w:top w:w="15" w:type="dxa"/>
              <w:left w:w="0" w:type="dxa"/>
              <w:bottom w:w="0" w:type="dxa"/>
              <w:right w:w="15" w:type="dxa"/>
            </w:tcMar>
            <w:vAlign w:val="bottom"/>
            <w:hideMark/>
          </w:tcPr>
          <w:p w14:paraId="5B2D04F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2CB1B47" w14:textId="77777777">
        <w:trPr>
          <w:divId w:val="1447655422"/>
        </w:trPr>
        <w:tc>
          <w:tcPr>
            <w:tcW w:w="1678" w:type="pct"/>
            <w:shd w:val="clear" w:color="auto" w:fill="CFF0FC"/>
            <w:tcMar>
              <w:top w:w="15" w:type="dxa"/>
              <w:left w:w="0" w:type="dxa"/>
              <w:bottom w:w="0" w:type="dxa"/>
              <w:right w:w="15" w:type="dxa"/>
            </w:tcMar>
            <w:hideMark/>
          </w:tcPr>
          <w:p w14:paraId="3106C376" w14:textId="77777777" w:rsidR="00000000" w:rsidRDefault="00582324">
            <w:pPr>
              <w:pStyle w:val="a3"/>
              <w:spacing w:before="0" w:beforeAutospacing="0" w:after="0" w:afterAutospacing="0"/>
              <w:rPr>
                <w:color w:val="000000"/>
                <w:sz w:val="18"/>
                <w:szCs w:val="18"/>
              </w:rPr>
            </w:pPr>
            <w:r>
              <w:rPr>
                <w:color w:val="000000"/>
                <w:sz w:val="18"/>
                <w:szCs w:val="18"/>
              </w:rPr>
              <w:t>Land</w:t>
            </w:r>
          </w:p>
        </w:tc>
        <w:tc>
          <w:tcPr>
            <w:tcW w:w="108" w:type="pct"/>
            <w:shd w:val="clear" w:color="auto" w:fill="CFF0FC"/>
            <w:tcMar>
              <w:top w:w="15" w:type="dxa"/>
              <w:left w:w="0" w:type="dxa"/>
              <w:bottom w:w="0" w:type="dxa"/>
              <w:right w:w="15" w:type="dxa"/>
            </w:tcMar>
            <w:vAlign w:val="bottom"/>
            <w:hideMark/>
          </w:tcPr>
          <w:p w14:paraId="6B8563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CFF0FC"/>
            <w:tcMar>
              <w:top w:w="15" w:type="dxa"/>
              <w:left w:w="0" w:type="dxa"/>
              <w:bottom w:w="0" w:type="dxa"/>
              <w:right w:w="15" w:type="dxa"/>
            </w:tcMar>
            <w:vAlign w:val="bottom"/>
            <w:hideMark/>
          </w:tcPr>
          <w:p w14:paraId="774DCD9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7ED43F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8BFC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286F24DD" w14:textId="77777777" w:rsidR="00000000" w:rsidRDefault="00582324">
            <w:pPr>
              <w:pStyle w:val="a3"/>
              <w:spacing w:before="0" w:beforeAutospacing="0" w:after="0" w:afterAutospacing="0"/>
              <w:jc w:val="right"/>
              <w:rPr>
                <w:color w:val="000000"/>
                <w:sz w:val="18"/>
                <w:szCs w:val="18"/>
              </w:rPr>
            </w:pPr>
            <w:r>
              <w:rPr>
                <w:color w:val="000000"/>
                <w:sz w:val="18"/>
                <w:szCs w:val="18"/>
              </w:rPr>
              <w:t>725</w:t>
            </w:r>
          </w:p>
        </w:tc>
        <w:tc>
          <w:tcPr>
            <w:tcW w:w="50" w:type="pct"/>
            <w:shd w:val="clear" w:color="auto" w:fill="CFF0FC"/>
            <w:noWrap/>
            <w:tcMar>
              <w:top w:w="15" w:type="dxa"/>
              <w:left w:w="0" w:type="dxa"/>
              <w:bottom w:w="0" w:type="dxa"/>
              <w:right w:w="15" w:type="dxa"/>
            </w:tcMar>
            <w:vAlign w:val="bottom"/>
            <w:hideMark/>
          </w:tcPr>
          <w:p w14:paraId="4AE5EF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7224CA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87C19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CFF0FC"/>
            <w:noWrap/>
            <w:tcMar>
              <w:top w:w="15" w:type="dxa"/>
              <w:left w:w="0" w:type="dxa"/>
              <w:bottom w:w="0" w:type="dxa"/>
              <w:right w:w="15" w:type="dxa"/>
            </w:tcMar>
            <w:vAlign w:val="bottom"/>
            <w:hideMark/>
          </w:tcPr>
          <w:p w14:paraId="1BF11AF9" w14:textId="77777777" w:rsidR="00000000" w:rsidRDefault="00582324">
            <w:pPr>
              <w:pStyle w:val="a3"/>
              <w:spacing w:before="0" w:beforeAutospacing="0" w:after="0" w:afterAutospacing="0"/>
              <w:jc w:val="right"/>
              <w:rPr>
                <w:color w:val="000000"/>
                <w:sz w:val="18"/>
                <w:szCs w:val="18"/>
              </w:rPr>
            </w:pPr>
            <w:r>
              <w:rPr>
                <w:color w:val="000000"/>
                <w:sz w:val="18"/>
                <w:szCs w:val="18"/>
              </w:rPr>
              <w:t>725</w:t>
            </w:r>
          </w:p>
        </w:tc>
        <w:tc>
          <w:tcPr>
            <w:tcW w:w="50" w:type="pct"/>
            <w:shd w:val="clear" w:color="auto" w:fill="CFF0FC"/>
            <w:noWrap/>
            <w:tcMar>
              <w:top w:w="15" w:type="dxa"/>
              <w:left w:w="0" w:type="dxa"/>
              <w:bottom w:w="0" w:type="dxa"/>
              <w:right w:w="15" w:type="dxa"/>
            </w:tcMar>
            <w:vAlign w:val="bottom"/>
            <w:hideMark/>
          </w:tcPr>
          <w:p w14:paraId="0BA48D3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BDF3681" w14:textId="77777777">
        <w:trPr>
          <w:divId w:val="1447655422"/>
        </w:trPr>
        <w:tc>
          <w:tcPr>
            <w:tcW w:w="1678" w:type="pct"/>
            <w:shd w:val="clear" w:color="auto" w:fill="FFFFFF"/>
            <w:tcMar>
              <w:top w:w="15" w:type="dxa"/>
              <w:left w:w="0" w:type="dxa"/>
              <w:bottom w:w="0" w:type="dxa"/>
              <w:right w:w="15" w:type="dxa"/>
            </w:tcMar>
            <w:hideMark/>
          </w:tcPr>
          <w:p w14:paraId="04E23C87" w14:textId="77777777" w:rsidR="00000000" w:rsidRDefault="00582324">
            <w:pPr>
              <w:pStyle w:val="a3"/>
              <w:spacing w:before="0" w:beforeAutospacing="0" w:after="0" w:afterAutospacing="0"/>
              <w:rPr>
                <w:color w:val="000000"/>
                <w:sz w:val="18"/>
                <w:szCs w:val="18"/>
              </w:rPr>
            </w:pPr>
            <w:r>
              <w:rPr>
                <w:color w:val="000000"/>
                <w:sz w:val="18"/>
                <w:szCs w:val="18"/>
              </w:rPr>
              <w:t>Construction in progress</w:t>
            </w:r>
          </w:p>
        </w:tc>
        <w:tc>
          <w:tcPr>
            <w:tcW w:w="108" w:type="pct"/>
            <w:shd w:val="clear" w:color="auto" w:fill="FFFFFF"/>
            <w:tcMar>
              <w:top w:w="15" w:type="dxa"/>
              <w:left w:w="0" w:type="dxa"/>
              <w:bottom w:w="0" w:type="dxa"/>
              <w:right w:w="15" w:type="dxa"/>
            </w:tcMar>
            <w:vAlign w:val="bottom"/>
            <w:hideMark/>
          </w:tcPr>
          <w:p w14:paraId="7638B0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77D1639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36E5EF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1AEC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59ED61BF" w14:textId="77777777" w:rsidR="00000000" w:rsidRDefault="00582324">
            <w:pPr>
              <w:pStyle w:val="a3"/>
              <w:spacing w:before="0" w:beforeAutospacing="0" w:after="0" w:afterAutospacing="0"/>
              <w:jc w:val="right"/>
              <w:rPr>
                <w:color w:val="000000"/>
                <w:sz w:val="18"/>
                <w:szCs w:val="18"/>
              </w:rPr>
            </w:pPr>
            <w:r>
              <w:rPr>
                <w:color w:val="000000"/>
                <w:sz w:val="18"/>
                <w:szCs w:val="18"/>
              </w:rPr>
              <w:t>1,292</w:t>
            </w:r>
          </w:p>
        </w:tc>
        <w:tc>
          <w:tcPr>
            <w:tcW w:w="50" w:type="pct"/>
            <w:shd w:val="clear" w:color="auto" w:fill="FFFFFF"/>
            <w:noWrap/>
            <w:tcMar>
              <w:top w:w="15" w:type="dxa"/>
              <w:left w:w="0" w:type="dxa"/>
              <w:bottom w:w="0" w:type="dxa"/>
              <w:right w:w="15" w:type="dxa"/>
            </w:tcMar>
            <w:vAlign w:val="bottom"/>
            <w:hideMark/>
          </w:tcPr>
          <w:p w14:paraId="02CBCD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5F8A39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C004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658B0FC8" w14:textId="77777777" w:rsidR="00000000" w:rsidRDefault="00582324">
            <w:pPr>
              <w:pStyle w:val="a3"/>
              <w:spacing w:before="0" w:beforeAutospacing="0" w:after="0" w:afterAutospacing="0"/>
              <w:jc w:val="right"/>
              <w:rPr>
                <w:color w:val="000000"/>
                <w:sz w:val="18"/>
                <w:szCs w:val="18"/>
              </w:rPr>
            </w:pPr>
            <w:r>
              <w:rPr>
                <w:color w:val="000000"/>
                <w:sz w:val="18"/>
                <w:szCs w:val="18"/>
              </w:rPr>
              <w:t>219</w:t>
            </w:r>
          </w:p>
        </w:tc>
        <w:tc>
          <w:tcPr>
            <w:tcW w:w="50" w:type="pct"/>
            <w:shd w:val="clear" w:color="auto" w:fill="FFFFFF"/>
            <w:noWrap/>
            <w:tcMar>
              <w:top w:w="15" w:type="dxa"/>
              <w:left w:w="0" w:type="dxa"/>
              <w:bottom w:w="0" w:type="dxa"/>
              <w:right w:w="15" w:type="dxa"/>
            </w:tcMar>
            <w:vAlign w:val="bottom"/>
            <w:hideMark/>
          </w:tcPr>
          <w:p w14:paraId="22E9514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351C6D7" w14:textId="77777777">
        <w:trPr>
          <w:divId w:val="1447655422"/>
        </w:trPr>
        <w:tc>
          <w:tcPr>
            <w:tcW w:w="1678" w:type="pct"/>
            <w:shd w:val="clear" w:color="auto" w:fill="CFF0FC"/>
            <w:tcMar>
              <w:top w:w="15" w:type="dxa"/>
              <w:left w:w="0" w:type="dxa"/>
              <w:bottom w:w="0" w:type="dxa"/>
              <w:right w:w="15" w:type="dxa"/>
            </w:tcMar>
            <w:hideMark/>
          </w:tcPr>
          <w:p w14:paraId="6D3AD16C" w14:textId="77777777" w:rsidR="00000000" w:rsidRDefault="00582324">
            <w:pPr>
              <w:pStyle w:val="a3"/>
              <w:spacing w:before="0" w:beforeAutospacing="0" w:after="0" w:afterAutospacing="0"/>
              <w:rPr>
                <w:color w:val="000000"/>
                <w:sz w:val="18"/>
                <w:szCs w:val="18"/>
              </w:rPr>
            </w:pPr>
            <w:r>
              <w:rPr>
                <w:color w:val="000000"/>
                <w:sz w:val="18"/>
                <w:szCs w:val="18"/>
              </w:rPr>
              <w:t>Less accumulated depreciation</w:t>
            </w:r>
          </w:p>
        </w:tc>
        <w:tc>
          <w:tcPr>
            <w:tcW w:w="108" w:type="pct"/>
            <w:shd w:val="clear" w:color="auto" w:fill="CFF0FC"/>
            <w:tcMar>
              <w:top w:w="15" w:type="dxa"/>
              <w:left w:w="0" w:type="dxa"/>
              <w:bottom w:w="0" w:type="dxa"/>
              <w:right w:w="15" w:type="dxa"/>
            </w:tcMar>
            <w:vAlign w:val="bottom"/>
            <w:hideMark/>
          </w:tcPr>
          <w:p w14:paraId="0480FF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CFF0FC"/>
            <w:tcMar>
              <w:top w:w="15" w:type="dxa"/>
              <w:left w:w="0" w:type="dxa"/>
              <w:bottom w:w="0" w:type="dxa"/>
              <w:right w:w="15" w:type="dxa"/>
            </w:tcMar>
            <w:vAlign w:val="bottom"/>
            <w:hideMark/>
          </w:tcPr>
          <w:p w14:paraId="63C5F92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3CF34B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A5E4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bottom w:val="single" w:sz="6" w:space="0" w:color="000000"/>
            </w:tcBorders>
            <w:shd w:val="clear" w:color="auto" w:fill="CFF0FC"/>
            <w:noWrap/>
            <w:tcMar>
              <w:top w:w="15" w:type="dxa"/>
              <w:left w:w="0" w:type="dxa"/>
              <w:bottom w:w="0" w:type="dxa"/>
              <w:right w:w="15" w:type="dxa"/>
            </w:tcMar>
            <w:vAlign w:val="bottom"/>
            <w:hideMark/>
          </w:tcPr>
          <w:p w14:paraId="63301DB1" w14:textId="77777777" w:rsidR="00000000" w:rsidRDefault="00582324">
            <w:pPr>
              <w:pStyle w:val="a3"/>
              <w:spacing w:before="0" w:beforeAutospacing="0" w:after="0" w:afterAutospacing="0"/>
              <w:jc w:val="right"/>
              <w:rPr>
                <w:color w:val="000000"/>
                <w:sz w:val="18"/>
                <w:szCs w:val="18"/>
              </w:rPr>
            </w:pPr>
            <w:r>
              <w:rPr>
                <w:color w:val="000000"/>
                <w:sz w:val="18"/>
                <w:szCs w:val="18"/>
              </w:rPr>
              <w:t>(41,871</w:t>
            </w:r>
          </w:p>
        </w:tc>
        <w:tc>
          <w:tcPr>
            <w:tcW w:w="50" w:type="pct"/>
            <w:shd w:val="clear" w:color="auto" w:fill="CFF0FC"/>
            <w:noWrap/>
            <w:tcMar>
              <w:top w:w="15" w:type="dxa"/>
              <w:left w:w="0" w:type="dxa"/>
              <w:bottom w:w="0" w:type="dxa"/>
              <w:right w:w="15" w:type="dxa"/>
            </w:tcMar>
            <w:vAlign w:val="bottom"/>
            <w:hideMark/>
          </w:tcPr>
          <w:p w14:paraId="47EFECB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08" w:type="pct"/>
            <w:shd w:val="clear" w:color="auto" w:fill="CFF0FC"/>
            <w:tcMar>
              <w:top w:w="15" w:type="dxa"/>
              <w:left w:w="0" w:type="dxa"/>
              <w:bottom w:w="0" w:type="dxa"/>
              <w:right w:w="15" w:type="dxa"/>
            </w:tcMar>
            <w:vAlign w:val="bottom"/>
            <w:hideMark/>
          </w:tcPr>
          <w:p w14:paraId="5A59D5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6208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bottom w:val="single" w:sz="6" w:space="0" w:color="000000"/>
            </w:tcBorders>
            <w:shd w:val="clear" w:color="auto" w:fill="CFF0FC"/>
            <w:noWrap/>
            <w:tcMar>
              <w:top w:w="15" w:type="dxa"/>
              <w:left w:w="0" w:type="dxa"/>
              <w:bottom w:w="0" w:type="dxa"/>
              <w:right w:w="15" w:type="dxa"/>
            </w:tcMar>
            <w:vAlign w:val="bottom"/>
            <w:hideMark/>
          </w:tcPr>
          <w:p w14:paraId="22FBF30A" w14:textId="77777777" w:rsidR="00000000" w:rsidRDefault="00582324">
            <w:pPr>
              <w:pStyle w:val="a3"/>
              <w:spacing w:before="0" w:beforeAutospacing="0" w:after="0" w:afterAutospacing="0"/>
              <w:jc w:val="right"/>
              <w:rPr>
                <w:color w:val="000000"/>
                <w:sz w:val="18"/>
                <w:szCs w:val="18"/>
              </w:rPr>
            </w:pPr>
            <w:r>
              <w:rPr>
                <w:color w:val="000000"/>
                <w:sz w:val="18"/>
                <w:szCs w:val="18"/>
              </w:rPr>
              <w:t>(44,187</w:t>
            </w:r>
          </w:p>
        </w:tc>
        <w:tc>
          <w:tcPr>
            <w:tcW w:w="50" w:type="pct"/>
            <w:shd w:val="clear" w:color="auto" w:fill="CFF0FC"/>
            <w:noWrap/>
            <w:tcMar>
              <w:top w:w="15" w:type="dxa"/>
              <w:left w:w="0" w:type="dxa"/>
              <w:bottom w:w="0" w:type="dxa"/>
              <w:right w:w="15" w:type="dxa"/>
            </w:tcMar>
            <w:vAlign w:val="bottom"/>
            <w:hideMark/>
          </w:tcPr>
          <w:p w14:paraId="36A782C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FF9E101" w14:textId="77777777">
        <w:trPr>
          <w:divId w:val="1447655422"/>
        </w:trPr>
        <w:tc>
          <w:tcPr>
            <w:tcW w:w="1678" w:type="pct"/>
            <w:shd w:val="clear" w:color="auto" w:fill="FFFFFF"/>
            <w:tcMar>
              <w:top w:w="15" w:type="dxa"/>
              <w:left w:w="0" w:type="dxa"/>
              <w:bottom w:w="0" w:type="dxa"/>
              <w:right w:w="15" w:type="dxa"/>
            </w:tcMar>
            <w:hideMark/>
          </w:tcPr>
          <w:p w14:paraId="0346142E" w14:textId="77777777" w:rsidR="00000000" w:rsidRDefault="00582324">
            <w:pPr>
              <w:pStyle w:val="a3"/>
              <w:spacing w:before="0" w:beforeAutospacing="0" w:after="0" w:afterAutospacing="0"/>
              <w:rPr>
                <w:color w:val="000000"/>
                <w:sz w:val="18"/>
                <w:szCs w:val="18"/>
              </w:rPr>
            </w:pPr>
            <w:r>
              <w:rPr>
                <w:color w:val="000000"/>
                <w:sz w:val="18"/>
                <w:szCs w:val="18"/>
              </w:rPr>
              <w:t>Total property and equipment—</w:t>
            </w:r>
          </w:p>
          <w:p w14:paraId="3280D5AB" w14:textId="77777777" w:rsidR="00000000" w:rsidRDefault="00582324">
            <w:pPr>
              <w:pStyle w:val="a3"/>
              <w:spacing w:before="0" w:beforeAutospacing="0" w:after="0" w:afterAutospacing="0"/>
              <w:rPr>
                <w:color w:val="000000"/>
                <w:sz w:val="18"/>
                <w:szCs w:val="18"/>
              </w:rPr>
            </w:pPr>
            <w:r>
              <w:rPr>
                <w:color w:val="000000"/>
                <w:sz w:val="18"/>
                <w:szCs w:val="18"/>
              </w:rPr>
              <w:t>   net</w:t>
            </w:r>
          </w:p>
        </w:tc>
        <w:tc>
          <w:tcPr>
            <w:tcW w:w="108" w:type="pct"/>
            <w:shd w:val="clear" w:color="auto" w:fill="FFFFFF"/>
            <w:tcMar>
              <w:top w:w="15" w:type="dxa"/>
              <w:left w:w="0" w:type="dxa"/>
              <w:bottom w:w="0" w:type="dxa"/>
              <w:right w:w="15" w:type="dxa"/>
            </w:tcMar>
            <w:vAlign w:val="bottom"/>
            <w:hideMark/>
          </w:tcPr>
          <w:p w14:paraId="1391DA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shd w:val="clear" w:color="auto" w:fill="FFFFFF"/>
            <w:tcMar>
              <w:top w:w="15" w:type="dxa"/>
              <w:left w:w="0" w:type="dxa"/>
              <w:bottom w:w="0" w:type="dxa"/>
              <w:right w:w="15" w:type="dxa"/>
            </w:tcMar>
            <w:vAlign w:val="bottom"/>
            <w:hideMark/>
          </w:tcPr>
          <w:p w14:paraId="5D72F91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1ECA3F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E72D3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9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BE7ED4" w14:textId="77777777" w:rsidR="00000000" w:rsidRDefault="00582324">
            <w:pPr>
              <w:pStyle w:val="a3"/>
              <w:spacing w:before="0" w:beforeAutospacing="0" w:after="0" w:afterAutospacing="0"/>
              <w:jc w:val="right"/>
              <w:rPr>
                <w:color w:val="000000"/>
                <w:sz w:val="18"/>
                <w:szCs w:val="18"/>
              </w:rPr>
            </w:pPr>
            <w:r>
              <w:rPr>
                <w:color w:val="000000"/>
                <w:sz w:val="18"/>
                <w:szCs w:val="18"/>
              </w:rPr>
              <w:t>29,552</w:t>
            </w:r>
          </w:p>
        </w:tc>
        <w:tc>
          <w:tcPr>
            <w:tcW w:w="50" w:type="pct"/>
            <w:shd w:val="clear" w:color="auto" w:fill="FFFFFF"/>
            <w:noWrap/>
            <w:tcMar>
              <w:top w:w="15" w:type="dxa"/>
              <w:left w:w="0" w:type="dxa"/>
              <w:bottom w:w="0" w:type="dxa"/>
              <w:right w:w="15" w:type="dxa"/>
            </w:tcMar>
            <w:vAlign w:val="bottom"/>
            <w:hideMark/>
          </w:tcPr>
          <w:p w14:paraId="111481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5AC385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E0F57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9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36A409" w14:textId="77777777" w:rsidR="00000000" w:rsidRDefault="00582324">
            <w:pPr>
              <w:pStyle w:val="a3"/>
              <w:spacing w:before="0" w:beforeAutospacing="0" w:after="0" w:afterAutospacing="0"/>
              <w:jc w:val="right"/>
              <w:rPr>
                <w:color w:val="000000"/>
                <w:sz w:val="18"/>
                <w:szCs w:val="18"/>
              </w:rPr>
            </w:pPr>
            <w:r>
              <w:rPr>
                <w:color w:val="000000"/>
                <w:sz w:val="18"/>
                <w:szCs w:val="18"/>
              </w:rPr>
              <w:t>34,399</w:t>
            </w:r>
          </w:p>
        </w:tc>
        <w:tc>
          <w:tcPr>
            <w:tcW w:w="50" w:type="pct"/>
            <w:shd w:val="clear" w:color="auto" w:fill="FFFFFF"/>
            <w:noWrap/>
            <w:tcMar>
              <w:top w:w="15" w:type="dxa"/>
              <w:left w:w="0" w:type="dxa"/>
              <w:bottom w:w="0" w:type="dxa"/>
              <w:right w:w="15" w:type="dxa"/>
            </w:tcMar>
            <w:vAlign w:val="bottom"/>
            <w:hideMark/>
          </w:tcPr>
          <w:p w14:paraId="593FCF20"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039D029" w14:textId="77777777" w:rsidR="00000000" w:rsidRDefault="00582324">
      <w:pPr>
        <w:pStyle w:val="a3"/>
        <w:shd w:val="clear" w:color="auto" w:fill="FFFFFF"/>
        <w:spacing w:before="160" w:beforeAutospacing="0" w:after="0" w:afterAutospacing="0"/>
        <w:ind w:firstLine="416"/>
        <w:rPr>
          <w:color w:val="000000"/>
          <w:sz w:val="20"/>
          <w:szCs w:val="20"/>
        </w:rPr>
      </w:pPr>
      <w:r>
        <w:rPr>
          <w:color w:val="000000"/>
          <w:sz w:val="20"/>
          <w:szCs w:val="20"/>
        </w:rPr>
        <w:t>Total depreciation expense included in the unaudited condensed consolidated statements of operations was $2.5 million and $4.7 million for the three and six months ended June 30, 2021, respectively, and $2.0 million and $4.0 million for the three and six m</w:t>
      </w:r>
      <w:r>
        <w:rPr>
          <w:color w:val="000000"/>
          <w:sz w:val="20"/>
          <w:szCs w:val="20"/>
        </w:rPr>
        <w:t>onths ended June 30, 2020, respectively.</w:t>
      </w:r>
    </w:p>
    <w:p w14:paraId="34F384D8" w14:textId="77777777" w:rsidR="00000000" w:rsidRDefault="00582324">
      <w:pPr>
        <w:pStyle w:val="a3"/>
        <w:shd w:val="clear" w:color="auto" w:fill="FFFFFF"/>
        <w:spacing w:before="160" w:beforeAutospacing="0" w:after="0" w:afterAutospacing="0"/>
        <w:ind w:firstLine="416"/>
        <w:rPr>
          <w:color w:val="000000"/>
          <w:sz w:val="20"/>
          <w:szCs w:val="20"/>
        </w:rPr>
      </w:pPr>
      <w:r>
        <w:rPr>
          <w:color w:val="000000"/>
          <w:sz w:val="20"/>
          <w:szCs w:val="20"/>
        </w:rPr>
        <w:t>Total property and equipment, net as of December 31, 2020 included $7.2 million related to financed assets, which, following the adoption of ASC 842, are presented as part of finance lease liabilities and excluded f</w:t>
      </w:r>
      <w:r>
        <w:rPr>
          <w:color w:val="000000"/>
          <w:sz w:val="20"/>
          <w:szCs w:val="20"/>
        </w:rPr>
        <w:t xml:space="preserve">rom property and equipment, net on the face of the condensed consolidated balance sheet as of June 30, 2021.   </w:t>
      </w:r>
    </w:p>
    <w:p w14:paraId="7D3C2509" w14:textId="77777777" w:rsidR="00000000" w:rsidRDefault="00582324">
      <w:pPr>
        <w:pStyle w:val="a3"/>
        <w:shd w:val="clear" w:color="auto" w:fill="FFFFFF"/>
        <w:spacing w:before="360" w:beforeAutospacing="0" w:after="0" w:afterAutospacing="0"/>
        <w:rPr>
          <w:sz w:val="20"/>
          <w:szCs w:val="20"/>
        </w:rPr>
      </w:pPr>
      <w:r>
        <w:rPr>
          <w:sz w:val="20"/>
          <w:szCs w:val="20"/>
        </w:rPr>
        <w:t> </w:t>
      </w:r>
    </w:p>
    <w:p w14:paraId="0765D0EB"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shd w:val="clear" w:color="auto" w:fill="FFFFFF"/>
        </w:rPr>
        <w:t>6. LEASES</w:t>
      </w:r>
    </w:p>
    <w:p w14:paraId="680C8A9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shd w:val="clear" w:color="auto" w:fill="FFFFFF"/>
        </w:rPr>
        <w:t>Leases are classified as either finance leases or operating leases based on criteria in ASC 842. The Company has finance leases for its vehicle and equipment leases and operating leases for its real estate space and office equipment leases. The Company’s o</w:t>
      </w:r>
      <w:r>
        <w:rPr>
          <w:color w:val="000000"/>
          <w:sz w:val="20"/>
          <w:szCs w:val="20"/>
          <w:shd w:val="clear" w:color="auto" w:fill="FFFFFF"/>
        </w:rPr>
        <w:t>perating and finance leases generally have original lease terms between 1 year and 15 years, and in some instances include one or more options to renew. The Company includes options to extend the lease term if the options are reasonably certain of being ex</w:t>
      </w:r>
      <w:r>
        <w:rPr>
          <w:color w:val="000000"/>
          <w:sz w:val="20"/>
          <w:szCs w:val="20"/>
          <w:shd w:val="clear" w:color="auto" w:fill="FFFFFF"/>
        </w:rPr>
        <w:t>ercised. The Company currently considers some of its renewal options to be reasonably certain to be exercised. Some leases also include early termination options, which can be exercised under specific conditions. The Company does not have material residual</w:t>
      </w:r>
      <w:r>
        <w:rPr>
          <w:color w:val="000000"/>
          <w:sz w:val="20"/>
          <w:szCs w:val="20"/>
          <w:shd w:val="clear" w:color="auto" w:fill="FFFFFF"/>
        </w:rPr>
        <w:t xml:space="preserve"> value guarantees or restrictive covenants associated with its leases. </w:t>
      </w:r>
    </w:p>
    <w:p w14:paraId="442D4D58" w14:textId="77777777" w:rsidR="00000000" w:rsidRDefault="00582324">
      <w:pPr>
        <w:pStyle w:val="a3"/>
        <w:shd w:val="clear" w:color="auto" w:fill="FFFFFF"/>
        <w:spacing w:before="240" w:beforeAutospacing="0" w:after="0" w:afterAutospacing="0"/>
        <w:ind w:firstLine="416"/>
        <w:rPr>
          <w:sz w:val="20"/>
          <w:szCs w:val="20"/>
        </w:rPr>
      </w:pPr>
      <w:r>
        <w:rPr>
          <w:sz w:val="20"/>
          <w:szCs w:val="20"/>
        </w:rPr>
        <w:t xml:space="preserve">In June 2021, with an effective adoption date of January 1, 2021, </w:t>
      </w:r>
      <w:r>
        <w:rPr>
          <w:color w:val="000000"/>
          <w:sz w:val="20"/>
          <w:szCs w:val="20"/>
          <w:shd w:val="clear" w:color="auto" w:fill="FFFFFF"/>
        </w:rPr>
        <w:t>the Company adopted ASU 2016-02 using the modified retrospective approach, which permits application of this new guida</w:t>
      </w:r>
      <w:r>
        <w:rPr>
          <w:color w:val="000000"/>
          <w:sz w:val="20"/>
          <w:szCs w:val="20"/>
          <w:shd w:val="clear" w:color="auto" w:fill="FFFFFF"/>
        </w:rPr>
        <w:t>nce at the beginning of the period of adoption, with comparative periods continuing to be reported under ASC 840.</w:t>
      </w:r>
    </w:p>
    <w:p w14:paraId="18FD134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Finance and operating lease assets represent the right to use an underlying asset for the lease term, and finance and operating lease liabilit</w:t>
      </w:r>
      <w:r>
        <w:rPr>
          <w:color w:val="000000"/>
          <w:sz w:val="20"/>
          <w:szCs w:val="20"/>
          <w:shd w:val="clear" w:color="auto" w:fill="FFFFFF"/>
        </w:rPr>
        <w:t xml:space="preserve">ies represent the obligation to make lease payments arising from the lease. </w:t>
      </w:r>
    </w:p>
    <w:p w14:paraId="3FD9F46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The Company calculates the present value of its finance and operating leases using an estimated incremental borrowing rate (“IBR”), which requires judgment. For real estate operat</w:t>
      </w:r>
      <w:r>
        <w:rPr>
          <w:color w:val="000000"/>
          <w:sz w:val="20"/>
          <w:szCs w:val="20"/>
          <w:shd w:val="clear" w:color="auto" w:fill="FFFFFF"/>
        </w:rPr>
        <w:t>ing leases, the Company estimates the IBR based on prevailing market rates for collateralized debt in a similar economic environment with similar payment terms and maturity dates commensurate with the terms of the lease. For all other leases, the Company e</w:t>
      </w:r>
      <w:r>
        <w:rPr>
          <w:color w:val="000000"/>
          <w:sz w:val="20"/>
          <w:szCs w:val="20"/>
          <w:shd w:val="clear" w:color="auto" w:fill="FFFFFF"/>
        </w:rPr>
        <w:t xml:space="preserve">stimates the IBR based on the stated interest rate on the contract. Since many of the </w:t>
      </w:r>
    </w:p>
    <w:p w14:paraId="27829459" w14:textId="77777777" w:rsidR="00000000" w:rsidRDefault="00582324">
      <w:pPr>
        <w:pStyle w:val="a3"/>
        <w:spacing w:before="240" w:beforeAutospacing="0" w:after="0" w:afterAutospacing="0"/>
        <w:jc w:val="center"/>
        <w:rPr>
          <w:sz w:val="20"/>
          <w:szCs w:val="20"/>
        </w:rPr>
      </w:pPr>
      <w:r>
        <w:rPr>
          <w:sz w:val="20"/>
          <w:szCs w:val="20"/>
        </w:rPr>
        <w:t>9</w:t>
      </w:r>
    </w:p>
    <w:p w14:paraId="5781EE40" w14:textId="77777777" w:rsidR="00000000" w:rsidRDefault="00582324">
      <w:pPr>
        <w:rPr>
          <w:rFonts w:eastAsia="Times New Roman"/>
        </w:rPr>
      </w:pPr>
      <w:r>
        <w:rPr>
          <w:rFonts w:eastAsia="Times New Roman"/>
        </w:rPr>
        <w:pict w14:anchorId="26B1B946">
          <v:rect id="_x0000_i1035" style="width:0;height:1.5pt" o:hralign="center" o:hrstd="t" o:hr="t" fillcolor="#a0a0a0" stroked="f"/>
        </w:pict>
      </w:r>
    </w:p>
    <w:p w14:paraId="2E9DF7E0" w14:textId="77777777" w:rsidR="00000000" w:rsidRDefault="00582324">
      <w:pPr>
        <w:pStyle w:val="a3"/>
        <w:spacing w:before="0" w:beforeAutospacing="0" w:after="0" w:afterAutospacing="0"/>
        <w:rPr>
          <w:sz w:val="20"/>
          <w:szCs w:val="20"/>
        </w:rPr>
      </w:pPr>
      <w:r>
        <w:rPr>
          <w:sz w:val="20"/>
          <w:szCs w:val="20"/>
        </w:rPr>
        <w:t> </w:t>
      </w:r>
    </w:p>
    <w:p w14:paraId="7D3B120E" w14:textId="77777777" w:rsidR="00000000" w:rsidRDefault="00582324">
      <w:pPr>
        <w:pStyle w:val="a3"/>
        <w:shd w:val="clear" w:color="auto" w:fill="FFFFFF"/>
        <w:spacing w:before="240" w:beforeAutospacing="0" w:after="0" w:afterAutospacing="0"/>
        <w:rPr>
          <w:color w:val="000000"/>
          <w:sz w:val="20"/>
          <w:szCs w:val="20"/>
        </w:rPr>
      </w:pPr>
      <w:r>
        <w:rPr>
          <w:color w:val="000000"/>
          <w:sz w:val="20"/>
          <w:szCs w:val="20"/>
          <w:shd w:val="clear" w:color="auto" w:fill="FFFFFF"/>
        </w:rPr>
        <w:t>inputs used to calculate the rate implicit in the leases are not readily determinable from the lessee’s perspective, the Company will not use the implicit interest rate.</w:t>
      </w:r>
    </w:p>
    <w:p w14:paraId="5E30A07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 xml:space="preserve">Certain leases contain variable payments, these payments are expensed as incurred and </w:t>
      </w:r>
      <w:r>
        <w:rPr>
          <w:color w:val="000000"/>
          <w:sz w:val="20"/>
          <w:szCs w:val="20"/>
          <w:shd w:val="clear" w:color="auto" w:fill="FFFFFF"/>
        </w:rPr>
        <w:t>not included in the Company’s operating lease right-of-use assets and operating lease liabilities. These amounts primarily include payments for maintenance, utilities, taxes, and insurance and are excluded from the present value of the Company’s lease obli</w:t>
      </w:r>
      <w:r>
        <w:rPr>
          <w:color w:val="000000"/>
          <w:sz w:val="20"/>
          <w:szCs w:val="20"/>
          <w:shd w:val="clear" w:color="auto" w:fill="FFFFFF"/>
        </w:rPr>
        <w:t>gations.</w:t>
      </w:r>
    </w:p>
    <w:p w14:paraId="0A87E48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 xml:space="preserve">As of the adoption date, the Company recognized operating lease right-of-use assets, current operating lease liabilities and operating lease liabilities, net of current portion of $24.6 million, $7.3 million and $17.3 million, respectively. As of </w:t>
      </w:r>
      <w:r>
        <w:rPr>
          <w:color w:val="000000"/>
          <w:sz w:val="20"/>
          <w:szCs w:val="20"/>
          <w:shd w:val="clear" w:color="auto" w:fill="FFFFFF"/>
        </w:rPr>
        <w:t>the adoption date, the Company recognized finance lease right-of-use assets, current finance lease liabilities and finance lease liabilities, net of current portion of $7.2 million, $2.9 million and $4.6 million, respectively.</w:t>
      </w:r>
    </w:p>
    <w:p w14:paraId="1A578C0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As part of this adoption, the</w:t>
      </w:r>
      <w:r>
        <w:rPr>
          <w:color w:val="000000"/>
          <w:sz w:val="20"/>
          <w:szCs w:val="20"/>
          <w:shd w:val="clear" w:color="auto" w:fill="FFFFFF"/>
        </w:rPr>
        <w:t xml:space="preserve"> Company elected to not record operating lease right-of-use assets or operating lease liabilities for leases with an initial term of 12 months or less. The Company also elected to combine lease and non-lease components on all new or modified operating leas</w:t>
      </w:r>
      <w:r>
        <w:rPr>
          <w:color w:val="000000"/>
          <w:sz w:val="20"/>
          <w:szCs w:val="20"/>
          <w:shd w:val="clear" w:color="auto" w:fill="FFFFFF"/>
        </w:rPr>
        <w:t>es into a single lease component for all classes of assets.</w:t>
      </w:r>
    </w:p>
    <w:p w14:paraId="2BA2BE3C" w14:textId="77777777" w:rsidR="00000000" w:rsidRDefault="00582324">
      <w:pPr>
        <w:pStyle w:val="a3"/>
        <w:shd w:val="clear" w:color="auto" w:fill="FFFFFF"/>
        <w:spacing w:before="240" w:beforeAutospacing="0" w:after="0" w:afterAutospacing="0"/>
        <w:ind w:firstLine="416"/>
        <w:rPr>
          <w:sz w:val="20"/>
          <w:szCs w:val="20"/>
        </w:rPr>
      </w:pPr>
      <w:r>
        <w:rPr>
          <w:sz w:val="20"/>
          <w:szCs w:val="20"/>
        </w:rPr>
        <w:t>Total rent expense under operating leases was $2.1 million and $4.2 million for the three and six months ended June 30, 2020, respectively.</w:t>
      </w:r>
    </w:p>
    <w:p w14:paraId="1D68BC4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The components of lease expense were as follows:</w:t>
      </w:r>
    </w:p>
    <w:tbl>
      <w:tblPr>
        <w:tblW w:w="5000" w:type="pct"/>
        <w:tblCellMar>
          <w:left w:w="0" w:type="dxa"/>
          <w:right w:w="0" w:type="dxa"/>
        </w:tblCellMar>
        <w:tblLook w:val="04A0" w:firstRow="1" w:lastRow="0" w:firstColumn="1" w:lastColumn="0" w:noHBand="0" w:noVBand="1"/>
      </w:tblPr>
      <w:tblGrid>
        <w:gridCol w:w="2285"/>
        <w:gridCol w:w="2576"/>
        <w:gridCol w:w="106"/>
        <w:gridCol w:w="1470"/>
        <w:gridCol w:w="76"/>
        <w:gridCol w:w="139"/>
        <w:gridCol w:w="106"/>
        <w:gridCol w:w="1471"/>
        <w:gridCol w:w="77"/>
      </w:tblGrid>
      <w:tr w:rsidR="00000000" w14:paraId="5FC7DC4E" w14:textId="77777777">
        <w:trPr>
          <w:divId w:val="2071415045"/>
        </w:trPr>
        <w:tc>
          <w:tcPr>
            <w:tcW w:w="1379" w:type="pct"/>
            <w:shd w:val="clear" w:color="auto" w:fill="FFFFFF"/>
            <w:tcMar>
              <w:top w:w="15" w:type="dxa"/>
              <w:left w:w="0" w:type="dxa"/>
              <w:bottom w:w="0" w:type="dxa"/>
              <w:right w:w="15" w:type="dxa"/>
            </w:tcMar>
            <w:vAlign w:val="center"/>
            <w:hideMark/>
          </w:tcPr>
          <w:p w14:paraId="560C6170" w14:textId="77777777" w:rsidR="00000000" w:rsidRDefault="00582324">
            <w:pPr>
              <w:pStyle w:val="a3"/>
              <w:spacing w:before="0" w:beforeAutospacing="0" w:after="0" w:afterAutospacing="0"/>
              <w:rPr>
                <w:sz w:val="20"/>
                <w:szCs w:val="20"/>
              </w:rPr>
            </w:pPr>
            <w:r>
              <w:rPr>
                <w:sz w:val="20"/>
                <w:szCs w:val="20"/>
              </w:rPr>
              <w:t> </w:t>
            </w:r>
          </w:p>
        </w:tc>
        <w:tc>
          <w:tcPr>
            <w:tcW w:w="1554" w:type="pct"/>
            <w:shd w:val="clear" w:color="auto" w:fill="FFFFFF"/>
            <w:tcMar>
              <w:top w:w="15" w:type="dxa"/>
              <w:left w:w="0" w:type="dxa"/>
              <w:bottom w:w="0" w:type="dxa"/>
              <w:right w:w="15" w:type="dxa"/>
            </w:tcMar>
            <w:vAlign w:val="bottom"/>
            <w:hideMark/>
          </w:tcPr>
          <w:p w14:paraId="3402D7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39" w:type="pct"/>
            <w:gridSpan w:val="2"/>
            <w:shd w:val="clear" w:color="auto" w:fill="FFFFFF"/>
            <w:tcMar>
              <w:top w:w="15" w:type="dxa"/>
              <w:left w:w="0" w:type="dxa"/>
              <w:bottom w:w="0" w:type="dxa"/>
              <w:right w:w="15" w:type="dxa"/>
            </w:tcMar>
            <w:vAlign w:val="center"/>
            <w:hideMark/>
          </w:tcPr>
          <w:p w14:paraId="6C127D8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w:t>
            </w:r>
            <w:r>
              <w:rPr>
                <w:b/>
                <w:bCs/>
                <w:color w:val="000000"/>
                <w:sz w:val="18"/>
                <w:szCs w:val="18"/>
              </w:rPr>
              <w:t>ee Months Ended</w:t>
            </w:r>
          </w:p>
        </w:tc>
        <w:tc>
          <w:tcPr>
            <w:tcW w:w="50" w:type="pct"/>
            <w:shd w:val="clear" w:color="auto" w:fill="FFFFFF"/>
            <w:noWrap/>
            <w:tcMar>
              <w:top w:w="15" w:type="dxa"/>
              <w:left w:w="0" w:type="dxa"/>
              <w:bottom w:w="0" w:type="dxa"/>
              <w:right w:w="15" w:type="dxa"/>
            </w:tcMar>
            <w:vAlign w:val="center"/>
            <w:hideMark/>
          </w:tcPr>
          <w:p w14:paraId="1C67769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7" w:type="pct"/>
            <w:shd w:val="clear" w:color="auto" w:fill="FFFFFF"/>
            <w:tcMar>
              <w:top w:w="15" w:type="dxa"/>
              <w:left w:w="0" w:type="dxa"/>
              <w:bottom w:w="0" w:type="dxa"/>
              <w:right w:w="15" w:type="dxa"/>
            </w:tcMar>
            <w:vAlign w:val="bottom"/>
            <w:hideMark/>
          </w:tcPr>
          <w:p w14:paraId="483C8BB1"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939" w:type="pct"/>
            <w:gridSpan w:val="2"/>
            <w:shd w:val="clear" w:color="auto" w:fill="FFFFFF"/>
            <w:tcMar>
              <w:top w:w="15" w:type="dxa"/>
              <w:left w:w="0" w:type="dxa"/>
              <w:bottom w:w="0" w:type="dxa"/>
              <w:right w:w="15" w:type="dxa"/>
            </w:tcMar>
            <w:vAlign w:val="center"/>
            <w:hideMark/>
          </w:tcPr>
          <w:p w14:paraId="55C7D82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w:t>
            </w:r>
          </w:p>
        </w:tc>
        <w:tc>
          <w:tcPr>
            <w:tcW w:w="50" w:type="pct"/>
            <w:shd w:val="clear" w:color="auto" w:fill="FFFFFF"/>
            <w:noWrap/>
            <w:tcMar>
              <w:top w:w="15" w:type="dxa"/>
              <w:left w:w="0" w:type="dxa"/>
              <w:bottom w:w="0" w:type="dxa"/>
              <w:right w:w="15" w:type="dxa"/>
            </w:tcMar>
            <w:vAlign w:val="center"/>
            <w:hideMark/>
          </w:tcPr>
          <w:p w14:paraId="6EBCE5C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18AF31A" w14:textId="77777777">
        <w:trPr>
          <w:divId w:val="2071415045"/>
        </w:trPr>
        <w:tc>
          <w:tcPr>
            <w:tcW w:w="1379" w:type="pct"/>
            <w:tcBorders>
              <w:bottom w:val="single" w:sz="6" w:space="0" w:color="000000"/>
            </w:tcBorders>
            <w:shd w:val="clear" w:color="auto" w:fill="FFFFFF"/>
            <w:tcMar>
              <w:top w:w="15" w:type="dxa"/>
              <w:left w:w="0" w:type="dxa"/>
              <w:bottom w:w="0" w:type="dxa"/>
              <w:right w:w="15" w:type="dxa"/>
            </w:tcMar>
            <w:vAlign w:val="center"/>
            <w:hideMark/>
          </w:tcPr>
          <w:p w14:paraId="115B947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554" w:type="pct"/>
            <w:tcBorders>
              <w:bottom w:val="single" w:sz="6" w:space="0" w:color="000000"/>
            </w:tcBorders>
            <w:shd w:val="clear" w:color="auto" w:fill="FFFFFF"/>
            <w:tcMar>
              <w:top w:w="15" w:type="dxa"/>
              <w:left w:w="0" w:type="dxa"/>
              <w:bottom w:w="0" w:type="dxa"/>
              <w:right w:w="15" w:type="dxa"/>
            </w:tcMar>
            <w:vAlign w:val="center"/>
            <w:hideMark/>
          </w:tcPr>
          <w:p w14:paraId="015AB9C7" w14:textId="77777777" w:rsidR="00000000" w:rsidRDefault="00582324">
            <w:pPr>
              <w:pStyle w:val="a3"/>
              <w:spacing w:before="0" w:beforeAutospacing="0" w:after="0" w:afterAutospacing="0"/>
              <w:rPr>
                <w:b/>
                <w:bCs/>
                <w:color w:val="000000"/>
                <w:sz w:val="18"/>
                <w:szCs w:val="18"/>
              </w:rPr>
            </w:pPr>
            <w:r>
              <w:rPr>
                <w:b/>
                <w:bCs/>
                <w:color w:val="000000"/>
                <w:sz w:val="18"/>
                <w:szCs w:val="18"/>
              </w:rPr>
              <w:t>Statement of Operations Location</w:t>
            </w:r>
          </w:p>
        </w:tc>
        <w:tc>
          <w:tcPr>
            <w:tcW w:w="939" w:type="pct"/>
            <w:gridSpan w:val="2"/>
            <w:tcBorders>
              <w:bottom w:val="single" w:sz="6" w:space="0" w:color="000000"/>
            </w:tcBorders>
            <w:shd w:val="clear" w:color="auto" w:fill="FFFFFF"/>
            <w:tcMar>
              <w:top w:w="15" w:type="dxa"/>
              <w:left w:w="0" w:type="dxa"/>
              <w:bottom w:w="0" w:type="dxa"/>
              <w:right w:w="15" w:type="dxa"/>
            </w:tcMar>
            <w:vAlign w:val="center"/>
            <w:hideMark/>
          </w:tcPr>
          <w:p w14:paraId="1095AB0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center"/>
            <w:hideMark/>
          </w:tcPr>
          <w:p w14:paraId="58CF446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7" w:type="pct"/>
            <w:shd w:val="clear" w:color="auto" w:fill="FFFFFF"/>
            <w:tcMar>
              <w:top w:w="15" w:type="dxa"/>
              <w:left w:w="0" w:type="dxa"/>
              <w:bottom w:w="0" w:type="dxa"/>
              <w:right w:w="15" w:type="dxa"/>
            </w:tcMar>
            <w:vAlign w:val="bottom"/>
            <w:hideMark/>
          </w:tcPr>
          <w:p w14:paraId="227FD1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39" w:type="pct"/>
            <w:gridSpan w:val="2"/>
            <w:tcBorders>
              <w:bottom w:val="single" w:sz="6" w:space="0" w:color="000000"/>
            </w:tcBorders>
            <w:shd w:val="clear" w:color="auto" w:fill="FFFFFF"/>
            <w:tcMar>
              <w:top w:w="15" w:type="dxa"/>
              <w:left w:w="0" w:type="dxa"/>
              <w:bottom w:w="0" w:type="dxa"/>
              <w:right w:w="15" w:type="dxa"/>
            </w:tcMar>
            <w:vAlign w:val="center"/>
            <w:hideMark/>
          </w:tcPr>
          <w:p w14:paraId="1C823B0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center"/>
            <w:hideMark/>
          </w:tcPr>
          <w:p w14:paraId="4B204F3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0B8D85E" w14:textId="77777777">
        <w:trPr>
          <w:divId w:val="2071415045"/>
        </w:trPr>
        <w:tc>
          <w:tcPr>
            <w:tcW w:w="1379" w:type="pct"/>
            <w:tcBorders>
              <w:top w:val="single" w:sz="6" w:space="0" w:color="000000"/>
            </w:tcBorders>
            <w:shd w:val="clear" w:color="auto" w:fill="CFF0FC"/>
            <w:tcMar>
              <w:top w:w="15" w:type="dxa"/>
              <w:left w:w="0" w:type="dxa"/>
              <w:bottom w:w="0" w:type="dxa"/>
              <w:right w:w="15" w:type="dxa"/>
            </w:tcMar>
            <w:vAlign w:val="center"/>
            <w:hideMark/>
          </w:tcPr>
          <w:p w14:paraId="3A9D004A" w14:textId="77777777" w:rsidR="00000000" w:rsidRDefault="00582324">
            <w:pPr>
              <w:pStyle w:val="a3"/>
              <w:spacing w:before="0" w:beforeAutospacing="0" w:after="0" w:afterAutospacing="0"/>
              <w:rPr>
                <w:color w:val="000000"/>
                <w:sz w:val="18"/>
                <w:szCs w:val="18"/>
              </w:rPr>
            </w:pPr>
            <w:r>
              <w:rPr>
                <w:color w:val="000000"/>
                <w:sz w:val="18"/>
                <w:szCs w:val="18"/>
              </w:rPr>
              <w:t>Operating lease cost</w:t>
            </w:r>
          </w:p>
        </w:tc>
        <w:tc>
          <w:tcPr>
            <w:tcW w:w="1554" w:type="pct"/>
            <w:tcBorders>
              <w:top w:val="single" w:sz="6" w:space="0" w:color="000000"/>
            </w:tcBorders>
            <w:shd w:val="clear" w:color="auto" w:fill="CFF0FC"/>
            <w:tcMar>
              <w:top w:w="15" w:type="dxa"/>
              <w:left w:w="0" w:type="dxa"/>
              <w:bottom w:w="0" w:type="dxa"/>
              <w:right w:w="15" w:type="dxa"/>
            </w:tcMar>
            <w:vAlign w:val="bottom"/>
            <w:hideMark/>
          </w:tcPr>
          <w:p w14:paraId="3420FA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3849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tcBorders>
            <w:shd w:val="clear" w:color="auto" w:fill="CFF0FC"/>
            <w:noWrap/>
            <w:tcMar>
              <w:top w:w="15" w:type="dxa"/>
              <w:left w:w="0" w:type="dxa"/>
              <w:bottom w:w="0" w:type="dxa"/>
              <w:right w:w="15" w:type="dxa"/>
            </w:tcMar>
            <w:vAlign w:val="bottom"/>
            <w:hideMark/>
          </w:tcPr>
          <w:p w14:paraId="3A7952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6A81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20017A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B4E9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tcBorders>
            <w:shd w:val="clear" w:color="auto" w:fill="CFF0FC"/>
            <w:noWrap/>
            <w:tcMar>
              <w:top w:w="15" w:type="dxa"/>
              <w:left w:w="0" w:type="dxa"/>
              <w:bottom w:w="0" w:type="dxa"/>
              <w:right w:w="15" w:type="dxa"/>
            </w:tcMar>
            <w:vAlign w:val="bottom"/>
            <w:hideMark/>
          </w:tcPr>
          <w:p w14:paraId="7E5C2E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172808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09FFDF4" w14:textId="77777777">
        <w:trPr>
          <w:divId w:val="2071415045"/>
        </w:trPr>
        <w:tc>
          <w:tcPr>
            <w:tcW w:w="1379" w:type="pct"/>
            <w:shd w:val="clear" w:color="auto" w:fill="FFFFFF"/>
            <w:tcMar>
              <w:top w:w="15" w:type="dxa"/>
              <w:left w:w="0" w:type="dxa"/>
              <w:bottom w:w="0" w:type="dxa"/>
              <w:right w:w="15" w:type="dxa"/>
            </w:tcMar>
            <w:vAlign w:val="center"/>
            <w:hideMark/>
          </w:tcPr>
          <w:p w14:paraId="1E513929" w14:textId="77777777" w:rsidR="00000000" w:rsidRDefault="00582324">
            <w:pPr>
              <w:pStyle w:val="a3"/>
              <w:spacing w:before="0" w:beforeAutospacing="0" w:after="0" w:afterAutospacing="0"/>
              <w:ind w:left="137"/>
              <w:rPr>
                <w:color w:val="000000"/>
                <w:sz w:val="18"/>
                <w:szCs w:val="18"/>
              </w:rPr>
            </w:pPr>
            <w:r>
              <w:rPr>
                <w:color w:val="000000"/>
                <w:sz w:val="18"/>
                <w:szCs w:val="18"/>
              </w:rPr>
              <w:t>Lease cost</w:t>
            </w:r>
          </w:p>
        </w:tc>
        <w:tc>
          <w:tcPr>
            <w:tcW w:w="1554" w:type="pct"/>
            <w:shd w:val="clear" w:color="auto" w:fill="FFFFFF"/>
            <w:tcMar>
              <w:top w:w="15" w:type="dxa"/>
              <w:left w:w="0" w:type="dxa"/>
              <w:bottom w:w="0" w:type="dxa"/>
              <w:right w:w="15" w:type="dxa"/>
            </w:tcMar>
            <w:vAlign w:val="center"/>
            <w:hideMark/>
          </w:tcPr>
          <w:p w14:paraId="2D0A976A" w14:textId="77777777" w:rsidR="00000000" w:rsidRDefault="00582324">
            <w:pPr>
              <w:pStyle w:val="a3"/>
              <w:spacing w:before="0" w:beforeAutospacing="0" w:after="0" w:afterAutospacing="0"/>
              <w:rPr>
                <w:color w:val="000000"/>
                <w:sz w:val="18"/>
                <w:szCs w:val="18"/>
              </w:rPr>
            </w:pPr>
            <w:r>
              <w:rPr>
                <w:color w:val="000000"/>
                <w:sz w:val="18"/>
                <w:szCs w:val="18"/>
              </w:rPr>
              <w:t>Selling, general and administrative expense</w:t>
            </w:r>
          </w:p>
        </w:tc>
        <w:tc>
          <w:tcPr>
            <w:tcW w:w="50" w:type="pct"/>
            <w:shd w:val="clear" w:color="auto" w:fill="FFFFFF"/>
            <w:noWrap/>
            <w:tcMar>
              <w:top w:w="15" w:type="dxa"/>
              <w:left w:w="0" w:type="dxa"/>
              <w:bottom w:w="0" w:type="dxa"/>
              <w:right w:w="15" w:type="dxa"/>
            </w:tcMar>
            <w:vAlign w:val="bottom"/>
            <w:hideMark/>
          </w:tcPr>
          <w:p w14:paraId="0A5F75D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9" w:type="pct"/>
            <w:shd w:val="clear" w:color="auto" w:fill="FFFFFF"/>
            <w:noWrap/>
            <w:tcMar>
              <w:top w:w="15" w:type="dxa"/>
              <w:left w:w="0" w:type="dxa"/>
              <w:bottom w:w="0" w:type="dxa"/>
              <w:right w:w="15" w:type="dxa"/>
            </w:tcMar>
            <w:vAlign w:val="bottom"/>
            <w:hideMark/>
          </w:tcPr>
          <w:p w14:paraId="0B391CD1" w14:textId="77777777" w:rsidR="00000000" w:rsidRDefault="00582324">
            <w:pPr>
              <w:pStyle w:val="a3"/>
              <w:spacing w:before="0" w:beforeAutospacing="0" w:after="0" w:afterAutospacing="0"/>
              <w:jc w:val="right"/>
              <w:rPr>
                <w:color w:val="000000"/>
                <w:sz w:val="18"/>
                <w:szCs w:val="18"/>
              </w:rPr>
            </w:pPr>
            <w:r>
              <w:rPr>
                <w:color w:val="000000"/>
                <w:sz w:val="18"/>
                <w:szCs w:val="18"/>
              </w:rPr>
              <w:t>2,236</w:t>
            </w:r>
          </w:p>
        </w:tc>
        <w:tc>
          <w:tcPr>
            <w:tcW w:w="50" w:type="pct"/>
            <w:shd w:val="clear" w:color="auto" w:fill="FFFFFF"/>
            <w:noWrap/>
            <w:tcMar>
              <w:top w:w="15" w:type="dxa"/>
              <w:left w:w="0" w:type="dxa"/>
              <w:bottom w:w="0" w:type="dxa"/>
              <w:right w:w="15" w:type="dxa"/>
            </w:tcMar>
            <w:vAlign w:val="bottom"/>
            <w:hideMark/>
          </w:tcPr>
          <w:p w14:paraId="291331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6063ADB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0B9F6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9" w:type="pct"/>
            <w:shd w:val="clear" w:color="auto" w:fill="FFFFFF"/>
            <w:noWrap/>
            <w:tcMar>
              <w:top w:w="15" w:type="dxa"/>
              <w:left w:w="0" w:type="dxa"/>
              <w:bottom w:w="0" w:type="dxa"/>
              <w:right w:w="15" w:type="dxa"/>
            </w:tcMar>
            <w:vAlign w:val="bottom"/>
            <w:hideMark/>
          </w:tcPr>
          <w:p w14:paraId="37EF9B39" w14:textId="77777777" w:rsidR="00000000" w:rsidRDefault="00582324">
            <w:pPr>
              <w:pStyle w:val="a3"/>
              <w:spacing w:before="0" w:beforeAutospacing="0" w:after="0" w:afterAutospacing="0"/>
              <w:jc w:val="right"/>
              <w:rPr>
                <w:color w:val="000000"/>
                <w:sz w:val="18"/>
                <w:szCs w:val="18"/>
              </w:rPr>
            </w:pPr>
            <w:r>
              <w:rPr>
                <w:color w:val="000000"/>
                <w:sz w:val="18"/>
                <w:szCs w:val="18"/>
              </w:rPr>
              <w:t>4,336</w:t>
            </w:r>
          </w:p>
        </w:tc>
        <w:tc>
          <w:tcPr>
            <w:tcW w:w="50" w:type="pct"/>
            <w:shd w:val="clear" w:color="auto" w:fill="FFFFFF"/>
            <w:noWrap/>
            <w:tcMar>
              <w:top w:w="15" w:type="dxa"/>
              <w:left w:w="0" w:type="dxa"/>
              <w:bottom w:w="0" w:type="dxa"/>
              <w:right w:w="15" w:type="dxa"/>
            </w:tcMar>
            <w:vAlign w:val="bottom"/>
            <w:hideMark/>
          </w:tcPr>
          <w:p w14:paraId="7E229AF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0F47EC5" w14:textId="77777777">
        <w:trPr>
          <w:divId w:val="2071415045"/>
        </w:trPr>
        <w:tc>
          <w:tcPr>
            <w:tcW w:w="1379" w:type="pct"/>
            <w:shd w:val="clear" w:color="auto" w:fill="CFF0FC"/>
            <w:tcMar>
              <w:top w:w="15" w:type="dxa"/>
              <w:left w:w="0" w:type="dxa"/>
              <w:bottom w:w="0" w:type="dxa"/>
              <w:right w:w="15" w:type="dxa"/>
            </w:tcMar>
            <w:vAlign w:val="center"/>
            <w:hideMark/>
          </w:tcPr>
          <w:p w14:paraId="64DE35CE" w14:textId="77777777" w:rsidR="00000000" w:rsidRDefault="00582324">
            <w:pPr>
              <w:pStyle w:val="a3"/>
              <w:spacing w:before="0" w:beforeAutospacing="0" w:after="0" w:afterAutospacing="0"/>
              <w:rPr>
                <w:color w:val="000000"/>
                <w:sz w:val="18"/>
                <w:szCs w:val="18"/>
              </w:rPr>
            </w:pPr>
            <w:r>
              <w:rPr>
                <w:color w:val="000000"/>
                <w:sz w:val="18"/>
                <w:szCs w:val="18"/>
              </w:rPr>
              <w:t>    </w:t>
            </w:r>
            <w:r>
              <w:rPr>
                <w:color w:val="000000"/>
                <w:sz w:val="18"/>
                <w:szCs w:val="18"/>
              </w:rPr>
              <w:t>Variable lease cost</w:t>
            </w:r>
          </w:p>
        </w:tc>
        <w:tc>
          <w:tcPr>
            <w:tcW w:w="1554" w:type="pct"/>
            <w:shd w:val="clear" w:color="auto" w:fill="CFF0FC"/>
            <w:tcMar>
              <w:top w:w="15" w:type="dxa"/>
              <w:left w:w="0" w:type="dxa"/>
              <w:bottom w:w="0" w:type="dxa"/>
              <w:right w:w="15" w:type="dxa"/>
            </w:tcMar>
            <w:vAlign w:val="center"/>
            <w:hideMark/>
          </w:tcPr>
          <w:p w14:paraId="3BC31A92" w14:textId="77777777" w:rsidR="00000000" w:rsidRDefault="00582324">
            <w:pPr>
              <w:pStyle w:val="a3"/>
              <w:spacing w:before="0" w:beforeAutospacing="0" w:after="0" w:afterAutospacing="0"/>
              <w:rPr>
                <w:color w:val="000000"/>
                <w:sz w:val="18"/>
                <w:szCs w:val="18"/>
              </w:rPr>
            </w:pPr>
            <w:r>
              <w:rPr>
                <w:color w:val="000000"/>
                <w:sz w:val="18"/>
                <w:szCs w:val="18"/>
              </w:rPr>
              <w:t>Selling, general and administrative expense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DF1A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bottom w:val="single" w:sz="6" w:space="0" w:color="000000"/>
            </w:tcBorders>
            <w:shd w:val="clear" w:color="auto" w:fill="CFF0FC"/>
            <w:noWrap/>
            <w:tcMar>
              <w:top w:w="15" w:type="dxa"/>
              <w:left w:w="0" w:type="dxa"/>
              <w:bottom w:w="0" w:type="dxa"/>
              <w:right w:w="15" w:type="dxa"/>
            </w:tcMar>
            <w:vAlign w:val="bottom"/>
            <w:hideMark/>
          </w:tcPr>
          <w:p w14:paraId="7811E4B4" w14:textId="77777777" w:rsidR="00000000" w:rsidRDefault="00582324">
            <w:pPr>
              <w:pStyle w:val="a3"/>
              <w:spacing w:before="0" w:beforeAutospacing="0" w:after="0" w:afterAutospacing="0"/>
              <w:jc w:val="right"/>
              <w:rPr>
                <w:color w:val="000000"/>
                <w:sz w:val="18"/>
                <w:szCs w:val="18"/>
              </w:rPr>
            </w:pPr>
            <w:r>
              <w:rPr>
                <w:color w:val="000000"/>
                <w:sz w:val="18"/>
                <w:szCs w:val="18"/>
              </w:rPr>
              <w:t>114</w:t>
            </w:r>
          </w:p>
        </w:tc>
        <w:tc>
          <w:tcPr>
            <w:tcW w:w="50" w:type="pct"/>
            <w:shd w:val="clear" w:color="auto" w:fill="CFF0FC"/>
            <w:noWrap/>
            <w:tcMar>
              <w:top w:w="15" w:type="dxa"/>
              <w:left w:w="0" w:type="dxa"/>
              <w:bottom w:w="0" w:type="dxa"/>
              <w:right w:w="15" w:type="dxa"/>
            </w:tcMar>
            <w:vAlign w:val="bottom"/>
            <w:hideMark/>
          </w:tcPr>
          <w:p w14:paraId="617FCC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7EE812F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2DC1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bottom w:val="single" w:sz="6" w:space="0" w:color="000000"/>
            </w:tcBorders>
            <w:shd w:val="clear" w:color="auto" w:fill="CFF0FC"/>
            <w:noWrap/>
            <w:tcMar>
              <w:top w:w="15" w:type="dxa"/>
              <w:left w:w="0" w:type="dxa"/>
              <w:bottom w:w="0" w:type="dxa"/>
              <w:right w:w="15" w:type="dxa"/>
            </w:tcMar>
            <w:vAlign w:val="bottom"/>
            <w:hideMark/>
          </w:tcPr>
          <w:p w14:paraId="7E76E7FC" w14:textId="77777777" w:rsidR="00000000" w:rsidRDefault="00582324">
            <w:pPr>
              <w:pStyle w:val="a3"/>
              <w:spacing w:before="0" w:beforeAutospacing="0" w:after="0" w:afterAutospacing="0"/>
              <w:jc w:val="right"/>
              <w:rPr>
                <w:color w:val="000000"/>
                <w:sz w:val="18"/>
                <w:szCs w:val="18"/>
              </w:rPr>
            </w:pPr>
            <w:r>
              <w:rPr>
                <w:color w:val="000000"/>
                <w:sz w:val="18"/>
                <w:szCs w:val="18"/>
              </w:rPr>
              <w:t>215</w:t>
            </w:r>
          </w:p>
        </w:tc>
        <w:tc>
          <w:tcPr>
            <w:tcW w:w="50" w:type="pct"/>
            <w:shd w:val="clear" w:color="auto" w:fill="CFF0FC"/>
            <w:noWrap/>
            <w:tcMar>
              <w:top w:w="15" w:type="dxa"/>
              <w:left w:w="0" w:type="dxa"/>
              <w:bottom w:w="0" w:type="dxa"/>
              <w:right w:w="15" w:type="dxa"/>
            </w:tcMar>
            <w:vAlign w:val="bottom"/>
            <w:hideMark/>
          </w:tcPr>
          <w:p w14:paraId="32AEA4C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879E90D" w14:textId="77777777">
        <w:trPr>
          <w:divId w:val="2071415045"/>
        </w:trPr>
        <w:tc>
          <w:tcPr>
            <w:tcW w:w="1379" w:type="pct"/>
            <w:shd w:val="clear" w:color="auto" w:fill="FFFFFF"/>
            <w:tcMar>
              <w:top w:w="15" w:type="dxa"/>
              <w:left w:w="0" w:type="dxa"/>
              <w:bottom w:w="0" w:type="dxa"/>
              <w:right w:w="15" w:type="dxa"/>
            </w:tcMar>
            <w:vAlign w:val="center"/>
            <w:hideMark/>
          </w:tcPr>
          <w:p w14:paraId="6EB03DE8" w14:textId="77777777" w:rsidR="00000000" w:rsidRDefault="00582324">
            <w:pPr>
              <w:pStyle w:val="a3"/>
              <w:spacing w:before="0" w:beforeAutospacing="0" w:after="0" w:afterAutospacing="0"/>
              <w:rPr>
                <w:color w:val="000000"/>
                <w:sz w:val="18"/>
                <w:szCs w:val="18"/>
              </w:rPr>
            </w:pPr>
            <w:r>
              <w:rPr>
                <w:color w:val="000000"/>
                <w:sz w:val="18"/>
                <w:szCs w:val="18"/>
              </w:rPr>
              <w:t>Total operating lease cost</w:t>
            </w:r>
          </w:p>
        </w:tc>
        <w:tc>
          <w:tcPr>
            <w:tcW w:w="1554" w:type="pct"/>
            <w:shd w:val="clear" w:color="auto" w:fill="FFFFFF"/>
            <w:tcMar>
              <w:top w:w="15" w:type="dxa"/>
              <w:left w:w="0" w:type="dxa"/>
              <w:bottom w:w="0" w:type="dxa"/>
              <w:right w:w="15" w:type="dxa"/>
            </w:tcMar>
            <w:vAlign w:val="bottom"/>
            <w:hideMark/>
          </w:tcPr>
          <w:p w14:paraId="7A43CE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4EB5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995CA9" w14:textId="77777777" w:rsidR="00000000" w:rsidRDefault="00582324">
            <w:pPr>
              <w:pStyle w:val="a3"/>
              <w:spacing w:before="0" w:beforeAutospacing="0" w:after="0" w:afterAutospacing="0"/>
              <w:jc w:val="right"/>
              <w:rPr>
                <w:color w:val="000000"/>
                <w:sz w:val="18"/>
                <w:szCs w:val="18"/>
              </w:rPr>
            </w:pPr>
            <w:r>
              <w:rPr>
                <w:color w:val="000000"/>
                <w:sz w:val="18"/>
                <w:szCs w:val="18"/>
              </w:rPr>
              <w:t>2,350</w:t>
            </w:r>
          </w:p>
        </w:tc>
        <w:tc>
          <w:tcPr>
            <w:tcW w:w="50" w:type="pct"/>
            <w:shd w:val="clear" w:color="auto" w:fill="FFFFFF"/>
            <w:noWrap/>
            <w:tcMar>
              <w:top w:w="15" w:type="dxa"/>
              <w:left w:w="0" w:type="dxa"/>
              <w:bottom w:w="0" w:type="dxa"/>
              <w:right w:w="15" w:type="dxa"/>
            </w:tcMar>
            <w:vAlign w:val="bottom"/>
            <w:hideMark/>
          </w:tcPr>
          <w:p w14:paraId="6A84B4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000AD58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3AAE4F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4C24D361" w14:textId="77777777" w:rsidR="00000000" w:rsidRDefault="00582324">
            <w:pPr>
              <w:pStyle w:val="a3"/>
              <w:spacing w:before="0" w:beforeAutospacing="0" w:after="0" w:afterAutospacing="0"/>
              <w:jc w:val="right"/>
              <w:rPr>
                <w:color w:val="000000"/>
                <w:sz w:val="18"/>
                <w:szCs w:val="18"/>
              </w:rPr>
            </w:pPr>
            <w:r>
              <w:rPr>
                <w:color w:val="000000"/>
                <w:sz w:val="18"/>
                <w:szCs w:val="18"/>
              </w:rPr>
              <w:t>4,551</w:t>
            </w:r>
          </w:p>
        </w:tc>
        <w:tc>
          <w:tcPr>
            <w:tcW w:w="50" w:type="pct"/>
            <w:shd w:val="clear" w:color="auto" w:fill="FFFFFF"/>
            <w:noWrap/>
            <w:tcMar>
              <w:top w:w="15" w:type="dxa"/>
              <w:left w:w="0" w:type="dxa"/>
              <w:bottom w:w="0" w:type="dxa"/>
              <w:right w:w="15" w:type="dxa"/>
            </w:tcMar>
            <w:vAlign w:val="center"/>
            <w:hideMark/>
          </w:tcPr>
          <w:p w14:paraId="3BCDFD4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04872FE" w14:textId="77777777">
        <w:trPr>
          <w:divId w:val="2071415045"/>
        </w:trPr>
        <w:tc>
          <w:tcPr>
            <w:tcW w:w="1379" w:type="pct"/>
            <w:shd w:val="clear" w:color="auto" w:fill="FFFFFF"/>
            <w:tcMar>
              <w:top w:w="15" w:type="dxa"/>
              <w:left w:w="0" w:type="dxa"/>
              <w:bottom w:w="0" w:type="dxa"/>
              <w:right w:w="15" w:type="dxa"/>
            </w:tcMar>
            <w:vAlign w:val="center"/>
            <w:hideMark/>
          </w:tcPr>
          <w:p w14:paraId="27EE7F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554" w:type="pct"/>
            <w:shd w:val="clear" w:color="auto" w:fill="FFFFFF"/>
            <w:tcMar>
              <w:top w:w="15" w:type="dxa"/>
              <w:left w:w="0" w:type="dxa"/>
              <w:bottom w:w="0" w:type="dxa"/>
              <w:right w:w="15" w:type="dxa"/>
            </w:tcMar>
            <w:vAlign w:val="bottom"/>
            <w:hideMark/>
          </w:tcPr>
          <w:p w14:paraId="03957B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18A8B8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tcBorders>
            <w:shd w:val="clear" w:color="auto" w:fill="FFFFFF"/>
            <w:noWrap/>
            <w:tcMar>
              <w:top w:w="15" w:type="dxa"/>
              <w:left w:w="0" w:type="dxa"/>
              <w:bottom w:w="0" w:type="dxa"/>
              <w:right w:w="15" w:type="dxa"/>
            </w:tcMar>
            <w:vAlign w:val="center"/>
            <w:hideMark/>
          </w:tcPr>
          <w:p w14:paraId="1BCB488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60A9E9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717AAB3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A067B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tcBorders>
            <w:shd w:val="clear" w:color="auto" w:fill="FFFFFF"/>
            <w:noWrap/>
            <w:tcMar>
              <w:top w:w="15" w:type="dxa"/>
              <w:left w:w="0" w:type="dxa"/>
              <w:bottom w:w="0" w:type="dxa"/>
              <w:right w:w="15" w:type="dxa"/>
            </w:tcMar>
            <w:vAlign w:val="center"/>
            <w:hideMark/>
          </w:tcPr>
          <w:p w14:paraId="35BF8B2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1049F4F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DB89DAB" w14:textId="77777777">
        <w:trPr>
          <w:divId w:val="2071415045"/>
        </w:trPr>
        <w:tc>
          <w:tcPr>
            <w:tcW w:w="1379" w:type="pct"/>
            <w:shd w:val="clear" w:color="auto" w:fill="CFF0FC"/>
            <w:tcMar>
              <w:top w:w="15" w:type="dxa"/>
              <w:left w:w="0" w:type="dxa"/>
              <w:bottom w:w="0" w:type="dxa"/>
              <w:right w:w="15" w:type="dxa"/>
            </w:tcMar>
            <w:vAlign w:val="center"/>
            <w:hideMark/>
          </w:tcPr>
          <w:p w14:paraId="76702F05" w14:textId="77777777" w:rsidR="00000000" w:rsidRDefault="00582324">
            <w:pPr>
              <w:pStyle w:val="a3"/>
              <w:spacing w:before="0" w:beforeAutospacing="0" w:after="0" w:afterAutospacing="0"/>
              <w:rPr>
                <w:color w:val="000000"/>
                <w:sz w:val="18"/>
                <w:szCs w:val="18"/>
              </w:rPr>
            </w:pPr>
            <w:r>
              <w:rPr>
                <w:color w:val="000000"/>
                <w:sz w:val="18"/>
                <w:szCs w:val="18"/>
              </w:rPr>
              <w:t>Finance lease cost</w:t>
            </w:r>
          </w:p>
        </w:tc>
        <w:tc>
          <w:tcPr>
            <w:tcW w:w="1554" w:type="pct"/>
            <w:shd w:val="clear" w:color="auto" w:fill="CFF0FC"/>
            <w:tcMar>
              <w:top w:w="15" w:type="dxa"/>
              <w:left w:w="0" w:type="dxa"/>
              <w:bottom w:w="0" w:type="dxa"/>
              <w:right w:w="15" w:type="dxa"/>
            </w:tcMar>
            <w:vAlign w:val="center"/>
            <w:hideMark/>
          </w:tcPr>
          <w:p w14:paraId="48C8CE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A9C4F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shd w:val="clear" w:color="auto" w:fill="CFF0FC"/>
            <w:noWrap/>
            <w:tcMar>
              <w:top w:w="15" w:type="dxa"/>
              <w:left w:w="0" w:type="dxa"/>
              <w:bottom w:w="0" w:type="dxa"/>
              <w:right w:w="15" w:type="dxa"/>
            </w:tcMar>
            <w:vAlign w:val="bottom"/>
            <w:hideMark/>
          </w:tcPr>
          <w:p w14:paraId="39983AD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160A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08A2384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56A0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shd w:val="clear" w:color="auto" w:fill="CFF0FC"/>
            <w:noWrap/>
            <w:tcMar>
              <w:top w:w="15" w:type="dxa"/>
              <w:left w:w="0" w:type="dxa"/>
              <w:bottom w:w="0" w:type="dxa"/>
              <w:right w:w="15" w:type="dxa"/>
            </w:tcMar>
            <w:vAlign w:val="bottom"/>
            <w:hideMark/>
          </w:tcPr>
          <w:p w14:paraId="60651AC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C1AA8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B8B94B7" w14:textId="77777777">
        <w:trPr>
          <w:divId w:val="2071415045"/>
        </w:trPr>
        <w:tc>
          <w:tcPr>
            <w:tcW w:w="1379" w:type="pct"/>
            <w:shd w:val="clear" w:color="auto" w:fill="FFFFFF"/>
            <w:tcMar>
              <w:top w:w="15" w:type="dxa"/>
              <w:left w:w="0" w:type="dxa"/>
              <w:bottom w:w="0" w:type="dxa"/>
              <w:right w:w="15" w:type="dxa"/>
            </w:tcMar>
            <w:vAlign w:val="bottom"/>
            <w:hideMark/>
          </w:tcPr>
          <w:p w14:paraId="4E8576AC" w14:textId="77777777" w:rsidR="00000000" w:rsidRDefault="00582324">
            <w:pPr>
              <w:pStyle w:val="a3"/>
              <w:spacing w:before="0" w:beforeAutospacing="0" w:after="0" w:afterAutospacing="0"/>
              <w:ind w:left="137"/>
              <w:rPr>
                <w:color w:val="000000"/>
                <w:sz w:val="18"/>
                <w:szCs w:val="18"/>
              </w:rPr>
            </w:pPr>
            <w:r>
              <w:rPr>
                <w:color w:val="000000"/>
                <w:sz w:val="18"/>
                <w:szCs w:val="18"/>
              </w:rPr>
              <w:t>Amortization of right of use assets</w:t>
            </w:r>
          </w:p>
        </w:tc>
        <w:tc>
          <w:tcPr>
            <w:tcW w:w="1554" w:type="pct"/>
            <w:shd w:val="clear" w:color="auto" w:fill="FFFFFF"/>
            <w:tcMar>
              <w:top w:w="15" w:type="dxa"/>
              <w:left w:w="0" w:type="dxa"/>
              <w:bottom w:w="0" w:type="dxa"/>
              <w:right w:w="15" w:type="dxa"/>
            </w:tcMar>
            <w:vAlign w:val="center"/>
            <w:hideMark/>
          </w:tcPr>
          <w:p w14:paraId="71267E3F" w14:textId="77777777" w:rsidR="00000000" w:rsidRDefault="00582324">
            <w:pPr>
              <w:pStyle w:val="a3"/>
              <w:spacing w:before="0" w:beforeAutospacing="0" w:after="0" w:afterAutospacing="0"/>
              <w:rPr>
                <w:color w:val="000000"/>
                <w:sz w:val="18"/>
                <w:szCs w:val="18"/>
              </w:rPr>
            </w:pPr>
            <w:r>
              <w:rPr>
                <w:color w:val="000000"/>
                <w:sz w:val="18"/>
                <w:szCs w:val="18"/>
              </w:rPr>
              <w:t>Depreciation and amortization</w:t>
            </w:r>
          </w:p>
        </w:tc>
        <w:tc>
          <w:tcPr>
            <w:tcW w:w="939" w:type="pct"/>
            <w:gridSpan w:val="2"/>
            <w:shd w:val="clear" w:color="auto" w:fill="FFFFFF"/>
            <w:tcMar>
              <w:top w:w="15" w:type="dxa"/>
              <w:left w:w="0" w:type="dxa"/>
              <w:bottom w:w="0" w:type="dxa"/>
              <w:right w:w="15" w:type="dxa"/>
            </w:tcMar>
            <w:vAlign w:val="bottom"/>
            <w:hideMark/>
          </w:tcPr>
          <w:p w14:paraId="6CC627F3" w14:textId="77777777" w:rsidR="00000000" w:rsidRDefault="00582324">
            <w:pPr>
              <w:pStyle w:val="a3"/>
              <w:spacing w:before="0" w:beforeAutospacing="0" w:after="0" w:afterAutospacing="0"/>
              <w:jc w:val="right"/>
              <w:rPr>
                <w:color w:val="000000"/>
                <w:sz w:val="18"/>
                <w:szCs w:val="18"/>
              </w:rPr>
            </w:pPr>
            <w:r>
              <w:rPr>
                <w:color w:val="000000"/>
                <w:sz w:val="18"/>
                <w:szCs w:val="18"/>
              </w:rPr>
              <w:t>848</w:t>
            </w:r>
          </w:p>
        </w:tc>
        <w:tc>
          <w:tcPr>
            <w:tcW w:w="50" w:type="pct"/>
            <w:shd w:val="clear" w:color="auto" w:fill="FFFFFF"/>
            <w:noWrap/>
            <w:tcMar>
              <w:top w:w="15" w:type="dxa"/>
              <w:left w:w="0" w:type="dxa"/>
              <w:bottom w:w="0" w:type="dxa"/>
              <w:right w:w="15" w:type="dxa"/>
            </w:tcMar>
            <w:vAlign w:val="bottom"/>
            <w:hideMark/>
          </w:tcPr>
          <w:p w14:paraId="08F799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1DBE1AF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11D47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shd w:val="clear" w:color="auto" w:fill="FFFFFF"/>
            <w:noWrap/>
            <w:tcMar>
              <w:top w:w="15" w:type="dxa"/>
              <w:left w:w="0" w:type="dxa"/>
              <w:bottom w:w="0" w:type="dxa"/>
              <w:right w:w="15" w:type="dxa"/>
            </w:tcMar>
            <w:vAlign w:val="bottom"/>
            <w:hideMark/>
          </w:tcPr>
          <w:p w14:paraId="7B5A5307" w14:textId="77777777" w:rsidR="00000000" w:rsidRDefault="00582324">
            <w:pPr>
              <w:pStyle w:val="a3"/>
              <w:spacing w:before="0" w:beforeAutospacing="0" w:after="0" w:afterAutospacing="0"/>
              <w:jc w:val="right"/>
              <w:rPr>
                <w:color w:val="000000"/>
                <w:sz w:val="18"/>
                <w:szCs w:val="18"/>
              </w:rPr>
            </w:pPr>
            <w:r>
              <w:rPr>
                <w:color w:val="000000"/>
                <w:sz w:val="18"/>
                <w:szCs w:val="18"/>
              </w:rPr>
              <w:t>1,643</w:t>
            </w:r>
          </w:p>
        </w:tc>
        <w:tc>
          <w:tcPr>
            <w:tcW w:w="50" w:type="pct"/>
            <w:shd w:val="clear" w:color="auto" w:fill="FFFFFF"/>
            <w:noWrap/>
            <w:tcMar>
              <w:top w:w="15" w:type="dxa"/>
              <w:left w:w="0" w:type="dxa"/>
              <w:bottom w:w="0" w:type="dxa"/>
              <w:right w:w="15" w:type="dxa"/>
            </w:tcMar>
            <w:vAlign w:val="bottom"/>
            <w:hideMark/>
          </w:tcPr>
          <w:p w14:paraId="533035C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6954D5C" w14:textId="77777777">
        <w:trPr>
          <w:divId w:val="2071415045"/>
        </w:trPr>
        <w:tc>
          <w:tcPr>
            <w:tcW w:w="1379" w:type="pct"/>
            <w:shd w:val="clear" w:color="auto" w:fill="CFF0FC"/>
            <w:tcMar>
              <w:top w:w="15" w:type="dxa"/>
              <w:left w:w="0" w:type="dxa"/>
              <w:bottom w:w="0" w:type="dxa"/>
              <w:right w:w="15" w:type="dxa"/>
            </w:tcMar>
            <w:vAlign w:val="bottom"/>
            <w:hideMark/>
          </w:tcPr>
          <w:p w14:paraId="34D51BA1" w14:textId="77777777" w:rsidR="00000000" w:rsidRDefault="00582324">
            <w:pPr>
              <w:pStyle w:val="a3"/>
              <w:spacing w:before="0" w:beforeAutospacing="0" w:after="0" w:afterAutospacing="0"/>
              <w:ind w:left="137"/>
              <w:rPr>
                <w:color w:val="000000"/>
                <w:sz w:val="18"/>
                <w:szCs w:val="18"/>
              </w:rPr>
            </w:pPr>
            <w:r>
              <w:rPr>
                <w:color w:val="000000"/>
                <w:sz w:val="18"/>
                <w:szCs w:val="18"/>
              </w:rPr>
              <w:t>Interest on lease liabilities</w:t>
            </w:r>
          </w:p>
        </w:tc>
        <w:tc>
          <w:tcPr>
            <w:tcW w:w="1554" w:type="pct"/>
            <w:shd w:val="clear" w:color="auto" w:fill="CFF0FC"/>
            <w:tcMar>
              <w:top w:w="15" w:type="dxa"/>
              <w:left w:w="0" w:type="dxa"/>
              <w:bottom w:w="0" w:type="dxa"/>
              <w:right w:w="15" w:type="dxa"/>
            </w:tcMar>
            <w:vAlign w:val="center"/>
            <w:hideMark/>
          </w:tcPr>
          <w:p w14:paraId="6E91BFBC" w14:textId="77777777" w:rsidR="00000000" w:rsidRDefault="00582324">
            <w:pPr>
              <w:pStyle w:val="a3"/>
              <w:spacing w:before="0" w:beforeAutospacing="0" w:after="0" w:afterAutospacing="0"/>
              <w:rPr>
                <w:color w:val="000000"/>
                <w:sz w:val="18"/>
                <w:szCs w:val="18"/>
              </w:rPr>
            </w:pPr>
            <w:r>
              <w:rPr>
                <w:color w:val="000000"/>
                <w:sz w:val="18"/>
                <w:szCs w:val="18"/>
              </w:rPr>
              <w:t>Interest expense—net</w:t>
            </w:r>
          </w:p>
        </w:tc>
        <w:tc>
          <w:tcPr>
            <w:tcW w:w="939" w:type="pct"/>
            <w:gridSpan w:val="2"/>
            <w:tcBorders>
              <w:bottom w:val="single" w:sz="6" w:space="0" w:color="000000"/>
            </w:tcBorders>
            <w:shd w:val="clear" w:color="auto" w:fill="CFF0FC"/>
            <w:tcMar>
              <w:top w:w="15" w:type="dxa"/>
              <w:left w:w="0" w:type="dxa"/>
              <w:bottom w:w="0" w:type="dxa"/>
              <w:right w:w="15" w:type="dxa"/>
            </w:tcMar>
            <w:vAlign w:val="bottom"/>
            <w:hideMark/>
          </w:tcPr>
          <w:p w14:paraId="68757DBD" w14:textId="77777777" w:rsidR="00000000" w:rsidRDefault="00582324">
            <w:pPr>
              <w:pStyle w:val="a3"/>
              <w:spacing w:before="0" w:beforeAutospacing="0" w:after="0" w:afterAutospacing="0"/>
              <w:jc w:val="right"/>
              <w:rPr>
                <w:color w:val="000000"/>
                <w:sz w:val="18"/>
                <w:szCs w:val="18"/>
              </w:rPr>
            </w:pPr>
            <w:r>
              <w:rPr>
                <w:color w:val="000000"/>
                <w:sz w:val="18"/>
                <w:szCs w:val="18"/>
              </w:rPr>
              <w:t>103</w:t>
            </w:r>
          </w:p>
        </w:tc>
        <w:tc>
          <w:tcPr>
            <w:tcW w:w="50" w:type="pct"/>
            <w:shd w:val="clear" w:color="auto" w:fill="CFF0FC"/>
            <w:noWrap/>
            <w:tcMar>
              <w:top w:w="15" w:type="dxa"/>
              <w:left w:w="0" w:type="dxa"/>
              <w:bottom w:w="0" w:type="dxa"/>
              <w:right w:w="15" w:type="dxa"/>
            </w:tcMar>
            <w:vAlign w:val="bottom"/>
            <w:hideMark/>
          </w:tcPr>
          <w:p w14:paraId="7E65B1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1E69700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FB9C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bottom w:val="single" w:sz="6" w:space="0" w:color="000000"/>
            </w:tcBorders>
            <w:shd w:val="clear" w:color="auto" w:fill="CFF0FC"/>
            <w:noWrap/>
            <w:tcMar>
              <w:top w:w="15" w:type="dxa"/>
              <w:left w:w="0" w:type="dxa"/>
              <w:bottom w:w="0" w:type="dxa"/>
              <w:right w:w="15" w:type="dxa"/>
            </w:tcMar>
            <w:vAlign w:val="bottom"/>
            <w:hideMark/>
          </w:tcPr>
          <w:p w14:paraId="48C1F3E4" w14:textId="77777777" w:rsidR="00000000" w:rsidRDefault="00582324">
            <w:pPr>
              <w:pStyle w:val="a3"/>
              <w:spacing w:before="0" w:beforeAutospacing="0" w:after="0" w:afterAutospacing="0"/>
              <w:jc w:val="right"/>
              <w:rPr>
                <w:color w:val="000000"/>
                <w:sz w:val="18"/>
                <w:szCs w:val="18"/>
              </w:rPr>
            </w:pPr>
            <w:r>
              <w:rPr>
                <w:color w:val="000000"/>
                <w:sz w:val="18"/>
                <w:szCs w:val="18"/>
              </w:rPr>
              <w:t>199</w:t>
            </w:r>
          </w:p>
        </w:tc>
        <w:tc>
          <w:tcPr>
            <w:tcW w:w="50" w:type="pct"/>
            <w:shd w:val="clear" w:color="auto" w:fill="CFF0FC"/>
            <w:noWrap/>
            <w:tcMar>
              <w:top w:w="15" w:type="dxa"/>
              <w:left w:w="0" w:type="dxa"/>
              <w:bottom w:w="0" w:type="dxa"/>
              <w:right w:w="15" w:type="dxa"/>
            </w:tcMar>
            <w:vAlign w:val="bottom"/>
            <w:hideMark/>
          </w:tcPr>
          <w:p w14:paraId="53B6603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1E268F7" w14:textId="77777777">
        <w:trPr>
          <w:divId w:val="2071415045"/>
        </w:trPr>
        <w:tc>
          <w:tcPr>
            <w:tcW w:w="1379" w:type="pct"/>
            <w:shd w:val="clear" w:color="auto" w:fill="FFFFFF"/>
            <w:tcMar>
              <w:top w:w="15" w:type="dxa"/>
              <w:left w:w="0" w:type="dxa"/>
              <w:bottom w:w="0" w:type="dxa"/>
              <w:right w:w="15" w:type="dxa"/>
            </w:tcMar>
            <w:vAlign w:val="center"/>
            <w:hideMark/>
          </w:tcPr>
          <w:p w14:paraId="78C58B2D" w14:textId="77777777" w:rsidR="00000000" w:rsidRDefault="00582324">
            <w:pPr>
              <w:pStyle w:val="a3"/>
              <w:spacing w:before="0" w:beforeAutospacing="0" w:after="0" w:afterAutospacing="0"/>
              <w:rPr>
                <w:color w:val="000000"/>
                <w:sz w:val="18"/>
                <w:szCs w:val="18"/>
              </w:rPr>
            </w:pPr>
            <w:r>
              <w:rPr>
                <w:color w:val="000000"/>
                <w:sz w:val="18"/>
                <w:szCs w:val="18"/>
              </w:rPr>
              <w:t>Total finance lease cost</w:t>
            </w:r>
          </w:p>
        </w:tc>
        <w:tc>
          <w:tcPr>
            <w:tcW w:w="1554" w:type="pct"/>
            <w:shd w:val="clear" w:color="auto" w:fill="FFFFFF"/>
            <w:tcMar>
              <w:top w:w="15" w:type="dxa"/>
              <w:left w:w="0" w:type="dxa"/>
              <w:bottom w:w="0" w:type="dxa"/>
              <w:right w:w="15" w:type="dxa"/>
            </w:tcMar>
            <w:vAlign w:val="bottom"/>
            <w:hideMark/>
          </w:tcPr>
          <w:p w14:paraId="4D7925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3BA0658F" w14:textId="77777777" w:rsidR="00000000" w:rsidRDefault="00582324">
            <w:pPr>
              <w:pStyle w:val="a3"/>
              <w:spacing w:before="0" w:beforeAutospacing="0" w:after="0" w:afterAutospacing="0"/>
              <w:jc w:val="right"/>
              <w:rPr>
                <w:color w:val="000000"/>
                <w:sz w:val="18"/>
                <w:szCs w:val="18"/>
              </w:rPr>
            </w:pPr>
            <w:r>
              <w:rPr>
                <w:color w:val="000000"/>
                <w:sz w:val="18"/>
                <w:szCs w:val="18"/>
              </w:rPr>
              <w:t>951</w:t>
            </w:r>
          </w:p>
        </w:tc>
        <w:tc>
          <w:tcPr>
            <w:tcW w:w="50" w:type="pct"/>
            <w:shd w:val="clear" w:color="auto" w:fill="FFFFFF"/>
            <w:noWrap/>
            <w:tcMar>
              <w:top w:w="15" w:type="dxa"/>
              <w:left w:w="0" w:type="dxa"/>
              <w:bottom w:w="0" w:type="dxa"/>
              <w:right w:w="15" w:type="dxa"/>
            </w:tcMar>
            <w:vAlign w:val="center"/>
            <w:hideMark/>
          </w:tcPr>
          <w:p w14:paraId="1364F2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22B4DA0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0F1DDC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9"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07AB4650" w14:textId="77777777" w:rsidR="00000000" w:rsidRDefault="00582324">
            <w:pPr>
              <w:pStyle w:val="a3"/>
              <w:spacing w:before="0" w:beforeAutospacing="0" w:after="0" w:afterAutospacing="0"/>
              <w:jc w:val="right"/>
              <w:rPr>
                <w:color w:val="000000"/>
                <w:sz w:val="18"/>
                <w:szCs w:val="18"/>
              </w:rPr>
            </w:pPr>
            <w:r>
              <w:rPr>
                <w:color w:val="000000"/>
                <w:sz w:val="18"/>
                <w:szCs w:val="18"/>
              </w:rPr>
              <w:t>1,842</w:t>
            </w:r>
          </w:p>
        </w:tc>
        <w:tc>
          <w:tcPr>
            <w:tcW w:w="50" w:type="pct"/>
            <w:shd w:val="clear" w:color="auto" w:fill="FFFFFF"/>
            <w:noWrap/>
            <w:tcMar>
              <w:top w:w="15" w:type="dxa"/>
              <w:left w:w="0" w:type="dxa"/>
              <w:bottom w:w="0" w:type="dxa"/>
              <w:right w:w="15" w:type="dxa"/>
            </w:tcMar>
            <w:vAlign w:val="center"/>
            <w:hideMark/>
          </w:tcPr>
          <w:p w14:paraId="50B52F3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95F8CDD" w14:textId="77777777">
        <w:trPr>
          <w:divId w:val="2071415045"/>
        </w:trPr>
        <w:tc>
          <w:tcPr>
            <w:tcW w:w="1379" w:type="pct"/>
            <w:shd w:val="clear" w:color="auto" w:fill="CFF0FC"/>
            <w:tcMar>
              <w:top w:w="15" w:type="dxa"/>
              <w:left w:w="0" w:type="dxa"/>
              <w:bottom w:w="0" w:type="dxa"/>
              <w:right w:w="15" w:type="dxa"/>
            </w:tcMar>
            <w:vAlign w:val="bottom"/>
            <w:hideMark/>
          </w:tcPr>
          <w:p w14:paraId="75E1A6D7" w14:textId="77777777" w:rsidR="00000000" w:rsidRDefault="00582324">
            <w:pPr>
              <w:pStyle w:val="a3"/>
              <w:spacing w:before="0" w:beforeAutospacing="0" w:after="0" w:afterAutospacing="0"/>
              <w:rPr>
                <w:color w:val="000000"/>
                <w:sz w:val="18"/>
                <w:szCs w:val="18"/>
              </w:rPr>
            </w:pPr>
            <w:r>
              <w:rPr>
                <w:color w:val="000000"/>
                <w:sz w:val="18"/>
                <w:szCs w:val="18"/>
              </w:rPr>
              <w:t>Total lease cost</w:t>
            </w:r>
          </w:p>
        </w:tc>
        <w:tc>
          <w:tcPr>
            <w:tcW w:w="1554" w:type="pct"/>
            <w:shd w:val="clear" w:color="auto" w:fill="CFF0FC"/>
            <w:tcMar>
              <w:top w:w="15" w:type="dxa"/>
              <w:left w:w="0" w:type="dxa"/>
              <w:bottom w:w="0" w:type="dxa"/>
              <w:right w:w="15" w:type="dxa"/>
            </w:tcMar>
            <w:vAlign w:val="center"/>
            <w:hideMark/>
          </w:tcPr>
          <w:p w14:paraId="6CCA81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D75EB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59BAD7" w14:textId="77777777" w:rsidR="00000000" w:rsidRDefault="00582324">
            <w:pPr>
              <w:pStyle w:val="a3"/>
              <w:spacing w:before="0" w:beforeAutospacing="0" w:after="0" w:afterAutospacing="0"/>
              <w:jc w:val="right"/>
              <w:rPr>
                <w:color w:val="000000"/>
                <w:sz w:val="18"/>
                <w:szCs w:val="18"/>
              </w:rPr>
            </w:pPr>
            <w:r>
              <w:rPr>
                <w:color w:val="000000"/>
                <w:sz w:val="18"/>
                <w:szCs w:val="18"/>
              </w:rPr>
              <w:t>3,301</w:t>
            </w:r>
          </w:p>
        </w:tc>
        <w:tc>
          <w:tcPr>
            <w:tcW w:w="50" w:type="pct"/>
            <w:shd w:val="clear" w:color="auto" w:fill="CFF0FC"/>
            <w:noWrap/>
            <w:tcMar>
              <w:top w:w="15" w:type="dxa"/>
              <w:left w:w="0" w:type="dxa"/>
              <w:bottom w:w="0" w:type="dxa"/>
              <w:right w:w="15" w:type="dxa"/>
            </w:tcMar>
            <w:vAlign w:val="bottom"/>
            <w:hideMark/>
          </w:tcPr>
          <w:p w14:paraId="3161CF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7" w:type="pct"/>
            <w:shd w:val="clear" w:color="auto" w:fill="FFFFFF"/>
            <w:tcMar>
              <w:top w:w="15" w:type="dxa"/>
              <w:left w:w="0" w:type="dxa"/>
              <w:bottom w:w="0" w:type="dxa"/>
              <w:right w:w="15" w:type="dxa"/>
            </w:tcMar>
            <w:vAlign w:val="bottom"/>
            <w:hideMark/>
          </w:tcPr>
          <w:p w14:paraId="1072A0D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907D7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293A21" w14:textId="77777777" w:rsidR="00000000" w:rsidRDefault="00582324">
            <w:pPr>
              <w:pStyle w:val="a3"/>
              <w:spacing w:before="0" w:beforeAutospacing="0" w:after="0" w:afterAutospacing="0"/>
              <w:jc w:val="right"/>
              <w:rPr>
                <w:color w:val="000000"/>
                <w:sz w:val="18"/>
                <w:szCs w:val="18"/>
              </w:rPr>
            </w:pPr>
            <w:r>
              <w:rPr>
                <w:color w:val="000000"/>
                <w:sz w:val="18"/>
                <w:szCs w:val="18"/>
              </w:rPr>
              <w:t>6,393</w:t>
            </w:r>
          </w:p>
        </w:tc>
        <w:tc>
          <w:tcPr>
            <w:tcW w:w="50" w:type="pct"/>
            <w:shd w:val="clear" w:color="auto" w:fill="CFF0FC"/>
            <w:noWrap/>
            <w:tcMar>
              <w:top w:w="15" w:type="dxa"/>
              <w:left w:w="0" w:type="dxa"/>
              <w:bottom w:w="0" w:type="dxa"/>
              <w:right w:w="15" w:type="dxa"/>
            </w:tcMar>
            <w:vAlign w:val="bottom"/>
            <w:hideMark/>
          </w:tcPr>
          <w:p w14:paraId="1AA7FB47"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1ABCB5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Supplemental cash flows information related to leases was as follows:</w:t>
      </w:r>
    </w:p>
    <w:tbl>
      <w:tblPr>
        <w:tblW w:w="4000" w:type="pct"/>
        <w:tblCellMar>
          <w:left w:w="0" w:type="dxa"/>
          <w:right w:w="0" w:type="dxa"/>
        </w:tblCellMar>
        <w:tblLook w:val="04A0" w:firstRow="1" w:lastRow="0" w:firstColumn="1" w:lastColumn="0" w:noHBand="0" w:noVBand="1"/>
      </w:tblPr>
      <w:tblGrid>
        <w:gridCol w:w="4846"/>
        <w:gridCol w:w="456"/>
        <w:gridCol w:w="106"/>
        <w:gridCol w:w="1172"/>
        <w:gridCol w:w="65"/>
      </w:tblGrid>
      <w:tr w:rsidR="00000000" w14:paraId="703A4293" w14:textId="77777777">
        <w:trPr>
          <w:divId w:val="1858274214"/>
        </w:trPr>
        <w:tc>
          <w:tcPr>
            <w:tcW w:w="3655" w:type="pct"/>
            <w:shd w:val="clear" w:color="auto" w:fill="FFFFFF"/>
            <w:tcMar>
              <w:top w:w="15" w:type="dxa"/>
              <w:left w:w="0" w:type="dxa"/>
              <w:bottom w:w="0" w:type="dxa"/>
              <w:right w:w="15" w:type="dxa"/>
            </w:tcMar>
            <w:vAlign w:val="bottom"/>
            <w:hideMark/>
          </w:tcPr>
          <w:p w14:paraId="56A5506D" w14:textId="77777777" w:rsidR="00000000" w:rsidRDefault="00582324">
            <w:pPr>
              <w:pStyle w:val="a3"/>
              <w:spacing w:before="0" w:beforeAutospacing="0" w:after="0" w:afterAutospacing="0"/>
              <w:rPr>
                <w:sz w:val="20"/>
                <w:szCs w:val="20"/>
              </w:rPr>
            </w:pPr>
            <w:r>
              <w:rPr>
                <w:sz w:val="20"/>
                <w:szCs w:val="20"/>
              </w:rPr>
              <w:t> </w:t>
            </w:r>
          </w:p>
        </w:tc>
        <w:tc>
          <w:tcPr>
            <w:tcW w:w="353" w:type="pct"/>
            <w:shd w:val="clear" w:color="auto" w:fill="FFFFFF"/>
            <w:tcMar>
              <w:top w:w="15" w:type="dxa"/>
              <w:left w:w="0" w:type="dxa"/>
              <w:bottom w:w="0" w:type="dxa"/>
              <w:right w:w="15" w:type="dxa"/>
            </w:tcMar>
            <w:vAlign w:val="bottom"/>
            <w:hideMark/>
          </w:tcPr>
          <w:p w14:paraId="1F0B54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40" w:type="pct"/>
            <w:gridSpan w:val="2"/>
            <w:shd w:val="clear" w:color="auto" w:fill="FFFFFF"/>
            <w:tcMar>
              <w:top w:w="15" w:type="dxa"/>
              <w:left w:w="0" w:type="dxa"/>
              <w:bottom w:w="0" w:type="dxa"/>
              <w:right w:w="15" w:type="dxa"/>
            </w:tcMar>
            <w:vAlign w:val="center"/>
            <w:hideMark/>
          </w:tcPr>
          <w:p w14:paraId="10C0B88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w:t>
            </w:r>
          </w:p>
        </w:tc>
        <w:tc>
          <w:tcPr>
            <w:tcW w:w="50" w:type="pct"/>
            <w:shd w:val="clear" w:color="auto" w:fill="FFFFFF"/>
            <w:noWrap/>
            <w:tcMar>
              <w:top w:w="15" w:type="dxa"/>
              <w:left w:w="0" w:type="dxa"/>
              <w:bottom w:w="0" w:type="dxa"/>
              <w:right w:w="15" w:type="dxa"/>
            </w:tcMar>
            <w:vAlign w:val="center"/>
            <w:hideMark/>
          </w:tcPr>
          <w:p w14:paraId="4C72EEA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EFFFE3F" w14:textId="77777777">
        <w:trPr>
          <w:divId w:val="1858274214"/>
        </w:trPr>
        <w:tc>
          <w:tcPr>
            <w:tcW w:w="3655" w:type="pct"/>
            <w:tcBorders>
              <w:bottom w:val="single" w:sz="6" w:space="0" w:color="000000"/>
            </w:tcBorders>
            <w:shd w:val="clear" w:color="auto" w:fill="FFFFFF"/>
            <w:tcMar>
              <w:top w:w="15" w:type="dxa"/>
              <w:left w:w="0" w:type="dxa"/>
              <w:bottom w:w="0" w:type="dxa"/>
              <w:right w:w="15" w:type="dxa"/>
            </w:tcMar>
            <w:vAlign w:val="center"/>
            <w:hideMark/>
          </w:tcPr>
          <w:p w14:paraId="0618ED4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3" w:type="pct"/>
            <w:tcBorders>
              <w:bottom w:val="single" w:sz="6" w:space="0" w:color="000000"/>
            </w:tcBorders>
            <w:shd w:val="clear" w:color="auto" w:fill="FFFFFF"/>
            <w:tcMar>
              <w:top w:w="15" w:type="dxa"/>
              <w:left w:w="0" w:type="dxa"/>
              <w:bottom w:w="0" w:type="dxa"/>
              <w:right w:w="15" w:type="dxa"/>
            </w:tcMar>
            <w:vAlign w:val="center"/>
            <w:hideMark/>
          </w:tcPr>
          <w:p w14:paraId="05546C0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0" w:type="pct"/>
            <w:gridSpan w:val="2"/>
            <w:tcBorders>
              <w:bottom w:val="single" w:sz="6" w:space="0" w:color="000000"/>
            </w:tcBorders>
            <w:shd w:val="clear" w:color="auto" w:fill="FFFFFF"/>
            <w:tcMar>
              <w:top w:w="15" w:type="dxa"/>
              <w:left w:w="0" w:type="dxa"/>
              <w:bottom w:w="0" w:type="dxa"/>
              <w:right w:w="15" w:type="dxa"/>
            </w:tcMar>
            <w:vAlign w:val="center"/>
            <w:hideMark/>
          </w:tcPr>
          <w:p w14:paraId="12C1263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center"/>
            <w:hideMark/>
          </w:tcPr>
          <w:p w14:paraId="16E374A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B17DBBF" w14:textId="77777777">
        <w:trPr>
          <w:divId w:val="1858274214"/>
        </w:trPr>
        <w:tc>
          <w:tcPr>
            <w:tcW w:w="3655" w:type="pct"/>
            <w:tcBorders>
              <w:top w:val="single" w:sz="6" w:space="0" w:color="000000"/>
            </w:tcBorders>
            <w:shd w:val="clear" w:color="auto" w:fill="CCEEFF"/>
            <w:tcMar>
              <w:top w:w="15" w:type="dxa"/>
              <w:left w:w="0" w:type="dxa"/>
              <w:bottom w:w="0" w:type="dxa"/>
              <w:right w:w="15" w:type="dxa"/>
            </w:tcMar>
            <w:vAlign w:val="center"/>
            <w:hideMark/>
          </w:tcPr>
          <w:p w14:paraId="2DC971DB" w14:textId="77777777" w:rsidR="00000000" w:rsidRDefault="00582324">
            <w:pPr>
              <w:pStyle w:val="a3"/>
              <w:spacing w:before="0" w:beforeAutospacing="0" w:after="0" w:afterAutospacing="0"/>
              <w:rPr>
                <w:color w:val="000000"/>
                <w:sz w:val="18"/>
                <w:szCs w:val="18"/>
              </w:rPr>
            </w:pPr>
            <w:r>
              <w:rPr>
                <w:color w:val="000000"/>
                <w:sz w:val="18"/>
                <w:szCs w:val="18"/>
              </w:rPr>
              <w:t>Cash paid for amounts included in the measurement of lease liabilities</w:t>
            </w:r>
          </w:p>
        </w:tc>
        <w:tc>
          <w:tcPr>
            <w:tcW w:w="353" w:type="pct"/>
            <w:tcBorders>
              <w:top w:val="single" w:sz="6" w:space="0" w:color="000000"/>
            </w:tcBorders>
            <w:shd w:val="clear" w:color="auto" w:fill="CCEEFF"/>
            <w:tcMar>
              <w:top w:w="15" w:type="dxa"/>
              <w:left w:w="0" w:type="dxa"/>
              <w:bottom w:w="0" w:type="dxa"/>
              <w:right w:w="15" w:type="dxa"/>
            </w:tcMar>
            <w:vAlign w:val="center"/>
            <w:hideMark/>
          </w:tcPr>
          <w:p w14:paraId="2421B6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CEEFF"/>
            <w:noWrap/>
            <w:tcMar>
              <w:top w:w="15" w:type="dxa"/>
              <w:left w:w="0" w:type="dxa"/>
              <w:bottom w:w="0" w:type="dxa"/>
              <w:right w:w="15" w:type="dxa"/>
            </w:tcMar>
            <w:vAlign w:val="center"/>
            <w:hideMark/>
          </w:tcPr>
          <w:p w14:paraId="3C6415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tcBorders>
              <w:top w:val="single" w:sz="6" w:space="0" w:color="000000"/>
            </w:tcBorders>
            <w:shd w:val="clear" w:color="auto" w:fill="CCEEFF"/>
            <w:noWrap/>
            <w:tcMar>
              <w:top w:w="15" w:type="dxa"/>
              <w:left w:w="0" w:type="dxa"/>
              <w:bottom w:w="0" w:type="dxa"/>
              <w:right w:w="15" w:type="dxa"/>
            </w:tcMar>
            <w:vAlign w:val="center"/>
            <w:hideMark/>
          </w:tcPr>
          <w:p w14:paraId="66AB4B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CEEFF"/>
            <w:noWrap/>
            <w:tcMar>
              <w:top w:w="15" w:type="dxa"/>
              <w:left w:w="0" w:type="dxa"/>
              <w:bottom w:w="0" w:type="dxa"/>
              <w:right w:w="15" w:type="dxa"/>
            </w:tcMar>
            <w:vAlign w:val="center"/>
            <w:hideMark/>
          </w:tcPr>
          <w:p w14:paraId="5483B08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312CD43" w14:textId="77777777">
        <w:trPr>
          <w:divId w:val="1858274214"/>
        </w:trPr>
        <w:tc>
          <w:tcPr>
            <w:tcW w:w="3655" w:type="pct"/>
            <w:shd w:val="clear" w:color="auto" w:fill="FFFFFF"/>
            <w:tcMar>
              <w:top w:w="15" w:type="dxa"/>
              <w:left w:w="0" w:type="dxa"/>
              <w:bottom w:w="0" w:type="dxa"/>
              <w:right w:w="15" w:type="dxa"/>
            </w:tcMar>
            <w:vAlign w:val="center"/>
            <w:hideMark/>
          </w:tcPr>
          <w:p w14:paraId="3D560AC6" w14:textId="77777777" w:rsidR="00000000" w:rsidRDefault="00582324">
            <w:pPr>
              <w:pStyle w:val="a3"/>
              <w:spacing w:before="0" w:beforeAutospacing="0" w:after="0" w:afterAutospacing="0"/>
              <w:ind w:left="137"/>
              <w:rPr>
                <w:color w:val="000000"/>
                <w:sz w:val="18"/>
                <w:szCs w:val="18"/>
              </w:rPr>
            </w:pPr>
            <w:r>
              <w:rPr>
                <w:color w:val="000000"/>
                <w:sz w:val="18"/>
                <w:szCs w:val="18"/>
              </w:rPr>
              <w:t>Operating cash flows used in operating leases</w:t>
            </w:r>
          </w:p>
        </w:tc>
        <w:tc>
          <w:tcPr>
            <w:tcW w:w="353" w:type="pct"/>
            <w:shd w:val="clear" w:color="auto" w:fill="FFFFFF"/>
            <w:tcMar>
              <w:top w:w="15" w:type="dxa"/>
              <w:left w:w="0" w:type="dxa"/>
              <w:bottom w:w="0" w:type="dxa"/>
              <w:right w:w="15" w:type="dxa"/>
            </w:tcMar>
            <w:vAlign w:val="center"/>
            <w:hideMark/>
          </w:tcPr>
          <w:p w14:paraId="28E82659"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6D13E4B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90" w:type="pct"/>
            <w:shd w:val="clear" w:color="auto" w:fill="FFFFFF"/>
            <w:noWrap/>
            <w:tcMar>
              <w:top w:w="15" w:type="dxa"/>
              <w:left w:w="0" w:type="dxa"/>
              <w:bottom w:w="0" w:type="dxa"/>
              <w:right w:w="15" w:type="dxa"/>
            </w:tcMar>
            <w:vAlign w:val="center"/>
            <w:hideMark/>
          </w:tcPr>
          <w:p w14:paraId="2F395BA1" w14:textId="77777777" w:rsidR="00000000" w:rsidRDefault="00582324">
            <w:pPr>
              <w:pStyle w:val="a3"/>
              <w:spacing w:before="0" w:beforeAutospacing="0" w:after="0" w:afterAutospacing="0"/>
              <w:jc w:val="right"/>
              <w:rPr>
                <w:color w:val="000000"/>
                <w:sz w:val="18"/>
                <w:szCs w:val="18"/>
              </w:rPr>
            </w:pPr>
            <w:r>
              <w:rPr>
                <w:color w:val="000000"/>
                <w:sz w:val="18"/>
                <w:szCs w:val="18"/>
              </w:rPr>
              <w:t>4,249</w:t>
            </w:r>
          </w:p>
        </w:tc>
        <w:tc>
          <w:tcPr>
            <w:tcW w:w="50" w:type="pct"/>
            <w:shd w:val="clear" w:color="auto" w:fill="FFFFFF"/>
            <w:noWrap/>
            <w:tcMar>
              <w:top w:w="15" w:type="dxa"/>
              <w:left w:w="0" w:type="dxa"/>
              <w:bottom w:w="0" w:type="dxa"/>
              <w:right w:w="15" w:type="dxa"/>
            </w:tcMar>
            <w:vAlign w:val="center"/>
            <w:hideMark/>
          </w:tcPr>
          <w:p w14:paraId="467CF6B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EE35872" w14:textId="77777777">
        <w:trPr>
          <w:divId w:val="1858274214"/>
        </w:trPr>
        <w:tc>
          <w:tcPr>
            <w:tcW w:w="3655" w:type="pct"/>
            <w:shd w:val="clear" w:color="auto" w:fill="CCEEFF"/>
            <w:tcMar>
              <w:top w:w="15" w:type="dxa"/>
              <w:left w:w="0" w:type="dxa"/>
              <w:bottom w:w="0" w:type="dxa"/>
              <w:right w:w="15" w:type="dxa"/>
            </w:tcMar>
            <w:vAlign w:val="center"/>
            <w:hideMark/>
          </w:tcPr>
          <w:p w14:paraId="43594EF1" w14:textId="77777777" w:rsidR="00000000" w:rsidRDefault="00582324">
            <w:pPr>
              <w:pStyle w:val="a3"/>
              <w:spacing w:before="0" w:beforeAutospacing="0" w:after="0" w:afterAutospacing="0"/>
              <w:ind w:left="137"/>
              <w:rPr>
                <w:color w:val="000000"/>
                <w:sz w:val="18"/>
                <w:szCs w:val="18"/>
              </w:rPr>
            </w:pPr>
            <w:r>
              <w:rPr>
                <w:color w:val="000000"/>
                <w:sz w:val="18"/>
                <w:szCs w:val="18"/>
              </w:rPr>
              <w:t>Operating cash flows used in finance leases</w:t>
            </w:r>
          </w:p>
        </w:tc>
        <w:tc>
          <w:tcPr>
            <w:tcW w:w="353" w:type="pct"/>
            <w:shd w:val="clear" w:color="auto" w:fill="CCEEFF"/>
            <w:tcMar>
              <w:top w:w="15" w:type="dxa"/>
              <w:left w:w="0" w:type="dxa"/>
              <w:bottom w:w="0" w:type="dxa"/>
              <w:right w:w="15" w:type="dxa"/>
            </w:tcMar>
            <w:vAlign w:val="center"/>
            <w:hideMark/>
          </w:tcPr>
          <w:p w14:paraId="543657F4"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CCEEFF"/>
            <w:noWrap/>
            <w:tcMar>
              <w:top w:w="15" w:type="dxa"/>
              <w:left w:w="0" w:type="dxa"/>
              <w:bottom w:w="0" w:type="dxa"/>
              <w:right w:w="15" w:type="dxa"/>
            </w:tcMar>
            <w:vAlign w:val="center"/>
            <w:hideMark/>
          </w:tcPr>
          <w:p w14:paraId="43D914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shd w:val="clear" w:color="auto" w:fill="CCEEFF"/>
            <w:noWrap/>
            <w:tcMar>
              <w:top w:w="15" w:type="dxa"/>
              <w:left w:w="0" w:type="dxa"/>
              <w:bottom w:w="0" w:type="dxa"/>
              <w:right w:w="15" w:type="dxa"/>
            </w:tcMar>
            <w:vAlign w:val="center"/>
            <w:hideMark/>
          </w:tcPr>
          <w:p w14:paraId="79FE76F8" w14:textId="77777777" w:rsidR="00000000" w:rsidRDefault="00582324">
            <w:pPr>
              <w:pStyle w:val="a3"/>
              <w:spacing w:before="0" w:beforeAutospacing="0" w:after="0" w:afterAutospacing="0"/>
              <w:jc w:val="right"/>
              <w:rPr>
                <w:color w:val="000000"/>
                <w:sz w:val="18"/>
                <w:szCs w:val="18"/>
              </w:rPr>
            </w:pPr>
            <w:r>
              <w:rPr>
                <w:color w:val="000000"/>
                <w:sz w:val="18"/>
                <w:szCs w:val="18"/>
              </w:rPr>
              <w:t>199</w:t>
            </w:r>
          </w:p>
        </w:tc>
        <w:tc>
          <w:tcPr>
            <w:tcW w:w="50" w:type="pct"/>
            <w:shd w:val="clear" w:color="auto" w:fill="CCEEFF"/>
            <w:noWrap/>
            <w:tcMar>
              <w:top w:w="15" w:type="dxa"/>
              <w:left w:w="0" w:type="dxa"/>
              <w:bottom w:w="0" w:type="dxa"/>
              <w:right w:w="15" w:type="dxa"/>
            </w:tcMar>
            <w:vAlign w:val="center"/>
            <w:hideMark/>
          </w:tcPr>
          <w:p w14:paraId="32270B2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41BBADF" w14:textId="77777777">
        <w:trPr>
          <w:divId w:val="1858274214"/>
        </w:trPr>
        <w:tc>
          <w:tcPr>
            <w:tcW w:w="3655" w:type="pct"/>
            <w:shd w:val="clear" w:color="auto" w:fill="FFFFFF"/>
            <w:tcMar>
              <w:top w:w="15" w:type="dxa"/>
              <w:left w:w="0" w:type="dxa"/>
              <w:bottom w:w="0" w:type="dxa"/>
              <w:right w:w="15" w:type="dxa"/>
            </w:tcMar>
            <w:vAlign w:val="center"/>
            <w:hideMark/>
          </w:tcPr>
          <w:p w14:paraId="12C4C444" w14:textId="77777777" w:rsidR="00000000" w:rsidRDefault="00582324">
            <w:pPr>
              <w:pStyle w:val="a3"/>
              <w:spacing w:before="0" w:beforeAutospacing="0" w:after="0" w:afterAutospacing="0"/>
              <w:ind w:left="137"/>
              <w:rPr>
                <w:color w:val="000000"/>
                <w:sz w:val="18"/>
                <w:szCs w:val="18"/>
              </w:rPr>
            </w:pPr>
            <w:r>
              <w:rPr>
                <w:color w:val="000000"/>
                <w:sz w:val="18"/>
                <w:szCs w:val="18"/>
              </w:rPr>
              <w:t>Financing cash flows used in finance leases</w:t>
            </w:r>
          </w:p>
        </w:tc>
        <w:tc>
          <w:tcPr>
            <w:tcW w:w="353" w:type="pct"/>
            <w:shd w:val="clear" w:color="auto" w:fill="FFFFFF"/>
            <w:tcMar>
              <w:top w:w="15" w:type="dxa"/>
              <w:left w:w="0" w:type="dxa"/>
              <w:bottom w:w="0" w:type="dxa"/>
              <w:right w:w="15" w:type="dxa"/>
            </w:tcMar>
            <w:vAlign w:val="center"/>
            <w:hideMark/>
          </w:tcPr>
          <w:p w14:paraId="21AA16AF"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1534F0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shd w:val="clear" w:color="auto" w:fill="FFFFFF"/>
            <w:noWrap/>
            <w:tcMar>
              <w:top w:w="15" w:type="dxa"/>
              <w:left w:w="0" w:type="dxa"/>
              <w:bottom w:w="0" w:type="dxa"/>
              <w:right w:w="15" w:type="dxa"/>
            </w:tcMar>
            <w:vAlign w:val="center"/>
            <w:hideMark/>
          </w:tcPr>
          <w:p w14:paraId="2B0D392E" w14:textId="77777777" w:rsidR="00000000" w:rsidRDefault="00582324">
            <w:pPr>
              <w:pStyle w:val="a3"/>
              <w:spacing w:before="0" w:beforeAutospacing="0" w:after="0" w:afterAutospacing="0"/>
              <w:jc w:val="right"/>
              <w:rPr>
                <w:color w:val="000000"/>
                <w:sz w:val="18"/>
                <w:szCs w:val="18"/>
              </w:rPr>
            </w:pPr>
            <w:r>
              <w:rPr>
                <w:color w:val="000000"/>
                <w:sz w:val="18"/>
                <w:szCs w:val="18"/>
              </w:rPr>
              <w:t>1,632</w:t>
            </w:r>
          </w:p>
        </w:tc>
        <w:tc>
          <w:tcPr>
            <w:tcW w:w="50" w:type="pct"/>
            <w:shd w:val="clear" w:color="auto" w:fill="FFFFFF"/>
            <w:noWrap/>
            <w:tcMar>
              <w:top w:w="15" w:type="dxa"/>
              <w:left w:w="0" w:type="dxa"/>
              <w:bottom w:w="0" w:type="dxa"/>
              <w:right w:w="15" w:type="dxa"/>
            </w:tcMar>
            <w:vAlign w:val="center"/>
            <w:hideMark/>
          </w:tcPr>
          <w:p w14:paraId="3557607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E99A51" w14:textId="77777777">
        <w:trPr>
          <w:divId w:val="1858274214"/>
        </w:trPr>
        <w:tc>
          <w:tcPr>
            <w:tcW w:w="3655" w:type="pct"/>
            <w:shd w:val="clear" w:color="auto" w:fill="CCEEFF"/>
            <w:tcMar>
              <w:top w:w="15" w:type="dxa"/>
              <w:left w:w="0" w:type="dxa"/>
              <w:bottom w:w="0" w:type="dxa"/>
              <w:right w:w="15" w:type="dxa"/>
            </w:tcMar>
            <w:vAlign w:val="center"/>
            <w:hideMark/>
          </w:tcPr>
          <w:p w14:paraId="66DCE5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53" w:type="pct"/>
            <w:shd w:val="clear" w:color="auto" w:fill="CCEEFF"/>
            <w:tcMar>
              <w:top w:w="15" w:type="dxa"/>
              <w:left w:w="0" w:type="dxa"/>
              <w:bottom w:w="0" w:type="dxa"/>
              <w:right w:w="15" w:type="dxa"/>
            </w:tcMar>
            <w:vAlign w:val="center"/>
            <w:hideMark/>
          </w:tcPr>
          <w:p w14:paraId="435BC1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CEEFF"/>
            <w:noWrap/>
            <w:tcMar>
              <w:top w:w="15" w:type="dxa"/>
              <w:left w:w="0" w:type="dxa"/>
              <w:bottom w:w="0" w:type="dxa"/>
              <w:right w:w="15" w:type="dxa"/>
            </w:tcMar>
            <w:vAlign w:val="center"/>
            <w:hideMark/>
          </w:tcPr>
          <w:p w14:paraId="322698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shd w:val="clear" w:color="auto" w:fill="CCEEFF"/>
            <w:noWrap/>
            <w:tcMar>
              <w:top w:w="15" w:type="dxa"/>
              <w:left w:w="0" w:type="dxa"/>
              <w:bottom w:w="0" w:type="dxa"/>
              <w:right w:w="15" w:type="dxa"/>
            </w:tcMar>
            <w:vAlign w:val="center"/>
            <w:hideMark/>
          </w:tcPr>
          <w:p w14:paraId="0DB3A9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CEEFF"/>
            <w:noWrap/>
            <w:tcMar>
              <w:top w:w="15" w:type="dxa"/>
              <w:left w:w="0" w:type="dxa"/>
              <w:bottom w:w="0" w:type="dxa"/>
              <w:right w:w="15" w:type="dxa"/>
            </w:tcMar>
            <w:vAlign w:val="center"/>
            <w:hideMark/>
          </w:tcPr>
          <w:p w14:paraId="406E1A0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EAAD1E3" w14:textId="77777777">
        <w:trPr>
          <w:divId w:val="1858274214"/>
        </w:trPr>
        <w:tc>
          <w:tcPr>
            <w:tcW w:w="3655" w:type="pct"/>
            <w:shd w:val="clear" w:color="auto" w:fill="FFFFFF"/>
            <w:tcMar>
              <w:top w:w="15" w:type="dxa"/>
              <w:left w:w="0" w:type="dxa"/>
              <w:bottom w:w="0" w:type="dxa"/>
              <w:right w:w="15" w:type="dxa"/>
            </w:tcMar>
            <w:vAlign w:val="center"/>
            <w:hideMark/>
          </w:tcPr>
          <w:p w14:paraId="4ED20777" w14:textId="77777777" w:rsidR="00000000" w:rsidRDefault="00582324">
            <w:pPr>
              <w:pStyle w:val="a3"/>
              <w:spacing w:before="0" w:beforeAutospacing="0" w:after="0" w:afterAutospacing="0"/>
              <w:rPr>
                <w:color w:val="000000"/>
                <w:sz w:val="18"/>
                <w:szCs w:val="18"/>
              </w:rPr>
            </w:pPr>
            <w:r>
              <w:rPr>
                <w:color w:val="000000"/>
                <w:sz w:val="18"/>
                <w:szCs w:val="18"/>
              </w:rPr>
              <w:t>Lease liabilities arising from new ROU assets</w:t>
            </w:r>
          </w:p>
        </w:tc>
        <w:tc>
          <w:tcPr>
            <w:tcW w:w="353" w:type="pct"/>
            <w:shd w:val="clear" w:color="auto" w:fill="FFFFFF"/>
            <w:tcMar>
              <w:top w:w="15" w:type="dxa"/>
              <w:left w:w="0" w:type="dxa"/>
              <w:bottom w:w="0" w:type="dxa"/>
              <w:right w:w="15" w:type="dxa"/>
            </w:tcMar>
            <w:vAlign w:val="center"/>
            <w:hideMark/>
          </w:tcPr>
          <w:p w14:paraId="6A754B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E237F3"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0" w:type="pct"/>
            <w:shd w:val="clear" w:color="auto" w:fill="FFFFFF"/>
            <w:noWrap/>
            <w:tcMar>
              <w:top w:w="15" w:type="dxa"/>
              <w:left w:w="0" w:type="dxa"/>
              <w:bottom w:w="0" w:type="dxa"/>
              <w:right w:w="15" w:type="dxa"/>
            </w:tcMar>
            <w:vAlign w:val="bottom"/>
            <w:hideMark/>
          </w:tcPr>
          <w:p w14:paraId="7189396B"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386CBD66"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70A00E1D" w14:textId="77777777">
        <w:trPr>
          <w:divId w:val="1858274214"/>
        </w:trPr>
        <w:tc>
          <w:tcPr>
            <w:tcW w:w="3655" w:type="pct"/>
            <w:shd w:val="clear" w:color="auto" w:fill="CCEEFF"/>
            <w:tcMar>
              <w:top w:w="15" w:type="dxa"/>
              <w:left w:w="0" w:type="dxa"/>
              <w:bottom w:w="0" w:type="dxa"/>
              <w:right w:w="15" w:type="dxa"/>
            </w:tcMar>
            <w:vAlign w:val="center"/>
            <w:hideMark/>
          </w:tcPr>
          <w:p w14:paraId="3A42D785" w14:textId="77777777" w:rsidR="00000000" w:rsidRDefault="00582324">
            <w:pPr>
              <w:pStyle w:val="a3"/>
              <w:spacing w:before="0" w:beforeAutospacing="0" w:after="0" w:afterAutospacing="0"/>
              <w:ind w:left="137"/>
              <w:rPr>
                <w:color w:val="000000"/>
                <w:sz w:val="18"/>
                <w:szCs w:val="18"/>
              </w:rPr>
            </w:pPr>
            <w:r>
              <w:rPr>
                <w:color w:val="000000"/>
                <w:sz w:val="18"/>
                <w:szCs w:val="18"/>
              </w:rPr>
              <w:t>Operating leases</w:t>
            </w:r>
          </w:p>
        </w:tc>
        <w:tc>
          <w:tcPr>
            <w:tcW w:w="353" w:type="pct"/>
            <w:shd w:val="clear" w:color="auto" w:fill="CCEEFF"/>
            <w:tcMar>
              <w:top w:w="15" w:type="dxa"/>
              <w:left w:w="0" w:type="dxa"/>
              <w:bottom w:w="0" w:type="dxa"/>
              <w:right w:w="15" w:type="dxa"/>
            </w:tcMar>
            <w:vAlign w:val="center"/>
            <w:hideMark/>
          </w:tcPr>
          <w:p w14:paraId="3152CBEE"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CCEEFF"/>
            <w:noWrap/>
            <w:tcMar>
              <w:top w:w="15" w:type="dxa"/>
              <w:left w:w="0" w:type="dxa"/>
              <w:bottom w:w="0" w:type="dxa"/>
              <w:right w:w="15" w:type="dxa"/>
            </w:tcMar>
            <w:vAlign w:val="center"/>
            <w:hideMark/>
          </w:tcPr>
          <w:p w14:paraId="50662F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shd w:val="clear" w:color="auto" w:fill="CCEEFF"/>
            <w:noWrap/>
            <w:tcMar>
              <w:top w:w="15" w:type="dxa"/>
              <w:left w:w="0" w:type="dxa"/>
              <w:bottom w:w="0" w:type="dxa"/>
              <w:right w:w="15" w:type="dxa"/>
            </w:tcMar>
            <w:vAlign w:val="center"/>
            <w:hideMark/>
          </w:tcPr>
          <w:p w14:paraId="7B31352C" w14:textId="77777777" w:rsidR="00000000" w:rsidRDefault="00582324">
            <w:pPr>
              <w:pStyle w:val="a3"/>
              <w:spacing w:before="0" w:beforeAutospacing="0" w:after="0" w:afterAutospacing="0"/>
              <w:jc w:val="right"/>
              <w:rPr>
                <w:color w:val="000000"/>
                <w:sz w:val="18"/>
                <w:szCs w:val="18"/>
              </w:rPr>
            </w:pPr>
            <w:r>
              <w:rPr>
                <w:color w:val="000000"/>
                <w:sz w:val="18"/>
                <w:szCs w:val="18"/>
              </w:rPr>
              <w:t>5,305</w:t>
            </w:r>
          </w:p>
        </w:tc>
        <w:tc>
          <w:tcPr>
            <w:tcW w:w="50" w:type="pct"/>
            <w:shd w:val="clear" w:color="auto" w:fill="CCEEFF"/>
            <w:noWrap/>
            <w:tcMar>
              <w:top w:w="15" w:type="dxa"/>
              <w:left w:w="0" w:type="dxa"/>
              <w:bottom w:w="0" w:type="dxa"/>
              <w:right w:w="15" w:type="dxa"/>
            </w:tcMar>
            <w:vAlign w:val="center"/>
            <w:hideMark/>
          </w:tcPr>
          <w:p w14:paraId="29D1CC8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83ED563" w14:textId="77777777">
        <w:trPr>
          <w:divId w:val="1858274214"/>
        </w:trPr>
        <w:tc>
          <w:tcPr>
            <w:tcW w:w="3655" w:type="pct"/>
            <w:shd w:val="clear" w:color="auto" w:fill="FFFFFF"/>
            <w:tcMar>
              <w:top w:w="15" w:type="dxa"/>
              <w:left w:w="0" w:type="dxa"/>
              <w:bottom w:w="0" w:type="dxa"/>
              <w:right w:w="15" w:type="dxa"/>
            </w:tcMar>
            <w:vAlign w:val="center"/>
            <w:hideMark/>
          </w:tcPr>
          <w:p w14:paraId="474A5BC8" w14:textId="77777777" w:rsidR="00000000" w:rsidRDefault="00582324">
            <w:pPr>
              <w:pStyle w:val="a3"/>
              <w:spacing w:before="0" w:beforeAutospacing="0" w:after="0" w:afterAutospacing="0"/>
              <w:ind w:left="137"/>
              <w:rPr>
                <w:color w:val="000000"/>
                <w:sz w:val="18"/>
                <w:szCs w:val="18"/>
              </w:rPr>
            </w:pPr>
            <w:r>
              <w:rPr>
                <w:color w:val="000000"/>
                <w:sz w:val="18"/>
                <w:szCs w:val="18"/>
              </w:rPr>
              <w:t>Finance leases</w:t>
            </w:r>
          </w:p>
        </w:tc>
        <w:tc>
          <w:tcPr>
            <w:tcW w:w="353" w:type="pct"/>
            <w:shd w:val="clear" w:color="auto" w:fill="FFFFFF"/>
            <w:tcMar>
              <w:top w:w="15" w:type="dxa"/>
              <w:left w:w="0" w:type="dxa"/>
              <w:bottom w:w="0" w:type="dxa"/>
              <w:right w:w="15" w:type="dxa"/>
            </w:tcMar>
            <w:vAlign w:val="center"/>
            <w:hideMark/>
          </w:tcPr>
          <w:p w14:paraId="0AAFDB34"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177921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0" w:type="pct"/>
            <w:shd w:val="clear" w:color="auto" w:fill="FFFFFF"/>
            <w:noWrap/>
            <w:tcMar>
              <w:top w:w="15" w:type="dxa"/>
              <w:left w:w="0" w:type="dxa"/>
              <w:bottom w:w="0" w:type="dxa"/>
              <w:right w:w="15" w:type="dxa"/>
            </w:tcMar>
            <w:vAlign w:val="center"/>
            <w:hideMark/>
          </w:tcPr>
          <w:p w14:paraId="1D0D9DC7" w14:textId="77777777" w:rsidR="00000000" w:rsidRDefault="00582324">
            <w:pPr>
              <w:pStyle w:val="a3"/>
              <w:spacing w:before="0" w:beforeAutospacing="0" w:after="0" w:afterAutospacing="0"/>
              <w:jc w:val="right"/>
              <w:rPr>
                <w:color w:val="000000"/>
                <w:sz w:val="18"/>
                <w:szCs w:val="18"/>
              </w:rPr>
            </w:pPr>
            <w:r>
              <w:rPr>
                <w:color w:val="000000"/>
                <w:sz w:val="18"/>
                <w:szCs w:val="18"/>
              </w:rPr>
              <w:t>1,928</w:t>
            </w:r>
          </w:p>
        </w:tc>
        <w:tc>
          <w:tcPr>
            <w:tcW w:w="50" w:type="pct"/>
            <w:shd w:val="clear" w:color="auto" w:fill="FFFFFF"/>
            <w:noWrap/>
            <w:tcMar>
              <w:top w:w="15" w:type="dxa"/>
              <w:left w:w="0" w:type="dxa"/>
              <w:bottom w:w="0" w:type="dxa"/>
              <w:right w:w="15" w:type="dxa"/>
            </w:tcMar>
            <w:vAlign w:val="center"/>
            <w:hideMark/>
          </w:tcPr>
          <w:p w14:paraId="2E6A8A0D"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D8D0770"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Weighted average remaining lease terms and weighted average discount rates were:</w:t>
      </w:r>
    </w:p>
    <w:p w14:paraId="166330AD" w14:textId="77777777" w:rsidR="00000000" w:rsidRDefault="00582324">
      <w:pPr>
        <w:pStyle w:val="a3"/>
        <w:shd w:val="clear" w:color="auto" w:fill="FFFFFF"/>
        <w:spacing w:before="240" w:beforeAutospacing="0" w:after="0" w:afterAutospacing="0"/>
        <w:ind w:firstLine="416"/>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652"/>
        <w:gridCol w:w="217"/>
        <w:gridCol w:w="61"/>
        <w:gridCol w:w="1209"/>
        <w:gridCol w:w="165"/>
        <w:gridCol w:w="82"/>
        <w:gridCol w:w="61"/>
        <w:gridCol w:w="1033"/>
        <w:gridCol w:w="165"/>
      </w:tblGrid>
      <w:tr w:rsidR="00000000" w14:paraId="746BA2F2" w14:textId="77777777">
        <w:trPr>
          <w:divId w:val="1716268632"/>
        </w:trPr>
        <w:tc>
          <w:tcPr>
            <w:tcW w:w="2768" w:type="pct"/>
            <w:shd w:val="clear" w:color="auto" w:fill="FFFFFF"/>
            <w:tcMar>
              <w:top w:w="15" w:type="dxa"/>
              <w:left w:w="0" w:type="dxa"/>
              <w:bottom w:w="0" w:type="dxa"/>
              <w:right w:w="15" w:type="dxa"/>
            </w:tcMar>
            <w:vAlign w:val="center"/>
            <w:hideMark/>
          </w:tcPr>
          <w:p w14:paraId="764F2048" w14:textId="77777777" w:rsidR="00000000" w:rsidRDefault="00582324">
            <w:pPr>
              <w:pStyle w:val="a3"/>
              <w:spacing w:before="0" w:beforeAutospacing="0" w:after="0" w:afterAutospacing="0"/>
              <w:rPr>
                <w:sz w:val="20"/>
                <w:szCs w:val="20"/>
              </w:rPr>
            </w:pPr>
            <w:r>
              <w:rPr>
                <w:sz w:val="20"/>
                <w:szCs w:val="20"/>
              </w:rPr>
              <w:t> </w:t>
            </w:r>
          </w:p>
        </w:tc>
        <w:tc>
          <w:tcPr>
            <w:tcW w:w="184" w:type="pct"/>
            <w:shd w:val="clear" w:color="auto" w:fill="FFFFFF"/>
            <w:tcMar>
              <w:top w:w="15" w:type="dxa"/>
              <w:left w:w="0" w:type="dxa"/>
              <w:bottom w:w="0" w:type="dxa"/>
              <w:right w:w="15" w:type="dxa"/>
            </w:tcMar>
            <w:vAlign w:val="center"/>
            <w:hideMark/>
          </w:tcPr>
          <w:p w14:paraId="549656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96" w:type="pct"/>
            <w:gridSpan w:val="6"/>
            <w:shd w:val="clear" w:color="auto" w:fill="FFFFFF"/>
            <w:tcMar>
              <w:top w:w="15" w:type="dxa"/>
              <w:left w:w="0" w:type="dxa"/>
              <w:bottom w:w="0" w:type="dxa"/>
              <w:right w:w="15" w:type="dxa"/>
            </w:tcMar>
            <w:vAlign w:val="center"/>
            <w:hideMark/>
          </w:tcPr>
          <w:p w14:paraId="2678BFD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center"/>
            <w:hideMark/>
          </w:tcPr>
          <w:p w14:paraId="0164004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22CF649" w14:textId="77777777">
        <w:trPr>
          <w:divId w:val="1716268632"/>
        </w:trPr>
        <w:tc>
          <w:tcPr>
            <w:tcW w:w="2768" w:type="pct"/>
            <w:tcBorders>
              <w:bottom w:val="single" w:sz="6" w:space="0" w:color="000000"/>
            </w:tcBorders>
            <w:shd w:val="clear" w:color="auto" w:fill="FFFFFF"/>
            <w:tcMar>
              <w:top w:w="15" w:type="dxa"/>
              <w:left w:w="0" w:type="dxa"/>
              <w:bottom w:w="0" w:type="dxa"/>
              <w:right w:w="15" w:type="dxa"/>
            </w:tcMar>
            <w:vAlign w:val="bottom"/>
            <w:hideMark/>
          </w:tcPr>
          <w:p w14:paraId="605701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84" w:type="pct"/>
            <w:tcBorders>
              <w:bottom w:val="single" w:sz="6" w:space="0" w:color="000000"/>
            </w:tcBorders>
            <w:shd w:val="clear" w:color="auto" w:fill="FFFFFF"/>
            <w:tcMar>
              <w:top w:w="15" w:type="dxa"/>
              <w:left w:w="0" w:type="dxa"/>
              <w:bottom w:w="0" w:type="dxa"/>
              <w:right w:w="15" w:type="dxa"/>
            </w:tcMar>
            <w:vAlign w:val="bottom"/>
            <w:hideMark/>
          </w:tcPr>
          <w:p w14:paraId="04D2D4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2721F0D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Operating Leases</w:t>
            </w:r>
          </w:p>
        </w:tc>
        <w:tc>
          <w:tcPr>
            <w:tcW w:w="50" w:type="pct"/>
            <w:shd w:val="clear" w:color="auto" w:fill="FFFFFF"/>
            <w:noWrap/>
            <w:tcMar>
              <w:top w:w="15" w:type="dxa"/>
              <w:left w:w="0" w:type="dxa"/>
              <w:bottom w:w="0" w:type="dxa"/>
              <w:right w:w="15" w:type="dxa"/>
            </w:tcMar>
            <w:vAlign w:val="center"/>
            <w:hideMark/>
          </w:tcPr>
          <w:p w14:paraId="5C20B6E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3" w:type="pct"/>
            <w:shd w:val="clear" w:color="auto" w:fill="FFFFFF"/>
            <w:tcMar>
              <w:top w:w="15" w:type="dxa"/>
              <w:left w:w="0" w:type="dxa"/>
              <w:bottom w:w="0" w:type="dxa"/>
              <w:right w:w="15" w:type="dxa"/>
            </w:tcMar>
            <w:vAlign w:val="center"/>
            <w:hideMark/>
          </w:tcPr>
          <w:p w14:paraId="6E14A29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28AF48D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Finance Leases</w:t>
            </w:r>
          </w:p>
        </w:tc>
        <w:tc>
          <w:tcPr>
            <w:tcW w:w="50" w:type="pct"/>
            <w:shd w:val="clear" w:color="auto" w:fill="FFFFFF"/>
            <w:noWrap/>
            <w:tcMar>
              <w:top w:w="15" w:type="dxa"/>
              <w:left w:w="0" w:type="dxa"/>
              <w:bottom w:w="0" w:type="dxa"/>
              <w:right w:w="15" w:type="dxa"/>
            </w:tcMar>
            <w:vAlign w:val="center"/>
            <w:hideMark/>
          </w:tcPr>
          <w:p w14:paraId="67891D1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C305FB3" w14:textId="77777777">
        <w:trPr>
          <w:divId w:val="1716268632"/>
        </w:trPr>
        <w:tc>
          <w:tcPr>
            <w:tcW w:w="2768" w:type="pct"/>
            <w:tcBorders>
              <w:top w:val="single" w:sz="6" w:space="0" w:color="000000"/>
            </w:tcBorders>
            <w:shd w:val="clear" w:color="auto" w:fill="FFFFFF"/>
            <w:tcMar>
              <w:top w:w="15" w:type="dxa"/>
              <w:left w:w="0" w:type="dxa"/>
              <w:bottom w:w="0" w:type="dxa"/>
              <w:right w:w="15" w:type="dxa"/>
            </w:tcMar>
            <w:vAlign w:val="center"/>
            <w:hideMark/>
          </w:tcPr>
          <w:p w14:paraId="61F11194" w14:textId="77777777" w:rsidR="00000000" w:rsidRDefault="00582324">
            <w:pPr>
              <w:pStyle w:val="a3"/>
              <w:spacing w:before="0" w:beforeAutospacing="0" w:after="0" w:afterAutospacing="0"/>
              <w:rPr>
                <w:color w:val="000000"/>
                <w:sz w:val="18"/>
                <w:szCs w:val="18"/>
              </w:rPr>
            </w:pPr>
            <w:r>
              <w:rPr>
                <w:color w:val="000000"/>
                <w:sz w:val="18"/>
                <w:szCs w:val="18"/>
              </w:rPr>
              <w:t>Weighted average remaining lease term (years)</w:t>
            </w:r>
          </w:p>
        </w:tc>
        <w:tc>
          <w:tcPr>
            <w:tcW w:w="184" w:type="pct"/>
            <w:tcBorders>
              <w:top w:val="single" w:sz="6" w:space="0" w:color="000000"/>
            </w:tcBorders>
            <w:shd w:val="clear" w:color="auto" w:fill="FFFFFF"/>
            <w:tcMar>
              <w:top w:w="15" w:type="dxa"/>
              <w:left w:w="0" w:type="dxa"/>
              <w:bottom w:w="0" w:type="dxa"/>
              <w:right w:w="15" w:type="dxa"/>
            </w:tcMar>
            <w:vAlign w:val="center"/>
            <w:hideMark/>
          </w:tcPr>
          <w:p w14:paraId="783C4A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98" w:type="pct"/>
            <w:gridSpan w:val="2"/>
            <w:tcBorders>
              <w:top w:val="single" w:sz="6" w:space="0" w:color="000000"/>
            </w:tcBorders>
            <w:shd w:val="clear" w:color="auto" w:fill="FFFFFF"/>
            <w:tcMar>
              <w:top w:w="15" w:type="dxa"/>
              <w:left w:w="0" w:type="dxa"/>
              <w:bottom w:w="0" w:type="dxa"/>
              <w:right w:w="15" w:type="dxa"/>
            </w:tcMar>
            <w:vAlign w:val="center"/>
            <w:hideMark/>
          </w:tcPr>
          <w:p w14:paraId="3BFF6A59" w14:textId="77777777" w:rsidR="00000000" w:rsidRDefault="00582324">
            <w:pPr>
              <w:pStyle w:val="a3"/>
              <w:spacing w:before="0" w:beforeAutospacing="0" w:after="0" w:afterAutospacing="0"/>
              <w:jc w:val="right"/>
              <w:rPr>
                <w:color w:val="000000"/>
                <w:sz w:val="18"/>
                <w:szCs w:val="18"/>
              </w:rPr>
            </w:pPr>
            <w:r>
              <w:rPr>
                <w:color w:val="000000"/>
                <w:sz w:val="18"/>
                <w:szCs w:val="18"/>
              </w:rPr>
              <w:t>5.1</w:t>
            </w:r>
            <w:r>
              <w:rPr>
                <w:color w:val="000000"/>
                <w:sz w:val="18"/>
                <w:szCs w:val="18"/>
              </w:rPr>
              <w:t>1</w:t>
            </w:r>
          </w:p>
        </w:tc>
        <w:tc>
          <w:tcPr>
            <w:tcW w:w="50" w:type="pct"/>
            <w:shd w:val="clear" w:color="auto" w:fill="FFFFFF"/>
            <w:noWrap/>
            <w:tcMar>
              <w:top w:w="15" w:type="dxa"/>
              <w:left w:w="0" w:type="dxa"/>
              <w:bottom w:w="0" w:type="dxa"/>
              <w:right w:w="15" w:type="dxa"/>
            </w:tcMar>
            <w:vAlign w:val="center"/>
            <w:hideMark/>
          </w:tcPr>
          <w:p w14:paraId="509FA7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3" w:type="pct"/>
            <w:shd w:val="clear" w:color="auto" w:fill="FFFFFF"/>
            <w:tcMar>
              <w:top w:w="15" w:type="dxa"/>
              <w:left w:w="0" w:type="dxa"/>
              <w:bottom w:w="0" w:type="dxa"/>
              <w:right w:w="15" w:type="dxa"/>
            </w:tcMar>
            <w:vAlign w:val="center"/>
            <w:hideMark/>
          </w:tcPr>
          <w:p w14:paraId="17F6658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864" w:type="pct"/>
            <w:gridSpan w:val="2"/>
            <w:tcBorders>
              <w:top w:val="single" w:sz="6" w:space="0" w:color="000000"/>
            </w:tcBorders>
            <w:shd w:val="clear" w:color="auto" w:fill="FFFFFF"/>
            <w:tcMar>
              <w:top w:w="15" w:type="dxa"/>
              <w:left w:w="0" w:type="dxa"/>
              <w:bottom w:w="0" w:type="dxa"/>
              <w:right w:w="15" w:type="dxa"/>
            </w:tcMar>
            <w:vAlign w:val="center"/>
            <w:hideMark/>
          </w:tcPr>
          <w:p w14:paraId="62A0D882" w14:textId="77777777" w:rsidR="00000000" w:rsidRDefault="00582324">
            <w:pPr>
              <w:pStyle w:val="a3"/>
              <w:spacing w:before="0" w:beforeAutospacing="0" w:after="0" w:afterAutospacing="0"/>
              <w:jc w:val="right"/>
              <w:rPr>
                <w:color w:val="000000"/>
                <w:sz w:val="18"/>
                <w:szCs w:val="18"/>
              </w:rPr>
            </w:pPr>
            <w:r>
              <w:rPr>
                <w:color w:val="000000"/>
                <w:sz w:val="18"/>
                <w:szCs w:val="18"/>
              </w:rPr>
              <w:t>2.9</w:t>
            </w:r>
            <w:r>
              <w:rPr>
                <w:color w:val="000000"/>
                <w:sz w:val="18"/>
                <w:szCs w:val="18"/>
              </w:rPr>
              <w:t>5</w:t>
            </w:r>
          </w:p>
        </w:tc>
        <w:tc>
          <w:tcPr>
            <w:tcW w:w="50" w:type="pct"/>
            <w:shd w:val="clear" w:color="auto" w:fill="FFFFFF"/>
            <w:noWrap/>
            <w:tcMar>
              <w:top w:w="15" w:type="dxa"/>
              <w:left w:w="0" w:type="dxa"/>
              <w:bottom w:w="0" w:type="dxa"/>
              <w:right w:w="15" w:type="dxa"/>
            </w:tcMar>
            <w:vAlign w:val="center"/>
            <w:hideMark/>
          </w:tcPr>
          <w:p w14:paraId="4F9EDA7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894459A" w14:textId="77777777">
        <w:trPr>
          <w:divId w:val="1716268632"/>
        </w:trPr>
        <w:tc>
          <w:tcPr>
            <w:tcW w:w="2768" w:type="pct"/>
            <w:shd w:val="clear" w:color="auto" w:fill="CFF0FC"/>
            <w:tcMar>
              <w:top w:w="15" w:type="dxa"/>
              <w:left w:w="0" w:type="dxa"/>
              <w:bottom w:w="0" w:type="dxa"/>
              <w:right w:w="15" w:type="dxa"/>
            </w:tcMar>
            <w:vAlign w:val="center"/>
            <w:hideMark/>
          </w:tcPr>
          <w:p w14:paraId="06D426A7" w14:textId="77777777" w:rsidR="00000000" w:rsidRDefault="00582324">
            <w:pPr>
              <w:pStyle w:val="a3"/>
              <w:spacing w:before="0" w:beforeAutospacing="0" w:after="0" w:afterAutospacing="0"/>
              <w:rPr>
                <w:color w:val="000000"/>
                <w:sz w:val="18"/>
                <w:szCs w:val="18"/>
              </w:rPr>
            </w:pPr>
            <w:r>
              <w:rPr>
                <w:color w:val="000000"/>
                <w:sz w:val="18"/>
                <w:szCs w:val="18"/>
              </w:rPr>
              <w:t>Weighted average discount rate</w:t>
            </w:r>
          </w:p>
        </w:tc>
        <w:tc>
          <w:tcPr>
            <w:tcW w:w="184" w:type="pct"/>
            <w:shd w:val="clear" w:color="auto" w:fill="CFF0FC"/>
            <w:tcMar>
              <w:top w:w="15" w:type="dxa"/>
              <w:left w:w="0" w:type="dxa"/>
              <w:bottom w:w="0" w:type="dxa"/>
              <w:right w:w="15" w:type="dxa"/>
            </w:tcMar>
            <w:vAlign w:val="center"/>
            <w:hideMark/>
          </w:tcPr>
          <w:p w14:paraId="13DB99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6A9227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48" w:type="pct"/>
            <w:shd w:val="clear" w:color="auto" w:fill="CFF0FC"/>
            <w:noWrap/>
            <w:tcMar>
              <w:top w:w="15" w:type="dxa"/>
              <w:left w:w="0" w:type="dxa"/>
              <w:bottom w:w="0" w:type="dxa"/>
              <w:right w:w="15" w:type="dxa"/>
            </w:tcMar>
            <w:vAlign w:val="center"/>
            <w:hideMark/>
          </w:tcPr>
          <w:p w14:paraId="04071200" w14:textId="77777777" w:rsidR="00000000" w:rsidRDefault="00582324">
            <w:pPr>
              <w:pStyle w:val="a3"/>
              <w:spacing w:before="0" w:beforeAutospacing="0" w:after="0" w:afterAutospacing="0"/>
              <w:jc w:val="right"/>
              <w:rPr>
                <w:color w:val="000000"/>
                <w:sz w:val="18"/>
                <w:szCs w:val="18"/>
              </w:rPr>
            </w:pPr>
            <w:r>
              <w:rPr>
                <w:color w:val="000000"/>
                <w:sz w:val="18"/>
                <w:szCs w:val="18"/>
              </w:rPr>
              <w:t>2.57</w:t>
            </w:r>
          </w:p>
        </w:tc>
        <w:tc>
          <w:tcPr>
            <w:tcW w:w="50" w:type="pct"/>
            <w:shd w:val="clear" w:color="auto" w:fill="CFF0FC"/>
            <w:noWrap/>
            <w:tcMar>
              <w:top w:w="15" w:type="dxa"/>
              <w:left w:w="0" w:type="dxa"/>
              <w:bottom w:w="0" w:type="dxa"/>
              <w:right w:w="15" w:type="dxa"/>
            </w:tcMar>
            <w:vAlign w:val="center"/>
            <w:hideMark/>
          </w:tcPr>
          <w:p w14:paraId="1E4A3A8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3" w:type="pct"/>
            <w:shd w:val="clear" w:color="auto" w:fill="FFFFFF"/>
            <w:tcMar>
              <w:top w:w="15" w:type="dxa"/>
              <w:left w:w="0" w:type="dxa"/>
              <w:bottom w:w="0" w:type="dxa"/>
              <w:right w:w="15" w:type="dxa"/>
            </w:tcMar>
            <w:vAlign w:val="center"/>
            <w:hideMark/>
          </w:tcPr>
          <w:p w14:paraId="20B5280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60CDC1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4" w:type="pct"/>
            <w:shd w:val="clear" w:color="auto" w:fill="CFF0FC"/>
            <w:noWrap/>
            <w:tcMar>
              <w:top w:w="15" w:type="dxa"/>
              <w:left w:w="0" w:type="dxa"/>
              <w:bottom w:w="0" w:type="dxa"/>
              <w:right w:w="15" w:type="dxa"/>
            </w:tcMar>
            <w:vAlign w:val="center"/>
            <w:hideMark/>
          </w:tcPr>
          <w:p w14:paraId="50958713" w14:textId="77777777" w:rsidR="00000000" w:rsidRDefault="00582324">
            <w:pPr>
              <w:pStyle w:val="a3"/>
              <w:spacing w:before="0" w:beforeAutospacing="0" w:after="0" w:afterAutospacing="0"/>
              <w:jc w:val="right"/>
              <w:rPr>
                <w:color w:val="000000"/>
                <w:sz w:val="18"/>
                <w:szCs w:val="18"/>
              </w:rPr>
            </w:pPr>
            <w:r>
              <w:rPr>
                <w:color w:val="000000"/>
                <w:sz w:val="18"/>
                <w:szCs w:val="18"/>
              </w:rPr>
              <w:t>5.10</w:t>
            </w:r>
          </w:p>
        </w:tc>
        <w:tc>
          <w:tcPr>
            <w:tcW w:w="50" w:type="pct"/>
            <w:shd w:val="clear" w:color="auto" w:fill="CFF0FC"/>
            <w:noWrap/>
            <w:tcMar>
              <w:top w:w="15" w:type="dxa"/>
              <w:left w:w="0" w:type="dxa"/>
              <w:bottom w:w="0" w:type="dxa"/>
              <w:right w:w="15" w:type="dxa"/>
            </w:tcMar>
            <w:vAlign w:val="center"/>
            <w:hideMark/>
          </w:tcPr>
          <w:p w14:paraId="136BC5E9"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5B3EE322" w14:textId="77777777" w:rsidR="00000000" w:rsidRDefault="00582324">
      <w:pPr>
        <w:pStyle w:val="a3"/>
        <w:spacing w:before="240" w:beforeAutospacing="0" w:after="0" w:afterAutospacing="0"/>
        <w:jc w:val="center"/>
        <w:rPr>
          <w:sz w:val="20"/>
          <w:szCs w:val="20"/>
        </w:rPr>
      </w:pPr>
      <w:r>
        <w:rPr>
          <w:sz w:val="20"/>
          <w:szCs w:val="20"/>
        </w:rPr>
        <w:t>10</w:t>
      </w:r>
    </w:p>
    <w:p w14:paraId="169C866A" w14:textId="77777777" w:rsidR="00000000" w:rsidRDefault="00582324">
      <w:pPr>
        <w:rPr>
          <w:rFonts w:eastAsia="Times New Roman"/>
        </w:rPr>
      </w:pPr>
      <w:r>
        <w:rPr>
          <w:rFonts w:eastAsia="Times New Roman"/>
        </w:rPr>
        <w:pict w14:anchorId="0B1D73B2">
          <v:rect id="_x0000_i1036" style="width:0;height:1.5pt" o:hralign="center" o:hrstd="t" o:hr="t" fillcolor="#a0a0a0" stroked="f"/>
        </w:pict>
      </w:r>
    </w:p>
    <w:p w14:paraId="0DDD5C0A" w14:textId="77777777" w:rsidR="00000000" w:rsidRDefault="00582324">
      <w:pPr>
        <w:pStyle w:val="a3"/>
        <w:spacing w:before="0" w:beforeAutospacing="0" w:after="0" w:afterAutospacing="0"/>
        <w:rPr>
          <w:sz w:val="20"/>
          <w:szCs w:val="20"/>
        </w:rPr>
      </w:pPr>
      <w:r>
        <w:rPr>
          <w:sz w:val="20"/>
          <w:szCs w:val="20"/>
        </w:rPr>
        <w:t> </w:t>
      </w:r>
    </w:p>
    <w:p w14:paraId="0020A2B6" w14:textId="77777777" w:rsidR="00000000" w:rsidRDefault="00582324">
      <w:pPr>
        <w:pStyle w:val="a3"/>
        <w:spacing w:before="0" w:beforeAutospacing="0" w:after="0" w:afterAutospacing="0"/>
        <w:rPr>
          <w:sz w:val="20"/>
          <w:szCs w:val="20"/>
        </w:rPr>
      </w:pPr>
      <w:r>
        <w:rPr>
          <w:sz w:val="20"/>
          <w:szCs w:val="20"/>
        </w:rPr>
        <w:t> </w:t>
      </w:r>
    </w:p>
    <w:p w14:paraId="7F0EC0A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The following is a schedule by year of the maturities of lease liabilities with original terms in excess of one year:</w:t>
      </w:r>
    </w:p>
    <w:p w14:paraId="7401009C" w14:textId="77777777" w:rsidR="00000000" w:rsidRDefault="00582324">
      <w:pPr>
        <w:pStyle w:val="a3"/>
        <w:shd w:val="clear" w:color="auto" w:fill="FFFFFF"/>
        <w:spacing w:before="240" w:beforeAutospacing="0" w:after="0" w:afterAutospacing="0"/>
        <w:ind w:firstLine="416"/>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503"/>
        <w:gridCol w:w="234"/>
        <w:gridCol w:w="106"/>
        <w:gridCol w:w="1155"/>
        <w:gridCol w:w="75"/>
        <w:gridCol w:w="234"/>
        <w:gridCol w:w="106"/>
        <w:gridCol w:w="1157"/>
        <w:gridCol w:w="75"/>
      </w:tblGrid>
      <w:tr w:rsidR="00000000" w14:paraId="0D35F96F" w14:textId="77777777">
        <w:trPr>
          <w:divId w:val="1557547334"/>
        </w:trPr>
        <w:tc>
          <w:tcPr>
            <w:tcW w:w="2650" w:type="pct"/>
            <w:shd w:val="clear" w:color="auto" w:fill="FFFFFF"/>
            <w:tcMar>
              <w:top w:w="15" w:type="dxa"/>
              <w:left w:w="0" w:type="dxa"/>
              <w:bottom w:w="0" w:type="dxa"/>
              <w:right w:w="15" w:type="dxa"/>
            </w:tcMar>
            <w:vAlign w:val="center"/>
            <w:hideMark/>
          </w:tcPr>
          <w:p w14:paraId="65814F57" w14:textId="77777777" w:rsidR="00000000" w:rsidRDefault="00582324">
            <w:pPr>
              <w:pStyle w:val="a3"/>
              <w:spacing w:before="0" w:beforeAutospacing="0" w:after="0" w:afterAutospacing="0"/>
              <w:rPr>
                <w:sz w:val="20"/>
                <w:szCs w:val="20"/>
              </w:rPr>
            </w:pPr>
            <w:r>
              <w:rPr>
                <w:sz w:val="20"/>
                <w:szCs w:val="20"/>
              </w:rPr>
              <w:t> </w:t>
            </w:r>
          </w:p>
        </w:tc>
        <w:tc>
          <w:tcPr>
            <w:tcW w:w="190" w:type="pct"/>
            <w:shd w:val="clear" w:color="auto" w:fill="FFFFFF"/>
            <w:tcMar>
              <w:top w:w="15" w:type="dxa"/>
              <w:left w:w="0" w:type="dxa"/>
              <w:bottom w:w="0" w:type="dxa"/>
              <w:right w:w="15" w:type="dxa"/>
            </w:tcMar>
            <w:vAlign w:val="center"/>
            <w:hideMark/>
          </w:tcPr>
          <w:p w14:paraId="2CCDA16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108" w:type="pct"/>
            <w:gridSpan w:val="6"/>
            <w:tcBorders>
              <w:bottom w:val="single" w:sz="6" w:space="0" w:color="000000"/>
            </w:tcBorders>
            <w:shd w:val="clear" w:color="auto" w:fill="FFFFFF"/>
            <w:tcMar>
              <w:top w:w="15" w:type="dxa"/>
              <w:left w:w="0" w:type="dxa"/>
              <w:bottom w:w="0" w:type="dxa"/>
              <w:right w:w="15" w:type="dxa"/>
            </w:tcMar>
            <w:vAlign w:val="center"/>
            <w:hideMark/>
          </w:tcPr>
          <w:p w14:paraId="67B5123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center"/>
            <w:hideMark/>
          </w:tcPr>
          <w:p w14:paraId="28883A6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F95C826" w14:textId="77777777">
        <w:trPr>
          <w:divId w:val="1557547334"/>
        </w:trPr>
        <w:tc>
          <w:tcPr>
            <w:tcW w:w="2650" w:type="pct"/>
            <w:shd w:val="clear" w:color="auto" w:fill="FFFFFF"/>
            <w:tcMar>
              <w:top w:w="15" w:type="dxa"/>
              <w:left w:w="0" w:type="dxa"/>
              <w:bottom w:w="0" w:type="dxa"/>
              <w:right w:w="15" w:type="dxa"/>
            </w:tcMar>
            <w:vAlign w:val="center"/>
            <w:hideMark/>
          </w:tcPr>
          <w:p w14:paraId="6AAED3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90" w:type="pct"/>
            <w:shd w:val="clear" w:color="auto" w:fill="FFFFFF"/>
            <w:tcMar>
              <w:top w:w="15" w:type="dxa"/>
              <w:left w:w="0" w:type="dxa"/>
              <w:bottom w:w="0" w:type="dxa"/>
              <w:right w:w="15" w:type="dxa"/>
            </w:tcMar>
            <w:vAlign w:val="center"/>
            <w:hideMark/>
          </w:tcPr>
          <w:p w14:paraId="4FFA1CE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4932EFE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Operating Leases</w:t>
            </w:r>
          </w:p>
        </w:tc>
        <w:tc>
          <w:tcPr>
            <w:tcW w:w="50" w:type="pct"/>
            <w:shd w:val="clear" w:color="auto" w:fill="FFFFFF"/>
            <w:noWrap/>
            <w:tcMar>
              <w:top w:w="15" w:type="dxa"/>
              <w:left w:w="0" w:type="dxa"/>
              <w:bottom w:w="0" w:type="dxa"/>
              <w:right w:w="15" w:type="dxa"/>
            </w:tcMar>
            <w:vAlign w:val="center"/>
            <w:hideMark/>
          </w:tcPr>
          <w:p w14:paraId="422B518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90" w:type="pct"/>
            <w:tcBorders>
              <w:top w:val="single" w:sz="6" w:space="0" w:color="000000"/>
            </w:tcBorders>
            <w:shd w:val="clear" w:color="auto" w:fill="FFFFFF"/>
            <w:tcMar>
              <w:top w:w="15" w:type="dxa"/>
              <w:left w:w="0" w:type="dxa"/>
              <w:bottom w:w="0" w:type="dxa"/>
              <w:right w:w="15" w:type="dxa"/>
            </w:tcMar>
            <w:vAlign w:val="center"/>
            <w:hideMark/>
          </w:tcPr>
          <w:p w14:paraId="12E3A09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419517C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Finance Leases</w:t>
            </w:r>
          </w:p>
        </w:tc>
        <w:tc>
          <w:tcPr>
            <w:tcW w:w="50" w:type="pct"/>
            <w:shd w:val="clear" w:color="auto" w:fill="FFFFFF"/>
            <w:noWrap/>
            <w:tcMar>
              <w:top w:w="15" w:type="dxa"/>
              <w:left w:w="0" w:type="dxa"/>
              <w:bottom w:w="0" w:type="dxa"/>
              <w:right w:w="15" w:type="dxa"/>
            </w:tcMar>
            <w:vAlign w:val="center"/>
            <w:hideMark/>
          </w:tcPr>
          <w:p w14:paraId="0FBCF87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21DC2A9" w14:textId="77777777">
        <w:trPr>
          <w:divId w:val="1557547334"/>
        </w:trPr>
        <w:tc>
          <w:tcPr>
            <w:tcW w:w="2650" w:type="pct"/>
            <w:shd w:val="clear" w:color="auto" w:fill="CFF0FC"/>
            <w:tcMar>
              <w:top w:w="15" w:type="dxa"/>
              <w:left w:w="0" w:type="dxa"/>
              <w:bottom w:w="0" w:type="dxa"/>
              <w:right w:w="15" w:type="dxa"/>
            </w:tcMar>
            <w:vAlign w:val="center"/>
            <w:hideMark/>
          </w:tcPr>
          <w:p w14:paraId="102C337F" w14:textId="77777777" w:rsidR="00000000" w:rsidRDefault="00582324">
            <w:pPr>
              <w:pStyle w:val="a3"/>
              <w:spacing w:before="0" w:beforeAutospacing="0" w:after="0" w:afterAutospacing="0"/>
              <w:ind w:left="137"/>
              <w:rPr>
                <w:color w:val="000000"/>
                <w:sz w:val="18"/>
                <w:szCs w:val="18"/>
              </w:rPr>
            </w:pPr>
            <w:r>
              <w:rPr>
                <w:color w:val="000000"/>
                <w:sz w:val="18"/>
                <w:szCs w:val="18"/>
              </w:rPr>
              <w:t>Remainder of 2021</w:t>
            </w:r>
          </w:p>
        </w:tc>
        <w:tc>
          <w:tcPr>
            <w:tcW w:w="190" w:type="pct"/>
            <w:shd w:val="clear" w:color="auto" w:fill="CFF0FC"/>
            <w:tcMar>
              <w:top w:w="15" w:type="dxa"/>
              <w:left w:w="0" w:type="dxa"/>
              <w:bottom w:w="0" w:type="dxa"/>
              <w:right w:w="15" w:type="dxa"/>
            </w:tcMar>
            <w:vAlign w:val="center"/>
            <w:hideMark/>
          </w:tcPr>
          <w:p w14:paraId="0AC052E0"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3816A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3" w:type="pct"/>
            <w:tcBorders>
              <w:top w:val="single" w:sz="6" w:space="0" w:color="000000"/>
            </w:tcBorders>
            <w:shd w:val="clear" w:color="auto" w:fill="CFF0FC"/>
            <w:noWrap/>
            <w:tcMar>
              <w:top w:w="15" w:type="dxa"/>
              <w:left w:w="0" w:type="dxa"/>
              <w:bottom w:w="0" w:type="dxa"/>
              <w:right w:w="15" w:type="dxa"/>
            </w:tcMar>
            <w:vAlign w:val="bottom"/>
            <w:hideMark/>
          </w:tcPr>
          <w:p w14:paraId="75C9856A" w14:textId="77777777" w:rsidR="00000000" w:rsidRDefault="00582324">
            <w:pPr>
              <w:pStyle w:val="a3"/>
              <w:spacing w:before="0" w:beforeAutospacing="0" w:after="0" w:afterAutospacing="0"/>
              <w:jc w:val="right"/>
              <w:rPr>
                <w:color w:val="000000"/>
                <w:sz w:val="18"/>
                <w:szCs w:val="18"/>
              </w:rPr>
            </w:pPr>
            <w:r>
              <w:rPr>
                <w:color w:val="000000"/>
                <w:sz w:val="18"/>
                <w:szCs w:val="18"/>
              </w:rPr>
              <w:t>4,300</w:t>
            </w:r>
          </w:p>
        </w:tc>
        <w:tc>
          <w:tcPr>
            <w:tcW w:w="50" w:type="pct"/>
            <w:shd w:val="clear" w:color="auto" w:fill="CFF0FC"/>
            <w:noWrap/>
            <w:tcMar>
              <w:top w:w="15" w:type="dxa"/>
              <w:left w:w="0" w:type="dxa"/>
              <w:bottom w:w="0" w:type="dxa"/>
              <w:right w:w="15" w:type="dxa"/>
            </w:tcMar>
            <w:vAlign w:val="bottom"/>
            <w:hideMark/>
          </w:tcPr>
          <w:p w14:paraId="4F102C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CFF0FC"/>
            <w:tcMar>
              <w:top w:w="15" w:type="dxa"/>
              <w:left w:w="0" w:type="dxa"/>
              <w:bottom w:w="0" w:type="dxa"/>
              <w:right w:w="15" w:type="dxa"/>
            </w:tcMar>
            <w:vAlign w:val="center"/>
            <w:hideMark/>
          </w:tcPr>
          <w:p w14:paraId="3A8E6B0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AC82E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3" w:type="pct"/>
            <w:tcBorders>
              <w:top w:val="single" w:sz="6" w:space="0" w:color="000000"/>
            </w:tcBorders>
            <w:shd w:val="clear" w:color="auto" w:fill="CFF0FC"/>
            <w:noWrap/>
            <w:tcMar>
              <w:top w:w="15" w:type="dxa"/>
              <w:left w:w="0" w:type="dxa"/>
              <w:bottom w:w="0" w:type="dxa"/>
              <w:right w:w="15" w:type="dxa"/>
            </w:tcMar>
            <w:vAlign w:val="bottom"/>
            <w:hideMark/>
          </w:tcPr>
          <w:p w14:paraId="692764FC" w14:textId="77777777" w:rsidR="00000000" w:rsidRDefault="00582324">
            <w:pPr>
              <w:pStyle w:val="a3"/>
              <w:spacing w:before="0" w:beforeAutospacing="0" w:after="0" w:afterAutospacing="0"/>
              <w:jc w:val="right"/>
              <w:rPr>
                <w:color w:val="000000"/>
                <w:sz w:val="18"/>
                <w:szCs w:val="18"/>
              </w:rPr>
            </w:pPr>
            <w:r>
              <w:rPr>
                <w:color w:val="000000"/>
                <w:sz w:val="18"/>
                <w:szCs w:val="18"/>
              </w:rPr>
              <w:t>1,724</w:t>
            </w:r>
          </w:p>
        </w:tc>
        <w:tc>
          <w:tcPr>
            <w:tcW w:w="50" w:type="pct"/>
            <w:shd w:val="clear" w:color="auto" w:fill="CFF0FC"/>
            <w:noWrap/>
            <w:tcMar>
              <w:top w:w="15" w:type="dxa"/>
              <w:left w:w="0" w:type="dxa"/>
              <w:bottom w:w="0" w:type="dxa"/>
              <w:right w:w="15" w:type="dxa"/>
            </w:tcMar>
            <w:vAlign w:val="bottom"/>
            <w:hideMark/>
          </w:tcPr>
          <w:p w14:paraId="2759FBC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272C6C2" w14:textId="77777777">
        <w:trPr>
          <w:divId w:val="1557547334"/>
        </w:trPr>
        <w:tc>
          <w:tcPr>
            <w:tcW w:w="2650" w:type="pct"/>
            <w:shd w:val="clear" w:color="auto" w:fill="FFFFFF"/>
            <w:tcMar>
              <w:top w:w="15" w:type="dxa"/>
              <w:left w:w="0" w:type="dxa"/>
              <w:bottom w:w="0" w:type="dxa"/>
              <w:right w:w="15" w:type="dxa"/>
            </w:tcMar>
            <w:vAlign w:val="center"/>
            <w:hideMark/>
          </w:tcPr>
          <w:p w14:paraId="0AC1A969" w14:textId="77777777" w:rsidR="00000000" w:rsidRDefault="00582324">
            <w:pPr>
              <w:pStyle w:val="a3"/>
              <w:spacing w:before="0" w:beforeAutospacing="0" w:after="0" w:afterAutospacing="0"/>
              <w:ind w:left="137"/>
              <w:rPr>
                <w:color w:val="000000"/>
                <w:sz w:val="18"/>
                <w:szCs w:val="18"/>
              </w:rPr>
            </w:pPr>
            <w:r>
              <w:rPr>
                <w:color w:val="000000"/>
                <w:sz w:val="18"/>
                <w:szCs w:val="18"/>
              </w:rPr>
              <w:t>2022</w:t>
            </w:r>
          </w:p>
        </w:tc>
        <w:tc>
          <w:tcPr>
            <w:tcW w:w="190" w:type="pct"/>
            <w:shd w:val="clear" w:color="auto" w:fill="FFFFFF"/>
            <w:tcMar>
              <w:top w:w="15" w:type="dxa"/>
              <w:left w:w="0" w:type="dxa"/>
              <w:bottom w:w="0" w:type="dxa"/>
              <w:right w:w="15" w:type="dxa"/>
            </w:tcMar>
            <w:vAlign w:val="center"/>
            <w:hideMark/>
          </w:tcPr>
          <w:p w14:paraId="428CD6B8"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1625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FFFFFF"/>
            <w:noWrap/>
            <w:tcMar>
              <w:top w:w="15" w:type="dxa"/>
              <w:left w:w="0" w:type="dxa"/>
              <w:bottom w:w="0" w:type="dxa"/>
              <w:right w:w="15" w:type="dxa"/>
            </w:tcMar>
            <w:vAlign w:val="bottom"/>
            <w:hideMark/>
          </w:tcPr>
          <w:p w14:paraId="5CB575A7" w14:textId="77777777" w:rsidR="00000000" w:rsidRDefault="00582324">
            <w:pPr>
              <w:pStyle w:val="a3"/>
              <w:spacing w:before="0" w:beforeAutospacing="0" w:after="0" w:afterAutospacing="0"/>
              <w:jc w:val="right"/>
              <w:rPr>
                <w:color w:val="000000"/>
                <w:sz w:val="18"/>
                <w:szCs w:val="18"/>
              </w:rPr>
            </w:pPr>
            <w:r>
              <w:rPr>
                <w:color w:val="000000"/>
                <w:sz w:val="18"/>
                <w:szCs w:val="18"/>
              </w:rPr>
              <w:t>6,865</w:t>
            </w:r>
          </w:p>
        </w:tc>
        <w:tc>
          <w:tcPr>
            <w:tcW w:w="50" w:type="pct"/>
            <w:shd w:val="clear" w:color="auto" w:fill="FFFFFF"/>
            <w:noWrap/>
            <w:tcMar>
              <w:top w:w="15" w:type="dxa"/>
              <w:left w:w="0" w:type="dxa"/>
              <w:bottom w:w="0" w:type="dxa"/>
              <w:right w:w="15" w:type="dxa"/>
            </w:tcMar>
            <w:vAlign w:val="bottom"/>
            <w:hideMark/>
          </w:tcPr>
          <w:p w14:paraId="386F60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FFFFFF"/>
            <w:tcMar>
              <w:top w:w="15" w:type="dxa"/>
              <w:left w:w="0" w:type="dxa"/>
              <w:bottom w:w="0" w:type="dxa"/>
              <w:right w:w="15" w:type="dxa"/>
            </w:tcMar>
            <w:vAlign w:val="center"/>
            <w:hideMark/>
          </w:tcPr>
          <w:p w14:paraId="23D16BD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22E1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FFFFFF"/>
            <w:noWrap/>
            <w:tcMar>
              <w:top w:w="15" w:type="dxa"/>
              <w:left w:w="0" w:type="dxa"/>
              <w:bottom w:w="0" w:type="dxa"/>
              <w:right w:w="15" w:type="dxa"/>
            </w:tcMar>
            <w:vAlign w:val="bottom"/>
            <w:hideMark/>
          </w:tcPr>
          <w:p w14:paraId="39350019" w14:textId="77777777" w:rsidR="00000000" w:rsidRDefault="00582324">
            <w:pPr>
              <w:pStyle w:val="a3"/>
              <w:spacing w:before="0" w:beforeAutospacing="0" w:after="0" w:afterAutospacing="0"/>
              <w:jc w:val="right"/>
              <w:rPr>
                <w:color w:val="000000"/>
                <w:sz w:val="18"/>
                <w:szCs w:val="18"/>
              </w:rPr>
            </w:pPr>
            <w:r>
              <w:rPr>
                <w:color w:val="000000"/>
                <w:sz w:val="18"/>
                <w:szCs w:val="18"/>
              </w:rPr>
              <w:t>2,986</w:t>
            </w:r>
          </w:p>
        </w:tc>
        <w:tc>
          <w:tcPr>
            <w:tcW w:w="50" w:type="pct"/>
            <w:shd w:val="clear" w:color="auto" w:fill="FFFFFF"/>
            <w:noWrap/>
            <w:tcMar>
              <w:top w:w="15" w:type="dxa"/>
              <w:left w:w="0" w:type="dxa"/>
              <w:bottom w:w="0" w:type="dxa"/>
              <w:right w:w="15" w:type="dxa"/>
            </w:tcMar>
            <w:vAlign w:val="bottom"/>
            <w:hideMark/>
          </w:tcPr>
          <w:p w14:paraId="4151994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23653A4" w14:textId="77777777">
        <w:trPr>
          <w:divId w:val="1557547334"/>
        </w:trPr>
        <w:tc>
          <w:tcPr>
            <w:tcW w:w="2650" w:type="pct"/>
            <w:shd w:val="clear" w:color="auto" w:fill="CFF0FC"/>
            <w:tcMar>
              <w:top w:w="15" w:type="dxa"/>
              <w:left w:w="0" w:type="dxa"/>
              <w:bottom w:w="0" w:type="dxa"/>
              <w:right w:w="15" w:type="dxa"/>
            </w:tcMar>
            <w:vAlign w:val="center"/>
            <w:hideMark/>
          </w:tcPr>
          <w:p w14:paraId="383FEBA0" w14:textId="77777777" w:rsidR="00000000" w:rsidRDefault="00582324">
            <w:pPr>
              <w:pStyle w:val="a3"/>
              <w:spacing w:before="0" w:beforeAutospacing="0" w:after="0" w:afterAutospacing="0"/>
              <w:ind w:left="137"/>
              <w:rPr>
                <w:color w:val="000000"/>
                <w:sz w:val="18"/>
                <w:szCs w:val="18"/>
              </w:rPr>
            </w:pPr>
            <w:r>
              <w:rPr>
                <w:color w:val="000000"/>
                <w:sz w:val="18"/>
                <w:szCs w:val="18"/>
              </w:rPr>
              <w:t>2023</w:t>
            </w:r>
          </w:p>
        </w:tc>
        <w:tc>
          <w:tcPr>
            <w:tcW w:w="190" w:type="pct"/>
            <w:shd w:val="clear" w:color="auto" w:fill="CFF0FC"/>
            <w:tcMar>
              <w:top w:w="15" w:type="dxa"/>
              <w:left w:w="0" w:type="dxa"/>
              <w:bottom w:w="0" w:type="dxa"/>
              <w:right w:w="15" w:type="dxa"/>
            </w:tcMar>
            <w:vAlign w:val="center"/>
            <w:hideMark/>
          </w:tcPr>
          <w:p w14:paraId="073F2961"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D230F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CFF0FC"/>
            <w:noWrap/>
            <w:tcMar>
              <w:top w:w="15" w:type="dxa"/>
              <w:left w:w="0" w:type="dxa"/>
              <w:bottom w:w="0" w:type="dxa"/>
              <w:right w:w="15" w:type="dxa"/>
            </w:tcMar>
            <w:vAlign w:val="bottom"/>
            <w:hideMark/>
          </w:tcPr>
          <w:p w14:paraId="6527F9CD" w14:textId="77777777" w:rsidR="00000000" w:rsidRDefault="00582324">
            <w:pPr>
              <w:pStyle w:val="a3"/>
              <w:spacing w:before="0" w:beforeAutospacing="0" w:after="0" w:afterAutospacing="0"/>
              <w:jc w:val="right"/>
              <w:rPr>
                <w:color w:val="000000"/>
                <w:sz w:val="18"/>
                <w:szCs w:val="18"/>
              </w:rPr>
            </w:pPr>
            <w:r>
              <w:rPr>
                <w:color w:val="000000"/>
                <w:sz w:val="18"/>
                <w:szCs w:val="18"/>
              </w:rPr>
              <w:t>4,851</w:t>
            </w:r>
          </w:p>
        </w:tc>
        <w:tc>
          <w:tcPr>
            <w:tcW w:w="50" w:type="pct"/>
            <w:shd w:val="clear" w:color="auto" w:fill="CFF0FC"/>
            <w:noWrap/>
            <w:tcMar>
              <w:top w:w="15" w:type="dxa"/>
              <w:left w:w="0" w:type="dxa"/>
              <w:bottom w:w="0" w:type="dxa"/>
              <w:right w:w="15" w:type="dxa"/>
            </w:tcMar>
            <w:vAlign w:val="bottom"/>
            <w:hideMark/>
          </w:tcPr>
          <w:p w14:paraId="49A718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CFF0FC"/>
            <w:tcMar>
              <w:top w:w="15" w:type="dxa"/>
              <w:left w:w="0" w:type="dxa"/>
              <w:bottom w:w="0" w:type="dxa"/>
              <w:right w:w="15" w:type="dxa"/>
            </w:tcMar>
            <w:vAlign w:val="center"/>
            <w:hideMark/>
          </w:tcPr>
          <w:p w14:paraId="2A629C1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40C13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CFF0FC"/>
            <w:noWrap/>
            <w:tcMar>
              <w:top w:w="15" w:type="dxa"/>
              <w:left w:w="0" w:type="dxa"/>
              <w:bottom w:w="0" w:type="dxa"/>
              <w:right w:w="15" w:type="dxa"/>
            </w:tcMar>
            <w:vAlign w:val="bottom"/>
            <w:hideMark/>
          </w:tcPr>
          <w:p w14:paraId="7E5A9E98" w14:textId="77777777" w:rsidR="00000000" w:rsidRDefault="00582324">
            <w:pPr>
              <w:pStyle w:val="a3"/>
              <w:spacing w:before="0" w:beforeAutospacing="0" w:after="0" w:afterAutospacing="0"/>
              <w:jc w:val="right"/>
              <w:rPr>
                <w:color w:val="000000"/>
                <w:sz w:val="18"/>
                <w:szCs w:val="18"/>
              </w:rPr>
            </w:pPr>
            <w:r>
              <w:rPr>
                <w:color w:val="000000"/>
                <w:sz w:val="18"/>
                <w:szCs w:val="18"/>
              </w:rPr>
              <w:t>2,126</w:t>
            </w:r>
          </w:p>
        </w:tc>
        <w:tc>
          <w:tcPr>
            <w:tcW w:w="50" w:type="pct"/>
            <w:shd w:val="clear" w:color="auto" w:fill="CFF0FC"/>
            <w:noWrap/>
            <w:tcMar>
              <w:top w:w="15" w:type="dxa"/>
              <w:left w:w="0" w:type="dxa"/>
              <w:bottom w:w="0" w:type="dxa"/>
              <w:right w:w="15" w:type="dxa"/>
            </w:tcMar>
            <w:vAlign w:val="bottom"/>
            <w:hideMark/>
          </w:tcPr>
          <w:p w14:paraId="75831E8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5B07E60" w14:textId="77777777">
        <w:trPr>
          <w:divId w:val="1557547334"/>
        </w:trPr>
        <w:tc>
          <w:tcPr>
            <w:tcW w:w="2650" w:type="pct"/>
            <w:shd w:val="clear" w:color="auto" w:fill="FFFFFF"/>
            <w:tcMar>
              <w:top w:w="15" w:type="dxa"/>
              <w:left w:w="0" w:type="dxa"/>
              <w:bottom w:w="0" w:type="dxa"/>
              <w:right w:w="15" w:type="dxa"/>
            </w:tcMar>
            <w:vAlign w:val="center"/>
            <w:hideMark/>
          </w:tcPr>
          <w:p w14:paraId="3933A281" w14:textId="77777777" w:rsidR="00000000" w:rsidRDefault="00582324">
            <w:pPr>
              <w:pStyle w:val="a3"/>
              <w:spacing w:before="0" w:beforeAutospacing="0" w:after="0" w:afterAutospacing="0"/>
              <w:ind w:left="137"/>
              <w:rPr>
                <w:color w:val="000000"/>
                <w:sz w:val="18"/>
                <w:szCs w:val="18"/>
              </w:rPr>
            </w:pPr>
            <w:r>
              <w:rPr>
                <w:color w:val="000000"/>
                <w:sz w:val="18"/>
                <w:szCs w:val="18"/>
              </w:rPr>
              <w:t>2024</w:t>
            </w:r>
          </w:p>
        </w:tc>
        <w:tc>
          <w:tcPr>
            <w:tcW w:w="190" w:type="pct"/>
            <w:shd w:val="clear" w:color="auto" w:fill="FFFFFF"/>
            <w:tcMar>
              <w:top w:w="15" w:type="dxa"/>
              <w:left w:w="0" w:type="dxa"/>
              <w:bottom w:w="0" w:type="dxa"/>
              <w:right w:w="15" w:type="dxa"/>
            </w:tcMar>
            <w:vAlign w:val="center"/>
            <w:hideMark/>
          </w:tcPr>
          <w:p w14:paraId="0CEE063C"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71D7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FFFFFF"/>
            <w:noWrap/>
            <w:tcMar>
              <w:top w:w="15" w:type="dxa"/>
              <w:left w:w="0" w:type="dxa"/>
              <w:bottom w:w="0" w:type="dxa"/>
              <w:right w:w="15" w:type="dxa"/>
            </w:tcMar>
            <w:vAlign w:val="bottom"/>
            <w:hideMark/>
          </w:tcPr>
          <w:p w14:paraId="045E9FD0" w14:textId="77777777" w:rsidR="00000000" w:rsidRDefault="00582324">
            <w:pPr>
              <w:pStyle w:val="a3"/>
              <w:spacing w:before="0" w:beforeAutospacing="0" w:after="0" w:afterAutospacing="0"/>
              <w:jc w:val="right"/>
              <w:rPr>
                <w:color w:val="000000"/>
                <w:sz w:val="18"/>
                <w:szCs w:val="18"/>
              </w:rPr>
            </w:pPr>
            <w:r>
              <w:rPr>
                <w:color w:val="000000"/>
                <w:sz w:val="18"/>
                <w:szCs w:val="18"/>
              </w:rPr>
              <w:t>3,344</w:t>
            </w:r>
          </w:p>
        </w:tc>
        <w:tc>
          <w:tcPr>
            <w:tcW w:w="50" w:type="pct"/>
            <w:shd w:val="clear" w:color="auto" w:fill="FFFFFF"/>
            <w:noWrap/>
            <w:tcMar>
              <w:top w:w="15" w:type="dxa"/>
              <w:left w:w="0" w:type="dxa"/>
              <w:bottom w:w="0" w:type="dxa"/>
              <w:right w:w="15" w:type="dxa"/>
            </w:tcMar>
            <w:vAlign w:val="bottom"/>
            <w:hideMark/>
          </w:tcPr>
          <w:p w14:paraId="3D25B0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FFFFFF"/>
            <w:tcMar>
              <w:top w:w="15" w:type="dxa"/>
              <w:left w:w="0" w:type="dxa"/>
              <w:bottom w:w="0" w:type="dxa"/>
              <w:right w:w="15" w:type="dxa"/>
            </w:tcMar>
            <w:vAlign w:val="center"/>
            <w:hideMark/>
          </w:tcPr>
          <w:p w14:paraId="69EE127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4793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shd w:val="clear" w:color="auto" w:fill="FFFFFF"/>
            <w:noWrap/>
            <w:tcMar>
              <w:top w:w="15" w:type="dxa"/>
              <w:left w:w="0" w:type="dxa"/>
              <w:bottom w:w="0" w:type="dxa"/>
              <w:right w:w="15" w:type="dxa"/>
            </w:tcMar>
            <w:vAlign w:val="bottom"/>
            <w:hideMark/>
          </w:tcPr>
          <w:p w14:paraId="6DFB5CB9" w14:textId="77777777" w:rsidR="00000000" w:rsidRDefault="00582324">
            <w:pPr>
              <w:pStyle w:val="a3"/>
              <w:spacing w:before="0" w:beforeAutospacing="0" w:after="0" w:afterAutospacing="0"/>
              <w:jc w:val="right"/>
              <w:rPr>
                <w:color w:val="000000"/>
                <w:sz w:val="18"/>
                <w:szCs w:val="18"/>
              </w:rPr>
            </w:pPr>
            <w:r>
              <w:rPr>
                <w:color w:val="000000"/>
                <w:sz w:val="18"/>
                <w:szCs w:val="18"/>
              </w:rPr>
              <w:t>1,116</w:t>
            </w:r>
          </w:p>
        </w:tc>
        <w:tc>
          <w:tcPr>
            <w:tcW w:w="50" w:type="pct"/>
            <w:shd w:val="clear" w:color="auto" w:fill="FFFFFF"/>
            <w:noWrap/>
            <w:tcMar>
              <w:top w:w="15" w:type="dxa"/>
              <w:left w:w="0" w:type="dxa"/>
              <w:bottom w:w="0" w:type="dxa"/>
              <w:right w:w="15" w:type="dxa"/>
            </w:tcMar>
            <w:vAlign w:val="bottom"/>
            <w:hideMark/>
          </w:tcPr>
          <w:p w14:paraId="5F2125B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EC757B5" w14:textId="77777777">
        <w:trPr>
          <w:divId w:val="1557547334"/>
        </w:trPr>
        <w:tc>
          <w:tcPr>
            <w:tcW w:w="2650" w:type="pct"/>
            <w:shd w:val="clear" w:color="auto" w:fill="CFF0FC"/>
            <w:tcMar>
              <w:top w:w="15" w:type="dxa"/>
              <w:left w:w="0" w:type="dxa"/>
              <w:bottom w:w="0" w:type="dxa"/>
              <w:right w:w="15" w:type="dxa"/>
            </w:tcMar>
            <w:vAlign w:val="center"/>
            <w:hideMark/>
          </w:tcPr>
          <w:p w14:paraId="2EECF8C0" w14:textId="77777777" w:rsidR="00000000" w:rsidRDefault="00582324">
            <w:pPr>
              <w:pStyle w:val="a3"/>
              <w:spacing w:before="0" w:beforeAutospacing="0" w:after="0" w:afterAutospacing="0"/>
              <w:ind w:left="137"/>
              <w:rPr>
                <w:color w:val="000000"/>
                <w:sz w:val="18"/>
                <w:szCs w:val="18"/>
              </w:rPr>
            </w:pPr>
            <w:r>
              <w:rPr>
                <w:color w:val="000000"/>
                <w:sz w:val="18"/>
                <w:szCs w:val="18"/>
              </w:rPr>
              <w:t>2025 and thereafter</w:t>
            </w:r>
          </w:p>
        </w:tc>
        <w:tc>
          <w:tcPr>
            <w:tcW w:w="190" w:type="pct"/>
            <w:shd w:val="clear" w:color="auto" w:fill="CFF0FC"/>
            <w:tcMar>
              <w:top w:w="15" w:type="dxa"/>
              <w:left w:w="0" w:type="dxa"/>
              <w:bottom w:w="0" w:type="dxa"/>
              <w:right w:w="15" w:type="dxa"/>
            </w:tcMar>
            <w:vAlign w:val="center"/>
            <w:hideMark/>
          </w:tcPr>
          <w:p w14:paraId="540FA95A"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E0C6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bottom w:val="single" w:sz="6" w:space="0" w:color="000000"/>
            </w:tcBorders>
            <w:shd w:val="clear" w:color="auto" w:fill="CFF0FC"/>
            <w:noWrap/>
            <w:tcMar>
              <w:top w:w="15" w:type="dxa"/>
              <w:left w:w="0" w:type="dxa"/>
              <w:bottom w:w="0" w:type="dxa"/>
              <w:right w:w="15" w:type="dxa"/>
            </w:tcMar>
            <w:vAlign w:val="bottom"/>
            <w:hideMark/>
          </w:tcPr>
          <w:p w14:paraId="051C9636" w14:textId="77777777" w:rsidR="00000000" w:rsidRDefault="00582324">
            <w:pPr>
              <w:pStyle w:val="a3"/>
              <w:spacing w:before="0" w:beforeAutospacing="0" w:after="0" w:afterAutospacing="0"/>
              <w:jc w:val="right"/>
              <w:rPr>
                <w:color w:val="000000"/>
                <w:sz w:val="18"/>
                <w:szCs w:val="18"/>
              </w:rPr>
            </w:pPr>
            <w:r>
              <w:rPr>
                <w:color w:val="000000"/>
                <w:sz w:val="18"/>
                <w:szCs w:val="18"/>
              </w:rPr>
              <w:t>8,356</w:t>
            </w:r>
          </w:p>
        </w:tc>
        <w:tc>
          <w:tcPr>
            <w:tcW w:w="50" w:type="pct"/>
            <w:shd w:val="clear" w:color="auto" w:fill="CFF0FC"/>
            <w:noWrap/>
            <w:tcMar>
              <w:top w:w="15" w:type="dxa"/>
              <w:left w:w="0" w:type="dxa"/>
              <w:bottom w:w="0" w:type="dxa"/>
              <w:right w:w="15" w:type="dxa"/>
            </w:tcMar>
            <w:vAlign w:val="bottom"/>
            <w:hideMark/>
          </w:tcPr>
          <w:p w14:paraId="34BB43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CFF0FC"/>
            <w:tcMar>
              <w:top w:w="15" w:type="dxa"/>
              <w:left w:w="0" w:type="dxa"/>
              <w:bottom w:w="0" w:type="dxa"/>
              <w:right w:w="15" w:type="dxa"/>
            </w:tcMar>
            <w:vAlign w:val="center"/>
            <w:hideMark/>
          </w:tcPr>
          <w:p w14:paraId="0F09F9B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BE91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bottom w:val="single" w:sz="6" w:space="0" w:color="000000"/>
            </w:tcBorders>
            <w:shd w:val="clear" w:color="auto" w:fill="CFF0FC"/>
            <w:noWrap/>
            <w:tcMar>
              <w:top w:w="15" w:type="dxa"/>
              <w:left w:w="0" w:type="dxa"/>
              <w:bottom w:w="0" w:type="dxa"/>
              <w:right w:w="15" w:type="dxa"/>
            </w:tcMar>
            <w:vAlign w:val="bottom"/>
            <w:hideMark/>
          </w:tcPr>
          <w:p w14:paraId="05DF58DA" w14:textId="77777777" w:rsidR="00000000" w:rsidRDefault="00582324">
            <w:pPr>
              <w:pStyle w:val="a3"/>
              <w:spacing w:before="0" w:beforeAutospacing="0" w:after="0" w:afterAutospacing="0"/>
              <w:jc w:val="right"/>
              <w:rPr>
                <w:color w:val="000000"/>
                <w:sz w:val="18"/>
                <w:szCs w:val="18"/>
              </w:rPr>
            </w:pPr>
            <w:r>
              <w:rPr>
                <w:color w:val="000000"/>
                <w:sz w:val="18"/>
                <w:szCs w:val="18"/>
              </w:rPr>
              <w:t>381</w:t>
            </w:r>
          </w:p>
        </w:tc>
        <w:tc>
          <w:tcPr>
            <w:tcW w:w="50" w:type="pct"/>
            <w:shd w:val="clear" w:color="auto" w:fill="CFF0FC"/>
            <w:noWrap/>
            <w:tcMar>
              <w:top w:w="15" w:type="dxa"/>
              <w:left w:w="0" w:type="dxa"/>
              <w:bottom w:w="0" w:type="dxa"/>
              <w:right w:w="15" w:type="dxa"/>
            </w:tcMar>
            <w:vAlign w:val="bottom"/>
            <w:hideMark/>
          </w:tcPr>
          <w:p w14:paraId="646055C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3A08E68" w14:textId="77777777">
        <w:trPr>
          <w:divId w:val="1557547334"/>
        </w:trPr>
        <w:tc>
          <w:tcPr>
            <w:tcW w:w="2650" w:type="pct"/>
            <w:shd w:val="clear" w:color="auto" w:fill="FFFFFF"/>
            <w:tcMar>
              <w:top w:w="15" w:type="dxa"/>
              <w:left w:w="0" w:type="dxa"/>
              <w:bottom w:w="0" w:type="dxa"/>
              <w:right w:w="15" w:type="dxa"/>
            </w:tcMar>
            <w:vAlign w:val="center"/>
            <w:hideMark/>
          </w:tcPr>
          <w:p w14:paraId="207C9F3C" w14:textId="77777777" w:rsidR="00000000" w:rsidRDefault="00582324">
            <w:pPr>
              <w:pStyle w:val="a3"/>
              <w:spacing w:before="0" w:beforeAutospacing="0" w:after="0" w:afterAutospacing="0"/>
              <w:rPr>
                <w:color w:val="000000"/>
                <w:sz w:val="18"/>
                <w:szCs w:val="18"/>
              </w:rPr>
            </w:pPr>
            <w:r>
              <w:rPr>
                <w:color w:val="000000"/>
                <w:sz w:val="18"/>
                <w:szCs w:val="18"/>
              </w:rPr>
              <w:t>Total undiscounted future minimum lease payments</w:t>
            </w:r>
          </w:p>
        </w:tc>
        <w:tc>
          <w:tcPr>
            <w:tcW w:w="190" w:type="pct"/>
            <w:shd w:val="clear" w:color="auto" w:fill="FFFFFF"/>
            <w:tcMar>
              <w:top w:w="15" w:type="dxa"/>
              <w:left w:w="0" w:type="dxa"/>
              <w:bottom w:w="0" w:type="dxa"/>
              <w:right w:w="15" w:type="dxa"/>
            </w:tcMar>
            <w:vAlign w:val="center"/>
            <w:hideMark/>
          </w:tcPr>
          <w:p w14:paraId="67F58A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1D02C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top w:val="single" w:sz="6" w:space="0" w:color="000000"/>
            </w:tcBorders>
            <w:shd w:val="clear" w:color="auto" w:fill="FFFFFF"/>
            <w:noWrap/>
            <w:tcMar>
              <w:top w:w="15" w:type="dxa"/>
              <w:left w:w="0" w:type="dxa"/>
              <w:bottom w:w="0" w:type="dxa"/>
              <w:right w:w="15" w:type="dxa"/>
            </w:tcMar>
            <w:vAlign w:val="bottom"/>
            <w:hideMark/>
          </w:tcPr>
          <w:p w14:paraId="3A4F5F5D" w14:textId="77777777" w:rsidR="00000000" w:rsidRDefault="00582324">
            <w:pPr>
              <w:pStyle w:val="a3"/>
              <w:spacing w:before="0" w:beforeAutospacing="0" w:after="0" w:afterAutospacing="0"/>
              <w:jc w:val="right"/>
              <w:rPr>
                <w:color w:val="000000"/>
                <w:sz w:val="18"/>
                <w:szCs w:val="18"/>
              </w:rPr>
            </w:pPr>
            <w:r>
              <w:rPr>
                <w:color w:val="000000"/>
                <w:sz w:val="18"/>
                <w:szCs w:val="18"/>
              </w:rPr>
              <w:t>27,716</w:t>
            </w:r>
          </w:p>
        </w:tc>
        <w:tc>
          <w:tcPr>
            <w:tcW w:w="50" w:type="pct"/>
            <w:shd w:val="clear" w:color="auto" w:fill="FFFFFF"/>
            <w:noWrap/>
            <w:tcMar>
              <w:top w:w="15" w:type="dxa"/>
              <w:left w:w="0" w:type="dxa"/>
              <w:bottom w:w="0" w:type="dxa"/>
              <w:right w:w="15" w:type="dxa"/>
            </w:tcMar>
            <w:vAlign w:val="bottom"/>
            <w:hideMark/>
          </w:tcPr>
          <w:p w14:paraId="120A3D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FFFFFF"/>
            <w:tcMar>
              <w:top w:w="15" w:type="dxa"/>
              <w:left w:w="0" w:type="dxa"/>
              <w:bottom w:w="0" w:type="dxa"/>
              <w:right w:w="15" w:type="dxa"/>
            </w:tcMar>
            <w:vAlign w:val="center"/>
            <w:hideMark/>
          </w:tcPr>
          <w:p w14:paraId="2DDA427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33A1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top w:val="single" w:sz="6" w:space="0" w:color="000000"/>
            </w:tcBorders>
            <w:shd w:val="clear" w:color="auto" w:fill="FFFFFF"/>
            <w:noWrap/>
            <w:tcMar>
              <w:top w:w="15" w:type="dxa"/>
              <w:left w:w="0" w:type="dxa"/>
              <w:bottom w:w="0" w:type="dxa"/>
              <w:right w:w="15" w:type="dxa"/>
            </w:tcMar>
            <w:vAlign w:val="bottom"/>
            <w:hideMark/>
          </w:tcPr>
          <w:p w14:paraId="3CB530F5" w14:textId="77777777" w:rsidR="00000000" w:rsidRDefault="00582324">
            <w:pPr>
              <w:pStyle w:val="a3"/>
              <w:spacing w:before="0" w:beforeAutospacing="0" w:after="0" w:afterAutospacing="0"/>
              <w:jc w:val="right"/>
              <w:rPr>
                <w:color w:val="000000"/>
                <w:sz w:val="18"/>
                <w:szCs w:val="18"/>
              </w:rPr>
            </w:pPr>
            <w:r>
              <w:rPr>
                <w:color w:val="000000"/>
                <w:sz w:val="18"/>
                <w:szCs w:val="18"/>
              </w:rPr>
              <w:t>8,333</w:t>
            </w:r>
          </w:p>
        </w:tc>
        <w:tc>
          <w:tcPr>
            <w:tcW w:w="50" w:type="pct"/>
            <w:shd w:val="clear" w:color="auto" w:fill="FFFFFF"/>
            <w:noWrap/>
            <w:tcMar>
              <w:top w:w="15" w:type="dxa"/>
              <w:left w:w="0" w:type="dxa"/>
              <w:bottom w:w="0" w:type="dxa"/>
              <w:right w:w="15" w:type="dxa"/>
            </w:tcMar>
            <w:vAlign w:val="bottom"/>
            <w:hideMark/>
          </w:tcPr>
          <w:p w14:paraId="0E23EF5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A5AA667" w14:textId="77777777">
        <w:trPr>
          <w:divId w:val="1557547334"/>
        </w:trPr>
        <w:tc>
          <w:tcPr>
            <w:tcW w:w="2650" w:type="pct"/>
            <w:shd w:val="clear" w:color="auto" w:fill="CFF0FC"/>
            <w:tcMar>
              <w:top w:w="15" w:type="dxa"/>
              <w:left w:w="0" w:type="dxa"/>
              <w:bottom w:w="0" w:type="dxa"/>
              <w:right w:w="15" w:type="dxa"/>
            </w:tcMar>
            <w:vAlign w:val="center"/>
            <w:hideMark/>
          </w:tcPr>
          <w:p w14:paraId="1183E40E" w14:textId="77777777" w:rsidR="00000000" w:rsidRDefault="00582324">
            <w:pPr>
              <w:pStyle w:val="a3"/>
              <w:spacing w:before="0" w:beforeAutospacing="0" w:after="0" w:afterAutospacing="0"/>
              <w:rPr>
                <w:color w:val="000000"/>
                <w:sz w:val="18"/>
                <w:szCs w:val="18"/>
              </w:rPr>
            </w:pPr>
            <w:r>
              <w:rPr>
                <w:color w:val="000000"/>
                <w:sz w:val="18"/>
                <w:szCs w:val="18"/>
              </w:rPr>
              <w:t>Less imputed interest</w:t>
            </w:r>
          </w:p>
        </w:tc>
        <w:tc>
          <w:tcPr>
            <w:tcW w:w="190" w:type="pct"/>
            <w:shd w:val="clear" w:color="auto" w:fill="CFF0FC"/>
            <w:tcMar>
              <w:top w:w="15" w:type="dxa"/>
              <w:left w:w="0" w:type="dxa"/>
              <w:bottom w:w="0" w:type="dxa"/>
              <w:right w:w="15" w:type="dxa"/>
            </w:tcMar>
            <w:vAlign w:val="center"/>
            <w:hideMark/>
          </w:tcPr>
          <w:p w14:paraId="0BD0B060" w14:textId="77777777" w:rsidR="00000000" w:rsidRDefault="00582324">
            <w:pPr>
              <w:pStyle w:val="a3"/>
              <w:spacing w:before="0" w:beforeAutospacing="0" w:after="0" w:afterAutospacing="0"/>
              <w:ind w:left="137"/>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0B0A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bottom w:val="single" w:sz="6" w:space="0" w:color="000000"/>
            </w:tcBorders>
            <w:shd w:val="clear" w:color="auto" w:fill="CFF0FC"/>
            <w:noWrap/>
            <w:tcMar>
              <w:top w:w="15" w:type="dxa"/>
              <w:left w:w="0" w:type="dxa"/>
              <w:bottom w:w="0" w:type="dxa"/>
              <w:right w:w="15" w:type="dxa"/>
            </w:tcMar>
            <w:vAlign w:val="bottom"/>
            <w:hideMark/>
          </w:tcPr>
          <w:p w14:paraId="22A634DE" w14:textId="77777777" w:rsidR="00000000" w:rsidRDefault="00582324">
            <w:pPr>
              <w:pStyle w:val="a3"/>
              <w:spacing w:before="0" w:beforeAutospacing="0" w:after="0" w:afterAutospacing="0"/>
              <w:jc w:val="right"/>
              <w:rPr>
                <w:color w:val="000000"/>
                <w:sz w:val="18"/>
                <w:szCs w:val="18"/>
              </w:rPr>
            </w:pPr>
            <w:r>
              <w:rPr>
                <w:color w:val="000000"/>
                <w:sz w:val="18"/>
                <w:szCs w:val="18"/>
              </w:rPr>
              <w:t>(1,805</w:t>
            </w:r>
          </w:p>
        </w:tc>
        <w:tc>
          <w:tcPr>
            <w:tcW w:w="50" w:type="pct"/>
            <w:shd w:val="clear" w:color="auto" w:fill="CFF0FC"/>
            <w:noWrap/>
            <w:tcMar>
              <w:top w:w="15" w:type="dxa"/>
              <w:left w:w="0" w:type="dxa"/>
              <w:bottom w:w="0" w:type="dxa"/>
              <w:right w:w="15" w:type="dxa"/>
            </w:tcMar>
            <w:vAlign w:val="bottom"/>
            <w:hideMark/>
          </w:tcPr>
          <w:p w14:paraId="5D46F93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90" w:type="pct"/>
            <w:shd w:val="clear" w:color="auto" w:fill="CFF0FC"/>
            <w:tcMar>
              <w:top w:w="15" w:type="dxa"/>
              <w:left w:w="0" w:type="dxa"/>
              <w:bottom w:w="0" w:type="dxa"/>
              <w:right w:w="15" w:type="dxa"/>
            </w:tcMar>
            <w:vAlign w:val="center"/>
            <w:hideMark/>
          </w:tcPr>
          <w:p w14:paraId="06D2D71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937F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83" w:type="pct"/>
            <w:tcBorders>
              <w:bottom w:val="single" w:sz="6" w:space="0" w:color="000000"/>
            </w:tcBorders>
            <w:shd w:val="clear" w:color="auto" w:fill="CFF0FC"/>
            <w:noWrap/>
            <w:tcMar>
              <w:top w:w="15" w:type="dxa"/>
              <w:left w:w="0" w:type="dxa"/>
              <w:bottom w:w="0" w:type="dxa"/>
              <w:right w:w="15" w:type="dxa"/>
            </w:tcMar>
            <w:vAlign w:val="bottom"/>
            <w:hideMark/>
          </w:tcPr>
          <w:p w14:paraId="729216E5" w14:textId="77777777" w:rsidR="00000000" w:rsidRDefault="00582324">
            <w:pPr>
              <w:pStyle w:val="a3"/>
              <w:spacing w:before="0" w:beforeAutospacing="0" w:after="0" w:afterAutospacing="0"/>
              <w:jc w:val="right"/>
              <w:rPr>
                <w:color w:val="000000"/>
                <w:sz w:val="18"/>
                <w:szCs w:val="18"/>
              </w:rPr>
            </w:pPr>
            <w:r>
              <w:rPr>
                <w:color w:val="000000"/>
                <w:sz w:val="18"/>
                <w:szCs w:val="18"/>
              </w:rPr>
              <w:t>(582</w:t>
            </w:r>
          </w:p>
        </w:tc>
        <w:tc>
          <w:tcPr>
            <w:tcW w:w="50" w:type="pct"/>
            <w:shd w:val="clear" w:color="auto" w:fill="CFF0FC"/>
            <w:noWrap/>
            <w:tcMar>
              <w:top w:w="15" w:type="dxa"/>
              <w:left w:w="0" w:type="dxa"/>
              <w:bottom w:w="0" w:type="dxa"/>
              <w:right w:w="15" w:type="dxa"/>
            </w:tcMar>
            <w:vAlign w:val="bottom"/>
            <w:hideMark/>
          </w:tcPr>
          <w:p w14:paraId="69854FFE"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50075F7E" w14:textId="77777777">
        <w:trPr>
          <w:divId w:val="1557547334"/>
        </w:trPr>
        <w:tc>
          <w:tcPr>
            <w:tcW w:w="2650" w:type="pct"/>
            <w:shd w:val="clear" w:color="auto" w:fill="FFFFFF"/>
            <w:tcMar>
              <w:top w:w="15" w:type="dxa"/>
              <w:left w:w="0" w:type="dxa"/>
              <w:bottom w:w="0" w:type="dxa"/>
              <w:right w:w="15" w:type="dxa"/>
            </w:tcMar>
            <w:vAlign w:val="center"/>
            <w:hideMark/>
          </w:tcPr>
          <w:p w14:paraId="42AEA32C" w14:textId="77777777" w:rsidR="00000000" w:rsidRDefault="00582324">
            <w:pPr>
              <w:pStyle w:val="a3"/>
              <w:spacing w:before="0" w:beforeAutospacing="0" w:after="0" w:afterAutospacing="0"/>
              <w:rPr>
                <w:color w:val="000000"/>
                <w:sz w:val="18"/>
                <w:szCs w:val="18"/>
              </w:rPr>
            </w:pPr>
            <w:r>
              <w:rPr>
                <w:color w:val="000000"/>
                <w:sz w:val="18"/>
                <w:szCs w:val="18"/>
              </w:rPr>
              <w:t>Total discounted future minimum lease payments</w:t>
            </w:r>
          </w:p>
        </w:tc>
        <w:tc>
          <w:tcPr>
            <w:tcW w:w="190" w:type="pct"/>
            <w:shd w:val="clear" w:color="auto" w:fill="FFFFFF"/>
            <w:tcMar>
              <w:top w:w="15" w:type="dxa"/>
              <w:left w:w="0" w:type="dxa"/>
              <w:bottom w:w="0" w:type="dxa"/>
              <w:right w:w="15" w:type="dxa"/>
            </w:tcMar>
            <w:vAlign w:val="center"/>
            <w:hideMark/>
          </w:tcPr>
          <w:p w14:paraId="40B69C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14:paraId="388ECE4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3"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14:paraId="598D9021" w14:textId="77777777" w:rsidR="00000000" w:rsidRDefault="00582324">
            <w:pPr>
              <w:pStyle w:val="a3"/>
              <w:spacing w:before="0" w:beforeAutospacing="0" w:after="0" w:afterAutospacing="0"/>
              <w:jc w:val="right"/>
              <w:rPr>
                <w:color w:val="000000"/>
                <w:sz w:val="18"/>
                <w:szCs w:val="18"/>
              </w:rPr>
            </w:pPr>
            <w:r>
              <w:rPr>
                <w:color w:val="000000"/>
                <w:sz w:val="18"/>
                <w:szCs w:val="18"/>
              </w:rPr>
              <w:t>25,911</w:t>
            </w:r>
          </w:p>
        </w:tc>
        <w:tc>
          <w:tcPr>
            <w:tcW w:w="50" w:type="pct"/>
            <w:shd w:val="clear" w:color="auto" w:fill="FFFFFF"/>
            <w:noWrap/>
            <w:tcMar>
              <w:top w:w="15" w:type="dxa"/>
              <w:left w:w="0" w:type="dxa"/>
              <w:bottom w:w="0" w:type="dxa"/>
              <w:right w:w="15" w:type="dxa"/>
            </w:tcMar>
            <w:vAlign w:val="center"/>
            <w:hideMark/>
          </w:tcPr>
          <w:p w14:paraId="26DF1D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90" w:type="pct"/>
            <w:shd w:val="clear" w:color="auto" w:fill="FFFFFF"/>
            <w:tcMar>
              <w:top w:w="15" w:type="dxa"/>
              <w:left w:w="0" w:type="dxa"/>
              <w:bottom w:w="0" w:type="dxa"/>
              <w:right w:w="15" w:type="dxa"/>
            </w:tcMar>
            <w:vAlign w:val="center"/>
            <w:hideMark/>
          </w:tcPr>
          <w:p w14:paraId="5872033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14:paraId="28F2C64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83"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14:paraId="04AC5A99" w14:textId="77777777" w:rsidR="00000000" w:rsidRDefault="00582324">
            <w:pPr>
              <w:pStyle w:val="a3"/>
              <w:spacing w:before="0" w:beforeAutospacing="0" w:after="0" w:afterAutospacing="0"/>
              <w:jc w:val="right"/>
              <w:rPr>
                <w:color w:val="000000"/>
                <w:sz w:val="18"/>
                <w:szCs w:val="18"/>
              </w:rPr>
            </w:pPr>
            <w:r>
              <w:rPr>
                <w:color w:val="000000"/>
                <w:sz w:val="18"/>
                <w:szCs w:val="18"/>
              </w:rPr>
              <w:t>7,751</w:t>
            </w:r>
          </w:p>
        </w:tc>
        <w:tc>
          <w:tcPr>
            <w:tcW w:w="50" w:type="pct"/>
            <w:shd w:val="clear" w:color="auto" w:fill="FFFFFF"/>
            <w:noWrap/>
            <w:tcMar>
              <w:top w:w="15" w:type="dxa"/>
              <w:left w:w="0" w:type="dxa"/>
              <w:bottom w:w="0" w:type="dxa"/>
              <w:right w:w="15" w:type="dxa"/>
            </w:tcMar>
            <w:vAlign w:val="center"/>
            <w:hideMark/>
          </w:tcPr>
          <w:p w14:paraId="631C4EC9"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5E742E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 xml:space="preserve">A schedule of the future minimum rental commitments under the Company’s capital lease agreements and non-cancelable operating lease agreements with an initial or remaining term in excess of one year as of December 31, 2020, in accordance with ASC 840, the </w:t>
      </w:r>
      <w:r>
        <w:rPr>
          <w:color w:val="000000"/>
          <w:sz w:val="20"/>
          <w:szCs w:val="20"/>
          <w:shd w:val="clear" w:color="auto" w:fill="FFFFFF"/>
        </w:rPr>
        <w:t>predecessor to ASC 842, were as follows:</w:t>
      </w:r>
    </w:p>
    <w:tbl>
      <w:tblPr>
        <w:tblW w:w="4000" w:type="pct"/>
        <w:tblCellMar>
          <w:left w:w="0" w:type="dxa"/>
          <w:right w:w="0" w:type="dxa"/>
        </w:tblCellMar>
        <w:tblLook w:val="04A0" w:firstRow="1" w:lastRow="0" w:firstColumn="1" w:lastColumn="0" w:noHBand="0" w:noVBand="1"/>
      </w:tblPr>
      <w:tblGrid>
        <w:gridCol w:w="3254"/>
        <w:gridCol w:w="106"/>
        <w:gridCol w:w="1507"/>
        <w:gridCol w:w="60"/>
        <w:gridCol w:w="257"/>
        <w:gridCol w:w="106"/>
        <w:gridCol w:w="1295"/>
        <w:gridCol w:w="60"/>
      </w:tblGrid>
      <w:tr w:rsidR="00000000" w14:paraId="103F8BE9" w14:textId="77777777">
        <w:trPr>
          <w:divId w:val="658924506"/>
        </w:trPr>
        <w:tc>
          <w:tcPr>
            <w:tcW w:w="2460" w:type="pct"/>
            <w:shd w:val="clear" w:color="auto" w:fill="FFFFFF"/>
            <w:tcMar>
              <w:top w:w="15" w:type="dxa"/>
              <w:left w:w="0" w:type="dxa"/>
              <w:bottom w:w="0" w:type="dxa"/>
              <w:right w:w="15" w:type="dxa"/>
            </w:tcMar>
            <w:vAlign w:val="center"/>
            <w:hideMark/>
          </w:tcPr>
          <w:p w14:paraId="53FDB756" w14:textId="77777777" w:rsidR="00000000" w:rsidRDefault="00582324">
            <w:pPr>
              <w:pStyle w:val="a3"/>
              <w:spacing w:before="0" w:beforeAutospacing="0" w:after="0" w:afterAutospacing="0"/>
              <w:rPr>
                <w:sz w:val="20"/>
                <w:szCs w:val="20"/>
              </w:rPr>
            </w:pPr>
            <w:r>
              <w:rPr>
                <w:sz w:val="20"/>
                <w:szCs w:val="20"/>
              </w:rPr>
              <w:t> </w:t>
            </w:r>
          </w:p>
        </w:tc>
        <w:tc>
          <w:tcPr>
            <w:tcW w:w="2489" w:type="pct"/>
            <w:gridSpan w:val="6"/>
            <w:tcBorders>
              <w:bottom w:val="single" w:sz="6" w:space="0" w:color="000000"/>
            </w:tcBorders>
            <w:shd w:val="clear" w:color="auto" w:fill="FFFFFF"/>
            <w:tcMar>
              <w:top w:w="15" w:type="dxa"/>
              <w:left w:w="0" w:type="dxa"/>
              <w:bottom w:w="0" w:type="dxa"/>
              <w:right w:w="15" w:type="dxa"/>
            </w:tcMar>
            <w:vAlign w:val="center"/>
            <w:hideMark/>
          </w:tcPr>
          <w:p w14:paraId="476F32E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 2020</w:t>
            </w:r>
          </w:p>
        </w:tc>
        <w:tc>
          <w:tcPr>
            <w:tcW w:w="50" w:type="pct"/>
            <w:shd w:val="clear" w:color="auto" w:fill="FFFFFF"/>
            <w:noWrap/>
            <w:tcMar>
              <w:top w:w="15" w:type="dxa"/>
              <w:left w:w="0" w:type="dxa"/>
              <w:bottom w:w="0" w:type="dxa"/>
              <w:right w:w="15" w:type="dxa"/>
            </w:tcMar>
            <w:vAlign w:val="center"/>
            <w:hideMark/>
          </w:tcPr>
          <w:p w14:paraId="1000F83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4B01112" w14:textId="77777777">
        <w:trPr>
          <w:divId w:val="658924506"/>
        </w:trPr>
        <w:tc>
          <w:tcPr>
            <w:tcW w:w="2460" w:type="pct"/>
            <w:shd w:val="clear" w:color="auto" w:fill="FFFFFF"/>
            <w:tcMar>
              <w:top w:w="15" w:type="dxa"/>
              <w:left w:w="0" w:type="dxa"/>
              <w:bottom w:w="0" w:type="dxa"/>
              <w:right w:w="15" w:type="dxa"/>
            </w:tcMar>
            <w:vAlign w:val="center"/>
            <w:hideMark/>
          </w:tcPr>
          <w:p w14:paraId="70E71E0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D777E6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Operating Leases</w:t>
            </w:r>
          </w:p>
        </w:tc>
        <w:tc>
          <w:tcPr>
            <w:tcW w:w="50" w:type="pct"/>
            <w:shd w:val="clear" w:color="auto" w:fill="FFFFFF"/>
            <w:noWrap/>
            <w:tcMar>
              <w:top w:w="15" w:type="dxa"/>
              <w:left w:w="0" w:type="dxa"/>
              <w:bottom w:w="0" w:type="dxa"/>
              <w:right w:w="15" w:type="dxa"/>
            </w:tcMar>
            <w:vAlign w:val="center"/>
            <w:hideMark/>
          </w:tcPr>
          <w:p w14:paraId="1C38440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09" w:type="pct"/>
            <w:tcBorders>
              <w:top w:val="single" w:sz="6" w:space="0" w:color="000000"/>
            </w:tcBorders>
            <w:shd w:val="clear" w:color="auto" w:fill="FFFFFF"/>
            <w:tcMar>
              <w:top w:w="15" w:type="dxa"/>
              <w:left w:w="0" w:type="dxa"/>
              <w:bottom w:w="0" w:type="dxa"/>
              <w:right w:w="15" w:type="dxa"/>
            </w:tcMar>
            <w:vAlign w:val="bottom"/>
            <w:hideMark/>
          </w:tcPr>
          <w:p w14:paraId="359787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11345A1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Finance Leases</w:t>
            </w:r>
          </w:p>
        </w:tc>
        <w:tc>
          <w:tcPr>
            <w:tcW w:w="50" w:type="pct"/>
            <w:shd w:val="clear" w:color="auto" w:fill="FFFFFF"/>
            <w:noWrap/>
            <w:tcMar>
              <w:top w:w="15" w:type="dxa"/>
              <w:left w:w="0" w:type="dxa"/>
              <w:bottom w:w="0" w:type="dxa"/>
              <w:right w:w="15" w:type="dxa"/>
            </w:tcMar>
            <w:vAlign w:val="center"/>
            <w:hideMark/>
          </w:tcPr>
          <w:p w14:paraId="2070DBE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617C688" w14:textId="77777777">
        <w:trPr>
          <w:divId w:val="658924506"/>
        </w:trPr>
        <w:tc>
          <w:tcPr>
            <w:tcW w:w="2460" w:type="pct"/>
            <w:shd w:val="clear" w:color="auto" w:fill="FFFFFF"/>
            <w:tcMar>
              <w:top w:w="15" w:type="dxa"/>
              <w:left w:w="0" w:type="dxa"/>
              <w:bottom w:w="0" w:type="dxa"/>
              <w:right w:w="15" w:type="dxa"/>
            </w:tcMar>
            <w:vAlign w:val="center"/>
            <w:hideMark/>
          </w:tcPr>
          <w:p w14:paraId="118B9A36" w14:textId="77777777" w:rsidR="00000000" w:rsidRDefault="00582324">
            <w:pPr>
              <w:pStyle w:val="a3"/>
              <w:spacing w:before="0" w:beforeAutospacing="0" w:after="0" w:afterAutospacing="0"/>
              <w:ind w:left="137"/>
              <w:rPr>
                <w:color w:val="000000"/>
                <w:sz w:val="18"/>
                <w:szCs w:val="18"/>
              </w:rPr>
            </w:pPr>
            <w:r>
              <w:rPr>
                <w:color w:val="000000"/>
                <w:sz w:val="18"/>
                <w:szCs w:val="18"/>
              </w:rPr>
              <w:t>2021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3A7C5B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5" w:type="pct"/>
            <w:tcBorders>
              <w:top w:val="single" w:sz="6" w:space="0" w:color="000000"/>
            </w:tcBorders>
            <w:shd w:val="clear" w:color="auto" w:fill="FFFFFF"/>
            <w:noWrap/>
            <w:tcMar>
              <w:top w:w="15" w:type="dxa"/>
              <w:left w:w="0" w:type="dxa"/>
              <w:bottom w:w="0" w:type="dxa"/>
              <w:right w:w="15" w:type="dxa"/>
            </w:tcMar>
            <w:vAlign w:val="bottom"/>
            <w:hideMark/>
          </w:tcPr>
          <w:p w14:paraId="4658A485" w14:textId="77777777" w:rsidR="00000000" w:rsidRDefault="00582324">
            <w:pPr>
              <w:pStyle w:val="a3"/>
              <w:spacing w:before="0" w:beforeAutospacing="0" w:after="0" w:afterAutospacing="0"/>
              <w:jc w:val="right"/>
              <w:rPr>
                <w:color w:val="000000"/>
                <w:sz w:val="18"/>
                <w:szCs w:val="18"/>
              </w:rPr>
            </w:pPr>
            <w:r>
              <w:rPr>
                <w:color w:val="000000"/>
                <w:sz w:val="18"/>
                <w:szCs w:val="18"/>
              </w:rPr>
              <w:t>5,946</w:t>
            </w:r>
          </w:p>
        </w:tc>
        <w:tc>
          <w:tcPr>
            <w:tcW w:w="50" w:type="pct"/>
            <w:shd w:val="clear" w:color="auto" w:fill="FFFFFF"/>
            <w:noWrap/>
            <w:tcMar>
              <w:top w:w="15" w:type="dxa"/>
              <w:left w:w="0" w:type="dxa"/>
              <w:bottom w:w="0" w:type="dxa"/>
              <w:right w:w="15" w:type="dxa"/>
            </w:tcMar>
            <w:vAlign w:val="bottom"/>
            <w:hideMark/>
          </w:tcPr>
          <w:p w14:paraId="51AC4E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5A3EB46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9B16B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85" w:type="pct"/>
            <w:tcBorders>
              <w:top w:val="single" w:sz="6" w:space="0" w:color="000000"/>
            </w:tcBorders>
            <w:shd w:val="clear" w:color="auto" w:fill="FFFFFF"/>
            <w:noWrap/>
            <w:tcMar>
              <w:top w:w="15" w:type="dxa"/>
              <w:left w:w="0" w:type="dxa"/>
              <w:bottom w:w="0" w:type="dxa"/>
              <w:right w:w="15" w:type="dxa"/>
            </w:tcMar>
            <w:vAlign w:val="bottom"/>
            <w:hideMark/>
          </w:tcPr>
          <w:p w14:paraId="02C3B278" w14:textId="77777777" w:rsidR="00000000" w:rsidRDefault="00582324">
            <w:pPr>
              <w:pStyle w:val="a3"/>
              <w:spacing w:before="0" w:beforeAutospacing="0" w:after="0" w:afterAutospacing="0"/>
              <w:jc w:val="right"/>
              <w:rPr>
                <w:color w:val="000000"/>
                <w:sz w:val="18"/>
                <w:szCs w:val="18"/>
              </w:rPr>
            </w:pPr>
            <w:r>
              <w:rPr>
                <w:color w:val="000000"/>
                <w:sz w:val="18"/>
                <w:szCs w:val="18"/>
              </w:rPr>
              <w:t>2,652</w:t>
            </w:r>
          </w:p>
        </w:tc>
        <w:tc>
          <w:tcPr>
            <w:tcW w:w="50" w:type="pct"/>
            <w:shd w:val="clear" w:color="auto" w:fill="FFFFFF"/>
            <w:noWrap/>
            <w:tcMar>
              <w:top w:w="15" w:type="dxa"/>
              <w:left w:w="0" w:type="dxa"/>
              <w:bottom w:w="0" w:type="dxa"/>
              <w:right w:w="15" w:type="dxa"/>
            </w:tcMar>
            <w:vAlign w:val="bottom"/>
            <w:hideMark/>
          </w:tcPr>
          <w:p w14:paraId="28A2515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F445A72" w14:textId="77777777">
        <w:trPr>
          <w:divId w:val="658924506"/>
        </w:trPr>
        <w:tc>
          <w:tcPr>
            <w:tcW w:w="2460" w:type="pct"/>
            <w:shd w:val="clear" w:color="auto" w:fill="CFF0FC"/>
            <w:tcMar>
              <w:top w:w="15" w:type="dxa"/>
              <w:left w:w="0" w:type="dxa"/>
              <w:bottom w:w="0" w:type="dxa"/>
              <w:right w:w="15" w:type="dxa"/>
            </w:tcMar>
            <w:vAlign w:val="center"/>
            <w:hideMark/>
          </w:tcPr>
          <w:p w14:paraId="09284246" w14:textId="77777777" w:rsidR="00000000" w:rsidRDefault="00582324">
            <w:pPr>
              <w:pStyle w:val="a3"/>
              <w:spacing w:before="0" w:beforeAutospacing="0" w:after="0" w:afterAutospacing="0"/>
              <w:ind w:left="137"/>
              <w:rPr>
                <w:color w:val="000000"/>
                <w:sz w:val="18"/>
                <w:szCs w:val="18"/>
              </w:rPr>
            </w:pPr>
            <w:r>
              <w:rPr>
                <w:color w:val="000000"/>
                <w:sz w:val="18"/>
                <w:szCs w:val="18"/>
              </w:rPr>
              <w:t>2022</w:t>
            </w:r>
          </w:p>
        </w:tc>
        <w:tc>
          <w:tcPr>
            <w:tcW w:w="50" w:type="pct"/>
            <w:shd w:val="clear" w:color="auto" w:fill="CFF0FC"/>
            <w:noWrap/>
            <w:tcMar>
              <w:top w:w="15" w:type="dxa"/>
              <w:left w:w="0" w:type="dxa"/>
              <w:bottom w:w="0" w:type="dxa"/>
              <w:right w:w="15" w:type="dxa"/>
            </w:tcMar>
            <w:vAlign w:val="bottom"/>
            <w:hideMark/>
          </w:tcPr>
          <w:p w14:paraId="68833C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5" w:type="pct"/>
            <w:shd w:val="clear" w:color="auto" w:fill="CFF0FC"/>
            <w:noWrap/>
            <w:tcMar>
              <w:top w:w="15" w:type="dxa"/>
              <w:left w:w="0" w:type="dxa"/>
              <w:bottom w:w="0" w:type="dxa"/>
              <w:right w:w="15" w:type="dxa"/>
            </w:tcMar>
            <w:vAlign w:val="bottom"/>
            <w:hideMark/>
          </w:tcPr>
          <w:p w14:paraId="0DB279B2" w14:textId="77777777" w:rsidR="00000000" w:rsidRDefault="00582324">
            <w:pPr>
              <w:pStyle w:val="a3"/>
              <w:spacing w:before="0" w:beforeAutospacing="0" w:after="0" w:afterAutospacing="0"/>
              <w:jc w:val="right"/>
              <w:rPr>
                <w:color w:val="000000"/>
                <w:sz w:val="18"/>
                <w:szCs w:val="18"/>
              </w:rPr>
            </w:pPr>
            <w:r>
              <w:rPr>
                <w:color w:val="000000"/>
                <w:sz w:val="18"/>
                <w:szCs w:val="18"/>
              </w:rPr>
              <w:t>4,865</w:t>
            </w:r>
          </w:p>
        </w:tc>
        <w:tc>
          <w:tcPr>
            <w:tcW w:w="50" w:type="pct"/>
            <w:shd w:val="clear" w:color="auto" w:fill="CFF0FC"/>
            <w:noWrap/>
            <w:tcMar>
              <w:top w:w="15" w:type="dxa"/>
              <w:left w:w="0" w:type="dxa"/>
              <w:bottom w:w="0" w:type="dxa"/>
              <w:right w:w="15" w:type="dxa"/>
            </w:tcMar>
            <w:vAlign w:val="bottom"/>
            <w:hideMark/>
          </w:tcPr>
          <w:p w14:paraId="12F34F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1B3BA19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B28A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85" w:type="pct"/>
            <w:shd w:val="clear" w:color="auto" w:fill="CFF0FC"/>
            <w:noWrap/>
            <w:tcMar>
              <w:top w:w="15" w:type="dxa"/>
              <w:left w:w="0" w:type="dxa"/>
              <w:bottom w:w="0" w:type="dxa"/>
              <w:right w:w="15" w:type="dxa"/>
            </w:tcMar>
            <w:vAlign w:val="bottom"/>
            <w:hideMark/>
          </w:tcPr>
          <w:p w14:paraId="317635E5" w14:textId="77777777" w:rsidR="00000000" w:rsidRDefault="00582324">
            <w:pPr>
              <w:pStyle w:val="a3"/>
              <w:spacing w:before="0" w:beforeAutospacing="0" w:after="0" w:afterAutospacing="0"/>
              <w:jc w:val="right"/>
              <w:rPr>
                <w:color w:val="000000"/>
                <w:sz w:val="18"/>
                <w:szCs w:val="18"/>
              </w:rPr>
            </w:pPr>
            <w:r>
              <w:rPr>
                <w:color w:val="000000"/>
                <w:sz w:val="18"/>
                <w:szCs w:val="18"/>
              </w:rPr>
              <w:t>2,172</w:t>
            </w:r>
          </w:p>
        </w:tc>
        <w:tc>
          <w:tcPr>
            <w:tcW w:w="50" w:type="pct"/>
            <w:shd w:val="clear" w:color="auto" w:fill="CFF0FC"/>
            <w:noWrap/>
            <w:tcMar>
              <w:top w:w="15" w:type="dxa"/>
              <w:left w:w="0" w:type="dxa"/>
              <w:bottom w:w="0" w:type="dxa"/>
              <w:right w:w="15" w:type="dxa"/>
            </w:tcMar>
            <w:vAlign w:val="bottom"/>
            <w:hideMark/>
          </w:tcPr>
          <w:p w14:paraId="1EFE5D0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02BA8E4" w14:textId="77777777">
        <w:trPr>
          <w:divId w:val="658924506"/>
        </w:trPr>
        <w:tc>
          <w:tcPr>
            <w:tcW w:w="2460" w:type="pct"/>
            <w:shd w:val="clear" w:color="auto" w:fill="FFFFFF"/>
            <w:tcMar>
              <w:top w:w="15" w:type="dxa"/>
              <w:left w:w="0" w:type="dxa"/>
              <w:bottom w:w="0" w:type="dxa"/>
              <w:right w:w="15" w:type="dxa"/>
            </w:tcMar>
            <w:vAlign w:val="center"/>
            <w:hideMark/>
          </w:tcPr>
          <w:p w14:paraId="1C4E8D06" w14:textId="77777777" w:rsidR="00000000" w:rsidRDefault="00582324">
            <w:pPr>
              <w:pStyle w:val="a3"/>
              <w:spacing w:before="0" w:beforeAutospacing="0" w:after="0" w:afterAutospacing="0"/>
              <w:ind w:left="137"/>
              <w:rPr>
                <w:color w:val="000000"/>
                <w:sz w:val="18"/>
                <w:szCs w:val="18"/>
              </w:rPr>
            </w:pPr>
            <w:r>
              <w:rPr>
                <w:color w:val="000000"/>
                <w:sz w:val="18"/>
                <w:szCs w:val="18"/>
              </w:rPr>
              <w:t>2023</w:t>
            </w:r>
          </w:p>
        </w:tc>
        <w:tc>
          <w:tcPr>
            <w:tcW w:w="50" w:type="pct"/>
            <w:shd w:val="clear" w:color="auto" w:fill="FFFFFF"/>
            <w:noWrap/>
            <w:tcMar>
              <w:top w:w="15" w:type="dxa"/>
              <w:left w:w="0" w:type="dxa"/>
              <w:bottom w:w="0" w:type="dxa"/>
              <w:right w:w="15" w:type="dxa"/>
            </w:tcMar>
            <w:vAlign w:val="bottom"/>
            <w:hideMark/>
          </w:tcPr>
          <w:p w14:paraId="0C84EF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5" w:type="pct"/>
            <w:shd w:val="clear" w:color="auto" w:fill="FFFFFF"/>
            <w:noWrap/>
            <w:tcMar>
              <w:top w:w="15" w:type="dxa"/>
              <w:left w:w="0" w:type="dxa"/>
              <w:bottom w:w="0" w:type="dxa"/>
              <w:right w:w="15" w:type="dxa"/>
            </w:tcMar>
            <w:vAlign w:val="bottom"/>
            <w:hideMark/>
          </w:tcPr>
          <w:p w14:paraId="62D9776E" w14:textId="77777777" w:rsidR="00000000" w:rsidRDefault="00582324">
            <w:pPr>
              <w:pStyle w:val="a3"/>
              <w:spacing w:before="0" w:beforeAutospacing="0" w:after="0" w:afterAutospacing="0"/>
              <w:jc w:val="right"/>
              <w:rPr>
                <w:color w:val="000000"/>
                <w:sz w:val="18"/>
                <w:szCs w:val="18"/>
              </w:rPr>
            </w:pPr>
            <w:r>
              <w:rPr>
                <w:color w:val="000000"/>
                <w:sz w:val="18"/>
                <w:szCs w:val="18"/>
              </w:rPr>
              <w:t>3,146</w:t>
            </w:r>
          </w:p>
        </w:tc>
        <w:tc>
          <w:tcPr>
            <w:tcW w:w="50" w:type="pct"/>
            <w:shd w:val="clear" w:color="auto" w:fill="FFFFFF"/>
            <w:noWrap/>
            <w:tcMar>
              <w:top w:w="15" w:type="dxa"/>
              <w:left w:w="0" w:type="dxa"/>
              <w:bottom w:w="0" w:type="dxa"/>
              <w:right w:w="15" w:type="dxa"/>
            </w:tcMar>
            <w:vAlign w:val="bottom"/>
            <w:hideMark/>
          </w:tcPr>
          <w:p w14:paraId="4BC793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4263F62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FE669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85" w:type="pct"/>
            <w:shd w:val="clear" w:color="auto" w:fill="FFFFFF"/>
            <w:noWrap/>
            <w:tcMar>
              <w:top w:w="15" w:type="dxa"/>
              <w:left w:w="0" w:type="dxa"/>
              <w:bottom w:w="0" w:type="dxa"/>
              <w:right w:w="15" w:type="dxa"/>
            </w:tcMar>
            <w:vAlign w:val="bottom"/>
            <w:hideMark/>
          </w:tcPr>
          <w:p w14:paraId="1567EDE5" w14:textId="77777777" w:rsidR="00000000" w:rsidRDefault="00582324">
            <w:pPr>
              <w:pStyle w:val="a3"/>
              <w:spacing w:before="0" w:beforeAutospacing="0" w:after="0" w:afterAutospacing="0"/>
              <w:jc w:val="right"/>
              <w:rPr>
                <w:color w:val="000000"/>
                <w:sz w:val="18"/>
                <w:szCs w:val="18"/>
              </w:rPr>
            </w:pPr>
            <w:r>
              <w:rPr>
                <w:color w:val="000000"/>
                <w:sz w:val="18"/>
                <w:szCs w:val="18"/>
              </w:rPr>
              <w:t>1,444</w:t>
            </w:r>
          </w:p>
        </w:tc>
        <w:tc>
          <w:tcPr>
            <w:tcW w:w="50" w:type="pct"/>
            <w:shd w:val="clear" w:color="auto" w:fill="FFFFFF"/>
            <w:noWrap/>
            <w:tcMar>
              <w:top w:w="15" w:type="dxa"/>
              <w:left w:w="0" w:type="dxa"/>
              <w:bottom w:w="0" w:type="dxa"/>
              <w:right w:w="15" w:type="dxa"/>
            </w:tcMar>
            <w:vAlign w:val="bottom"/>
            <w:hideMark/>
          </w:tcPr>
          <w:p w14:paraId="4F1E158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041CBDE" w14:textId="77777777">
        <w:trPr>
          <w:divId w:val="658924506"/>
        </w:trPr>
        <w:tc>
          <w:tcPr>
            <w:tcW w:w="2460" w:type="pct"/>
            <w:shd w:val="clear" w:color="auto" w:fill="CFF0FC"/>
            <w:tcMar>
              <w:top w:w="15" w:type="dxa"/>
              <w:left w:w="0" w:type="dxa"/>
              <w:bottom w:w="0" w:type="dxa"/>
              <w:right w:w="15" w:type="dxa"/>
            </w:tcMar>
            <w:vAlign w:val="center"/>
            <w:hideMark/>
          </w:tcPr>
          <w:p w14:paraId="35FB010E" w14:textId="77777777" w:rsidR="00000000" w:rsidRDefault="00582324">
            <w:pPr>
              <w:pStyle w:val="a3"/>
              <w:spacing w:before="0" w:beforeAutospacing="0" w:after="0" w:afterAutospacing="0"/>
              <w:ind w:left="137"/>
              <w:rPr>
                <w:color w:val="000000"/>
                <w:sz w:val="18"/>
                <w:szCs w:val="18"/>
              </w:rPr>
            </w:pPr>
            <w:r>
              <w:rPr>
                <w:color w:val="000000"/>
                <w:sz w:val="18"/>
                <w:szCs w:val="18"/>
              </w:rPr>
              <w:t>2024</w:t>
            </w:r>
          </w:p>
        </w:tc>
        <w:tc>
          <w:tcPr>
            <w:tcW w:w="50" w:type="pct"/>
            <w:shd w:val="clear" w:color="auto" w:fill="CFF0FC"/>
            <w:noWrap/>
            <w:tcMar>
              <w:top w:w="15" w:type="dxa"/>
              <w:left w:w="0" w:type="dxa"/>
              <w:bottom w:w="0" w:type="dxa"/>
              <w:right w:w="15" w:type="dxa"/>
            </w:tcMar>
            <w:vAlign w:val="bottom"/>
            <w:hideMark/>
          </w:tcPr>
          <w:p w14:paraId="796441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5" w:type="pct"/>
            <w:shd w:val="clear" w:color="auto" w:fill="CFF0FC"/>
            <w:noWrap/>
            <w:tcMar>
              <w:top w:w="15" w:type="dxa"/>
              <w:left w:w="0" w:type="dxa"/>
              <w:bottom w:w="0" w:type="dxa"/>
              <w:right w:w="15" w:type="dxa"/>
            </w:tcMar>
            <w:vAlign w:val="bottom"/>
            <w:hideMark/>
          </w:tcPr>
          <w:p w14:paraId="163EA116" w14:textId="77777777" w:rsidR="00000000" w:rsidRDefault="00582324">
            <w:pPr>
              <w:pStyle w:val="a3"/>
              <w:spacing w:before="0" w:beforeAutospacing="0" w:after="0" w:afterAutospacing="0"/>
              <w:jc w:val="right"/>
              <w:rPr>
                <w:color w:val="000000"/>
                <w:sz w:val="18"/>
                <w:szCs w:val="18"/>
              </w:rPr>
            </w:pPr>
            <w:r>
              <w:rPr>
                <w:color w:val="000000"/>
                <w:sz w:val="18"/>
                <w:szCs w:val="18"/>
              </w:rPr>
              <w:t>1,812</w:t>
            </w:r>
          </w:p>
        </w:tc>
        <w:tc>
          <w:tcPr>
            <w:tcW w:w="50" w:type="pct"/>
            <w:shd w:val="clear" w:color="auto" w:fill="CFF0FC"/>
            <w:noWrap/>
            <w:tcMar>
              <w:top w:w="15" w:type="dxa"/>
              <w:left w:w="0" w:type="dxa"/>
              <w:bottom w:w="0" w:type="dxa"/>
              <w:right w:w="15" w:type="dxa"/>
            </w:tcMar>
            <w:vAlign w:val="bottom"/>
            <w:hideMark/>
          </w:tcPr>
          <w:p w14:paraId="7BB683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23E5CCD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35" w:type="pct"/>
            <w:gridSpan w:val="2"/>
            <w:shd w:val="clear" w:color="auto" w:fill="CFF0FC"/>
            <w:tcMar>
              <w:top w:w="15" w:type="dxa"/>
              <w:left w:w="0" w:type="dxa"/>
              <w:bottom w:w="0" w:type="dxa"/>
              <w:right w:w="15" w:type="dxa"/>
            </w:tcMar>
            <w:vAlign w:val="bottom"/>
            <w:hideMark/>
          </w:tcPr>
          <w:p w14:paraId="41F094BF" w14:textId="77777777" w:rsidR="00000000" w:rsidRDefault="00582324">
            <w:pPr>
              <w:pStyle w:val="a3"/>
              <w:spacing w:before="0" w:beforeAutospacing="0" w:after="0" w:afterAutospacing="0"/>
              <w:jc w:val="right"/>
              <w:rPr>
                <w:color w:val="000000"/>
                <w:sz w:val="18"/>
                <w:szCs w:val="18"/>
              </w:rPr>
            </w:pPr>
            <w:r>
              <w:rPr>
                <w:color w:val="000000"/>
                <w:sz w:val="18"/>
                <w:szCs w:val="18"/>
              </w:rPr>
              <w:t>496</w:t>
            </w:r>
          </w:p>
        </w:tc>
        <w:tc>
          <w:tcPr>
            <w:tcW w:w="50" w:type="pct"/>
            <w:shd w:val="clear" w:color="auto" w:fill="CFF0FC"/>
            <w:noWrap/>
            <w:tcMar>
              <w:top w:w="15" w:type="dxa"/>
              <w:left w:w="0" w:type="dxa"/>
              <w:bottom w:w="0" w:type="dxa"/>
              <w:right w:w="15" w:type="dxa"/>
            </w:tcMar>
            <w:vAlign w:val="bottom"/>
            <w:hideMark/>
          </w:tcPr>
          <w:p w14:paraId="45873D2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3F02DB9" w14:textId="77777777">
        <w:trPr>
          <w:divId w:val="658924506"/>
        </w:trPr>
        <w:tc>
          <w:tcPr>
            <w:tcW w:w="2460" w:type="pct"/>
            <w:shd w:val="clear" w:color="auto" w:fill="FFFFFF"/>
            <w:tcMar>
              <w:top w:w="15" w:type="dxa"/>
              <w:left w:w="0" w:type="dxa"/>
              <w:bottom w:w="0" w:type="dxa"/>
              <w:right w:w="15" w:type="dxa"/>
            </w:tcMar>
            <w:vAlign w:val="center"/>
            <w:hideMark/>
          </w:tcPr>
          <w:p w14:paraId="27370786" w14:textId="77777777" w:rsidR="00000000" w:rsidRDefault="00582324">
            <w:pPr>
              <w:pStyle w:val="a3"/>
              <w:spacing w:before="0" w:beforeAutospacing="0" w:after="0" w:afterAutospacing="0"/>
              <w:ind w:left="137"/>
              <w:rPr>
                <w:color w:val="000000"/>
                <w:sz w:val="18"/>
                <w:szCs w:val="18"/>
              </w:rPr>
            </w:pPr>
            <w:r>
              <w:rPr>
                <w:color w:val="000000"/>
                <w:sz w:val="18"/>
                <w:szCs w:val="18"/>
              </w:rPr>
              <w:t>2025 and 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286D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5" w:type="pct"/>
            <w:tcBorders>
              <w:bottom w:val="single" w:sz="6" w:space="0" w:color="000000"/>
            </w:tcBorders>
            <w:shd w:val="clear" w:color="auto" w:fill="FFFFFF"/>
            <w:noWrap/>
            <w:tcMar>
              <w:top w:w="15" w:type="dxa"/>
              <w:left w:w="0" w:type="dxa"/>
              <w:bottom w:w="0" w:type="dxa"/>
              <w:right w:w="15" w:type="dxa"/>
            </w:tcMar>
            <w:vAlign w:val="bottom"/>
            <w:hideMark/>
          </w:tcPr>
          <w:p w14:paraId="7AFEC9AD" w14:textId="77777777" w:rsidR="00000000" w:rsidRDefault="00582324">
            <w:pPr>
              <w:pStyle w:val="a3"/>
              <w:spacing w:before="0" w:beforeAutospacing="0" w:after="0" w:afterAutospacing="0"/>
              <w:jc w:val="right"/>
              <w:rPr>
                <w:color w:val="000000"/>
                <w:sz w:val="18"/>
                <w:szCs w:val="18"/>
              </w:rPr>
            </w:pPr>
            <w:r>
              <w:rPr>
                <w:color w:val="000000"/>
                <w:sz w:val="18"/>
                <w:szCs w:val="18"/>
              </w:rPr>
              <w:t>4,954</w:t>
            </w:r>
          </w:p>
        </w:tc>
        <w:tc>
          <w:tcPr>
            <w:tcW w:w="50" w:type="pct"/>
            <w:shd w:val="clear" w:color="auto" w:fill="FFFFFF"/>
            <w:noWrap/>
            <w:tcMar>
              <w:top w:w="15" w:type="dxa"/>
              <w:left w:w="0" w:type="dxa"/>
              <w:bottom w:w="0" w:type="dxa"/>
              <w:right w:w="15" w:type="dxa"/>
            </w:tcMar>
            <w:vAlign w:val="bottom"/>
            <w:hideMark/>
          </w:tcPr>
          <w:p w14:paraId="1B8BF8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63D462D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035" w:type="pct"/>
            <w:gridSpan w:val="2"/>
            <w:tcBorders>
              <w:bottom w:val="single" w:sz="6" w:space="0" w:color="000000"/>
            </w:tcBorders>
            <w:shd w:val="clear" w:color="auto" w:fill="FFFFFF"/>
            <w:tcMar>
              <w:top w:w="15" w:type="dxa"/>
              <w:left w:w="0" w:type="dxa"/>
              <w:bottom w:w="0" w:type="dxa"/>
              <w:right w:w="15" w:type="dxa"/>
            </w:tcMar>
            <w:vAlign w:val="bottom"/>
            <w:hideMark/>
          </w:tcPr>
          <w:p w14:paraId="65E04C1C" w14:textId="77777777" w:rsidR="00000000" w:rsidRDefault="00582324">
            <w:pPr>
              <w:pStyle w:val="a3"/>
              <w:spacing w:before="0" w:beforeAutospacing="0" w:after="0" w:afterAutospacing="0"/>
              <w:jc w:val="right"/>
              <w:rPr>
                <w:color w:val="000000"/>
                <w:sz w:val="18"/>
                <w:szCs w:val="18"/>
              </w:rPr>
            </w:pPr>
            <w:r>
              <w:rPr>
                <w:color w:val="000000"/>
                <w:sz w:val="18"/>
                <w:szCs w:val="18"/>
              </w:rPr>
              <w:t>69</w:t>
            </w:r>
          </w:p>
        </w:tc>
        <w:tc>
          <w:tcPr>
            <w:tcW w:w="50" w:type="pct"/>
            <w:shd w:val="clear" w:color="auto" w:fill="FFFFFF"/>
            <w:noWrap/>
            <w:tcMar>
              <w:top w:w="15" w:type="dxa"/>
              <w:left w:w="0" w:type="dxa"/>
              <w:bottom w:w="0" w:type="dxa"/>
              <w:right w:w="15" w:type="dxa"/>
            </w:tcMar>
            <w:vAlign w:val="bottom"/>
            <w:hideMark/>
          </w:tcPr>
          <w:p w14:paraId="68D4B9F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E455E69" w14:textId="77777777">
        <w:trPr>
          <w:divId w:val="658924506"/>
        </w:trPr>
        <w:tc>
          <w:tcPr>
            <w:tcW w:w="2460" w:type="pct"/>
            <w:shd w:val="clear" w:color="auto" w:fill="CFF0FC"/>
            <w:tcMar>
              <w:top w:w="15" w:type="dxa"/>
              <w:left w:w="0" w:type="dxa"/>
              <w:bottom w:w="0" w:type="dxa"/>
              <w:right w:w="15" w:type="dxa"/>
            </w:tcMar>
            <w:vAlign w:val="center"/>
            <w:hideMark/>
          </w:tcPr>
          <w:p w14:paraId="7016F3FC"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9B0C5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3496B5" w14:textId="77777777" w:rsidR="00000000" w:rsidRDefault="00582324">
            <w:pPr>
              <w:pStyle w:val="a3"/>
              <w:spacing w:before="0" w:beforeAutospacing="0" w:after="0" w:afterAutospacing="0"/>
              <w:jc w:val="right"/>
              <w:rPr>
                <w:color w:val="000000"/>
                <w:sz w:val="18"/>
                <w:szCs w:val="18"/>
              </w:rPr>
            </w:pPr>
            <w:r>
              <w:rPr>
                <w:color w:val="000000"/>
                <w:sz w:val="18"/>
                <w:szCs w:val="18"/>
              </w:rPr>
              <w:t>20,723</w:t>
            </w:r>
          </w:p>
        </w:tc>
        <w:tc>
          <w:tcPr>
            <w:tcW w:w="50" w:type="pct"/>
            <w:shd w:val="clear" w:color="auto" w:fill="CFF0FC"/>
            <w:noWrap/>
            <w:tcMar>
              <w:top w:w="15" w:type="dxa"/>
              <w:left w:w="0" w:type="dxa"/>
              <w:bottom w:w="0" w:type="dxa"/>
              <w:right w:w="15" w:type="dxa"/>
            </w:tcMar>
            <w:vAlign w:val="bottom"/>
            <w:hideMark/>
          </w:tcPr>
          <w:p w14:paraId="6A866D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09" w:type="pct"/>
            <w:shd w:val="clear" w:color="auto" w:fill="FFFFFF"/>
            <w:tcMar>
              <w:top w:w="15" w:type="dxa"/>
              <w:left w:w="0" w:type="dxa"/>
              <w:bottom w:w="0" w:type="dxa"/>
              <w:right w:w="15" w:type="dxa"/>
            </w:tcMar>
            <w:vAlign w:val="bottom"/>
            <w:hideMark/>
          </w:tcPr>
          <w:p w14:paraId="421D059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6D003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AD65CA" w14:textId="77777777" w:rsidR="00000000" w:rsidRDefault="00582324">
            <w:pPr>
              <w:pStyle w:val="a3"/>
              <w:spacing w:before="0" w:beforeAutospacing="0" w:after="0" w:afterAutospacing="0"/>
              <w:jc w:val="right"/>
              <w:rPr>
                <w:color w:val="000000"/>
                <w:sz w:val="18"/>
                <w:szCs w:val="18"/>
              </w:rPr>
            </w:pPr>
            <w:r>
              <w:rPr>
                <w:color w:val="000000"/>
                <w:sz w:val="18"/>
                <w:szCs w:val="18"/>
              </w:rPr>
              <w:t>6,833</w:t>
            </w:r>
          </w:p>
        </w:tc>
        <w:tc>
          <w:tcPr>
            <w:tcW w:w="50" w:type="pct"/>
            <w:shd w:val="clear" w:color="auto" w:fill="CFF0FC"/>
            <w:noWrap/>
            <w:tcMar>
              <w:top w:w="15" w:type="dxa"/>
              <w:left w:w="0" w:type="dxa"/>
              <w:bottom w:w="0" w:type="dxa"/>
              <w:right w:w="15" w:type="dxa"/>
            </w:tcMar>
            <w:vAlign w:val="bottom"/>
            <w:hideMark/>
          </w:tcPr>
          <w:p w14:paraId="2526D851"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643CAD2"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shd w:val="clear" w:color="auto" w:fill="FFFFFF"/>
        </w:rPr>
        <w:t>7. BUSINESS ACQUISITIONS</w:t>
      </w:r>
    </w:p>
    <w:p w14:paraId="11C8AA9E"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 line with the Company’</w:t>
      </w:r>
      <w:r>
        <w:rPr>
          <w:color w:val="000000"/>
          <w:sz w:val="20"/>
          <w:szCs w:val="20"/>
        </w:rPr>
        <w:t xml:space="preserve">s strategic growth initiatives, the Company acquired two business during the six months ended June 30, 2021 and several businesses during the year ended December 31, 2020. The results of </w:t>
      </w:r>
      <w:r>
        <w:rPr>
          <w:color w:val="000000"/>
          <w:sz w:val="20"/>
          <w:szCs w:val="20"/>
          <w:shd w:val="clear" w:color="auto" w:fill="FFFFFF"/>
        </w:rPr>
        <w:t>each</w:t>
      </w:r>
      <w:r>
        <w:rPr>
          <w:color w:val="000000"/>
          <w:sz w:val="20"/>
          <w:szCs w:val="20"/>
        </w:rPr>
        <w:t xml:space="preserve"> of those acquired businesses are included in the unaudited conde</w:t>
      </w:r>
      <w:r>
        <w:rPr>
          <w:color w:val="000000"/>
          <w:sz w:val="20"/>
          <w:szCs w:val="20"/>
        </w:rPr>
        <w:t>nsed consolidated financial statements beginning on the acquisition date. Each transaction qualified as an acquisition of a business and was accounted for as a business combination. All acquisitions resulted in the recognition of goodwill. The Company paid</w:t>
      </w:r>
      <w:r>
        <w:rPr>
          <w:color w:val="000000"/>
          <w:sz w:val="20"/>
          <w:szCs w:val="20"/>
        </w:rPr>
        <w:t xml:space="preserve"> these premiums resulting in such goodwill for a number of reasons, including expected synergies from combining operations of the acquiree and the Company while also growing the Company’s customer base, acquiring assembled workforces, expanding its presenc</w:t>
      </w:r>
      <w:r>
        <w:rPr>
          <w:color w:val="000000"/>
          <w:sz w:val="20"/>
          <w:szCs w:val="20"/>
        </w:rPr>
        <w:t>e in certain markets and expanding and advancing its product and service offerings. The Company recorded the assets acquired and liabilities assumed at their acquisition date fair value, with the difference between the fair value of the net assets acquired</w:t>
      </w:r>
      <w:r>
        <w:rPr>
          <w:color w:val="000000"/>
          <w:sz w:val="20"/>
          <w:szCs w:val="20"/>
        </w:rPr>
        <w:t xml:space="preserve"> and the acquisition consideration reflected as goodwill.</w:t>
      </w:r>
    </w:p>
    <w:p w14:paraId="5A461815"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identifiable intangible assets for acquisitions are valued using the excess earnings method discounted cash flow approach for customer relationships, the relief from royalty method for trade nam</w:t>
      </w:r>
      <w:r>
        <w:rPr>
          <w:color w:val="000000"/>
          <w:sz w:val="20"/>
          <w:szCs w:val="20"/>
        </w:rPr>
        <w:t>es, the patent and external proprietary software, the “with and without” method for covenants not to compete and the replacement cost method for the internal proprietary software by incorporating Level 3 inputs as described under the fair value hierarchy o</w:t>
      </w:r>
      <w:r>
        <w:rPr>
          <w:color w:val="000000"/>
          <w:sz w:val="20"/>
          <w:szCs w:val="20"/>
        </w:rPr>
        <w:t>f ASC 820. These unobservable inputs reflect the Company’s own assumptions about which assumptions market participants would use in pricing an asset on a non-recurring basis. These assets will be amortized over their respective estimated useful lives.</w:t>
      </w:r>
    </w:p>
    <w:p w14:paraId="4E16CFA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Othe</w:t>
      </w:r>
      <w:r>
        <w:rPr>
          <w:color w:val="000000"/>
          <w:sz w:val="20"/>
          <w:szCs w:val="20"/>
        </w:rPr>
        <w:t>r purchase price obligations (primarily deferred purchase price liabilities and target working capital liabilities or receivables) are included on the unaudited condensed consolidated statements of financial position in accounts payable and other accrued l</w:t>
      </w:r>
      <w:r>
        <w:rPr>
          <w:color w:val="000000"/>
          <w:sz w:val="20"/>
          <w:szCs w:val="20"/>
        </w:rPr>
        <w:t>iabilities, other non-current liabilities or accounts receivable-net in the case of working capital deficits. Contingent consideration outstanding from acquisitions are included on the unaudited condensed consolidated statements of financial position in bu</w:t>
      </w:r>
      <w:r>
        <w:rPr>
          <w:color w:val="000000"/>
          <w:sz w:val="20"/>
          <w:szCs w:val="20"/>
        </w:rPr>
        <w:t>siness acquisition contingent consideration, current or in business acquisitions contingent consideration, long-term. These obligations are scheduled to be settled if certain performance thresholds are met.</w:t>
      </w:r>
    </w:p>
    <w:p w14:paraId="5C29BE7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Company considers several factors when determ</w:t>
      </w:r>
      <w:r>
        <w:rPr>
          <w:color w:val="000000"/>
          <w:sz w:val="20"/>
          <w:szCs w:val="20"/>
        </w:rPr>
        <w:t>ining whether or not contingent consideration liabilities are part of the purchase price, including the following: (i) the valuation of its acquisitions is not supported solely by the initial consideration paid, (ii) the former stockholders of acquired com</w:t>
      </w:r>
      <w:r>
        <w:rPr>
          <w:color w:val="000000"/>
          <w:sz w:val="20"/>
          <w:szCs w:val="20"/>
        </w:rPr>
        <w:t xml:space="preserve">panies that remain as key employees receive compensation other than contingent consideration payments at a reasonable level compared with the compensation of the Company’s other key employees and (iii) contingent consideration payments are not affected by </w:t>
      </w:r>
      <w:r>
        <w:rPr>
          <w:color w:val="000000"/>
          <w:sz w:val="20"/>
          <w:szCs w:val="20"/>
        </w:rPr>
        <w:t>employment termination. The Company reviews and assesses the estimated fair value of contingent consideration at each reporting period.</w:t>
      </w:r>
    </w:p>
    <w:p w14:paraId="487DCCC7" w14:textId="77777777" w:rsidR="00000000" w:rsidRDefault="00582324">
      <w:pPr>
        <w:pStyle w:val="a3"/>
        <w:spacing w:before="240" w:beforeAutospacing="0" w:after="0" w:afterAutospacing="0"/>
        <w:jc w:val="center"/>
        <w:rPr>
          <w:sz w:val="20"/>
          <w:szCs w:val="20"/>
        </w:rPr>
      </w:pPr>
      <w:r>
        <w:rPr>
          <w:sz w:val="20"/>
          <w:szCs w:val="20"/>
        </w:rPr>
        <w:t>11</w:t>
      </w:r>
    </w:p>
    <w:p w14:paraId="1D25C271" w14:textId="77777777" w:rsidR="00000000" w:rsidRDefault="00582324">
      <w:pPr>
        <w:rPr>
          <w:rFonts w:eastAsia="Times New Roman"/>
        </w:rPr>
      </w:pPr>
      <w:r>
        <w:rPr>
          <w:rFonts w:eastAsia="Times New Roman"/>
        </w:rPr>
        <w:pict w14:anchorId="03EC2F29">
          <v:rect id="_x0000_i1037" style="width:0;height:1.5pt" o:hralign="center" o:hrstd="t" o:hr="t" fillcolor="#a0a0a0" stroked="f"/>
        </w:pict>
      </w:r>
    </w:p>
    <w:p w14:paraId="4CA11BDA" w14:textId="77777777" w:rsidR="00000000" w:rsidRDefault="00582324">
      <w:pPr>
        <w:pStyle w:val="a3"/>
        <w:spacing w:before="0" w:beforeAutospacing="0" w:after="0" w:afterAutospacing="0"/>
        <w:rPr>
          <w:sz w:val="20"/>
          <w:szCs w:val="20"/>
        </w:rPr>
      </w:pPr>
      <w:r>
        <w:rPr>
          <w:sz w:val="20"/>
          <w:szCs w:val="20"/>
        </w:rPr>
        <w:t> </w:t>
      </w:r>
    </w:p>
    <w:p w14:paraId="5BB659E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Transaction costs related to business combinations totaled $0.5 million and $0.7 million</w:t>
      </w:r>
      <w:r>
        <w:rPr>
          <w:color w:val="000000"/>
        </w:rPr>
        <w:t> </w:t>
      </w:r>
      <w:r>
        <w:rPr>
          <w:color w:val="000000"/>
          <w:sz w:val="20"/>
          <w:szCs w:val="20"/>
        </w:rPr>
        <w:t xml:space="preserve">for the three and six months ended June 30, 2021, respectively and </w:t>
      </w:r>
      <w:r>
        <w:rPr>
          <w:color w:val="000000"/>
          <w:sz w:val="20"/>
          <w:szCs w:val="20"/>
          <w:shd w:val="clear" w:color="auto" w:fill="FFFFFF"/>
        </w:rPr>
        <w:t xml:space="preserve">$2.5 million and $3.8 million </w:t>
      </w:r>
      <w:r>
        <w:rPr>
          <w:color w:val="000000"/>
          <w:sz w:val="20"/>
          <w:szCs w:val="20"/>
        </w:rPr>
        <w:t>for the three and six months ended June 30, 2020, respectively.</w:t>
      </w:r>
      <w:r>
        <w:rPr>
          <w:color w:val="000000"/>
        </w:rPr>
        <w:t> </w:t>
      </w:r>
      <w:r>
        <w:rPr>
          <w:color w:val="000000"/>
          <w:sz w:val="20"/>
          <w:szCs w:val="20"/>
        </w:rPr>
        <w:t>These costs are expensed within selling, general and administrative expense in the accompanying unaudited condensed consolidated statements of operations.</w:t>
      </w:r>
    </w:p>
    <w:p w14:paraId="7DA2E4DA" w14:textId="77777777" w:rsidR="00000000" w:rsidRDefault="00582324">
      <w:pPr>
        <w:pStyle w:val="a3"/>
        <w:shd w:val="clear" w:color="auto" w:fill="FFFFFF"/>
        <w:spacing w:before="360" w:beforeAutospacing="0" w:after="0" w:afterAutospacing="0"/>
        <w:ind w:firstLine="416"/>
        <w:rPr>
          <w:b/>
          <w:bCs/>
          <w:color w:val="000000"/>
          <w:sz w:val="20"/>
          <w:szCs w:val="20"/>
        </w:rPr>
      </w:pPr>
      <w:r>
        <w:rPr>
          <w:b/>
          <w:bCs/>
          <w:color w:val="000000"/>
          <w:sz w:val="20"/>
          <w:szCs w:val="20"/>
        </w:rPr>
        <w:t>Acquisitions Completed During the Six</w:t>
      </w:r>
      <w:r>
        <w:rPr>
          <w:b/>
          <w:bCs/>
          <w:color w:val="000000"/>
          <w:sz w:val="20"/>
          <w:szCs w:val="20"/>
        </w:rPr>
        <w:t xml:space="preserve"> Months Ended June 30, 2021</w:t>
      </w:r>
    </w:p>
    <w:p w14:paraId="6D327069" w14:textId="77777777" w:rsidR="00000000" w:rsidRDefault="00582324">
      <w:pPr>
        <w:pStyle w:val="a3"/>
        <w:shd w:val="clear" w:color="auto" w:fill="FFFFFF"/>
        <w:spacing w:before="120" w:beforeAutospacing="0" w:after="0" w:afterAutospacing="0"/>
        <w:ind w:firstLine="416"/>
        <w:rPr>
          <w:b/>
          <w:bCs/>
          <w:i/>
          <w:iCs/>
          <w:color w:val="000000"/>
          <w:sz w:val="20"/>
          <w:szCs w:val="20"/>
        </w:rPr>
      </w:pPr>
      <w:r>
        <w:rPr>
          <w:b/>
          <w:bCs/>
          <w:i/>
          <w:iCs/>
          <w:color w:val="000000"/>
          <w:sz w:val="20"/>
          <w:szCs w:val="20"/>
        </w:rPr>
        <w:t>MSE Group</w:t>
      </w:r>
      <w:r>
        <w:rPr>
          <w:color w:val="000000"/>
          <w:sz w:val="20"/>
          <w:szCs w:val="20"/>
        </w:rPr>
        <w:t>—In January 2021, the Company completed the acquisition of MSE Group (“MSE”) by acquiring 100.0% of its membership interests. MSE is a provider of environmental assessment, compliance, engineering, and design services p</w:t>
      </w:r>
      <w:r>
        <w:rPr>
          <w:color w:val="000000"/>
          <w:sz w:val="20"/>
          <w:szCs w:val="20"/>
        </w:rPr>
        <w:t>rimarily to the U.S. federal government. MSE is based in Orlando, FL with additional offices in Tampa, Orlando, Jacksonville, San Antonio, TX, and Wilmington, NC, and satellite locations nationwide.</w:t>
      </w:r>
      <w:r>
        <w:rPr>
          <w:b/>
          <w:bCs/>
          <w:i/>
          <w:iCs/>
          <w:color w:val="000000"/>
          <w:sz w:val="20"/>
          <w:szCs w:val="20"/>
        </w:rPr>
        <w:t xml:space="preserve"> The upfront cash payment made to acquire MSE was funded t</w:t>
      </w:r>
      <w:r>
        <w:rPr>
          <w:b/>
          <w:bCs/>
          <w:i/>
          <w:iCs/>
          <w:color w:val="000000"/>
          <w:sz w:val="20"/>
          <w:szCs w:val="20"/>
        </w:rPr>
        <w:t xml:space="preserve">hrough cash on hand and the common stock portion of the purchase price was funded through the issuance of 71,740 shares of common stock. </w:t>
      </w:r>
    </w:p>
    <w:p w14:paraId="430F57AB" w14:textId="77777777" w:rsidR="00000000" w:rsidRDefault="00582324">
      <w:pPr>
        <w:pStyle w:val="a3"/>
        <w:shd w:val="clear" w:color="auto" w:fill="FFFFFF"/>
        <w:spacing w:before="120" w:beforeAutospacing="0" w:after="0" w:afterAutospacing="0"/>
        <w:ind w:firstLine="416"/>
        <w:jc w:val="both"/>
        <w:rPr>
          <w:b/>
          <w:bCs/>
          <w:i/>
          <w:iCs/>
          <w:color w:val="000000"/>
          <w:sz w:val="20"/>
          <w:szCs w:val="20"/>
        </w:rPr>
      </w:pPr>
      <w:r>
        <w:rPr>
          <w:b/>
          <w:bCs/>
          <w:i/>
          <w:iCs/>
          <w:color w:val="000000"/>
          <w:sz w:val="20"/>
          <w:szCs w:val="20"/>
        </w:rPr>
        <w:t>Vista Analytical Laboratory, Inc. (“Vista”)</w:t>
      </w:r>
      <w:r>
        <w:rPr>
          <w:color w:val="000000"/>
          <w:sz w:val="20"/>
          <w:szCs w:val="20"/>
        </w:rPr>
        <w:t>—In June 2021, the Company completed the acquisition of Vista Analytical La</w:t>
      </w:r>
      <w:r>
        <w:rPr>
          <w:color w:val="000000"/>
          <w:sz w:val="20"/>
          <w:szCs w:val="20"/>
        </w:rPr>
        <w:t>boratory, Inc. (“Vista”) by acquiring 100.0% of its membership interests. Vista provides specialty analytical services related to Per- and polyfluoroalkyl substances (“PFAS”) and other semi-volatile organic compounds. Vista is based in Dorado Hills, CA. Th</w:t>
      </w:r>
      <w:r>
        <w:rPr>
          <w:color w:val="000000"/>
          <w:sz w:val="20"/>
          <w:szCs w:val="20"/>
        </w:rPr>
        <w:t>e upfront cash payment made to acquire Vista was funded through cash on hand and the common stock portion of the purchase price was funded through the issuance of 9,322 shares of common stock</w:t>
      </w:r>
      <w:r>
        <w:rPr>
          <w:b/>
          <w:bCs/>
          <w:i/>
          <w:iCs/>
          <w:color w:val="000000"/>
          <w:sz w:val="20"/>
          <w:szCs w:val="20"/>
        </w:rPr>
        <w:t xml:space="preserve">. </w:t>
      </w:r>
    </w:p>
    <w:p w14:paraId="3EA307C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table summarizes the elements of the purchase pr</w:t>
      </w:r>
      <w:r>
        <w:rPr>
          <w:color w:val="000000"/>
          <w:sz w:val="20"/>
          <w:szCs w:val="20"/>
        </w:rPr>
        <w:t>ice of the acquisitions completed during the six months ended June 30, 2021:</w:t>
      </w:r>
    </w:p>
    <w:p w14:paraId="0F6E09CE"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53"/>
        <w:gridCol w:w="60"/>
        <w:gridCol w:w="105"/>
        <w:gridCol w:w="420"/>
        <w:gridCol w:w="60"/>
        <w:gridCol w:w="60"/>
        <w:gridCol w:w="106"/>
        <w:gridCol w:w="646"/>
        <w:gridCol w:w="60"/>
        <w:gridCol w:w="60"/>
        <w:gridCol w:w="107"/>
        <w:gridCol w:w="879"/>
        <w:gridCol w:w="60"/>
        <w:gridCol w:w="60"/>
        <w:gridCol w:w="107"/>
        <w:gridCol w:w="879"/>
        <w:gridCol w:w="60"/>
        <w:gridCol w:w="60"/>
        <w:gridCol w:w="120"/>
        <w:gridCol w:w="986"/>
        <w:gridCol w:w="60"/>
        <w:gridCol w:w="60"/>
        <w:gridCol w:w="120"/>
        <w:gridCol w:w="986"/>
        <w:gridCol w:w="60"/>
        <w:gridCol w:w="60"/>
        <w:gridCol w:w="106"/>
        <w:gridCol w:w="646"/>
        <w:gridCol w:w="60"/>
      </w:tblGrid>
      <w:tr w:rsidR="00000000" w14:paraId="00E88CF4" w14:textId="77777777">
        <w:trPr>
          <w:divId w:val="2062171671"/>
        </w:trPr>
        <w:tc>
          <w:tcPr>
            <w:tcW w:w="1029" w:type="pct"/>
            <w:shd w:val="clear" w:color="auto" w:fill="FFFFFF"/>
            <w:tcMar>
              <w:top w:w="15" w:type="dxa"/>
              <w:left w:w="0" w:type="dxa"/>
              <w:bottom w:w="0" w:type="dxa"/>
              <w:right w:w="15" w:type="dxa"/>
            </w:tcMar>
            <w:vAlign w:val="bottom"/>
            <w:hideMark/>
          </w:tcPr>
          <w:p w14:paraId="0B7AD345" w14:textId="77777777" w:rsidR="00000000" w:rsidRDefault="00582324">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0207B0B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7C13549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Cash</w:t>
            </w:r>
          </w:p>
        </w:tc>
        <w:tc>
          <w:tcPr>
            <w:tcW w:w="50" w:type="pct"/>
            <w:shd w:val="clear" w:color="auto" w:fill="FFFFFF"/>
            <w:noWrap/>
            <w:tcMar>
              <w:top w:w="15" w:type="dxa"/>
              <w:left w:w="0" w:type="dxa"/>
              <w:bottom w:w="0" w:type="dxa"/>
              <w:right w:w="15" w:type="dxa"/>
            </w:tcMar>
            <w:vAlign w:val="bottom"/>
            <w:hideMark/>
          </w:tcPr>
          <w:p w14:paraId="0CA1053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1851F02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1A77454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Common</w:t>
            </w:r>
          </w:p>
          <w:p w14:paraId="6CA9ED0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Stock</w:t>
            </w:r>
          </w:p>
        </w:tc>
        <w:tc>
          <w:tcPr>
            <w:tcW w:w="50" w:type="pct"/>
            <w:shd w:val="clear" w:color="auto" w:fill="FFFFFF"/>
            <w:noWrap/>
            <w:tcMar>
              <w:top w:w="15" w:type="dxa"/>
              <w:left w:w="0" w:type="dxa"/>
              <w:bottom w:w="0" w:type="dxa"/>
              <w:right w:w="15" w:type="dxa"/>
            </w:tcMar>
            <w:vAlign w:val="bottom"/>
            <w:hideMark/>
          </w:tcPr>
          <w:p w14:paraId="4DF78B9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2CB252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501213F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w:t>
            </w:r>
          </w:p>
          <w:p w14:paraId="6095C7A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6D19E78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p w14:paraId="15D307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Components</w:t>
            </w:r>
          </w:p>
          <w:p w14:paraId="5BD07FB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Current</w:t>
            </w:r>
          </w:p>
        </w:tc>
        <w:tc>
          <w:tcPr>
            <w:tcW w:w="50" w:type="pct"/>
            <w:shd w:val="clear" w:color="auto" w:fill="FFFFFF"/>
            <w:noWrap/>
            <w:tcMar>
              <w:top w:w="15" w:type="dxa"/>
              <w:left w:w="0" w:type="dxa"/>
              <w:bottom w:w="0" w:type="dxa"/>
              <w:right w:w="15" w:type="dxa"/>
            </w:tcMar>
            <w:vAlign w:val="bottom"/>
            <w:hideMark/>
          </w:tcPr>
          <w:p w14:paraId="68BF91C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1847548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0382C0D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w:t>
            </w:r>
          </w:p>
          <w:p w14:paraId="4A2C02D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1575E80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p w14:paraId="6753C41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Components</w:t>
            </w:r>
          </w:p>
          <w:p w14:paraId="139674E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Long Term</w:t>
            </w:r>
          </w:p>
        </w:tc>
        <w:tc>
          <w:tcPr>
            <w:tcW w:w="50" w:type="pct"/>
            <w:shd w:val="clear" w:color="auto" w:fill="FFFFFF"/>
            <w:noWrap/>
            <w:tcMar>
              <w:top w:w="15" w:type="dxa"/>
              <w:left w:w="0" w:type="dxa"/>
              <w:bottom w:w="0" w:type="dxa"/>
              <w:right w:w="15" w:type="dxa"/>
            </w:tcMar>
            <w:vAlign w:val="bottom"/>
            <w:hideMark/>
          </w:tcPr>
          <w:p w14:paraId="0E0EC35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6769A8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5B777D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Contingent</w:t>
            </w:r>
          </w:p>
          <w:p w14:paraId="12280CC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Consideration</w:t>
            </w:r>
          </w:p>
          <w:p w14:paraId="257FE4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Current</w:t>
            </w:r>
          </w:p>
        </w:tc>
        <w:tc>
          <w:tcPr>
            <w:tcW w:w="50" w:type="pct"/>
            <w:shd w:val="clear" w:color="auto" w:fill="FFFFFF"/>
            <w:noWrap/>
            <w:tcMar>
              <w:top w:w="15" w:type="dxa"/>
              <w:left w:w="0" w:type="dxa"/>
              <w:bottom w:w="0" w:type="dxa"/>
              <w:right w:w="15" w:type="dxa"/>
            </w:tcMar>
            <w:vAlign w:val="bottom"/>
            <w:hideMark/>
          </w:tcPr>
          <w:p w14:paraId="366AD5C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3B99201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7C72086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Contingent</w:t>
            </w:r>
          </w:p>
          <w:p w14:paraId="3DB9014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Consideration</w:t>
            </w:r>
          </w:p>
          <w:p w14:paraId="7D73D57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Long Term</w:t>
            </w:r>
          </w:p>
        </w:tc>
        <w:tc>
          <w:tcPr>
            <w:tcW w:w="50" w:type="pct"/>
            <w:shd w:val="clear" w:color="auto" w:fill="FFFFFF"/>
            <w:noWrap/>
            <w:tcMar>
              <w:top w:w="15" w:type="dxa"/>
              <w:left w:w="0" w:type="dxa"/>
              <w:bottom w:w="0" w:type="dxa"/>
              <w:right w:w="15" w:type="dxa"/>
            </w:tcMar>
            <w:vAlign w:val="bottom"/>
            <w:hideMark/>
          </w:tcPr>
          <w:p w14:paraId="5FD219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1A2AAA2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14:paraId="71CEB75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225D6E2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7556F83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tc>
        <w:tc>
          <w:tcPr>
            <w:tcW w:w="50" w:type="pct"/>
            <w:shd w:val="clear" w:color="auto" w:fill="FFFFFF"/>
            <w:noWrap/>
            <w:tcMar>
              <w:top w:w="15" w:type="dxa"/>
              <w:left w:w="0" w:type="dxa"/>
              <w:bottom w:w="0" w:type="dxa"/>
              <w:right w:w="15" w:type="dxa"/>
            </w:tcMar>
            <w:vAlign w:val="bottom"/>
            <w:hideMark/>
          </w:tcPr>
          <w:p w14:paraId="247D95C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773891B2" w14:textId="77777777">
        <w:trPr>
          <w:divId w:val="2062171671"/>
        </w:trPr>
        <w:tc>
          <w:tcPr>
            <w:tcW w:w="1029" w:type="pct"/>
            <w:shd w:val="clear" w:color="auto" w:fill="CFF0FC"/>
            <w:tcMar>
              <w:top w:w="15" w:type="dxa"/>
              <w:left w:w="0" w:type="dxa"/>
              <w:bottom w:w="0" w:type="dxa"/>
              <w:right w:w="15" w:type="dxa"/>
            </w:tcMar>
            <w:hideMark/>
          </w:tcPr>
          <w:p w14:paraId="747417F2" w14:textId="77777777" w:rsidR="00000000" w:rsidRDefault="00582324">
            <w:pPr>
              <w:pStyle w:val="a3"/>
              <w:spacing w:before="0" w:beforeAutospacing="0" w:after="0" w:afterAutospacing="0"/>
              <w:rPr>
                <w:color w:val="000000"/>
                <w:sz w:val="18"/>
                <w:szCs w:val="18"/>
              </w:rPr>
            </w:pPr>
            <w:r>
              <w:rPr>
                <w:color w:val="000000"/>
                <w:sz w:val="18"/>
                <w:szCs w:val="18"/>
              </w:rPr>
              <w:t>MSE</w:t>
            </w:r>
          </w:p>
        </w:tc>
        <w:tc>
          <w:tcPr>
            <w:tcW w:w="54" w:type="pct"/>
            <w:shd w:val="clear" w:color="auto" w:fill="CFF0FC"/>
            <w:tcMar>
              <w:top w:w="15" w:type="dxa"/>
              <w:left w:w="0" w:type="dxa"/>
              <w:bottom w:w="0" w:type="dxa"/>
              <w:right w:w="15" w:type="dxa"/>
            </w:tcMar>
            <w:vAlign w:val="bottom"/>
            <w:hideMark/>
          </w:tcPr>
          <w:p w14:paraId="24C79E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1EDFF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5082B20A" w14:textId="77777777" w:rsidR="00000000" w:rsidRDefault="00582324">
            <w:pPr>
              <w:pStyle w:val="a3"/>
              <w:spacing w:before="0" w:beforeAutospacing="0" w:after="0" w:afterAutospacing="0"/>
              <w:jc w:val="right"/>
              <w:rPr>
                <w:color w:val="000000"/>
                <w:sz w:val="18"/>
                <w:szCs w:val="18"/>
              </w:rPr>
            </w:pPr>
            <w:r>
              <w:rPr>
                <w:color w:val="000000"/>
                <w:sz w:val="18"/>
                <w:szCs w:val="18"/>
              </w:rPr>
              <w:t>9,082</w:t>
            </w:r>
          </w:p>
        </w:tc>
        <w:tc>
          <w:tcPr>
            <w:tcW w:w="50" w:type="pct"/>
            <w:shd w:val="clear" w:color="auto" w:fill="CFF0FC"/>
            <w:noWrap/>
            <w:tcMar>
              <w:top w:w="15" w:type="dxa"/>
              <w:left w:w="0" w:type="dxa"/>
              <w:bottom w:w="0" w:type="dxa"/>
              <w:right w:w="15" w:type="dxa"/>
            </w:tcMar>
            <w:vAlign w:val="bottom"/>
            <w:hideMark/>
          </w:tcPr>
          <w:p w14:paraId="40F503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1281CB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65208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7A9DF3BE" w14:textId="77777777" w:rsidR="00000000" w:rsidRDefault="00582324">
            <w:pPr>
              <w:pStyle w:val="a3"/>
              <w:spacing w:before="0" w:beforeAutospacing="0" w:after="0" w:afterAutospacing="0"/>
              <w:jc w:val="right"/>
              <w:rPr>
                <w:color w:val="000000"/>
                <w:sz w:val="18"/>
                <w:szCs w:val="18"/>
              </w:rPr>
            </w:pPr>
            <w:r>
              <w:rPr>
                <w:color w:val="000000"/>
                <w:sz w:val="18"/>
                <w:szCs w:val="18"/>
              </w:rPr>
              <w:t>2,271</w:t>
            </w:r>
          </w:p>
        </w:tc>
        <w:tc>
          <w:tcPr>
            <w:tcW w:w="50" w:type="pct"/>
            <w:shd w:val="clear" w:color="auto" w:fill="CFF0FC"/>
            <w:noWrap/>
            <w:tcMar>
              <w:top w:w="15" w:type="dxa"/>
              <w:left w:w="0" w:type="dxa"/>
              <w:bottom w:w="0" w:type="dxa"/>
              <w:right w:w="15" w:type="dxa"/>
            </w:tcMar>
            <w:vAlign w:val="bottom"/>
            <w:hideMark/>
          </w:tcPr>
          <w:p w14:paraId="189CC7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519576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F60E0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138429B0" w14:textId="77777777" w:rsidR="00000000" w:rsidRDefault="00582324">
            <w:pPr>
              <w:pStyle w:val="a3"/>
              <w:spacing w:before="0" w:beforeAutospacing="0" w:after="0" w:afterAutospacing="0"/>
              <w:jc w:val="right"/>
              <w:rPr>
                <w:color w:val="000000"/>
                <w:sz w:val="18"/>
                <w:szCs w:val="18"/>
              </w:rPr>
            </w:pPr>
            <w:r>
              <w:rPr>
                <w:color w:val="000000"/>
                <w:sz w:val="18"/>
                <w:szCs w:val="18"/>
              </w:rPr>
              <w:t>10,146</w:t>
            </w:r>
          </w:p>
        </w:tc>
        <w:tc>
          <w:tcPr>
            <w:tcW w:w="50" w:type="pct"/>
            <w:shd w:val="clear" w:color="auto" w:fill="CFF0FC"/>
            <w:noWrap/>
            <w:tcMar>
              <w:top w:w="15" w:type="dxa"/>
              <w:left w:w="0" w:type="dxa"/>
              <w:bottom w:w="0" w:type="dxa"/>
              <w:right w:w="15" w:type="dxa"/>
            </w:tcMar>
            <w:vAlign w:val="bottom"/>
            <w:hideMark/>
          </w:tcPr>
          <w:p w14:paraId="503FF9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4140CB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BE293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3340674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8C77E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2840DE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A06BD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3455AB7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5A09D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0DC5F4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37945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35438336" w14:textId="77777777" w:rsidR="00000000" w:rsidRDefault="00582324">
            <w:pPr>
              <w:pStyle w:val="a3"/>
              <w:spacing w:before="0" w:beforeAutospacing="0" w:after="0" w:afterAutospacing="0"/>
              <w:jc w:val="right"/>
              <w:rPr>
                <w:color w:val="000000"/>
                <w:sz w:val="18"/>
                <w:szCs w:val="18"/>
              </w:rPr>
            </w:pPr>
            <w:r>
              <w:rPr>
                <w:color w:val="000000"/>
                <w:sz w:val="18"/>
                <w:szCs w:val="18"/>
              </w:rPr>
              <w:t>1,804</w:t>
            </w:r>
          </w:p>
        </w:tc>
        <w:tc>
          <w:tcPr>
            <w:tcW w:w="50" w:type="pct"/>
            <w:shd w:val="clear" w:color="auto" w:fill="CFF0FC"/>
            <w:noWrap/>
            <w:tcMar>
              <w:top w:w="15" w:type="dxa"/>
              <w:left w:w="0" w:type="dxa"/>
              <w:bottom w:w="0" w:type="dxa"/>
              <w:right w:w="15" w:type="dxa"/>
            </w:tcMar>
            <w:vAlign w:val="bottom"/>
            <w:hideMark/>
          </w:tcPr>
          <w:p w14:paraId="7A0D76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719260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9473B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14:paraId="35271DDA" w14:textId="77777777" w:rsidR="00000000" w:rsidRDefault="00582324">
            <w:pPr>
              <w:pStyle w:val="a3"/>
              <w:spacing w:before="0" w:beforeAutospacing="0" w:after="0" w:afterAutospacing="0"/>
              <w:jc w:val="right"/>
              <w:rPr>
                <w:color w:val="000000"/>
                <w:sz w:val="18"/>
                <w:szCs w:val="18"/>
              </w:rPr>
            </w:pPr>
            <w:r>
              <w:rPr>
                <w:color w:val="000000"/>
                <w:sz w:val="18"/>
                <w:szCs w:val="18"/>
              </w:rPr>
              <w:t>23,303</w:t>
            </w:r>
          </w:p>
        </w:tc>
        <w:tc>
          <w:tcPr>
            <w:tcW w:w="50" w:type="pct"/>
            <w:shd w:val="clear" w:color="auto" w:fill="CFF0FC"/>
            <w:noWrap/>
            <w:tcMar>
              <w:top w:w="15" w:type="dxa"/>
              <w:left w:w="0" w:type="dxa"/>
              <w:bottom w:w="0" w:type="dxa"/>
              <w:right w:w="15" w:type="dxa"/>
            </w:tcMar>
            <w:vAlign w:val="bottom"/>
            <w:hideMark/>
          </w:tcPr>
          <w:p w14:paraId="38B0F1C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0B08E5F8" w14:textId="77777777">
        <w:trPr>
          <w:divId w:val="2062171671"/>
        </w:trPr>
        <w:tc>
          <w:tcPr>
            <w:tcW w:w="1029" w:type="pct"/>
            <w:shd w:val="clear" w:color="auto" w:fill="FFFFFF"/>
            <w:tcMar>
              <w:top w:w="15" w:type="dxa"/>
              <w:left w:w="0" w:type="dxa"/>
              <w:bottom w:w="0" w:type="dxa"/>
              <w:right w:w="15" w:type="dxa"/>
            </w:tcMar>
            <w:hideMark/>
          </w:tcPr>
          <w:p w14:paraId="503A4629" w14:textId="77777777" w:rsidR="00000000" w:rsidRDefault="00582324">
            <w:pPr>
              <w:pStyle w:val="a3"/>
              <w:spacing w:before="0" w:beforeAutospacing="0" w:after="0" w:afterAutospacing="0"/>
              <w:rPr>
                <w:color w:val="000000"/>
                <w:sz w:val="18"/>
                <w:szCs w:val="18"/>
              </w:rPr>
            </w:pPr>
            <w:r>
              <w:rPr>
                <w:color w:val="000000"/>
                <w:sz w:val="18"/>
                <w:szCs w:val="18"/>
              </w:rPr>
              <w:t>Vista</w:t>
            </w:r>
          </w:p>
        </w:tc>
        <w:tc>
          <w:tcPr>
            <w:tcW w:w="54" w:type="pct"/>
            <w:shd w:val="clear" w:color="auto" w:fill="FFFFFF"/>
            <w:tcMar>
              <w:top w:w="15" w:type="dxa"/>
              <w:left w:w="0" w:type="dxa"/>
              <w:bottom w:w="0" w:type="dxa"/>
              <w:right w:w="15" w:type="dxa"/>
            </w:tcMar>
            <w:vAlign w:val="bottom"/>
            <w:hideMark/>
          </w:tcPr>
          <w:p w14:paraId="66A26D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4938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141A079D" w14:textId="77777777" w:rsidR="00000000" w:rsidRDefault="00582324">
            <w:pPr>
              <w:pStyle w:val="a3"/>
              <w:spacing w:before="0" w:beforeAutospacing="0" w:after="0" w:afterAutospacing="0"/>
              <w:jc w:val="right"/>
              <w:rPr>
                <w:color w:val="000000"/>
                <w:sz w:val="18"/>
                <w:szCs w:val="18"/>
              </w:rPr>
            </w:pPr>
            <w:r>
              <w:rPr>
                <w:color w:val="000000"/>
                <w:sz w:val="18"/>
                <w:szCs w:val="18"/>
              </w:rPr>
              <w:t>9,025</w:t>
            </w:r>
          </w:p>
        </w:tc>
        <w:tc>
          <w:tcPr>
            <w:tcW w:w="50" w:type="pct"/>
            <w:shd w:val="clear" w:color="auto" w:fill="FFFFFF"/>
            <w:noWrap/>
            <w:tcMar>
              <w:top w:w="15" w:type="dxa"/>
              <w:left w:w="0" w:type="dxa"/>
              <w:bottom w:w="0" w:type="dxa"/>
              <w:right w:w="15" w:type="dxa"/>
            </w:tcMar>
            <w:vAlign w:val="bottom"/>
            <w:hideMark/>
          </w:tcPr>
          <w:p w14:paraId="45A2BC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0F3581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B5F5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6998F057" w14:textId="77777777" w:rsidR="00000000" w:rsidRDefault="00582324">
            <w:pPr>
              <w:pStyle w:val="a3"/>
              <w:spacing w:before="0" w:beforeAutospacing="0" w:after="0" w:afterAutospacing="0"/>
              <w:jc w:val="right"/>
              <w:rPr>
                <w:color w:val="000000"/>
                <w:sz w:val="18"/>
                <w:szCs w:val="18"/>
              </w:rPr>
            </w:pPr>
            <w:r>
              <w:rPr>
                <w:color w:val="000000"/>
                <w:sz w:val="18"/>
                <w:szCs w:val="18"/>
              </w:rPr>
              <w:t>475</w:t>
            </w:r>
          </w:p>
        </w:tc>
        <w:tc>
          <w:tcPr>
            <w:tcW w:w="50" w:type="pct"/>
            <w:shd w:val="clear" w:color="auto" w:fill="FFFFFF"/>
            <w:noWrap/>
            <w:tcMar>
              <w:top w:w="15" w:type="dxa"/>
              <w:left w:w="0" w:type="dxa"/>
              <w:bottom w:w="0" w:type="dxa"/>
              <w:right w:w="15" w:type="dxa"/>
            </w:tcMar>
            <w:vAlign w:val="bottom"/>
            <w:hideMark/>
          </w:tcPr>
          <w:p w14:paraId="2B4931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31FF5A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3043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52979E5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DA23F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745BBD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E924C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4D8C7EE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1EDE9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3F2EE4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F5F9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6B6451F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2A85F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105CAA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E13F2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6E5284A8" w14:textId="77777777" w:rsidR="00000000" w:rsidRDefault="00582324">
            <w:pPr>
              <w:pStyle w:val="a3"/>
              <w:spacing w:before="0" w:beforeAutospacing="0" w:after="0" w:afterAutospacing="0"/>
              <w:jc w:val="right"/>
              <w:rPr>
                <w:color w:val="000000"/>
                <w:sz w:val="18"/>
                <w:szCs w:val="18"/>
              </w:rPr>
            </w:pPr>
            <w:r>
              <w:rPr>
                <w:color w:val="000000"/>
                <w:sz w:val="18"/>
                <w:szCs w:val="18"/>
              </w:rPr>
              <w:t>1,000</w:t>
            </w:r>
          </w:p>
        </w:tc>
        <w:tc>
          <w:tcPr>
            <w:tcW w:w="50" w:type="pct"/>
            <w:shd w:val="clear" w:color="auto" w:fill="FFFFFF"/>
            <w:noWrap/>
            <w:tcMar>
              <w:top w:w="15" w:type="dxa"/>
              <w:left w:w="0" w:type="dxa"/>
              <w:bottom w:w="0" w:type="dxa"/>
              <w:right w:w="15" w:type="dxa"/>
            </w:tcMar>
            <w:vAlign w:val="bottom"/>
            <w:hideMark/>
          </w:tcPr>
          <w:p w14:paraId="6EB813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26DA63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345C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12" w:type="pct"/>
            <w:tcBorders>
              <w:bottom w:val="single" w:sz="6" w:space="0" w:color="000000"/>
            </w:tcBorders>
            <w:shd w:val="clear" w:color="auto" w:fill="FFFFFF"/>
            <w:noWrap/>
            <w:tcMar>
              <w:top w:w="15" w:type="dxa"/>
              <w:left w:w="0" w:type="dxa"/>
              <w:bottom w:w="0" w:type="dxa"/>
              <w:right w:w="15" w:type="dxa"/>
            </w:tcMar>
            <w:vAlign w:val="bottom"/>
            <w:hideMark/>
          </w:tcPr>
          <w:p w14:paraId="2AD1A709" w14:textId="77777777" w:rsidR="00000000" w:rsidRDefault="00582324">
            <w:pPr>
              <w:pStyle w:val="a3"/>
              <w:spacing w:before="0" w:beforeAutospacing="0" w:after="0" w:afterAutospacing="0"/>
              <w:jc w:val="right"/>
              <w:rPr>
                <w:color w:val="000000"/>
                <w:sz w:val="18"/>
                <w:szCs w:val="18"/>
              </w:rPr>
            </w:pPr>
            <w:r>
              <w:rPr>
                <w:color w:val="000000"/>
                <w:sz w:val="18"/>
                <w:szCs w:val="18"/>
              </w:rPr>
              <w:t>10,500</w:t>
            </w:r>
          </w:p>
        </w:tc>
        <w:tc>
          <w:tcPr>
            <w:tcW w:w="50" w:type="pct"/>
            <w:shd w:val="clear" w:color="auto" w:fill="FFFFFF"/>
            <w:noWrap/>
            <w:tcMar>
              <w:top w:w="15" w:type="dxa"/>
              <w:left w:w="0" w:type="dxa"/>
              <w:bottom w:w="0" w:type="dxa"/>
              <w:right w:w="15" w:type="dxa"/>
            </w:tcMar>
            <w:vAlign w:val="bottom"/>
            <w:hideMark/>
          </w:tcPr>
          <w:p w14:paraId="4801E05B"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6F6B0593" w14:textId="77777777" w:rsidR="00000000" w:rsidRDefault="00582324">
      <w:pPr>
        <w:pStyle w:val="a3"/>
        <w:shd w:val="clear" w:color="auto" w:fill="FFFFFF"/>
        <w:spacing w:before="0" w:beforeAutospacing="0" w:after="0" w:afterAutospacing="0"/>
        <w:rPr>
          <w:sz w:val="20"/>
          <w:szCs w:val="20"/>
        </w:rPr>
      </w:pPr>
      <w:r>
        <w:rPr>
          <w:sz w:val="20"/>
          <w:szCs w:val="20"/>
        </w:rPr>
        <w:t> </w:t>
      </w:r>
    </w:p>
    <w:p w14:paraId="77C1D83A"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The other purchase price components of the MSE purchase price consist of a target working capital amount, a 338 election tax liability, 2020 and 2021 p</w:t>
      </w:r>
      <w:r>
        <w:rPr>
          <w:color w:val="000000"/>
          <w:sz w:val="20"/>
          <w:szCs w:val="20"/>
        </w:rPr>
        <w:t>urchase price true ups and contingent consideration. The 2020 and 2021 purchase price true up elements are based on MSE’s actual 2020 and 2021 results.  The other purchase price components of the Vista purchase price consist of a target working capital amo</w:t>
      </w:r>
      <w:r>
        <w:rPr>
          <w:color w:val="000000"/>
          <w:sz w:val="20"/>
          <w:szCs w:val="20"/>
        </w:rPr>
        <w:t>unt.</w:t>
      </w:r>
    </w:p>
    <w:p w14:paraId="629124C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The contingent consideration elements of the acquisitions are related to earn-outs which are based on the expected achievement of revenue or earnings thresholds as of the date of the acquisition and for which the maximum potential amount is limited. </w:t>
      </w:r>
    </w:p>
    <w:p w14:paraId="753CBBEF" w14:textId="77777777" w:rsidR="00000000" w:rsidRDefault="00582324">
      <w:pPr>
        <w:pStyle w:val="a3"/>
        <w:shd w:val="clear" w:color="auto" w:fill="FFFFFF"/>
        <w:spacing w:before="240" w:beforeAutospacing="0" w:after="0" w:afterAutospacing="0"/>
        <w:ind w:firstLine="416"/>
        <w:rPr>
          <w:sz w:val="20"/>
          <w:szCs w:val="20"/>
        </w:rPr>
      </w:pPr>
      <w:r>
        <w:rPr>
          <w:sz w:val="20"/>
          <w:szCs w:val="20"/>
        </w:rPr>
        <w:t>The Company may be required to make up to $7.2 million in aggregate true up and earn-out payments in 2022 and 2023 in connection with these two acquisitions. The Company paid the MSE target working capital amount and the 2020 purchase price true up in Apri</w:t>
      </w:r>
      <w:r>
        <w:rPr>
          <w:sz w:val="20"/>
          <w:szCs w:val="20"/>
        </w:rPr>
        <w:t>l 2021.</w:t>
      </w:r>
    </w:p>
    <w:p w14:paraId="3602B144"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preliminary purchase price attributable to the acquisitions was allocated as follows:</w:t>
      </w:r>
    </w:p>
    <w:tbl>
      <w:tblPr>
        <w:tblW w:w="4500" w:type="pct"/>
        <w:tblCellMar>
          <w:left w:w="0" w:type="dxa"/>
          <w:right w:w="0" w:type="dxa"/>
        </w:tblCellMar>
        <w:tblLook w:val="04A0" w:firstRow="1" w:lastRow="0" w:firstColumn="1" w:lastColumn="0" w:noHBand="0" w:noVBand="1"/>
      </w:tblPr>
      <w:tblGrid>
        <w:gridCol w:w="4272"/>
        <w:gridCol w:w="94"/>
        <w:gridCol w:w="105"/>
        <w:gridCol w:w="793"/>
        <w:gridCol w:w="75"/>
        <w:gridCol w:w="95"/>
        <w:gridCol w:w="105"/>
        <w:gridCol w:w="793"/>
        <w:gridCol w:w="75"/>
        <w:gridCol w:w="95"/>
        <w:gridCol w:w="105"/>
        <w:gridCol w:w="793"/>
        <w:gridCol w:w="75"/>
      </w:tblGrid>
      <w:tr w:rsidR="00000000" w14:paraId="02386B25" w14:textId="77777777">
        <w:trPr>
          <w:divId w:val="1886025028"/>
        </w:trPr>
        <w:tc>
          <w:tcPr>
            <w:tcW w:w="2866" w:type="pct"/>
            <w:shd w:val="clear" w:color="auto" w:fill="FFFFFF"/>
            <w:tcMar>
              <w:top w:w="15" w:type="dxa"/>
              <w:left w:w="0" w:type="dxa"/>
              <w:bottom w:w="0" w:type="dxa"/>
              <w:right w:w="15" w:type="dxa"/>
            </w:tcMar>
            <w:vAlign w:val="bottom"/>
            <w:hideMark/>
          </w:tcPr>
          <w:p w14:paraId="205757D8" w14:textId="77777777" w:rsidR="00000000" w:rsidRDefault="00582324">
            <w:pPr>
              <w:pStyle w:val="a3"/>
              <w:spacing w:before="0" w:beforeAutospacing="0" w:after="0" w:afterAutospacing="0"/>
              <w:rPr>
                <w:sz w:val="20"/>
                <w:szCs w:val="20"/>
              </w:rPr>
            </w:pPr>
            <w:r>
              <w:rPr>
                <w:sz w:val="20"/>
                <w:szCs w:val="20"/>
              </w:rPr>
              <w:t> </w:t>
            </w:r>
          </w:p>
        </w:tc>
        <w:tc>
          <w:tcPr>
            <w:tcW w:w="72" w:type="pct"/>
            <w:shd w:val="clear" w:color="auto" w:fill="FFFFFF"/>
            <w:tcMar>
              <w:top w:w="15" w:type="dxa"/>
              <w:left w:w="0" w:type="dxa"/>
              <w:bottom w:w="0" w:type="dxa"/>
              <w:right w:w="15" w:type="dxa"/>
            </w:tcMar>
            <w:vAlign w:val="bottom"/>
            <w:hideMark/>
          </w:tcPr>
          <w:p w14:paraId="51D1C0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D88F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6D08CA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3F11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5F9520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08654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18235E6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E9025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 w:type="pct"/>
            <w:shd w:val="clear" w:color="auto" w:fill="FFFFFF"/>
            <w:tcMar>
              <w:top w:w="15" w:type="dxa"/>
              <w:left w:w="0" w:type="dxa"/>
              <w:bottom w:w="0" w:type="dxa"/>
              <w:right w:w="15" w:type="dxa"/>
            </w:tcMar>
            <w:vAlign w:val="bottom"/>
            <w:hideMark/>
          </w:tcPr>
          <w:p w14:paraId="490A84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9134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649E71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64771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18DCFE0" w14:textId="77777777">
        <w:trPr>
          <w:divId w:val="1886025028"/>
        </w:trPr>
        <w:tc>
          <w:tcPr>
            <w:tcW w:w="2866" w:type="pct"/>
            <w:shd w:val="clear" w:color="auto" w:fill="FFFFFF"/>
            <w:tcMar>
              <w:top w:w="15" w:type="dxa"/>
              <w:left w:w="0" w:type="dxa"/>
              <w:bottom w:w="0" w:type="dxa"/>
              <w:right w:w="15" w:type="dxa"/>
            </w:tcMar>
            <w:vAlign w:val="bottom"/>
            <w:hideMark/>
          </w:tcPr>
          <w:p w14:paraId="497325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616385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0A55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218DF4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FB08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027E80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21394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77A03B9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1A903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 w:type="pct"/>
            <w:shd w:val="clear" w:color="auto" w:fill="FFFFFF"/>
            <w:tcMar>
              <w:top w:w="15" w:type="dxa"/>
              <w:left w:w="0" w:type="dxa"/>
              <w:bottom w:w="0" w:type="dxa"/>
              <w:right w:w="15" w:type="dxa"/>
            </w:tcMar>
            <w:vAlign w:val="bottom"/>
            <w:hideMark/>
          </w:tcPr>
          <w:p w14:paraId="6B1BFD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E572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1C5533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B388A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8C08562" w14:textId="77777777">
        <w:trPr>
          <w:divId w:val="1886025028"/>
        </w:trPr>
        <w:tc>
          <w:tcPr>
            <w:tcW w:w="2866" w:type="pct"/>
            <w:shd w:val="clear" w:color="auto" w:fill="FFFFFF"/>
            <w:tcMar>
              <w:top w:w="15" w:type="dxa"/>
              <w:left w:w="0" w:type="dxa"/>
              <w:bottom w:w="0" w:type="dxa"/>
              <w:right w:w="15" w:type="dxa"/>
            </w:tcMar>
            <w:vAlign w:val="bottom"/>
            <w:hideMark/>
          </w:tcPr>
          <w:p w14:paraId="386C851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72" w:type="pct"/>
            <w:shd w:val="clear" w:color="auto" w:fill="FFFFFF"/>
            <w:tcMar>
              <w:top w:w="15" w:type="dxa"/>
              <w:left w:w="0" w:type="dxa"/>
              <w:bottom w:w="0" w:type="dxa"/>
              <w:right w:w="15" w:type="dxa"/>
            </w:tcMar>
            <w:vAlign w:val="bottom"/>
            <w:hideMark/>
          </w:tcPr>
          <w:p w14:paraId="363B80F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14:paraId="23CFDB2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MSE</w:t>
            </w:r>
          </w:p>
        </w:tc>
        <w:tc>
          <w:tcPr>
            <w:tcW w:w="50" w:type="pct"/>
            <w:shd w:val="clear" w:color="auto" w:fill="FFFFFF"/>
            <w:noWrap/>
            <w:tcMar>
              <w:top w:w="15" w:type="dxa"/>
              <w:left w:w="0" w:type="dxa"/>
              <w:bottom w:w="0" w:type="dxa"/>
              <w:right w:w="15" w:type="dxa"/>
            </w:tcMar>
            <w:vAlign w:val="bottom"/>
            <w:hideMark/>
          </w:tcPr>
          <w:p w14:paraId="781722F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 w:type="pct"/>
            <w:shd w:val="clear" w:color="auto" w:fill="FFFFFF"/>
            <w:tcMar>
              <w:top w:w="15" w:type="dxa"/>
              <w:left w:w="0" w:type="dxa"/>
              <w:bottom w:w="0" w:type="dxa"/>
              <w:right w:w="15" w:type="dxa"/>
            </w:tcMar>
            <w:vAlign w:val="bottom"/>
            <w:hideMark/>
          </w:tcPr>
          <w:p w14:paraId="2AA50F4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14:paraId="1947335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Vista</w:t>
            </w:r>
          </w:p>
        </w:tc>
        <w:tc>
          <w:tcPr>
            <w:tcW w:w="50" w:type="pct"/>
            <w:shd w:val="clear" w:color="auto" w:fill="FFFFFF"/>
            <w:noWrap/>
            <w:tcMar>
              <w:top w:w="15" w:type="dxa"/>
              <w:left w:w="0" w:type="dxa"/>
              <w:bottom w:w="0" w:type="dxa"/>
              <w:right w:w="15" w:type="dxa"/>
            </w:tcMar>
            <w:vAlign w:val="bottom"/>
            <w:hideMark/>
          </w:tcPr>
          <w:p w14:paraId="5B8A4F3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 w:type="pct"/>
            <w:shd w:val="clear" w:color="auto" w:fill="FFFFFF"/>
            <w:tcMar>
              <w:top w:w="15" w:type="dxa"/>
              <w:left w:w="0" w:type="dxa"/>
              <w:bottom w:w="0" w:type="dxa"/>
              <w:right w:w="15" w:type="dxa"/>
            </w:tcMar>
            <w:vAlign w:val="bottom"/>
            <w:hideMark/>
          </w:tcPr>
          <w:p w14:paraId="640D3E4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14:paraId="6B1A1E9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6413DAD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2BA36FB" w14:textId="77777777">
        <w:trPr>
          <w:divId w:val="1886025028"/>
        </w:trPr>
        <w:tc>
          <w:tcPr>
            <w:tcW w:w="2866" w:type="pct"/>
            <w:shd w:val="clear" w:color="auto" w:fill="CFF0FC"/>
            <w:tcMar>
              <w:top w:w="15" w:type="dxa"/>
              <w:left w:w="0" w:type="dxa"/>
              <w:bottom w:w="0" w:type="dxa"/>
              <w:right w:w="15" w:type="dxa"/>
            </w:tcMar>
            <w:hideMark/>
          </w:tcPr>
          <w:p w14:paraId="3CCA01C7" w14:textId="77777777" w:rsidR="00000000" w:rsidRDefault="00582324">
            <w:pPr>
              <w:pStyle w:val="a3"/>
              <w:spacing w:before="0" w:beforeAutospacing="0" w:after="0" w:afterAutospacing="0"/>
              <w:rPr>
                <w:color w:val="000000"/>
                <w:sz w:val="18"/>
                <w:szCs w:val="18"/>
              </w:rPr>
            </w:pPr>
            <w:r>
              <w:rPr>
                <w:color w:val="000000"/>
                <w:sz w:val="18"/>
                <w:szCs w:val="18"/>
              </w:rPr>
              <w:t>Cash</w:t>
            </w:r>
          </w:p>
        </w:tc>
        <w:tc>
          <w:tcPr>
            <w:tcW w:w="72" w:type="pct"/>
            <w:shd w:val="clear" w:color="auto" w:fill="CFF0FC"/>
            <w:tcMar>
              <w:top w:w="15" w:type="dxa"/>
              <w:left w:w="0" w:type="dxa"/>
              <w:bottom w:w="0" w:type="dxa"/>
              <w:right w:w="15" w:type="dxa"/>
            </w:tcMar>
            <w:vAlign w:val="bottom"/>
            <w:hideMark/>
          </w:tcPr>
          <w:p w14:paraId="2CB30E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4CA53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14:paraId="536A4242" w14:textId="77777777" w:rsidR="00000000" w:rsidRDefault="00582324">
            <w:pPr>
              <w:pStyle w:val="a3"/>
              <w:spacing w:before="0" w:beforeAutospacing="0" w:after="0" w:afterAutospacing="0"/>
              <w:jc w:val="right"/>
              <w:rPr>
                <w:color w:val="000000"/>
                <w:sz w:val="18"/>
                <w:szCs w:val="18"/>
              </w:rPr>
            </w:pPr>
            <w:r>
              <w:rPr>
                <w:color w:val="000000"/>
                <w:sz w:val="18"/>
                <w:szCs w:val="18"/>
              </w:rPr>
              <w:t>2,810</w:t>
            </w:r>
          </w:p>
        </w:tc>
        <w:tc>
          <w:tcPr>
            <w:tcW w:w="50" w:type="pct"/>
            <w:shd w:val="clear" w:color="auto" w:fill="CFF0FC"/>
            <w:noWrap/>
            <w:tcMar>
              <w:top w:w="15" w:type="dxa"/>
              <w:left w:w="0" w:type="dxa"/>
              <w:bottom w:w="0" w:type="dxa"/>
              <w:right w:w="15" w:type="dxa"/>
            </w:tcMar>
            <w:vAlign w:val="bottom"/>
            <w:hideMark/>
          </w:tcPr>
          <w:p w14:paraId="2E7CC8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042E41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8EA8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14:paraId="64D9E881" w14:textId="77777777" w:rsidR="00000000" w:rsidRDefault="00582324">
            <w:pPr>
              <w:pStyle w:val="a3"/>
              <w:spacing w:before="0" w:beforeAutospacing="0" w:after="0" w:afterAutospacing="0"/>
              <w:jc w:val="right"/>
              <w:rPr>
                <w:color w:val="000000"/>
                <w:sz w:val="18"/>
                <w:szCs w:val="18"/>
              </w:rPr>
            </w:pPr>
            <w:r>
              <w:rPr>
                <w:color w:val="000000"/>
                <w:sz w:val="18"/>
                <w:szCs w:val="18"/>
              </w:rPr>
              <w:t>420</w:t>
            </w:r>
          </w:p>
        </w:tc>
        <w:tc>
          <w:tcPr>
            <w:tcW w:w="50" w:type="pct"/>
            <w:shd w:val="clear" w:color="auto" w:fill="CFF0FC"/>
            <w:noWrap/>
            <w:tcMar>
              <w:top w:w="15" w:type="dxa"/>
              <w:left w:w="0" w:type="dxa"/>
              <w:bottom w:w="0" w:type="dxa"/>
              <w:right w:w="15" w:type="dxa"/>
            </w:tcMar>
            <w:vAlign w:val="bottom"/>
            <w:hideMark/>
          </w:tcPr>
          <w:p w14:paraId="16B998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692A6E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CE425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14:paraId="52D40994" w14:textId="77777777" w:rsidR="00000000" w:rsidRDefault="00582324">
            <w:pPr>
              <w:pStyle w:val="a3"/>
              <w:spacing w:before="0" w:beforeAutospacing="0" w:after="0" w:afterAutospacing="0"/>
              <w:jc w:val="right"/>
              <w:rPr>
                <w:color w:val="000000"/>
                <w:sz w:val="18"/>
                <w:szCs w:val="18"/>
              </w:rPr>
            </w:pPr>
            <w:r>
              <w:rPr>
                <w:color w:val="000000"/>
                <w:sz w:val="18"/>
                <w:szCs w:val="18"/>
              </w:rPr>
              <w:t>3,230</w:t>
            </w:r>
          </w:p>
        </w:tc>
        <w:tc>
          <w:tcPr>
            <w:tcW w:w="50" w:type="pct"/>
            <w:shd w:val="clear" w:color="auto" w:fill="CFF0FC"/>
            <w:noWrap/>
            <w:tcMar>
              <w:top w:w="15" w:type="dxa"/>
              <w:left w:w="0" w:type="dxa"/>
              <w:bottom w:w="0" w:type="dxa"/>
              <w:right w:w="15" w:type="dxa"/>
            </w:tcMar>
            <w:vAlign w:val="bottom"/>
            <w:hideMark/>
          </w:tcPr>
          <w:p w14:paraId="2B8043E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618693E" w14:textId="77777777">
        <w:trPr>
          <w:divId w:val="1886025028"/>
        </w:trPr>
        <w:tc>
          <w:tcPr>
            <w:tcW w:w="2866" w:type="pct"/>
            <w:shd w:val="clear" w:color="auto" w:fill="FFFFFF"/>
            <w:tcMar>
              <w:top w:w="15" w:type="dxa"/>
              <w:left w:w="0" w:type="dxa"/>
              <w:bottom w:w="0" w:type="dxa"/>
              <w:right w:w="15" w:type="dxa"/>
            </w:tcMar>
            <w:hideMark/>
          </w:tcPr>
          <w:p w14:paraId="6CDC2641" w14:textId="77777777" w:rsidR="00000000" w:rsidRDefault="00582324">
            <w:pPr>
              <w:pStyle w:val="a3"/>
              <w:spacing w:before="0" w:beforeAutospacing="0" w:after="0" w:afterAutospacing="0"/>
              <w:rPr>
                <w:color w:val="000000"/>
                <w:sz w:val="18"/>
                <w:szCs w:val="18"/>
              </w:rPr>
            </w:pPr>
            <w:r>
              <w:rPr>
                <w:color w:val="000000"/>
                <w:sz w:val="18"/>
                <w:szCs w:val="18"/>
              </w:rPr>
              <w:t>Accounts receivable</w:t>
            </w:r>
          </w:p>
        </w:tc>
        <w:tc>
          <w:tcPr>
            <w:tcW w:w="72" w:type="pct"/>
            <w:shd w:val="clear" w:color="auto" w:fill="FFFFFF"/>
            <w:tcMar>
              <w:top w:w="15" w:type="dxa"/>
              <w:left w:w="0" w:type="dxa"/>
              <w:bottom w:w="0" w:type="dxa"/>
              <w:right w:w="15" w:type="dxa"/>
            </w:tcMar>
            <w:vAlign w:val="bottom"/>
            <w:hideMark/>
          </w:tcPr>
          <w:p w14:paraId="54B47B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E67F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67B1AD1D" w14:textId="77777777" w:rsidR="00000000" w:rsidRDefault="00582324">
            <w:pPr>
              <w:pStyle w:val="a3"/>
              <w:spacing w:before="0" w:beforeAutospacing="0" w:after="0" w:afterAutospacing="0"/>
              <w:jc w:val="right"/>
              <w:rPr>
                <w:color w:val="000000"/>
                <w:sz w:val="18"/>
                <w:szCs w:val="18"/>
              </w:rPr>
            </w:pPr>
            <w:r>
              <w:rPr>
                <w:color w:val="000000"/>
                <w:sz w:val="18"/>
                <w:szCs w:val="18"/>
              </w:rPr>
              <w:t>2,987</w:t>
            </w:r>
          </w:p>
        </w:tc>
        <w:tc>
          <w:tcPr>
            <w:tcW w:w="50" w:type="pct"/>
            <w:shd w:val="clear" w:color="auto" w:fill="FFFFFF"/>
            <w:noWrap/>
            <w:tcMar>
              <w:top w:w="15" w:type="dxa"/>
              <w:left w:w="0" w:type="dxa"/>
              <w:bottom w:w="0" w:type="dxa"/>
              <w:right w:w="15" w:type="dxa"/>
            </w:tcMar>
            <w:vAlign w:val="bottom"/>
            <w:hideMark/>
          </w:tcPr>
          <w:p w14:paraId="264B1B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2A6D17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2FB3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5F0B2045" w14:textId="77777777" w:rsidR="00000000" w:rsidRDefault="00582324">
            <w:pPr>
              <w:pStyle w:val="a3"/>
              <w:spacing w:before="0" w:beforeAutospacing="0" w:after="0" w:afterAutospacing="0"/>
              <w:jc w:val="right"/>
              <w:rPr>
                <w:color w:val="000000"/>
                <w:sz w:val="18"/>
                <w:szCs w:val="18"/>
              </w:rPr>
            </w:pPr>
            <w:r>
              <w:rPr>
                <w:color w:val="000000"/>
                <w:sz w:val="18"/>
                <w:szCs w:val="18"/>
              </w:rPr>
              <w:t>1,035</w:t>
            </w:r>
          </w:p>
        </w:tc>
        <w:tc>
          <w:tcPr>
            <w:tcW w:w="50" w:type="pct"/>
            <w:shd w:val="clear" w:color="auto" w:fill="FFFFFF"/>
            <w:noWrap/>
            <w:tcMar>
              <w:top w:w="15" w:type="dxa"/>
              <w:left w:w="0" w:type="dxa"/>
              <w:bottom w:w="0" w:type="dxa"/>
              <w:right w:w="15" w:type="dxa"/>
            </w:tcMar>
            <w:vAlign w:val="bottom"/>
            <w:hideMark/>
          </w:tcPr>
          <w:p w14:paraId="48E1EF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1EB870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C745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0BD4A3AD" w14:textId="77777777" w:rsidR="00000000" w:rsidRDefault="00582324">
            <w:pPr>
              <w:pStyle w:val="a3"/>
              <w:spacing w:before="0" w:beforeAutospacing="0" w:after="0" w:afterAutospacing="0"/>
              <w:jc w:val="right"/>
              <w:rPr>
                <w:color w:val="000000"/>
                <w:sz w:val="18"/>
                <w:szCs w:val="18"/>
              </w:rPr>
            </w:pPr>
            <w:r>
              <w:rPr>
                <w:color w:val="000000"/>
                <w:sz w:val="18"/>
                <w:szCs w:val="18"/>
              </w:rPr>
              <w:t>4,022</w:t>
            </w:r>
          </w:p>
        </w:tc>
        <w:tc>
          <w:tcPr>
            <w:tcW w:w="50" w:type="pct"/>
            <w:shd w:val="clear" w:color="auto" w:fill="FFFFFF"/>
            <w:noWrap/>
            <w:tcMar>
              <w:top w:w="15" w:type="dxa"/>
              <w:left w:w="0" w:type="dxa"/>
              <w:bottom w:w="0" w:type="dxa"/>
              <w:right w:w="15" w:type="dxa"/>
            </w:tcMar>
            <w:vAlign w:val="bottom"/>
            <w:hideMark/>
          </w:tcPr>
          <w:p w14:paraId="7797D02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310599E" w14:textId="77777777">
        <w:trPr>
          <w:divId w:val="1886025028"/>
        </w:trPr>
        <w:tc>
          <w:tcPr>
            <w:tcW w:w="2866" w:type="pct"/>
            <w:shd w:val="clear" w:color="auto" w:fill="CFF0FC"/>
            <w:tcMar>
              <w:top w:w="15" w:type="dxa"/>
              <w:left w:w="0" w:type="dxa"/>
              <w:bottom w:w="0" w:type="dxa"/>
              <w:right w:w="15" w:type="dxa"/>
            </w:tcMar>
            <w:hideMark/>
          </w:tcPr>
          <w:p w14:paraId="418A2EB0" w14:textId="77777777" w:rsidR="00000000" w:rsidRDefault="00582324">
            <w:pPr>
              <w:pStyle w:val="a3"/>
              <w:spacing w:before="0" w:beforeAutospacing="0" w:after="0" w:afterAutospacing="0"/>
              <w:rPr>
                <w:color w:val="000000"/>
                <w:sz w:val="18"/>
                <w:szCs w:val="18"/>
              </w:rPr>
            </w:pPr>
            <w:r>
              <w:rPr>
                <w:color w:val="000000"/>
                <w:sz w:val="18"/>
                <w:szCs w:val="18"/>
              </w:rPr>
              <w:t>Other current assets</w:t>
            </w:r>
          </w:p>
        </w:tc>
        <w:tc>
          <w:tcPr>
            <w:tcW w:w="72" w:type="pct"/>
            <w:shd w:val="clear" w:color="auto" w:fill="CFF0FC"/>
            <w:tcMar>
              <w:top w:w="15" w:type="dxa"/>
              <w:left w:w="0" w:type="dxa"/>
              <w:bottom w:w="0" w:type="dxa"/>
              <w:right w:w="15" w:type="dxa"/>
            </w:tcMar>
            <w:vAlign w:val="bottom"/>
            <w:hideMark/>
          </w:tcPr>
          <w:p w14:paraId="6D2DF4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098E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64B8CA4E" w14:textId="77777777" w:rsidR="00000000" w:rsidRDefault="00582324">
            <w:pPr>
              <w:pStyle w:val="a3"/>
              <w:spacing w:before="0" w:beforeAutospacing="0" w:after="0" w:afterAutospacing="0"/>
              <w:jc w:val="right"/>
              <w:rPr>
                <w:color w:val="000000"/>
                <w:sz w:val="18"/>
                <w:szCs w:val="18"/>
              </w:rPr>
            </w:pPr>
            <w:r>
              <w:rPr>
                <w:color w:val="000000"/>
                <w:sz w:val="18"/>
                <w:szCs w:val="18"/>
              </w:rPr>
              <w:t>31</w:t>
            </w:r>
          </w:p>
        </w:tc>
        <w:tc>
          <w:tcPr>
            <w:tcW w:w="50" w:type="pct"/>
            <w:shd w:val="clear" w:color="auto" w:fill="CFF0FC"/>
            <w:noWrap/>
            <w:tcMar>
              <w:top w:w="15" w:type="dxa"/>
              <w:left w:w="0" w:type="dxa"/>
              <w:bottom w:w="0" w:type="dxa"/>
              <w:right w:w="15" w:type="dxa"/>
            </w:tcMar>
            <w:vAlign w:val="bottom"/>
            <w:hideMark/>
          </w:tcPr>
          <w:p w14:paraId="2035FF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52898B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B1DB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1F4043C8" w14:textId="77777777" w:rsidR="00000000" w:rsidRDefault="00582324">
            <w:pPr>
              <w:pStyle w:val="a3"/>
              <w:spacing w:before="0" w:beforeAutospacing="0" w:after="0" w:afterAutospacing="0"/>
              <w:jc w:val="right"/>
              <w:rPr>
                <w:color w:val="000000"/>
                <w:sz w:val="18"/>
                <w:szCs w:val="18"/>
              </w:rPr>
            </w:pPr>
            <w:r>
              <w:rPr>
                <w:color w:val="000000"/>
                <w:sz w:val="18"/>
                <w:szCs w:val="18"/>
              </w:rPr>
              <w:t>344</w:t>
            </w:r>
          </w:p>
        </w:tc>
        <w:tc>
          <w:tcPr>
            <w:tcW w:w="50" w:type="pct"/>
            <w:shd w:val="clear" w:color="auto" w:fill="CFF0FC"/>
            <w:noWrap/>
            <w:tcMar>
              <w:top w:w="15" w:type="dxa"/>
              <w:left w:w="0" w:type="dxa"/>
              <w:bottom w:w="0" w:type="dxa"/>
              <w:right w:w="15" w:type="dxa"/>
            </w:tcMar>
            <w:vAlign w:val="bottom"/>
            <w:hideMark/>
          </w:tcPr>
          <w:p w14:paraId="7F7512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495EDC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5108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5AB311D1" w14:textId="77777777" w:rsidR="00000000" w:rsidRDefault="00582324">
            <w:pPr>
              <w:pStyle w:val="a3"/>
              <w:spacing w:before="0" w:beforeAutospacing="0" w:after="0" w:afterAutospacing="0"/>
              <w:jc w:val="right"/>
              <w:rPr>
                <w:color w:val="000000"/>
                <w:sz w:val="18"/>
                <w:szCs w:val="18"/>
              </w:rPr>
            </w:pPr>
            <w:r>
              <w:rPr>
                <w:color w:val="000000"/>
                <w:sz w:val="18"/>
                <w:szCs w:val="18"/>
              </w:rPr>
              <w:t>375</w:t>
            </w:r>
          </w:p>
        </w:tc>
        <w:tc>
          <w:tcPr>
            <w:tcW w:w="50" w:type="pct"/>
            <w:shd w:val="clear" w:color="auto" w:fill="CFF0FC"/>
            <w:noWrap/>
            <w:tcMar>
              <w:top w:w="15" w:type="dxa"/>
              <w:left w:w="0" w:type="dxa"/>
              <w:bottom w:w="0" w:type="dxa"/>
              <w:right w:w="15" w:type="dxa"/>
            </w:tcMar>
            <w:vAlign w:val="bottom"/>
            <w:hideMark/>
          </w:tcPr>
          <w:p w14:paraId="22BF619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32A4B3C" w14:textId="77777777">
        <w:trPr>
          <w:divId w:val="1886025028"/>
        </w:trPr>
        <w:tc>
          <w:tcPr>
            <w:tcW w:w="2866" w:type="pct"/>
            <w:shd w:val="clear" w:color="auto" w:fill="FFFFFF"/>
            <w:tcMar>
              <w:top w:w="15" w:type="dxa"/>
              <w:left w:w="0" w:type="dxa"/>
              <w:bottom w:w="0" w:type="dxa"/>
              <w:right w:w="15" w:type="dxa"/>
            </w:tcMar>
            <w:hideMark/>
          </w:tcPr>
          <w:p w14:paraId="454AC1DD" w14:textId="77777777" w:rsidR="00000000" w:rsidRDefault="00582324">
            <w:pPr>
              <w:pStyle w:val="a3"/>
              <w:spacing w:before="0" w:beforeAutospacing="0" w:after="0" w:afterAutospacing="0"/>
              <w:ind w:left="274"/>
              <w:rPr>
                <w:color w:val="000000"/>
                <w:sz w:val="18"/>
                <w:szCs w:val="18"/>
              </w:rPr>
            </w:pPr>
            <w:r>
              <w:rPr>
                <w:color w:val="000000"/>
                <w:sz w:val="18"/>
                <w:szCs w:val="18"/>
              </w:rPr>
              <w:t>Current assets</w:t>
            </w:r>
          </w:p>
        </w:tc>
        <w:tc>
          <w:tcPr>
            <w:tcW w:w="72" w:type="pct"/>
            <w:shd w:val="clear" w:color="auto" w:fill="FFFFFF"/>
            <w:tcMar>
              <w:top w:w="15" w:type="dxa"/>
              <w:left w:w="0" w:type="dxa"/>
              <w:bottom w:w="0" w:type="dxa"/>
              <w:right w:w="15" w:type="dxa"/>
            </w:tcMar>
            <w:vAlign w:val="bottom"/>
            <w:hideMark/>
          </w:tcPr>
          <w:p w14:paraId="5FFC0F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E5E8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060BE96C" w14:textId="77777777" w:rsidR="00000000" w:rsidRDefault="00582324">
            <w:pPr>
              <w:pStyle w:val="a3"/>
              <w:spacing w:before="0" w:beforeAutospacing="0" w:after="0" w:afterAutospacing="0"/>
              <w:jc w:val="right"/>
              <w:rPr>
                <w:color w:val="000000"/>
                <w:sz w:val="18"/>
                <w:szCs w:val="18"/>
              </w:rPr>
            </w:pPr>
            <w:r>
              <w:rPr>
                <w:color w:val="000000"/>
                <w:sz w:val="18"/>
                <w:szCs w:val="18"/>
              </w:rPr>
              <w:t>5,828</w:t>
            </w:r>
          </w:p>
        </w:tc>
        <w:tc>
          <w:tcPr>
            <w:tcW w:w="50" w:type="pct"/>
            <w:shd w:val="clear" w:color="auto" w:fill="FFFFFF"/>
            <w:noWrap/>
            <w:tcMar>
              <w:top w:w="15" w:type="dxa"/>
              <w:left w:w="0" w:type="dxa"/>
              <w:bottom w:w="0" w:type="dxa"/>
              <w:right w:w="15" w:type="dxa"/>
            </w:tcMar>
            <w:vAlign w:val="bottom"/>
            <w:hideMark/>
          </w:tcPr>
          <w:p w14:paraId="120685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1F40A6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3CE3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50FD4C7A" w14:textId="77777777" w:rsidR="00000000" w:rsidRDefault="00582324">
            <w:pPr>
              <w:pStyle w:val="a3"/>
              <w:spacing w:before="0" w:beforeAutospacing="0" w:after="0" w:afterAutospacing="0"/>
              <w:jc w:val="right"/>
              <w:rPr>
                <w:color w:val="000000"/>
                <w:sz w:val="18"/>
                <w:szCs w:val="18"/>
              </w:rPr>
            </w:pPr>
            <w:r>
              <w:rPr>
                <w:color w:val="000000"/>
                <w:sz w:val="18"/>
                <w:szCs w:val="18"/>
              </w:rPr>
              <w:t>1,799</w:t>
            </w:r>
          </w:p>
        </w:tc>
        <w:tc>
          <w:tcPr>
            <w:tcW w:w="50" w:type="pct"/>
            <w:shd w:val="clear" w:color="auto" w:fill="FFFFFF"/>
            <w:noWrap/>
            <w:tcMar>
              <w:top w:w="15" w:type="dxa"/>
              <w:left w:w="0" w:type="dxa"/>
              <w:bottom w:w="0" w:type="dxa"/>
              <w:right w:w="15" w:type="dxa"/>
            </w:tcMar>
            <w:vAlign w:val="bottom"/>
            <w:hideMark/>
          </w:tcPr>
          <w:p w14:paraId="206BC5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6195EF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00324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23A38F7E" w14:textId="77777777" w:rsidR="00000000" w:rsidRDefault="00582324">
            <w:pPr>
              <w:pStyle w:val="a3"/>
              <w:spacing w:before="0" w:beforeAutospacing="0" w:after="0" w:afterAutospacing="0"/>
              <w:jc w:val="right"/>
              <w:rPr>
                <w:color w:val="000000"/>
                <w:sz w:val="18"/>
                <w:szCs w:val="18"/>
              </w:rPr>
            </w:pPr>
            <w:r>
              <w:rPr>
                <w:color w:val="000000"/>
                <w:sz w:val="18"/>
                <w:szCs w:val="18"/>
              </w:rPr>
              <w:t>7,627</w:t>
            </w:r>
          </w:p>
        </w:tc>
        <w:tc>
          <w:tcPr>
            <w:tcW w:w="50" w:type="pct"/>
            <w:shd w:val="clear" w:color="auto" w:fill="FFFFFF"/>
            <w:noWrap/>
            <w:tcMar>
              <w:top w:w="15" w:type="dxa"/>
              <w:left w:w="0" w:type="dxa"/>
              <w:bottom w:w="0" w:type="dxa"/>
              <w:right w:w="15" w:type="dxa"/>
            </w:tcMar>
            <w:vAlign w:val="bottom"/>
            <w:hideMark/>
          </w:tcPr>
          <w:p w14:paraId="54C48B8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9EBA8A2" w14:textId="77777777">
        <w:trPr>
          <w:divId w:val="1886025028"/>
        </w:trPr>
        <w:tc>
          <w:tcPr>
            <w:tcW w:w="2866" w:type="pct"/>
            <w:shd w:val="clear" w:color="auto" w:fill="CFF0FC"/>
            <w:tcMar>
              <w:top w:w="15" w:type="dxa"/>
              <w:left w:w="0" w:type="dxa"/>
              <w:bottom w:w="0" w:type="dxa"/>
              <w:right w:w="15" w:type="dxa"/>
            </w:tcMar>
            <w:hideMark/>
          </w:tcPr>
          <w:p w14:paraId="5894FA50" w14:textId="77777777" w:rsidR="00000000" w:rsidRDefault="00582324">
            <w:pPr>
              <w:pStyle w:val="a3"/>
              <w:spacing w:before="0" w:beforeAutospacing="0" w:after="0" w:afterAutospacing="0"/>
              <w:rPr>
                <w:color w:val="000000"/>
                <w:sz w:val="18"/>
                <w:szCs w:val="18"/>
              </w:rPr>
            </w:pPr>
            <w:r>
              <w:rPr>
                <w:color w:val="000000"/>
                <w:sz w:val="18"/>
                <w:szCs w:val="18"/>
              </w:rPr>
              <w:t>Property and equipment</w:t>
            </w:r>
          </w:p>
        </w:tc>
        <w:tc>
          <w:tcPr>
            <w:tcW w:w="72" w:type="pct"/>
            <w:shd w:val="clear" w:color="auto" w:fill="CFF0FC"/>
            <w:tcMar>
              <w:top w:w="15" w:type="dxa"/>
              <w:left w:w="0" w:type="dxa"/>
              <w:bottom w:w="0" w:type="dxa"/>
              <w:right w:w="15" w:type="dxa"/>
            </w:tcMar>
            <w:vAlign w:val="bottom"/>
            <w:hideMark/>
          </w:tcPr>
          <w:p w14:paraId="6653AD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3E4F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78709823" w14:textId="77777777" w:rsidR="00000000" w:rsidRDefault="00582324">
            <w:pPr>
              <w:pStyle w:val="a3"/>
              <w:spacing w:before="0" w:beforeAutospacing="0" w:after="0" w:afterAutospacing="0"/>
              <w:jc w:val="right"/>
              <w:rPr>
                <w:color w:val="000000"/>
                <w:sz w:val="18"/>
                <w:szCs w:val="18"/>
              </w:rPr>
            </w:pPr>
            <w:r>
              <w:rPr>
                <w:color w:val="000000"/>
                <w:sz w:val="18"/>
                <w:szCs w:val="18"/>
              </w:rPr>
              <w:t>513</w:t>
            </w:r>
          </w:p>
        </w:tc>
        <w:tc>
          <w:tcPr>
            <w:tcW w:w="50" w:type="pct"/>
            <w:shd w:val="clear" w:color="auto" w:fill="CFF0FC"/>
            <w:noWrap/>
            <w:tcMar>
              <w:top w:w="15" w:type="dxa"/>
              <w:left w:w="0" w:type="dxa"/>
              <w:bottom w:w="0" w:type="dxa"/>
              <w:right w:w="15" w:type="dxa"/>
            </w:tcMar>
            <w:vAlign w:val="bottom"/>
            <w:hideMark/>
          </w:tcPr>
          <w:p w14:paraId="12895D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3ACCD3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D4D3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25C86ABD" w14:textId="77777777" w:rsidR="00000000" w:rsidRDefault="00582324">
            <w:pPr>
              <w:pStyle w:val="a3"/>
              <w:spacing w:before="0" w:beforeAutospacing="0" w:after="0" w:afterAutospacing="0"/>
              <w:jc w:val="right"/>
              <w:rPr>
                <w:color w:val="000000"/>
                <w:sz w:val="18"/>
                <w:szCs w:val="18"/>
              </w:rPr>
            </w:pPr>
            <w:r>
              <w:rPr>
                <w:color w:val="000000"/>
                <w:sz w:val="18"/>
                <w:szCs w:val="18"/>
              </w:rPr>
              <w:t>976</w:t>
            </w:r>
          </w:p>
        </w:tc>
        <w:tc>
          <w:tcPr>
            <w:tcW w:w="50" w:type="pct"/>
            <w:shd w:val="clear" w:color="auto" w:fill="CFF0FC"/>
            <w:noWrap/>
            <w:tcMar>
              <w:top w:w="15" w:type="dxa"/>
              <w:left w:w="0" w:type="dxa"/>
              <w:bottom w:w="0" w:type="dxa"/>
              <w:right w:w="15" w:type="dxa"/>
            </w:tcMar>
            <w:vAlign w:val="bottom"/>
            <w:hideMark/>
          </w:tcPr>
          <w:p w14:paraId="14B389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46B115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A323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178D3024" w14:textId="77777777" w:rsidR="00000000" w:rsidRDefault="00582324">
            <w:pPr>
              <w:pStyle w:val="a3"/>
              <w:spacing w:before="0" w:beforeAutospacing="0" w:after="0" w:afterAutospacing="0"/>
              <w:jc w:val="right"/>
              <w:rPr>
                <w:color w:val="000000"/>
                <w:sz w:val="18"/>
                <w:szCs w:val="18"/>
              </w:rPr>
            </w:pPr>
            <w:r>
              <w:rPr>
                <w:color w:val="000000"/>
                <w:sz w:val="18"/>
                <w:szCs w:val="18"/>
              </w:rPr>
              <w:t>1,489</w:t>
            </w:r>
          </w:p>
        </w:tc>
        <w:tc>
          <w:tcPr>
            <w:tcW w:w="50" w:type="pct"/>
            <w:shd w:val="clear" w:color="auto" w:fill="CFF0FC"/>
            <w:noWrap/>
            <w:tcMar>
              <w:top w:w="15" w:type="dxa"/>
              <w:left w:w="0" w:type="dxa"/>
              <w:bottom w:w="0" w:type="dxa"/>
              <w:right w:w="15" w:type="dxa"/>
            </w:tcMar>
            <w:vAlign w:val="bottom"/>
            <w:hideMark/>
          </w:tcPr>
          <w:p w14:paraId="1E7C844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8DC0C57" w14:textId="77777777">
        <w:trPr>
          <w:divId w:val="1886025028"/>
        </w:trPr>
        <w:tc>
          <w:tcPr>
            <w:tcW w:w="2866" w:type="pct"/>
            <w:shd w:val="clear" w:color="auto" w:fill="FFFFFF"/>
            <w:tcMar>
              <w:top w:w="15" w:type="dxa"/>
              <w:left w:w="0" w:type="dxa"/>
              <w:bottom w:w="0" w:type="dxa"/>
              <w:right w:w="15" w:type="dxa"/>
            </w:tcMar>
            <w:hideMark/>
          </w:tcPr>
          <w:p w14:paraId="50B10699" w14:textId="77777777" w:rsidR="00000000" w:rsidRDefault="00582324">
            <w:pPr>
              <w:pStyle w:val="a3"/>
              <w:spacing w:before="0" w:beforeAutospacing="0" w:after="0" w:afterAutospacing="0"/>
              <w:rPr>
                <w:color w:val="000000"/>
                <w:sz w:val="18"/>
                <w:szCs w:val="18"/>
              </w:rPr>
            </w:pPr>
            <w:r>
              <w:rPr>
                <w:color w:val="000000"/>
                <w:sz w:val="18"/>
                <w:szCs w:val="18"/>
              </w:rPr>
              <w:t>Customer relationships</w:t>
            </w:r>
          </w:p>
        </w:tc>
        <w:tc>
          <w:tcPr>
            <w:tcW w:w="72" w:type="pct"/>
            <w:shd w:val="clear" w:color="auto" w:fill="FFFFFF"/>
            <w:tcMar>
              <w:top w:w="15" w:type="dxa"/>
              <w:left w:w="0" w:type="dxa"/>
              <w:bottom w:w="0" w:type="dxa"/>
              <w:right w:w="15" w:type="dxa"/>
            </w:tcMar>
            <w:vAlign w:val="bottom"/>
            <w:hideMark/>
          </w:tcPr>
          <w:p w14:paraId="3256FA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E0F8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4AADC2CC" w14:textId="77777777" w:rsidR="00000000" w:rsidRDefault="00582324">
            <w:pPr>
              <w:pStyle w:val="a3"/>
              <w:spacing w:before="0" w:beforeAutospacing="0" w:after="0" w:afterAutospacing="0"/>
              <w:jc w:val="right"/>
              <w:rPr>
                <w:color w:val="000000"/>
                <w:sz w:val="18"/>
                <w:szCs w:val="18"/>
              </w:rPr>
            </w:pPr>
            <w:r>
              <w:rPr>
                <w:color w:val="000000"/>
                <w:sz w:val="18"/>
                <w:szCs w:val="18"/>
              </w:rPr>
              <w:t>8,720</w:t>
            </w:r>
          </w:p>
        </w:tc>
        <w:tc>
          <w:tcPr>
            <w:tcW w:w="50" w:type="pct"/>
            <w:shd w:val="clear" w:color="auto" w:fill="FFFFFF"/>
            <w:noWrap/>
            <w:tcMar>
              <w:top w:w="15" w:type="dxa"/>
              <w:left w:w="0" w:type="dxa"/>
              <w:bottom w:w="0" w:type="dxa"/>
              <w:right w:w="15" w:type="dxa"/>
            </w:tcMar>
            <w:vAlign w:val="bottom"/>
            <w:hideMark/>
          </w:tcPr>
          <w:p w14:paraId="0716F5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16CDB2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434B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6CAACAE9" w14:textId="77777777" w:rsidR="00000000" w:rsidRDefault="00582324">
            <w:pPr>
              <w:pStyle w:val="a3"/>
              <w:spacing w:before="0" w:beforeAutospacing="0" w:after="0" w:afterAutospacing="0"/>
              <w:jc w:val="right"/>
              <w:rPr>
                <w:color w:val="000000"/>
                <w:sz w:val="18"/>
                <w:szCs w:val="18"/>
              </w:rPr>
            </w:pPr>
            <w:r>
              <w:rPr>
                <w:color w:val="000000"/>
                <w:sz w:val="18"/>
                <w:szCs w:val="18"/>
              </w:rPr>
              <w:t>1,656</w:t>
            </w:r>
          </w:p>
        </w:tc>
        <w:tc>
          <w:tcPr>
            <w:tcW w:w="50" w:type="pct"/>
            <w:shd w:val="clear" w:color="auto" w:fill="FFFFFF"/>
            <w:noWrap/>
            <w:tcMar>
              <w:top w:w="15" w:type="dxa"/>
              <w:left w:w="0" w:type="dxa"/>
              <w:bottom w:w="0" w:type="dxa"/>
              <w:right w:w="15" w:type="dxa"/>
            </w:tcMar>
            <w:vAlign w:val="bottom"/>
            <w:hideMark/>
          </w:tcPr>
          <w:p w14:paraId="6F3745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367DBE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0B16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716A1A89" w14:textId="77777777" w:rsidR="00000000" w:rsidRDefault="00582324">
            <w:pPr>
              <w:pStyle w:val="a3"/>
              <w:spacing w:before="0" w:beforeAutospacing="0" w:after="0" w:afterAutospacing="0"/>
              <w:jc w:val="right"/>
              <w:rPr>
                <w:color w:val="000000"/>
                <w:sz w:val="18"/>
                <w:szCs w:val="18"/>
              </w:rPr>
            </w:pPr>
            <w:r>
              <w:rPr>
                <w:color w:val="000000"/>
                <w:sz w:val="18"/>
                <w:szCs w:val="18"/>
              </w:rPr>
              <w:t>10,376</w:t>
            </w:r>
          </w:p>
        </w:tc>
        <w:tc>
          <w:tcPr>
            <w:tcW w:w="50" w:type="pct"/>
            <w:shd w:val="clear" w:color="auto" w:fill="FFFFFF"/>
            <w:noWrap/>
            <w:tcMar>
              <w:top w:w="15" w:type="dxa"/>
              <w:left w:w="0" w:type="dxa"/>
              <w:bottom w:w="0" w:type="dxa"/>
              <w:right w:w="15" w:type="dxa"/>
            </w:tcMar>
            <w:vAlign w:val="bottom"/>
            <w:hideMark/>
          </w:tcPr>
          <w:p w14:paraId="0E89004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CF3B957" w14:textId="77777777">
        <w:trPr>
          <w:divId w:val="1886025028"/>
        </w:trPr>
        <w:tc>
          <w:tcPr>
            <w:tcW w:w="2866" w:type="pct"/>
            <w:shd w:val="clear" w:color="auto" w:fill="CFF0FC"/>
            <w:tcMar>
              <w:top w:w="15" w:type="dxa"/>
              <w:left w:w="0" w:type="dxa"/>
              <w:bottom w:w="0" w:type="dxa"/>
              <w:right w:w="15" w:type="dxa"/>
            </w:tcMar>
            <w:hideMark/>
          </w:tcPr>
          <w:p w14:paraId="6CD24510" w14:textId="77777777" w:rsidR="00000000" w:rsidRDefault="00582324">
            <w:pPr>
              <w:pStyle w:val="a3"/>
              <w:spacing w:before="0" w:beforeAutospacing="0" w:after="0" w:afterAutospacing="0"/>
              <w:rPr>
                <w:color w:val="000000"/>
                <w:sz w:val="18"/>
                <w:szCs w:val="18"/>
              </w:rPr>
            </w:pPr>
            <w:r>
              <w:rPr>
                <w:color w:val="000000"/>
                <w:sz w:val="18"/>
                <w:szCs w:val="18"/>
              </w:rPr>
              <w:t>Trade names</w:t>
            </w:r>
          </w:p>
        </w:tc>
        <w:tc>
          <w:tcPr>
            <w:tcW w:w="72" w:type="pct"/>
            <w:shd w:val="clear" w:color="auto" w:fill="CFF0FC"/>
            <w:tcMar>
              <w:top w:w="15" w:type="dxa"/>
              <w:left w:w="0" w:type="dxa"/>
              <w:bottom w:w="0" w:type="dxa"/>
              <w:right w:w="15" w:type="dxa"/>
            </w:tcMar>
            <w:vAlign w:val="bottom"/>
            <w:hideMark/>
          </w:tcPr>
          <w:p w14:paraId="59B060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6E8D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522DE7E7" w14:textId="77777777" w:rsidR="00000000" w:rsidRDefault="00582324">
            <w:pPr>
              <w:pStyle w:val="a3"/>
              <w:spacing w:before="0" w:beforeAutospacing="0" w:after="0" w:afterAutospacing="0"/>
              <w:jc w:val="right"/>
              <w:rPr>
                <w:color w:val="000000"/>
                <w:sz w:val="18"/>
                <w:szCs w:val="18"/>
              </w:rPr>
            </w:pPr>
            <w:r>
              <w:rPr>
                <w:color w:val="000000"/>
                <w:sz w:val="18"/>
                <w:szCs w:val="18"/>
              </w:rPr>
              <w:t>521</w:t>
            </w:r>
          </w:p>
        </w:tc>
        <w:tc>
          <w:tcPr>
            <w:tcW w:w="50" w:type="pct"/>
            <w:shd w:val="clear" w:color="auto" w:fill="CFF0FC"/>
            <w:noWrap/>
            <w:tcMar>
              <w:top w:w="15" w:type="dxa"/>
              <w:left w:w="0" w:type="dxa"/>
              <w:bottom w:w="0" w:type="dxa"/>
              <w:right w:w="15" w:type="dxa"/>
            </w:tcMar>
            <w:vAlign w:val="bottom"/>
            <w:hideMark/>
          </w:tcPr>
          <w:p w14:paraId="46267B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4D5653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D6FD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69C17BE5" w14:textId="77777777" w:rsidR="00000000" w:rsidRDefault="00582324">
            <w:pPr>
              <w:pStyle w:val="a3"/>
              <w:spacing w:before="0" w:beforeAutospacing="0" w:after="0" w:afterAutospacing="0"/>
              <w:jc w:val="right"/>
              <w:rPr>
                <w:color w:val="000000"/>
                <w:sz w:val="18"/>
                <w:szCs w:val="18"/>
              </w:rPr>
            </w:pPr>
            <w:r>
              <w:rPr>
                <w:color w:val="000000"/>
                <w:sz w:val="18"/>
                <w:szCs w:val="18"/>
              </w:rPr>
              <w:t>1,284</w:t>
            </w:r>
          </w:p>
        </w:tc>
        <w:tc>
          <w:tcPr>
            <w:tcW w:w="50" w:type="pct"/>
            <w:shd w:val="clear" w:color="auto" w:fill="CFF0FC"/>
            <w:noWrap/>
            <w:tcMar>
              <w:top w:w="15" w:type="dxa"/>
              <w:left w:w="0" w:type="dxa"/>
              <w:bottom w:w="0" w:type="dxa"/>
              <w:right w:w="15" w:type="dxa"/>
            </w:tcMar>
            <w:vAlign w:val="bottom"/>
            <w:hideMark/>
          </w:tcPr>
          <w:p w14:paraId="3EBAEE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244D93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307F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CFF0FC"/>
            <w:noWrap/>
            <w:tcMar>
              <w:top w:w="15" w:type="dxa"/>
              <w:left w:w="0" w:type="dxa"/>
              <w:bottom w:w="0" w:type="dxa"/>
              <w:right w:w="15" w:type="dxa"/>
            </w:tcMar>
            <w:vAlign w:val="bottom"/>
            <w:hideMark/>
          </w:tcPr>
          <w:p w14:paraId="12A5B41A" w14:textId="77777777" w:rsidR="00000000" w:rsidRDefault="00582324">
            <w:pPr>
              <w:pStyle w:val="a3"/>
              <w:spacing w:before="0" w:beforeAutospacing="0" w:after="0" w:afterAutospacing="0"/>
              <w:jc w:val="right"/>
              <w:rPr>
                <w:color w:val="000000"/>
                <w:sz w:val="18"/>
                <w:szCs w:val="18"/>
              </w:rPr>
            </w:pPr>
            <w:r>
              <w:rPr>
                <w:color w:val="000000"/>
                <w:sz w:val="18"/>
                <w:szCs w:val="18"/>
              </w:rPr>
              <w:t>1,805</w:t>
            </w:r>
          </w:p>
        </w:tc>
        <w:tc>
          <w:tcPr>
            <w:tcW w:w="50" w:type="pct"/>
            <w:shd w:val="clear" w:color="auto" w:fill="CFF0FC"/>
            <w:noWrap/>
            <w:tcMar>
              <w:top w:w="15" w:type="dxa"/>
              <w:left w:w="0" w:type="dxa"/>
              <w:bottom w:w="0" w:type="dxa"/>
              <w:right w:w="15" w:type="dxa"/>
            </w:tcMar>
            <w:vAlign w:val="bottom"/>
            <w:hideMark/>
          </w:tcPr>
          <w:p w14:paraId="79FAFE1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3ED910B" w14:textId="77777777">
        <w:trPr>
          <w:divId w:val="1886025028"/>
        </w:trPr>
        <w:tc>
          <w:tcPr>
            <w:tcW w:w="2866" w:type="pct"/>
            <w:shd w:val="clear" w:color="auto" w:fill="FFFFFF"/>
            <w:tcMar>
              <w:top w:w="15" w:type="dxa"/>
              <w:left w:w="0" w:type="dxa"/>
              <w:bottom w:w="0" w:type="dxa"/>
              <w:right w:w="15" w:type="dxa"/>
            </w:tcMar>
            <w:hideMark/>
          </w:tcPr>
          <w:p w14:paraId="1D19FC93" w14:textId="77777777" w:rsidR="00000000" w:rsidRDefault="00582324">
            <w:pPr>
              <w:pStyle w:val="a3"/>
              <w:spacing w:before="0" w:beforeAutospacing="0" w:after="0" w:afterAutospacing="0"/>
              <w:rPr>
                <w:color w:val="000000"/>
                <w:sz w:val="18"/>
                <w:szCs w:val="18"/>
              </w:rPr>
            </w:pPr>
            <w:r>
              <w:rPr>
                <w:color w:val="000000"/>
                <w:sz w:val="18"/>
                <w:szCs w:val="18"/>
              </w:rPr>
              <w:t>Covenants not to compete</w:t>
            </w:r>
          </w:p>
        </w:tc>
        <w:tc>
          <w:tcPr>
            <w:tcW w:w="72" w:type="pct"/>
            <w:shd w:val="clear" w:color="auto" w:fill="FFFFFF"/>
            <w:tcMar>
              <w:top w:w="15" w:type="dxa"/>
              <w:left w:w="0" w:type="dxa"/>
              <w:bottom w:w="0" w:type="dxa"/>
              <w:right w:w="15" w:type="dxa"/>
            </w:tcMar>
            <w:vAlign w:val="bottom"/>
            <w:hideMark/>
          </w:tcPr>
          <w:p w14:paraId="08FB4F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C1A09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7DDA3A65" w14:textId="77777777" w:rsidR="00000000" w:rsidRDefault="00582324">
            <w:pPr>
              <w:pStyle w:val="a3"/>
              <w:spacing w:before="0" w:beforeAutospacing="0" w:after="0" w:afterAutospacing="0"/>
              <w:jc w:val="right"/>
              <w:rPr>
                <w:color w:val="000000"/>
                <w:sz w:val="18"/>
                <w:szCs w:val="18"/>
              </w:rPr>
            </w:pPr>
            <w:r>
              <w:rPr>
                <w:color w:val="000000"/>
                <w:sz w:val="18"/>
                <w:szCs w:val="18"/>
              </w:rPr>
              <w:t>922</w:t>
            </w:r>
          </w:p>
        </w:tc>
        <w:tc>
          <w:tcPr>
            <w:tcW w:w="50" w:type="pct"/>
            <w:shd w:val="clear" w:color="auto" w:fill="FFFFFF"/>
            <w:noWrap/>
            <w:tcMar>
              <w:top w:w="15" w:type="dxa"/>
              <w:left w:w="0" w:type="dxa"/>
              <w:bottom w:w="0" w:type="dxa"/>
              <w:right w:w="15" w:type="dxa"/>
            </w:tcMar>
            <w:vAlign w:val="bottom"/>
            <w:hideMark/>
          </w:tcPr>
          <w:p w14:paraId="37FF2C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535B15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51B1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211E7F41" w14:textId="77777777" w:rsidR="00000000" w:rsidRDefault="00582324">
            <w:pPr>
              <w:pStyle w:val="a3"/>
              <w:spacing w:before="0" w:beforeAutospacing="0" w:after="0" w:afterAutospacing="0"/>
              <w:jc w:val="right"/>
              <w:rPr>
                <w:color w:val="000000"/>
                <w:sz w:val="18"/>
                <w:szCs w:val="18"/>
              </w:rPr>
            </w:pPr>
            <w:r>
              <w:rPr>
                <w:color w:val="000000"/>
                <w:sz w:val="18"/>
                <w:szCs w:val="18"/>
              </w:rPr>
              <w:t>240</w:t>
            </w:r>
          </w:p>
        </w:tc>
        <w:tc>
          <w:tcPr>
            <w:tcW w:w="50" w:type="pct"/>
            <w:shd w:val="clear" w:color="auto" w:fill="FFFFFF"/>
            <w:noWrap/>
            <w:tcMar>
              <w:top w:w="15" w:type="dxa"/>
              <w:left w:w="0" w:type="dxa"/>
              <w:bottom w:w="0" w:type="dxa"/>
              <w:right w:w="15" w:type="dxa"/>
            </w:tcMar>
            <w:vAlign w:val="bottom"/>
            <w:hideMark/>
          </w:tcPr>
          <w:p w14:paraId="2A04B7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1201AA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0474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shd w:val="clear" w:color="auto" w:fill="FFFFFF"/>
            <w:noWrap/>
            <w:tcMar>
              <w:top w:w="15" w:type="dxa"/>
              <w:left w:w="0" w:type="dxa"/>
              <w:bottom w:w="0" w:type="dxa"/>
              <w:right w:w="15" w:type="dxa"/>
            </w:tcMar>
            <w:vAlign w:val="bottom"/>
            <w:hideMark/>
          </w:tcPr>
          <w:p w14:paraId="76EB47F4" w14:textId="77777777" w:rsidR="00000000" w:rsidRDefault="00582324">
            <w:pPr>
              <w:pStyle w:val="a3"/>
              <w:spacing w:before="0" w:beforeAutospacing="0" w:after="0" w:afterAutospacing="0"/>
              <w:jc w:val="right"/>
              <w:rPr>
                <w:color w:val="000000"/>
                <w:sz w:val="18"/>
                <w:szCs w:val="18"/>
              </w:rPr>
            </w:pPr>
            <w:r>
              <w:rPr>
                <w:color w:val="000000"/>
                <w:sz w:val="18"/>
                <w:szCs w:val="18"/>
              </w:rPr>
              <w:t>1,162</w:t>
            </w:r>
          </w:p>
        </w:tc>
        <w:tc>
          <w:tcPr>
            <w:tcW w:w="50" w:type="pct"/>
            <w:shd w:val="clear" w:color="auto" w:fill="FFFFFF"/>
            <w:noWrap/>
            <w:tcMar>
              <w:top w:w="15" w:type="dxa"/>
              <w:left w:w="0" w:type="dxa"/>
              <w:bottom w:w="0" w:type="dxa"/>
              <w:right w:w="15" w:type="dxa"/>
            </w:tcMar>
            <w:vAlign w:val="bottom"/>
            <w:hideMark/>
          </w:tcPr>
          <w:p w14:paraId="3B34640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6474C79" w14:textId="77777777">
        <w:trPr>
          <w:divId w:val="1886025028"/>
        </w:trPr>
        <w:tc>
          <w:tcPr>
            <w:tcW w:w="2866" w:type="pct"/>
            <w:shd w:val="clear" w:color="auto" w:fill="CFF0FC"/>
            <w:tcMar>
              <w:top w:w="15" w:type="dxa"/>
              <w:left w:w="0" w:type="dxa"/>
              <w:bottom w:w="0" w:type="dxa"/>
              <w:right w:w="15" w:type="dxa"/>
            </w:tcMar>
            <w:hideMark/>
          </w:tcPr>
          <w:p w14:paraId="2BE2378D" w14:textId="77777777" w:rsidR="00000000" w:rsidRDefault="00582324">
            <w:pPr>
              <w:pStyle w:val="a3"/>
              <w:spacing w:before="0" w:beforeAutospacing="0" w:after="0" w:afterAutospacing="0"/>
              <w:rPr>
                <w:color w:val="000000"/>
                <w:sz w:val="18"/>
                <w:szCs w:val="18"/>
              </w:rPr>
            </w:pPr>
            <w:r>
              <w:rPr>
                <w:color w:val="000000"/>
                <w:sz w:val="18"/>
                <w:szCs w:val="18"/>
              </w:rPr>
              <w:t>Goodwill</w:t>
            </w:r>
          </w:p>
        </w:tc>
        <w:tc>
          <w:tcPr>
            <w:tcW w:w="72" w:type="pct"/>
            <w:shd w:val="clear" w:color="auto" w:fill="CFF0FC"/>
            <w:tcMar>
              <w:top w:w="15" w:type="dxa"/>
              <w:left w:w="0" w:type="dxa"/>
              <w:bottom w:w="0" w:type="dxa"/>
              <w:right w:w="15" w:type="dxa"/>
            </w:tcMar>
            <w:vAlign w:val="bottom"/>
            <w:hideMark/>
          </w:tcPr>
          <w:p w14:paraId="2079EC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082E5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38A218C7" w14:textId="77777777" w:rsidR="00000000" w:rsidRDefault="00582324">
            <w:pPr>
              <w:pStyle w:val="a3"/>
              <w:spacing w:before="0" w:beforeAutospacing="0" w:after="0" w:afterAutospacing="0"/>
              <w:jc w:val="right"/>
              <w:rPr>
                <w:color w:val="000000"/>
                <w:sz w:val="18"/>
                <w:szCs w:val="18"/>
              </w:rPr>
            </w:pPr>
            <w:r>
              <w:rPr>
                <w:color w:val="000000"/>
                <w:sz w:val="18"/>
                <w:szCs w:val="18"/>
              </w:rPr>
              <w:t>7,613</w:t>
            </w:r>
          </w:p>
        </w:tc>
        <w:tc>
          <w:tcPr>
            <w:tcW w:w="50" w:type="pct"/>
            <w:shd w:val="clear" w:color="auto" w:fill="CFF0FC"/>
            <w:noWrap/>
            <w:tcMar>
              <w:top w:w="15" w:type="dxa"/>
              <w:left w:w="0" w:type="dxa"/>
              <w:bottom w:w="0" w:type="dxa"/>
              <w:right w:w="15" w:type="dxa"/>
            </w:tcMar>
            <w:vAlign w:val="bottom"/>
            <w:hideMark/>
          </w:tcPr>
          <w:p w14:paraId="3D9D51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57400A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D46B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462AC63C" w14:textId="77777777" w:rsidR="00000000" w:rsidRDefault="00582324">
            <w:pPr>
              <w:pStyle w:val="a3"/>
              <w:spacing w:before="0" w:beforeAutospacing="0" w:after="0" w:afterAutospacing="0"/>
              <w:jc w:val="right"/>
              <w:rPr>
                <w:color w:val="000000"/>
                <w:sz w:val="18"/>
                <w:szCs w:val="18"/>
              </w:rPr>
            </w:pPr>
            <w:r>
              <w:rPr>
                <w:color w:val="000000"/>
                <w:sz w:val="18"/>
                <w:szCs w:val="18"/>
              </w:rPr>
              <w:t>5,014</w:t>
            </w:r>
          </w:p>
        </w:tc>
        <w:tc>
          <w:tcPr>
            <w:tcW w:w="50" w:type="pct"/>
            <w:shd w:val="clear" w:color="auto" w:fill="CFF0FC"/>
            <w:noWrap/>
            <w:tcMar>
              <w:top w:w="15" w:type="dxa"/>
              <w:left w:w="0" w:type="dxa"/>
              <w:bottom w:w="0" w:type="dxa"/>
              <w:right w:w="15" w:type="dxa"/>
            </w:tcMar>
            <w:vAlign w:val="bottom"/>
            <w:hideMark/>
          </w:tcPr>
          <w:p w14:paraId="7203D3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17C738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D385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5DAE9406" w14:textId="77777777" w:rsidR="00000000" w:rsidRDefault="00582324">
            <w:pPr>
              <w:pStyle w:val="a3"/>
              <w:spacing w:before="0" w:beforeAutospacing="0" w:after="0" w:afterAutospacing="0"/>
              <w:jc w:val="right"/>
              <w:rPr>
                <w:color w:val="000000"/>
                <w:sz w:val="18"/>
                <w:szCs w:val="18"/>
              </w:rPr>
            </w:pPr>
            <w:r>
              <w:rPr>
                <w:color w:val="000000"/>
                <w:sz w:val="18"/>
                <w:szCs w:val="18"/>
              </w:rPr>
              <w:t>12,627</w:t>
            </w:r>
          </w:p>
        </w:tc>
        <w:tc>
          <w:tcPr>
            <w:tcW w:w="50" w:type="pct"/>
            <w:shd w:val="clear" w:color="auto" w:fill="CFF0FC"/>
            <w:noWrap/>
            <w:tcMar>
              <w:top w:w="15" w:type="dxa"/>
              <w:left w:w="0" w:type="dxa"/>
              <w:bottom w:w="0" w:type="dxa"/>
              <w:right w:w="15" w:type="dxa"/>
            </w:tcMar>
            <w:vAlign w:val="bottom"/>
            <w:hideMark/>
          </w:tcPr>
          <w:p w14:paraId="0D717FF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DCF40B5" w14:textId="77777777">
        <w:trPr>
          <w:divId w:val="1886025028"/>
        </w:trPr>
        <w:tc>
          <w:tcPr>
            <w:tcW w:w="2866" w:type="pct"/>
            <w:shd w:val="clear" w:color="auto" w:fill="FFFFFF"/>
            <w:tcMar>
              <w:top w:w="15" w:type="dxa"/>
              <w:left w:w="0" w:type="dxa"/>
              <w:bottom w:w="0" w:type="dxa"/>
              <w:right w:w="15" w:type="dxa"/>
            </w:tcMar>
            <w:hideMark/>
          </w:tcPr>
          <w:p w14:paraId="084D8FB5" w14:textId="77777777" w:rsidR="00000000" w:rsidRDefault="00582324">
            <w:pPr>
              <w:pStyle w:val="a3"/>
              <w:spacing w:before="0" w:beforeAutospacing="0" w:after="0" w:afterAutospacing="0"/>
              <w:ind w:left="274"/>
              <w:rPr>
                <w:color w:val="000000"/>
                <w:sz w:val="18"/>
                <w:szCs w:val="18"/>
              </w:rPr>
            </w:pPr>
            <w:r>
              <w:rPr>
                <w:color w:val="000000"/>
                <w:sz w:val="18"/>
                <w:szCs w:val="18"/>
              </w:rPr>
              <w:t>Total assets</w:t>
            </w:r>
          </w:p>
        </w:tc>
        <w:tc>
          <w:tcPr>
            <w:tcW w:w="72" w:type="pct"/>
            <w:shd w:val="clear" w:color="auto" w:fill="FFFFFF"/>
            <w:tcMar>
              <w:top w:w="15" w:type="dxa"/>
              <w:left w:w="0" w:type="dxa"/>
              <w:bottom w:w="0" w:type="dxa"/>
              <w:right w:w="15" w:type="dxa"/>
            </w:tcMar>
            <w:vAlign w:val="bottom"/>
            <w:hideMark/>
          </w:tcPr>
          <w:p w14:paraId="228ECC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51AB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673ABCAF" w14:textId="77777777" w:rsidR="00000000" w:rsidRDefault="00582324">
            <w:pPr>
              <w:pStyle w:val="a3"/>
              <w:spacing w:before="0" w:beforeAutospacing="0" w:after="0" w:afterAutospacing="0"/>
              <w:jc w:val="right"/>
              <w:rPr>
                <w:color w:val="000000"/>
                <w:sz w:val="18"/>
                <w:szCs w:val="18"/>
              </w:rPr>
            </w:pPr>
            <w:r>
              <w:rPr>
                <w:color w:val="000000"/>
                <w:sz w:val="18"/>
                <w:szCs w:val="18"/>
              </w:rPr>
              <w:t>24,117</w:t>
            </w:r>
          </w:p>
        </w:tc>
        <w:tc>
          <w:tcPr>
            <w:tcW w:w="50" w:type="pct"/>
            <w:shd w:val="clear" w:color="auto" w:fill="FFFFFF"/>
            <w:noWrap/>
            <w:tcMar>
              <w:top w:w="15" w:type="dxa"/>
              <w:left w:w="0" w:type="dxa"/>
              <w:bottom w:w="0" w:type="dxa"/>
              <w:right w:w="15" w:type="dxa"/>
            </w:tcMar>
            <w:vAlign w:val="bottom"/>
            <w:hideMark/>
          </w:tcPr>
          <w:p w14:paraId="536574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762F12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6F78A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6188A185" w14:textId="77777777" w:rsidR="00000000" w:rsidRDefault="00582324">
            <w:pPr>
              <w:pStyle w:val="a3"/>
              <w:spacing w:before="0" w:beforeAutospacing="0" w:after="0" w:afterAutospacing="0"/>
              <w:jc w:val="right"/>
              <w:rPr>
                <w:color w:val="000000"/>
                <w:sz w:val="18"/>
                <w:szCs w:val="18"/>
              </w:rPr>
            </w:pPr>
            <w:r>
              <w:rPr>
                <w:color w:val="000000"/>
                <w:sz w:val="18"/>
                <w:szCs w:val="18"/>
              </w:rPr>
              <w:t>10,969</w:t>
            </w:r>
          </w:p>
        </w:tc>
        <w:tc>
          <w:tcPr>
            <w:tcW w:w="50" w:type="pct"/>
            <w:shd w:val="clear" w:color="auto" w:fill="FFFFFF"/>
            <w:noWrap/>
            <w:tcMar>
              <w:top w:w="15" w:type="dxa"/>
              <w:left w:w="0" w:type="dxa"/>
              <w:bottom w:w="0" w:type="dxa"/>
              <w:right w:w="15" w:type="dxa"/>
            </w:tcMar>
            <w:vAlign w:val="bottom"/>
            <w:hideMark/>
          </w:tcPr>
          <w:p w14:paraId="51A949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FFFFFF"/>
            <w:tcMar>
              <w:top w:w="15" w:type="dxa"/>
              <w:left w:w="0" w:type="dxa"/>
              <w:bottom w:w="0" w:type="dxa"/>
              <w:right w:w="15" w:type="dxa"/>
            </w:tcMar>
            <w:vAlign w:val="bottom"/>
            <w:hideMark/>
          </w:tcPr>
          <w:p w14:paraId="6672B9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A4FF5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tcBorders>
            <w:shd w:val="clear" w:color="auto" w:fill="FFFFFF"/>
            <w:noWrap/>
            <w:tcMar>
              <w:top w:w="15" w:type="dxa"/>
              <w:left w:w="0" w:type="dxa"/>
              <w:bottom w:w="0" w:type="dxa"/>
              <w:right w:w="15" w:type="dxa"/>
            </w:tcMar>
            <w:vAlign w:val="bottom"/>
            <w:hideMark/>
          </w:tcPr>
          <w:p w14:paraId="4878B0F0" w14:textId="77777777" w:rsidR="00000000" w:rsidRDefault="00582324">
            <w:pPr>
              <w:pStyle w:val="a3"/>
              <w:spacing w:before="0" w:beforeAutospacing="0" w:after="0" w:afterAutospacing="0"/>
              <w:jc w:val="right"/>
              <w:rPr>
                <w:color w:val="000000"/>
                <w:sz w:val="18"/>
                <w:szCs w:val="18"/>
              </w:rPr>
            </w:pPr>
            <w:r>
              <w:rPr>
                <w:color w:val="000000"/>
                <w:sz w:val="18"/>
                <w:szCs w:val="18"/>
              </w:rPr>
              <w:t>35,086</w:t>
            </w:r>
          </w:p>
        </w:tc>
        <w:tc>
          <w:tcPr>
            <w:tcW w:w="50" w:type="pct"/>
            <w:shd w:val="clear" w:color="auto" w:fill="FFFFFF"/>
            <w:noWrap/>
            <w:tcMar>
              <w:top w:w="15" w:type="dxa"/>
              <w:left w:w="0" w:type="dxa"/>
              <w:bottom w:w="0" w:type="dxa"/>
              <w:right w:w="15" w:type="dxa"/>
            </w:tcMar>
            <w:vAlign w:val="bottom"/>
            <w:hideMark/>
          </w:tcPr>
          <w:p w14:paraId="5928D06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1DD5821" w14:textId="77777777">
        <w:trPr>
          <w:divId w:val="1886025028"/>
        </w:trPr>
        <w:tc>
          <w:tcPr>
            <w:tcW w:w="2866" w:type="pct"/>
            <w:shd w:val="clear" w:color="auto" w:fill="CFF0FC"/>
            <w:tcMar>
              <w:top w:w="15" w:type="dxa"/>
              <w:left w:w="0" w:type="dxa"/>
              <w:bottom w:w="0" w:type="dxa"/>
              <w:right w:w="15" w:type="dxa"/>
            </w:tcMar>
            <w:hideMark/>
          </w:tcPr>
          <w:p w14:paraId="62F211F4" w14:textId="77777777" w:rsidR="00000000" w:rsidRDefault="00582324">
            <w:pPr>
              <w:pStyle w:val="a3"/>
              <w:spacing w:before="0" w:beforeAutospacing="0" w:after="0" w:afterAutospacing="0"/>
              <w:rPr>
                <w:color w:val="000000"/>
                <w:sz w:val="18"/>
                <w:szCs w:val="18"/>
              </w:rPr>
            </w:pPr>
            <w:r>
              <w:rPr>
                <w:color w:val="000000"/>
                <w:sz w:val="18"/>
                <w:szCs w:val="18"/>
              </w:rPr>
              <w:t>Current liabilities</w:t>
            </w:r>
          </w:p>
        </w:tc>
        <w:tc>
          <w:tcPr>
            <w:tcW w:w="72" w:type="pct"/>
            <w:shd w:val="clear" w:color="auto" w:fill="CFF0FC"/>
            <w:tcMar>
              <w:top w:w="15" w:type="dxa"/>
              <w:left w:w="0" w:type="dxa"/>
              <w:bottom w:w="0" w:type="dxa"/>
              <w:right w:w="15" w:type="dxa"/>
            </w:tcMar>
            <w:vAlign w:val="bottom"/>
            <w:hideMark/>
          </w:tcPr>
          <w:p w14:paraId="7BA7B2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B702D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497D604E" w14:textId="77777777" w:rsidR="00000000" w:rsidRDefault="00582324">
            <w:pPr>
              <w:pStyle w:val="a3"/>
              <w:spacing w:before="0" w:beforeAutospacing="0" w:after="0" w:afterAutospacing="0"/>
              <w:jc w:val="right"/>
              <w:rPr>
                <w:color w:val="000000"/>
                <w:sz w:val="18"/>
                <w:szCs w:val="18"/>
              </w:rPr>
            </w:pPr>
            <w:r>
              <w:rPr>
                <w:color w:val="000000"/>
                <w:sz w:val="18"/>
                <w:szCs w:val="18"/>
              </w:rPr>
              <w:t>(814</w:t>
            </w:r>
          </w:p>
        </w:tc>
        <w:tc>
          <w:tcPr>
            <w:tcW w:w="50" w:type="pct"/>
            <w:shd w:val="clear" w:color="auto" w:fill="CFF0FC"/>
            <w:noWrap/>
            <w:tcMar>
              <w:top w:w="15" w:type="dxa"/>
              <w:left w:w="0" w:type="dxa"/>
              <w:bottom w:w="0" w:type="dxa"/>
              <w:right w:w="15" w:type="dxa"/>
            </w:tcMar>
            <w:vAlign w:val="bottom"/>
            <w:hideMark/>
          </w:tcPr>
          <w:p w14:paraId="69E471A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2" w:type="pct"/>
            <w:shd w:val="clear" w:color="auto" w:fill="CFF0FC"/>
            <w:tcMar>
              <w:top w:w="15" w:type="dxa"/>
              <w:left w:w="0" w:type="dxa"/>
              <w:bottom w:w="0" w:type="dxa"/>
              <w:right w:w="15" w:type="dxa"/>
            </w:tcMar>
            <w:vAlign w:val="bottom"/>
            <w:hideMark/>
          </w:tcPr>
          <w:p w14:paraId="7BE985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A380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437CCAD5" w14:textId="77777777" w:rsidR="00000000" w:rsidRDefault="00582324">
            <w:pPr>
              <w:pStyle w:val="a3"/>
              <w:spacing w:before="0" w:beforeAutospacing="0" w:after="0" w:afterAutospacing="0"/>
              <w:jc w:val="right"/>
              <w:rPr>
                <w:color w:val="000000"/>
                <w:sz w:val="18"/>
                <w:szCs w:val="18"/>
              </w:rPr>
            </w:pPr>
            <w:r>
              <w:rPr>
                <w:color w:val="000000"/>
                <w:sz w:val="18"/>
                <w:szCs w:val="18"/>
              </w:rPr>
              <w:t>(469</w:t>
            </w:r>
          </w:p>
        </w:tc>
        <w:tc>
          <w:tcPr>
            <w:tcW w:w="50" w:type="pct"/>
            <w:shd w:val="clear" w:color="auto" w:fill="CFF0FC"/>
            <w:noWrap/>
            <w:tcMar>
              <w:top w:w="15" w:type="dxa"/>
              <w:left w:w="0" w:type="dxa"/>
              <w:bottom w:w="0" w:type="dxa"/>
              <w:right w:w="15" w:type="dxa"/>
            </w:tcMar>
            <w:vAlign w:val="bottom"/>
            <w:hideMark/>
          </w:tcPr>
          <w:p w14:paraId="257E193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2" w:type="pct"/>
            <w:shd w:val="clear" w:color="auto" w:fill="CFF0FC"/>
            <w:tcMar>
              <w:top w:w="15" w:type="dxa"/>
              <w:left w:w="0" w:type="dxa"/>
              <w:bottom w:w="0" w:type="dxa"/>
              <w:right w:w="15" w:type="dxa"/>
            </w:tcMar>
            <w:vAlign w:val="bottom"/>
            <w:hideMark/>
          </w:tcPr>
          <w:p w14:paraId="7199D9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62E56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14:paraId="2AB129EE" w14:textId="77777777" w:rsidR="00000000" w:rsidRDefault="00582324">
            <w:pPr>
              <w:pStyle w:val="a3"/>
              <w:spacing w:before="0" w:beforeAutospacing="0" w:after="0" w:afterAutospacing="0"/>
              <w:jc w:val="right"/>
              <w:rPr>
                <w:color w:val="000000"/>
                <w:sz w:val="18"/>
                <w:szCs w:val="18"/>
              </w:rPr>
            </w:pPr>
            <w:r>
              <w:rPr>
                <w:color w:val="000000"/>
                <w:sz w:val="18"/>
                <w:szCs w:val="18"/>
              </w:rPr>
              <w:t>(1,283</w:t>
            </w:r>
          </w:p>
        </w:tc>
        <w:tc>
          <w:tcPr>
            <w:tcW w:w="50" w:type="pct"/>
            <w:shd w:val="clear" w:color="auto" w:fill="CFF0FC"/>
            <w:noWrap/>
            <w:tcMar>
              <w:top w:w="15" w:type="dxa"/>
              <w:left w:w="0" w:type="dxa"/>
              <w:bottom w:w="0" w:type="dxa"/>
              <w:right w:w="15" w:type="dxa"/>
            </w:tcMar>
            <w:vAlign w:val="bottom"/>
            <w:hideMark/>
          </w:tcPr>
          <w:p w14:paraId="69A24927"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46A4334" w14:textId="77777777">
        <w:trPr>
          <w:divId w:val="1886025028"/>
        </w:trPr>
        <w:tc>
          <w:tcPr>
            <w:tcW w:w="2866" w:type="pct"/>
            <w:shd w:val="clear" w:color="auto" w:fill="FFFFFF"/>
            <w:tcMar>
              <w:top w:w="15" w:type="dxa"/>
              <w:left w:w="0" w:type="dxa"/>
              <w:bottom w:w="0" w:type="dxa"/>
              <w:right w:w="15" w:type="dxa"/>
            </w:tcMar>
            <w:hideMark/>
          </w:tcPr>
          <w:p w14:paraId="738AA03C" w14:textId="77777777" w:rsidR="00000000" w:rsidRDefault="00582324">
            <w:pPr>
              <w:pStyle w:val="a3"/>
              <w:spacing w:before="0" w:beforeAutospacing="0" w:after="0" w:afterAutospacing="0"/>
              <w:ind w:left="274"/>
              <w:rPr>
                <w:color w:val="000000"/>
                <w:sz w:val="18"/>
                <w:szCs w:val="18"/>
              </w:rPr>
            </w:pPr>
            <w:r>
              <w:rPr>
                <w:color w:val="000000"/>
                <w:sz w:val="18"/>
                <w:szCs w:val="18"/>
              </w:rPr>
              <w:t>Total liabilities</w:t>
            </w:r>
          </w:p>
        </w:tc>
        <w:tc>
          <w:tcPr>
            <w:tcW w:w="72" w:type="pct"/>
            <w:shd w:val="clear" w:color="auto" w:fill="FFFFFF"/>
            <w:tcMar>
              <w:top w:w="15" w:type="dxa"/>
              <w:left w:w="0" w:type="dxa"/>
              <w:bottom w:w="0" w:type="dxa"/>
              <w:right w:w="15" w:type="dxa"/>
            </w:tcMar>
            <w:vAlign w:val="bottom"/>
            <w:hideMark/>
          </w:tcPr>
          <w:p w14:paraId="28320B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E1585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06BE4C" w14:textId="77777777" w:rsidR="00000000" w:rsidRDefault="00582324">
            <w:pPr>
              <w:pStyle w:val="a3"/>
              <w:spacing w:before="0" w:beforeAutospacing="0" w:after="0" w:afterAutospacing="0"/>
              <w:jc w:val="right"/>
              <w:rPr>
                <w:color w:val="000000"/>
                <w:sz w:val="18"/>
                <w:szCs w:val="18"/>
              </w:rPr>
            </w:pPr>
            <w:r>
              <w:rPr>
                <w:color w:val="000000"/>
                <w:sz w:val="18"/>
                <w:szCs w:val="18"/>
              </w:rPr>
              <w:t>(814</w:t>
            </w:r>
          </w:p>
        </w:tc>
        <w:tc>
          <w:tcPr>
            <w:tcW w:w="50" w:type="pct"/>
            <w:shd w:val="clear" w:color="auto" w:fill="FFFFFF"/>
            <w:noWrap/>
            <w:tcMar>
              <w:top w:w="15" w:type="dxa"/>
              <w:left w:w="0" w:type="dxa"/>
              <w:bottom w:w="0" w:type="dxa"/>
              <w:right w:w="15" w:type="dxa"/>
            </w:tcMar>
            <w:vAlign w:val="bottom"/>
            <w:hideMark/>
          </w:tcPr>
          <w:p w14:paraId="2FBF486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2" w:type="pct"/>
            <w:shd w:val="clear" w:color="auto" w:fill="FFFFFF"/>
            <w:tcMar>
              <w:top w:w="15" w:type="dxa"/>
              <w:left w:w="0" w:type="dxa"/>
              <w:bottom w:w="0" w:type="dxa"/>
              <w:right w:w="15" w:type="dxa"/>
            </w:tcMar>
            <w:vAlign w:val="bottom"/>
            <w:hideMark/>
          </w:tcPr>
          <w:p w14:paraId="58491B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C0B5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11123C" w14:textId="77777777" w:rsidR="00000000" w:rsidRDefault="00582324">
            <w:pPr>
              <w:pStyle w:val="a3"/>
              <w:spacing w:before="0" w:beforeAutospacing="0" w:after="0" w:afterAutospacing="0"/>
              <w:jc w:val="right"/>
              <w:rPr>
                <w:color w:val="000000"/>
                <w:sz w:val="18"/>
                <w:szCs w:val="18"/>
              </w:rPr>
            </w:pPr>
            <w:r>
              <w:rPr>
                <w:color w:val="000000"/>
                <w:sz w:val="18"/>
                <w:szCs w:val="18"/>
              </w:rPr>
              <w:t>(469</w:t>
            </w:r>
          </w:p>
        </w:tc>
        <w:tc>
          <w:tcPr>
            <w:tcW w:w="50" w:type="pct"/>
            <w:shd w:val="clear" w:color="auto" w:fill="FFFFFF"/>
            <w:noWrap/>
            <w:tcMar>
              <w:top w:w="15" w:type="dxa"/>
              <w:left w:w="0" w:type="dxa"/>
              <w:bottom w:w="0" w:type="dxa"/>
              <w:right w:w="15" w:type="dxa"/>
            </w:tcMar>
            <w:vAlign w:val="bottom"/>
            <w:hideMark/>
          </w:tcPr>
          <w:p w14:paraId="34F52AF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2" w:type="pct"/>
            <w:shd w:val="clear" w:color="auto" w:fill="FFFFFF"/>
            <w:tcMar>
              <w:top w:w="15" w:type="dxa"/>
              <w:left w:w="0" w:type="dxa"/>
              <w:bottom w:w="0" w:type="dxa"/>
              <w:right w:w="15" w:type="dxa"/>
            </w:tcMar>
            <w:vAlign w:val="bottom"/>
            <w:hideMark/>
          </w:tcPr>
          <w:p w14:paraId="3C7D1A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6698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FBC7C4" w14:textId="77777777" w:rsidR="00000000" w:rsidRDefault="00582324">
            <w:pPr>
              <w:pStyle w:val="a3"/>
              <w:spacing w:before="0" w:beforeAutospacing="0" w:after="0" w:afterAutospacing="0"/>
              <w:jc w:val="right"/>
              <w:rPr>
                <w:color w:val="000000"/>
                <w:sz w:val="18"/>
                <w:szCs w:val="18"/>
              </w:rPr>
            </w:pPr>
            <w:r>
              <w:rPr>
                <w:color w:val="000000"/>
                <w:sz w:val="18"/>
                <w:szCs w:val="18"/>
              </w:rPr>
              <w:t>(1,283</w:t>
            </w:r>
          </w:p>
        </w:tc>
        <w:tc>
          <w:tcPr>
            <w:tcW w:w="50" w:type="pct"/>
            <w:shd w:val="clear" w:color="auto" w:fill="FFFFFF"/>
            <w:noWrap/>
            <w:tcMar>
              <w:top w:w="15" w:type="dxa"/>
              <w:left w:w="0" w:type="dxa"/>
              <w:bottom w:w="0" w:type="dxa"/>
              <w:right w:w="15" w:type="dxa"/>
            </w:tcMar>
            <w:vAlign w:val="bottom"/>
            <w:hideMark/>
          </w:tcPr>
          <w:p w14:paraId="7E2B7667"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E3EB47A" w14:textId="77777777">
        <w:trPr>
          <w:divId w:val="1886025028"/>
        </w:trPr>
        <w:tc>
          <w:tcPr>
            <w:tcW w:w="2866" w:type="pct"/>
            <w:shd w:val="clear" w:color="auto" w:fill="CFF0FC"/>
            <w:tcMar>
              <w:top w:w="15" w:type="dxa"/>
              <w:left w:w="0" w:type="dxa"/>
              <w:bottom w:w="0" w:type="dxa"/>
              <w:right w:w="15" w:type="dxa"/>
            </w:tcMar>
            <w:hideMark/>
          </w:tcPr>
          <w:p w14:paraId="5BA11069" w14:textId="77777777" w:rsidR="00000000" w:rsidRDefault="00582324">
            <w:pPr>
              <w:pStyle w:val="a3"/>
              <w:spacing w:before="0" w:beforeAutospacing="0" w:after="0" w:afterAutospacing="0"/>
              <w:rPr>
                <w:color w:val="000000"/>
                <w:sz w:val="18"/>
                <w:szCs w:val="18"/>
              </w:rPr>
            </w:pPr>
            <w:r>
              <w:rPr>
                <w:color w:val="000000"/>
                <w:sz w:val="18"/>
                <w:szCs w:val="18"/>
              </w:rPr>
              <w:t>Purchase price</w:t>
            </w:r>
          </w:p>
        </w:tc>
        <w:tc>
          <w:tcPr>
            <w:tcW w:w="72" w:type="pct"/>
            <w:shd w:val="clear" w:color="auto" w:fill="CFF0FC"/>
            <w:tcMar>
              <w:top w:w="15" w:type="dxa"/>
              <w:left w:w="0" w:type="dxa"/>
              <w:bottom w:w="0" w:type="dxa"/>
              <w:right w:w="15" w:type="dxa"/>
            </w:tcMar>
            <w:vAlign w:val="bottom"/>
            <w:hideMark/>
          </w:tcPr>
          <w:p w14:paraId="4CFF62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826B8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63B638" w14:textId="77777777" w:rsidR="00000000" w:rsidRDefault="00582324">
            <w:pPr>
              <w:pStyle w:val="a3"/>
              <w:spacing w:before="0" w:beforeAutospacing="0" w:after="0" w:afterAutospacing="0"/>
              <w:jc w:val="right"/>
              <w:rPr>
                <w:color w:val="000000"/>
                <w:sz w:val="18"/>
                <w:szCs w:val="18"/>
              </w:rPr>
            </w:pPr>
            <w:r>
              <w:rPr>
                <w:color w:val="000000"/>
                <w:sz w:val="18"/>
                <w:szCs w:val="18"/>
              </w:rPr>
              <w:t>23,303</w:t>
            </w:r>
          </w:p>
        </w:tc>
        <w:tc>
          <w:tcPr>
            <w:tcW w:w="50" w:type="pct"/>
            <w:shd w:val="clear" w:color="auto" w:fill="CFF0FC"/>
            <w:noWrap/>
            <w:tcMar>
              <w:top w:w="15" w:type="dxa"/>
              <w:left w:w="0" w:type="dxa"/>
              <w:bottom w:w="0" w:type="dxa"/>
              <w:right w:w="15" w:type="dxa"/>
            </w:tcMar>
            <w:vAlign w:val="bottom"/>
            <w:hideMark/>
          </w:tcPr>
          <w:p w14:paraId="365241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0C9C77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99B82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39F786" w14:textId="77777777" w:rsidR="00000000" w:rsidRDefault="00582324">
            <w:pPr>
              <w:pStyle w:val="a3"/>
              <w:spacing w:before="0" w:beforeAutospacing="0" w:after="0" w:afterAutospacing="0"/>
              <w:jc w:val="right"/>
              <w:rPr>
                <w:color w:val="000000"/>
                <w:sz w:val="18"/>
                <w:szCs w:val="18"/>
              </w:rPr>
            </w:pPr>
            <w:r>
              <w:rPr>
                <w:color w:val="000000"/>
                <w:sz w:val="18"/>
                <w:szCs w:val="18"/>
              </w:rPr>
              <w:t>10,500</w:t>
            </w:r>
          </w:p>
        </w:tc>
        <w:tc>
          <w:tcPr>
            <w:tcW w:w="50" w:type="pct"/>
            <w:shd w:val="clear" w:color="auto" w:fill="CFF0FC"/>
            <w:noWrap/>
            <w:tcMar>
              <w:top w:w="15" w:type="dxa"/>
              <w:left w:w="0" w:type="dxa"/>
              <w:bottom w:w="0" w:type="dxa"/>
              <w:right w:w="15" w:type="dxa"/>
            </w:tcMar>
            <w:vAlign w:val="bottom"/>
            <w:hideMark/>
          </w:tcPr>
          <w:p w14:paraId="4FD99D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2" w:type="pct"/>
            <w:shd w:val="clear" w:color="auto" w:fill="CFF0FC"/>
            <w:tcMar>
              <w:top w:w="15" w:type="dxa"/>
              <w:left w:w="0" w:type="dxa"/>
              <w:bottom w:w="0" w:type="dxa"/>
              <w:right w:w="15" w:type="dxa"/>
            </w:tcMar>
            <w:vAlign w:val="bottom"/>
            <w:hideMark/>
          </w:tcPr>
          <w:p w14:paraId="6A71BA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01013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9911F2" w14:textId="77777777" w:rsidR="00000000" w:rsidRDefault="00582324">
            <w:pPr>
              <w:pStyle w:val="a3"/>
              <w:spacing w:before="0" w:beforeAutospacing="0" w:after="0" w:afterAutospacing="0"/>
              <w:jc w:val="right"/>
              <w:rPr>
                <w:color w:val="000000"/>
                <w:sz w:val="18"/>
                <w:szCs w:val="18"/>
              </w:rPr>
            </w:pPr>
            <w:r>
              <w:rPr>
                <w:color w:val="000000"/>
                <w:sz w:val="18"/>
                <w:szCs w:val="18"/>
              </w:rPr>
              <w:t>33,803</w:t>
            </w:r>
          </w:p>
        </w:tc>
        <w:tc>
          <w:tcPr>
            <w:tcW w:w="50" w:type="pct"/>
            <w:shd w:val="clear" w:color="auto" w:fill="CFF0FC"/>
            <w:noWrap/>
            <w:tcMar>
              <w:top w:w="15" w:type="dxa"/>
              <w:left w:w="0" w:type="dxa"/>
              <w:bottom w:w="0" w:type="dxa"/>
              <w:right w:w="15" w:type="dxa"/>
            </w:tcMar>
            <w:vAlign w:val="bottom"/>
            <w:hideMark/>
          </w:tcPr>
          <w:p w14:paraId="10523EC5"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069E8CE8" w14:textId="77777777" w:rsidR="00000000" w:rsidRDefault="00582324">
      <w:pPr>
        <w:pStyle w:val="a3"/>
        <w:spacing w:before="240" w:beforeAutospacing="0" w:after="0" w:afterAutospacing="0"/>
        <w:jc w:val="center"/>
        <w:rPr>
          <w:sz w:val="20"/>
          <w:szCs w:val="20"/>
        </w:rPr>
      </w:pPr>
      <w:r>
        <w:rPr>
          <w:sz w:val="20"/>
          <w:szCs w:val="20"/>
        </w:rPr>
        <w:t>12</w:t>
      </w:r>
    </w:p>
    <w:p w14:paraId="0B9058EE" w14:textId="77777777" w:rsidR="00000000" w:rsidRDefault="00582324">
      <w:pPr>
        <w:rPr>
          <w:rFonts w:eastAsia="Times New Roman"/>
        </w:rPr>
      </w:pPr>
      <w:r>
        <w:rPr>
          <w:rFonts w:eastAsia="Times New Roman"/>
        </w:rPr>
        <w:pict w14:anchorId="16D9F3EA">
          <v:rect id="_x0000_i1038" style="width:0;height:1.5pt" o:hralign="center" o:hrstd="t" o:hr="t" fillcolor="#a0a0a0" stroked="f"/>
        </w:pict>
      </w:r>
    </w:p>
    <w:p w14:paraId="3BB0623A" w14:textId="77777777" w:rsidR="00000000" w:rsidRDefault="00582324">
      <w:pPr>
        <w:pStyle w:val="a3"/>
        <w:spacing w:before="0" w:beforeAutospacing="0" w:after="0" w:afterAutospacing="0"/>
        <w:rPr>
          <w:sz w:val="20"/>
          <w:szCs w:val="20"/>
        </w:rPr>
      </w:pPr>
      <w:r>
        <w:rPr>
          <w:sz w:val="20"/>
          <w:szCs w:val="20"/>
        </w:rPr>
        <w:t> </w:t>
      </w:r>
    </w:p>
    <w:p w14:paraId="78B514A6" w14:textId="77777777" w:rsidR="00000000" w:rsidRDefault="00582324">
      <w:pPr>
        <w:pStyle w:val="a3"/>
        <w:spacing w:before="0" w:beforeAutospacing="0" w:after="0" w:afterAutospacing="0"/>
        <w:rPr>
          <w:sz w:val="20"/>
          <w:szCs w:val="20"/>
        </w:rPr>
      </w:pPr>
      <w:r>
        <w:rPr>
          <w:sz w:val="20"/>
          <w:szCs w:val="20"/>
        </w:rPr>
        <w:t> </w:t>
      </w:r>
    </w:p>
    <w:p w14:paraId="55E60C61" w14:textId="77777777" w:rsidR="00000000" w:rsidRDefault="00582324">
      <w:pPr>
        <w:pStyle w:val="a3"/>
        <w:shd w:val="clear" w:color="auto" w:fill="FFFFFF"/>
        <w:spacing w:before="0" w:beforeAutospacing="0" w:after="0" w:afterAutospacing="0"/>
        <w:rPr>
          <w:sz w:val="20"/>
          <w:szCs w:val="20"/>
        </w:rPr>
      </w:pPr>
      <w:r>
        <w:rPr>
          <w:sz w:val="20"/>
          <w:szCs w:val="20"/>
        </w:rPr>
        <w:t> </w:t>
      </w:r>
    </w:p>
    <w:p w14:paraId="7575CA9D" w14:textId="77777777" w:rsidR="00000000" w:rsidRDefault="00582324">
      <w:pPr>
        <w:pStyle w:val="a3"/>
        <w:shd w:val="clear" w:color="auto" w:fill="FFFFFF"/>
        <w:spacing w:before="40" w:beforeAutospacing="0" w:after="0" w:afterAutospacing="0"/>
        <w:ind w:firstLine="416"/>
        <w:rPr>
          <w:sz w:val="20"/>
          <w:szCs w:val="20"/>
        </w:rPr>
      </w:pPr>
      <w:r>
        <w:rPr>
          <w:sz w:val="20"/>
          <w:szCs w:val="20"/>
        </w:rPr>
        <w:t xml:space="preserve">For the acquisitions completed during the six months ended June 30, 2021, the results of operations since the acquisition dates have been combined with those of the Company. </w:t>
      </w:r>
      <w:r>
        <w:rPr>
          <w:color w:val="000000"/>
          <w:sz w:val="20"/>
          <w:szCs w:val="20"/>
        </w:rPr>
        <w:t>The Company’s unaudited condensed consolidated statement of operations for the thr</w:t>
      </w:r>
      <w:r>
        <w:rPr>
          <w:color w:val="000000"/>
          <w:sz w:val="20"/>
          <w:szCs w:val="20"/>
        </w:rPr>
        <w:t>ee and six months ended June 30, 2021 includes revenue of $3.9 million and $7.8 million, respectively, and pre-tax (loss) income of $0.1 million and $(0.2) million, respectively. MSE and Vista are included in the Company’s Remediation and Reuse and Measure</w:t>
      </w:r>
      <w:r>
        <w:rPr>
          <w:color w:val="000000"/>
          <w:sz w:val="20"/>
          <w:szCs w:val="20"/>
        </w:rPr>
        <w:t xml:space="preserve">ment and Analysis segment, respectively. </w:t>
      </w:r>
    </w:p>
    <w:p w14:paraId="42EAE005"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weighted average useful lives for the acquired customer relationships and related backlog for MSE are 7 years and 2 years, respectively. The weighted average useful lives for the acquired tradenames and covenan</w:t>
      </w:r>
      <w:r>
        <w:rPr>
          <w:color w:val="000000"/>
          <w:sz w:val="20"/>
          <w:szCs w:val="20"/>
        </w:rPr>
        <w:t xml:space="preserve">ts not to compete for MSE acquisition are 2 years and 5 years, respectively. </w:t>
      </w:r>
    </w:p>
    <w:p w14:paraId="47A10AB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Goodwill associated with the MSE and Vista acquisitions is deductible for income tax purposes.</w:t>
      </w:r>
    </w:p>
    <w:p w14:paraId="0825D63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Company has not yet completed the initial purchase price allocation for the acq</w:t>
      </w:r>
      <w:r>
        <w:rPr>
          <w:color w:val="000000"/>
          <w:sz w:val="20"/>
          <w:szCs w:val="20"/>
        </w:rPr>
        <w:t>uisition of Vista due to the timing of the close of the transaction.</w:t>
      </w:r>
    </w:p>
    <w:p w14:paraId="2E97E8DA" w14:textId="77777777" w:rsidR="00000000" w:rsidRDefault="00582324">
      <w:pPr>
        <w:pStyle w:val="a3"/>
        <w:shd w:val="clear" w:color="auto" w:fill="FFFFFF"/>
        <w:spacing w:before="360" w:beforeAutospacing="0" w:after="0" w:afterAutospacing="0"/>
        <w:ind w:firstLine="416"/>
        <w:rPr>
          <w:b/>
          <w:bCs/>
          <w:color w:val="000000"/>
          <w:sz w:val="20"/>
          <w:szCs w:val="20"/>
        </w:rPr>
      </w:pPr>
      <w:r>
        <w:rPr>
          <w:b/>
          <w:bCs/>
          <w:color w:val="000000"/>
          <w:sz w:val="20"/>
          <w:szCs w:val="20"/>
        </w:rPr>
        <w:t>Acquisitions Completed During the Year Ended December 31, 2020</w:t>
      </w:r>
    </w:p>
    <w:p w14:paraId="14CCCA1D" w14:textId="77777777" w:rsidR="00000000" w:rsidRDefault="00582324">
      <w:pPr>
        <w:pStyle w:val="a3"/>
        <w:shd w:val="clear" w:color="auto" w:fill="FFFFFF"/>
        <w:spacing w:before="120" w:beforeAutospacing="0" w:after="0" w:afterAutospacing="0"/>
        <w:ind w:firstLine="416"/>
        <w:rPr>
          <w:b/>
          <w:bCs/>
          <w:i/>
          <w:iCs/>
          <w:color w:val="000000"/>
          <w:sz w:val="20"/>
          <w:szCs w:val="20"/>
        </w:rPr>
      </w:pPr>
      <w:r>
        <w:rPr>
          <w:b/>
          <w:bCs/>
          <w:i/>
          <w:iCs/>
          <w:color w:val="000000"/>
          <w:sz w:val="20"/>
          <w:szCs w:val="20"/>
        </w:rPr>
        <w:t>The Center for Toxicology and Environmental Health, L.L.C.</w:t>
      </w:r>
      <w:r>
        <w:rPr>
          <w:color w:val="000000"/>
          <w:sz w:val="20"/>
          <w:szCs w:val="20"/>
        </w:rPr>
        <w:t>—In April 2020, the Company completed the acquisition of The Cente</w:t>
      </w:r>
      <w:r>
        <w:rPr>
          <w:color w:val="000000"/>
          <w:sz w:val="20"/>
          <w:szCs w:val="20"/>
        </w:rPr>
        <w:t>r for Toxicology and Environmental Health, L.L.C. (“CTEH”) by acquiring 100.0% of its membership interests. CTEH is an environmental consulting company headquartered in Arkansas that specializes in environmental response and toxicology. The cash payment ma</w:t>
      </w:r>
      <w:r>
        <w:rPr>
          <w:color w:val="000000"/>
          <w:sz w:val="20"/>
          <w:szCs w:val="20"/>
        </w:rPr>
        <w:t>de to acquire CTEH was funded through the issuance of the Convertible and Redeemable Series A-2 Preferred Stock (Note 17) and the common stock portion of the purchase price was funded through the issuance of 791,139 shares of common stock. </w:t>
      </w:r>
    </w:p>
    <w:p w14:paraId="0F7288FD" w14:textId="77777777" w:rsidR="00000000" w:rsidRDefault="00582324">
      <w:pPr>
        <w:pStyle w:val="a3"/>
        <w:shd w:val="clear" w:color="auto" w:fill="FFFFFF"/>
        <w:spacing w:before="120" w:beforeAutospacing="0" w:after="0" w:afterAutospacing="0"/>
        <w:ind w:firstLine="416"/>
        <w:rPr>
          <w:b/>
          <w:bCs/>
          <w:i/>
          <w:iCs/>
          <w:color w:val="000000"/>
          <w:sz w:val="20"/>
          <w:szCs w:val="20"/>
        </w:rPr>
      </w:pPr>
      <w:r>
        <w:rPr>
          <w:b/>
          <w:bCs/>
          <w:i/>
          <w:iCs/>
          <w:color w:val="000000"/>
          <w:sz w:val="20"/>
          <w:szCs w:val="20"/>
        </w:rPr>
        <w:t>Leed Environmen</w:t>
      </w:r>
      <w:r>
        <w:rPr>
          <w:b/>
          <w:bCs/>
          <w:i/>
          <w:iCs/>
          <w:color w:val="000000"/>
          <w:sz w:val="20"/>
          <w:szCs w:val="20"/>
        </w:rPr>
        <w:t>tal Inc</w:t>
      </w:r>
      <w:r>
        <w:rPr>
          <w:color w:val="000000"/>
          <w:sz w:val="20"/>
          <w:szCs w:val="20"/>
        </w:rPr>
        <w:t>.— In September 2020, the Company acquired certain testing assets, and operations from Leed Environmental Inc. (“LEED”). LEED provides environmental project management and coordination services. LEED expands the Company’s remediation capabilities in</w:t>
      </w:r>
      <w:r>
        <w:rPr>
          <w:color w:val="000000"/>
          <w:sz w:val="20"/>
          <w:szCs w:val="20"/>
        </w:rPr>
        <w:t xml:space="preserve"> the Northeast region of the United States. The cash payment made to acquire LEED was funded via cash on hand.</w:t>
      </w:r>
    </w:p>
    <w:p w14:paraId="37FE0C35"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American Environmental Testing Co</w:t>
      </w:r>
      <w:r>
        <w:rPr>
          <w:b/>
          <w:bCs/>
          <w:i/>
          <w:iCs/>
          <w:color w:val="000000"/>
        </w:rPr>
        <w:t>.</w:t>
      </w:r>
      <w:r>
        <w:rPr>
          <w:color w:val="000000"/>
          <w:sz w:val="20"/>
          <w:szCs w:val="20"/>
        </w:rPr>
        <w:t>— In September 2020, the Company acquired certain assets and operations of American Environmental Testing Co. (</w:t>
      </w:r>
      <w:r>
        <w:rPr>
          <w:color w:val="000000"/>
          <w:sz w:val="20"/>
          <w:szCs w:val="20"/>
        </w:rPr>
        <w:t xml:space="preserve">“AETC”), a stack testing company in Utah. AETC expands the Company’s air measurement and analysis capabilities in the West Coast region. The cash payment made to acquire AETC was funded via cash on hand. </w:t>
      </w:r>
    </w:p>
    <w:p w14:paraId="28270CD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table summarizes the elements of purc</w:t>
      </w:r>
      <w:r>
        <w:rPr>
          <w:color w:val="000000"/>
          <w:sz w:val="20"/>
          <w:szCs w:val="20"/>
        </w:rPr>
        <w:t>hase price of the acquisitions completed during the year ended December 31, 2020:</w:t>
      </w:r>
    </w:p>
    <w:p w14:paraId="7D2582A7"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04"/>
        <w:gridCol w:w="60"/>
        <w:gridCol w:w="105"/>
        <w:gridCol w:w="600"/>
        <w:gridCol w:w="60"/>
        <w:gridCol w:w="60"/>
        <w:gridCol w:w="106"/>
        <w:gridCol w:w="623"/>
        <w:gridCol w:w="60"/>
        <w:gridCol w:w="60"/>
        <w:gridCol w:w="139"/>
        <w:gridCol w:w="847"/>
        <w:gridCol w:w="75"/>
        <w:gridCol w:w="60"/>
        <w:gridCol w:w="139"/>
        <w:gridCol w:w="847"/>
        <w:gridCol w:w="60"/>
        <w:gridCol w:w="60"/>
        <w:gridCol w:w="155"/>
        <w:gridCol w:w="951"/>
        <w:gridCol w:w="60"/>
        <w:gridCol w:w="60"/>
        <w:gridCol w:w="155"/>
        <w:gridCol w:w="951"/>
        <w:gridCol w:w="60"/>
        <w:gridCol w:w="60"/>
        <w:gridCol w:w="106"/>
        <w:gridCol w:w="623"/>
        <w:gridCol w:w="60"/>
      </w:tblGrid>
      <w:tr w:rsidR="00000000" w14:paraId="5AE08997" w14:textId="77777777">
        <w:trPr>
          <w:divId w:val="1779135025"/>
        </w:trPr>
        <w:tc>
          <w:tcPr>
            <w:tcW w:w="1834" w:type="pct"/>
            <w:shd w:val="clear" w:color="auto" w:fill="FFFFFF"/>
            <w:tcMar>
              <w:top w:w="15" w:type="dxa"/>
              <w:left w:w="0" w:type="dxa"/>
              <w:bottom w:w="0" w:type="dxa"/>
              <w:right w:w="15" w:type="dxa"/>
            </w:tcMar>
            <w:vAlign w:val="bottom"/>
            <w:hideMark/>
          </w:tcPr>
          <w:p w14:paraId="231230FD" w14:textId="77777777" w:rsidR="00000000" w:rsidRDefault="00582324">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14:paraId="0BEE182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48224E0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Cash</w:t>
            </w:r>
          </w:p>
        </w:tc>
        <w:tc>
          <w:tcPr>
            <w:tcW w:w="50" w:type="pct"/>
            <w:shd w:val="clear" w:color="auto" w:fill="FFFFFF"/>
            <w:noWrap/>
            <w:tcMar>
              <w:top w:w="15" w:type="dxa"/>
              <w:left w:w="0" w:type="dxa"/>
              <w:bottom w:w="0" w:type="dxa"/>
              <w:right w:w="15" w:type="dxa"/>
            </w:tcMar>
            <w:vAlign w:val="bottom"/>
            <w:hideMark/>
          </w:tcPr>
          <w:p w14:paraId="6717B6D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13CEF3B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056936A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Common</w:t>
            </w:r>
          </w:p>
          <w:p w14:paraId="3062B03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Stock</w:t>
            </w:r>
          </w:p>
        </w:tc>
        <w:tc>
          <w:tcPr>
            <w:tcW w:w="50" w:type="pct"/>
            <w:shd w:val="clear" w:color="auto" w:fill="FFFFFF"/>
            <w:noWrap/>
            <w:tcMar>
              <w:top w:w="15" w:type="dxa"/>
              <w:left w:w="0" w:type="dxa"/>
              <w:bottom w:w="0" w:type="dxa"/>
              <w:right w:w="15" w:type="dxa"/>
            </w:tcMar>
            <w:vAlign w:val="bottom"/>
            <w:hideMark/>
          </w:tcPr>
          <w:p w14:paraId="550DDD2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0FEA18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22B8FA9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w:t>
            </w:r>
          </w:p>
          <w:p w14:paraId="2D71AA7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7CA5D25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p w14:paraId="0082A95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Components</w:t>
            </w:r>
          </w:p>
          <w:p w14:paraId="2FA7841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Current</w:t>
            </w:r>
          </w:p>
        </w:tc>
        <w:tc>
          <w:tcPr>
            <w:tcW w:w="50" w:type="pct"/>
            <w:shd w:val="clear" w:color="auto" w:fill="FFFFFF"/>
            <w:noWrap/>
            <w:tcMar>
              <w:top w:w="15" w:type="dxa"/>
              <w:left w:w="0" w:type="dxa"/>
              <w:bottom w:w="0" w:type="dxa"/>
              <w:right w:w="15" w:type="dxa"/>
            </w:tcMar>
            <w:vAlign w:val="bottom"/>
            <w:hideMark/>
          </w:tcPr>
          <w:p w14:paraId="4883282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6AA7E4D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4603536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w:t>
            </w:r>
          </w:p>
          <w:p w14:paraId="08A3E9A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134714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p w14:paraId="28DC819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Components</w:t>
            </w:r>
          </w:p>
          <w:p w14:paraId="2E63855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Long Term</w:t>
            </w:r>
          </w:p>
        </w:tc>
        <w:tc>
          <w:tcPr>
            <w:tcW w:w="50" w:type="pct"/>
            <w:shd w:val="clear" w:color="auto" w:fill="FFFFFF"/>
            <w:noWrap/>
            <w:tcMar>
              <w:top w:w="15" w:type="dxa"/>
              <w:left w:w="0" w:type="dxa"/>
              <w:bottom w:w="0" w:type="dxa"/>
              <w:right w:w="15" w:type="dxa"/>
            </w:tcMar>
            <w:vAlign w:val="bottom"/>
            <w:hideMark/>
          </w:tcPr>
          <w:p w14:paraId="3B00645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1916BE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189898E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Contingent</w:t>
            </w:r>
          </w:p>
          <w:p w14:paraId="312F084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Consideration</w:t>
            </w:r>
          </w:p>
          <w:p w14:paraId="745C3E6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Current</w:t>
            </w:r>
          </w:p>
        </w:tc>
        <w:tc>
          <w:tcPr>
            <w:tcW w:w="50" w:type="pct"/>
            <w:shd w:val="clear" w:color="auto" w:fill="FFFFFF"/>
            <w:noWrap/>
            <w:tcMar>
              <w:top w:w="15" w:type="dxa"/>
              <w:left w:w="0" w:type="dxa"/>
              <w:bottom w:w="0" w:type="dxa"/>
              <w:right w:w="15" w:type="dxa"/>
            </w:tcMar>
            <w:vAlign w:val="bottom"/>
            <w:hideMark/>
          </w:tcPr>
          <w:p w14:paraId="11D347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715A3A0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2D70289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Contingent</w:t>
            </w:r>
          </w:p>
          <w:p w14:paraId="42D2A00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Consideration</w:t>
            </w:r>
          </w:p>
          <w:p w14:paraId="2552A8C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Long Term</w:t>
            </w:r>
          </w:p>
        </w:tc>
        <w:tc>
          <w:tcPr>
            <w:tcW w:w="50" w:type="pct"/>
            <w:shd w:val="clear" w:color="auto" w:fill="FFFFFF"/>
            <w:noWrap/>
            <w:tcMar>
              <w:top w:w="15" w:type="dxa"/>
              <w:left w:w="0" w:type="dxa"/>
              <w:bottom w:w="0" w:type="dxa"/>
              <w:right w:w="15" w:type="dxa"/>
            </w:tcMar>
            <w:vAlign w:val="bottom"/>
            <w:hideMark/>
          </w:tcPr>
          <w:p w14:paraId="6F20B70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551A42E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14:paraId="6B84D2E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619C035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3938302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w:t>
            </w:r>
          </w:p>
        </w:tc>
        <w:tc>
          <w:tcPr>
            <w:tcW w:w="50" w:type="pct"/>
            <w:shd w:val="clear" w:color="auto" w:fill="FFFFFF"/>
            <w:noWrap/>
            <w:tcMar>
              <w:top w:w="15" w:type="dxa"/>
              <w:left w:w="0" w:type="dxa"/>
              <w:bottom w:w="0" w:type="dxa"/>
              <w:right w:w="15" w:type="dxa"/>
            </w:tcMar>
            <w:vAlign w:val="bottom"/>
            <w:hideMark/>
          </w:tcPr>
          <w:p w14:paraId="3B9B964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01E06DB0" w14:textId="77777777">
        <w:trPr>
          <w:divId w:val="1779135025"/>
        </w:trPr>
        <w:tc>
          <w:tcPr>
            <w:tcW w:w="1834" w:type="pct"/>
            <w:shd w:val="clear" w:color="auto" w:fill="CFF0FC"/>
            <w:tcMar>
              <w:top w:w="15" w:type="dxa"/>
              <w:left w:w="0" w:type="dxa"/>
              <w:bottom w:w="0" w:type="dxa"/>
              <w:right w:w="15" w:type="dxa"/>
            </w:tcMar>
            <w:hideMark/>
          </w:tcPr>
          <w:p w14:paraId="730B4C5B" w14:textId="77777777" w:rsidR="00000000" w:rsidRDefault="00582324">
            <w:pPr>
              <w:pStyle w:val="a3"/>
              <w:spacing w:before="0" w:beforeAutospacing="0" w:after="0" w:afterAutospacing="0"/>
              <w:rPr>
                <w:color w:val="000000"/>
                <w:sz w:val="18"/>
                <w:szCs w:val="18"/>
              </w:rPr>
            </w:pPr>
            <w:r>
              <w:rPr>
                <w:color w:val="000000"/>
                <w:sz w:val="18"/>
                <w:szCs w:val="18"/>
              </w:rPr>
              <w:t>CTEH</w:t>
            </w:r>
          </w:p>
        </w:tc>
        <w:tc>
          <w:tcPr>
            <w:tcW w:w="44" w:type="pct"/>
            <w:shd w:val="clear" w:color="auto" w:fill="CFF0FC"/>
            <w:tcMar>
              <w:top w:w="15" w:type="dxa"/>
              <w:left w:w="0" w:type="dxa"/>
              <w:bottom w:w="0" w:type="dxa"/>
              <w:right w:w="15" w:type="dxa"/>
            </w:tcMar>
            <w:vAlign w:val="bottom"/>
            <w:hideMark/>
          </w:tcPr>
          <w:p w14:paraId="137D2B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F9E13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64425C37" w14:textId="77777777" w:rsidR="00000000" w:rsidRDefault="00582324">
            <w:pPr>
              <w:pStyle w:val="a3"/>
              <w:spacing w:before="0" w:beforeAutospacing="0" w:after="0" w:afterAutospacing="0"/>
              <w:jc w:val="right"/>
              <w:rPr>
                <w:color w:val="000000"/>
                <w:sz w:val="18"/>
                <w:szCs w:val="18"/>
              </w:rPr>
            </w:pPr>
            <w:r>
              <w:rPr>
                <w:color w:val="000000"/>
                <w:sz w:val="18"/>
                <w:szCs w:val="18"/>
              </w:rPr>
              <w:t>175,000</w:t>
            </w:r>
          </w:p>
        </w:tc>
        <w:tc>
          <w:tcPr>
            <w:tcW w:w="50" w:type="pct"/>
            <w:shd w:val="clear" w:color="auto" w:fill="CFF0FC"/>
            <w:noWrap/>
            <w:tcMar>
              <w:top w:w="15" w:type="dxa"/>
              <w:left w:w="0" w:type="dxa"/>
              <w:bottom w:w="0" w:type="dxa"/>
              <w:right w:w="15" w:type="dxa"/>
            </w:tcMar>
            <w:vAlign w:val="bottom"/>
            <w:hideMark/>
          </w:tcPr>
          <w:p w14:paraId="60D884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D5720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7A921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7343BFFE"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CFF0FC"/>
            <w:noWrap/>
            <w:tcMar>
              <w:top w:w="15" w:type="dxa"/>
              <w:left w:w="0" w:type="dxa"/>
              <w:bottom w:w="0" w:type="dxa"/>
              <w:right w:w="15" w:type="dxa"/>
            </w:tcMar>
            <w:vAlign w:val="bottom"/>
            <w:hideMark/>
          </w:tcPr>
          <w:p w14:paraId="092957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20431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FB18A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4CEC8452" w14:textId="77777777" w:rsidR="00000000" w:rsidRDefault="00582324">
            <w:pPr>
              <w:pStyle w:val="a3"/>
              <w:spacing w:before="0" w:beforeAutospacing="0" w:after="0" w:afterAutospacing="0"/>
              <w:jc w:val="right"/>
              <w:rPr>
                <w:color w:val="000000"/>
                <w:sz w:val="18"/>
                <w:szCs w:val="18"/>
              </w:rPr>
            </w:pPr>
            <w:r>
              <w:rPr>
                <w:color w:val="000000"/>
                <w:sz w:val="18"/>
                <w:szCs w:val="18"/>
              </w:rPr>
              <w:t>(1,939</w:t>
            </w:r>
          </w:p>
        </w:tc>
        <w:tc>
          <w:tcPr>
            <w:tcW w:w="50" w:type="pct"/>
            <w:shd w:val="clear" w:color="auto" w:fill="CFF0FC"/>
            <w:noWrap/>
            <w:tcMar>
              <w:top w:w="15" w:type="dxa"/>
              <w:left w:w="0" w:type="dxa"/>
              <w:bottom w:w="0" w:type="dxa"/>
              <w:right w:w="15" w:type="dxa"/>
            </w:tcMar>
            <w:vAlign w:val="bottom"/>
            <w:hideMark/>
          </w:tcPr>
          <w:p w14:paraId="289D219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2F1E9B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51FAB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180D24B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B4644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1B3D3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C9FB8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41C2A363" w14:textId="77777777" w:rsidR="00000000" w:rsidRDefault="00582324">
            <w:pPr>
              <w:pStyle w:val="a3"/>
              <w:spacing w:before="0" w:beforeAutospacing="0" w:after="0" w:afterAutospacing="0"/>
              <w:jc w:val="right"/>
              <w:rPr>
                <w:color w:val="000000"/>
                <w:sz w:val="18"/>
                <w:szCs w:val="18"/>
              </w:rPr>
            </w:pPr>
            <w:r>
              <w:rPr>
                <w:color w:val="000000"/>
                <w:sz w:val="18"/>
                <w:szCs w:val="18"/>
              </w:rPr>
              <w:t>34,451</w:t>
            </w:r>
          </w:p>
        </w:tc>
        <w:tc>
          <w:tcPr>
            <w:tcW w:w="50" w:type="pct"/>
            <w:shd w:val="clear" w:color="auto" w:fill="CFF0FC"/>
            <w:noWrap/>
            <w:tcMar>
              <w:top w:w="15" w:type="dxa"/>
              <w:left w:w="0" w:type="dxa"/>
              <w:bottom w:w="0" w:type="dxa"/>
              <w:right w:w="15" w:type="dxa"/>
            </w:tcMar>
            <w:vAlign w:val="bottom"/>
            <w:hideMark/>
          </w:tcPr>
          <w:p w14:paraId="6302DB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FB6B1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C50CB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08849FF8" w14:textId="77777777" w:rsidR="00000000" w:rsidRDefault="00582324">
            <w:pPr>
              <w:pStyle w:val="a3"/>
              <w:spacing w:before="0" w:beforeAutospacing="0" w:after="0" w:afterAutospacing="0"/>
              <w:jc w:val="right"/>
              <w:rPr>
                <w:color w:val="000000"/>
                <w:sz w:val="18"/>
                <w:szCs w:val="18"/>
              </w:rPr>
            </w:pPr>
            <w:r>
              <w:rPr>
                <w:color w:val="000000"/>
                <w:sz w:val="18"/>
                <w:szCs w:val="18"/>
              </w:rPr>
              <w:t>10,543</w:t>
            </w:r>
          </w:p>
        </w:tc>
        <w:tc>
          <w:tcPr>
            <w:tcW w:w="50" w:type="pct"/>
            <w:shd w:val="clear" w:color="auto" w:fill="CFF0FC"/>
            <w:noWrap/>
            <w:tcMar>
              <w:top w:w="15" w:type="dxa"/>
              <w:left w:w="0" w:type="dxa"/>
              <w:bottom w:w="0" w:type="dxa"/>
              <w:right w:w="15" w:type="dxa"/>
            </w:tcMar>
            <w:vAlign w:val="bottom"/>
            <w:hideMark/>
          </w:tcPr>
          <w:p w14:paraId="62F9B3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06352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573C1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14:paraId="36A81159" w14:textId="77777777" w:rsidR="00000000" w:rsidRDefault="00582324">
            <w:pPr>
              <w:pStyle w:val="a3"/>
              <w:spacing w:before="0" w:beforeAutospacing="0" w:after="0" w:afterAutospacing="0"/>
              <w:jc w:val="right"/>
              <w:rPr>
                <w:color w:val="000000"/>
                <w:sz w:val="18"/>
                <w:szCs w:val="18"/>
              </w:rPr>
            </w:pPr>
            <w:r>
              <w:rPr>
                <w:color w:val="000000"/>
                <w:sz w:val="18"/>
                <w:szCs w:val="18"/>
              </w:rPr>
              <w:t>243,055</w:t>
            </w:r>
          </w:p>
        </w:tc>
        <w:tc>
          <w:tcPr>
            <w:tcW w:w="50" w:type="pct"/>
            <w:shd w:val="clear" w:color="auto" w:fill="CFF0FC"/>
            <w:noWrap/>
            <w:tcMar>
              <w:top w:w="15" w:type="dxa"/>
              <w:left w:w="0" w:type="dxa"/>
              <w:bottom w:w="0" w:type="dxa"/>
              <w:right w:w="15" w:type="dxa"/>
            </w:tcMar>
            <w:vAlign w:val="bottom"/>
            <w:hideMark/>
          </w:tcPr>
          <w:p w14:paraId="68AE4D8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213E28CA" w14:textId="77777777">
        <w:trPr>
          <w:divId w:val="1779135025"/>
        </w:trPr>
        <w:tc>
          <w:tcPr>
            <w:tcW w:w="1834" w:type="pct"/>
            <w:shd w:val="clear" w:color="auto" w:fill="FFFFFF"/>
            <w:tcMar>
              <w:top w:w="15" w:type="dxa"/>
              <w:left w:w="0" w:type="dxa"/>
              <w:bottom w:w="0" w:type="dxa"/>
              <w:right w:w="15" w:type="dxa"/>
            </w:tcMar>
            <w:hideMark/>
          </w:tcPr>
          <w:p w14:paraId="19DCBD46" w14:textId="77777777" w:rsidR="00000000" w:rsidRDefault="00582324">
            <w:pPr>
              <w:pStyle w:val="a3"/>
              <w:spacing w:before="0" w:beforeAutospacing="0" w:after="0" w:afterAutospacing="0"/>
              <w:rPr>
                <w:color w:val="000000"/>
                <w:sz w:val="18"/>
                <w:szCs w:val="18"/>
              </w:rPr>
            </w:pPr>
            <w:r>
              <w:rPr>
                <w:color w:val="000000"/>
                <w:sz w:val="18"/>
                <w:szCs w:val="18"/>
              </w:rPr>
              <w:t>Other acquisitions</w:t>
            </w:r>
          </w:p>
        </w:tc>
        <w:tc>
          <w:tcPr>
            <w:tcW w:w="44" w:type="pct"/>
            <w:shd w:val="clear" w:color="auto" w:fill="FFFFFF"/>
            <w:tcMar>
              <w:top w:w="15" w:type="dxa"/>
              <w:left w:w="0" w:type="dxa"/>
              <w:bottom w:w="0" w:type="dxa"/>
              <w:right w:w="15" w:type="dxa"/>
            </w:tcMar>
            <w:vAlign w:val="bottom"/>
            <w:hideMark/>
          </w:tcPr>
          <w:p w14:paraId="4455F3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5B56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3B125F97" w14:textId="77777777" w:rsidR="00000000" w:rsidRDefault="00582324">
            <w:pPr>
              <w:pStyle w:val="a3"/>
              <w:spacing w:before="0" w:beforeAutospacing="0" w:after="0" w:afterAutospacing="0"/>
              <w:jc w:val="right"/>
              <w:rPr>
                <w:color w:val="000000"/>
                <w:sz w:val="18"/>
                <w:szCs w:val="18"/>
              </w:rPr>
            </w:pPr>
            <w:r>
              <w:rPr>
                <w:color w:val="000000"/>
                <w:sz w:val="18"/>
                <w:szCs w:val="18"/>
              </w:rPr>
              <w:t>450</w:t>
            </w:r>
          </w:p>
        </w:tc>
        <w:tc>
          <w:tcPr>
            <w:tcW w:w="50" w:type="pct"/>
            <w:shd w:val="clear" w:color="auto" w:fill="FFFFFF"/>
            <w:noWrap/>
            <w:tcMar>
              <w:top w:w="15" w:type="dxa"/>
              <w:left w:w="0" w:type="dxa"/>
              <w:bottom w:w="0" w:type="dxa"/>
              <w:right w:w="15" w:type="dxa"/>
            </w:tcMar>
            <w:vAlign w:val="bottom"/>
            <w:hideMark/>
          </w:tcPr>
          <w:p w14:paraId="4AE9FD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DB6675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9A727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0CA8401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DAF0B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2F468A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0476E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0F6BEB03"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FFFFFF"/>
            <w:noWrap/>
            <w:tcMar>
              <w:top w:w="15" w:type="dxa"/>
              <w:left w:w="0" w:type="dxa"/>
              <w:bottom w:w="0" w:type="dxa"/>
              <w:right w:w="15" w:type="dxa"/>
            </w:tcMar>
            <w:vAlign w:val="bottom"/>
            <w:hideMark/>
          </w:tcPr>
          <w:p w14:paraId="3A2381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F26E4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1C4E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63099426" w14:textId="77777777" w:rsidR="00000000" w:rsidRDefault="00582324">
            <w:pPr>
              <w:pStyle w:val="a3"/>
              <w:spacing w:before="0" w:beforeAutospacing="0" w:after="0" w:afterAutospacing="0"/>
              <w:jc w:val="right"/>
              <w:rPr>
                <w:color w:val="000000"/>
                <w:sz w:val="18"/>
                <w:szCs w:val="18"/>
              </w:rPr>
            </w:pPr>
            <w:r>
              <w:rPr>
                <w:color w:val="000000"/>
                <w:sz w:val="18"/>
                <w:szCs w:val="18"/>
              </w:rPr>
              <w:t>100</w:t>
            </w:r>
          </w:p>
        </w:tc>
        <w:tc>
          <w:tcPr>
            <w:tcW w:w="50" w:type="pct"/>
            <w:shd w:val="clear" w:color="auto" w:fill="FFFFFF"/>
            <w:noWrap/>
            <w:tcMar>
              <w:top w:w="15" w:type="dxa"/>
              <w:left w:w="0" w:type="dxa"/>
              <w:bottom w:w="0" w:type="dxa"/>
              <w:right w:w="15" w:type="dxa"/>
            </w:tcMar>
            <w:vAlign w:val="bottom"/>
            <w:hideMark/>
          </w:tcPr>
          <w:p w14:paraId="018574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7CADF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E82A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31C4F084" w14:textId="77777777" w:rsidR="00000000" w:rsidRDefault="00582324">
            <w:pPr>
              <w:pStyle w:val="a3"/>
              <w:spacing w:before="0" w:beforeAutospacing="0" w:after="0" w:afterAutospacing="0"/>
              <w:jc w:val="right"/>
              <w:rPr>
                <w:color w:val="000000"/>
                <w:sz w:val="18"/>
                <w:szCs w:val="18"/>
              </w:rPr>
            </w:pPr>
            <w:r>
              <w:rPr>
                <w:color w:val="000000"/>
                <w:sz w:val="18"/>
                <w:szCs w:val="18"/>
              </w:rPr>
              <w:t>210</w:t>
            </w:r>
          </w:p>
        </w:tc>
        <w:tc>
          <w:tcPr>
            <w:tcW w:w="50" w:type="pct"/>
            <w:shd w:val="clear" w:color="auto" w:fill="FFFFFF"/>
            <w:noWrap/>
            <w:tcMar>
              <w:top w:w="15" w:type="dxa"/>
              <w:left w:w="0" w:type="dxa"/>
              <w:bottom w:w="0" w:type="dxa"/>
              <w:right w:w="15" w:type="dxa"/>
            </w:tcMar>
            <w:vAlign w:val="bottom"/>
            <w:hideMark/>
          </w:tcPr>
          <w:p w14:paraId="6B4BC6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51B5D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D22A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3AA95F0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EAFAF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4F8AC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0676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14:paraId="39EB591E" w14:textId="77777777" w:rsidR="00000000" w:rsidRDefault="00582324">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FFFFFF"/>
            <w:noWrap/>
            <w:tcMar>
              <w:top w:w="15" w:type="dxa"/>
              <w:left w:w="0" w:type="dxa"/>
              <w:bottom w:w="0" w:type="dxa"/>
              <w:right w:w="15" w:type="dxa"/>
            </w:tcMar>
            <w:vAlign w:val="bottom"/>
            <w:hideMark/>
          </w:tcPr>
          <w:p w14:paraId="14C6949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3EC3EFF5" w14:textId="77777777">
        <w:trPr>
          <w:divId w:val="1779135025"/>
        </w:trPr>
        <w:tc>
          <w:tcPr>
            <w:tcW w:w="1834" w:type="pct"/>
            <w:shd w:val="clear" w:color="auto" w:fill="CFF0FC"/>
            <w:tcMar>
              <w:top w:w="15" w:type="dxa"/>
              <w:left w:w="0" w:type="dxa"/>
              <w:bottom w:w="0" w:type="dxa"/>
              <w:right w:w="15" w:type="dxa"/>
            </w:tcMar>
            <w:hideMark/>
          </w:tcPr>
          <w:p w14:paraId="68AF8401"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44" w:type="pct"/>
            <w:shd w:val="clear" w:color="auto" w:fill="CFF0FC"/>
            <w:tcMar>
              <w:top w:w="15" w:type="dxa"/>
              <w:left w:w="0" w:type="dxa"/>
              <w:bottom w:w="0" w:type="dxa"/>
              <w:right w:w="15" w:type="dxa"/>
            </w:tcMar>
            <w:vAlign w:val="bottom"/>
            <w:hideMark/>
          </w:tcPr>
          <w:p w14:paraId="306804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74850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1FC86B" w14:textId="77777777" w:rsidR="00000000" w:rsidRDefault="00582324">
            <w:pPr>
              <w:pStyle w:val="a3"/>
              <w:spacing w:before="0" w:beforeAutospacing="0" w:after="0" w:afterAutospacing="0"/>
              <w:jc w:val="right"/>
              <w:rPr>
                <w:color w:val="000000"/>
                <w:sz w:val="18"/>
                <w:szCs w:val="18"/>
              </w:rPr>
            </w:pPr>
            <w:r>
              <w:rPr>
                <w:color w:val="000000"/>
                <w:sz w:val="18"/>
                <w:szCs w:val="18"/>
              </w:rPr>
              <w:t>175,450</w:t>
            </w:r>
          </w:p>
        </w:tc>
        <w:tc>
          <w:tcPr>
            <w:tcW w:w="50" w:type="pct"/>
            <w:shd w:val="clear" w:color="auto" w:fill="CFF0FC"/>
            <w:noWrap/>
            <w:tcMar>
              <w:top w:w="15" w:type="dxa"/>
              <w:left w:w="0" w:type="dxa"/>
              <w:bottom w:w="0" w:type="dxa"/>
              <w:right w:w="15" w:type="dxa"/>
            </w:tcMar>
            <w:vAlign w:val="bottom"/>
            <w:hideMark/>
          </w:tcPr>
          <w:p w14:paraId="74585B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CC6CA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5CE43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AC024D"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CFF0FC"/>
            <w:noWrap/>
            <w:tcMar>
              <w:top w:w="15" w:type="dxa"/>
              <w:left w:w="0" w:type="dxa"/>
              <w:bottom w:w="0" w:type="dxa"/>
              <w:right w:w="15" w:type="dxa"/>
            </w:tcMar>
            <w:vAlign w:val="bottom"/>
            <w:hideMark/>
          </w:tcPr>
          <w:p w14:paraId="48E102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B1FB5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8F4D6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9A061F" w14:textId="77777777" w:rsidR="00000000" w:rsidRDefault="00582324">
            <w:pPr>
              <w:pStyle w:val="a3"/>
              <w:spacing w:before="0" w:beforeAutospacing="0" w:after="0" w:afterAutospacing="0"/>
              <w:jc w:val="right"/>
              <w:rPr>
                <w:color w:val="000000"/>
                <w:sz w:val="18"/>
                <w:szCs w:val="18"/>
              </w:rPr>
            </w:pPr>
            <w:r>
              <w:rPr>
                <w:color w:val="000000"/>
                <w:sz w:val="18"/>
                <w:szCs w:val="18"/>
              </w:rPr>
              <w:t>(1,889</w:t>
            </w:r>
          </w:p>
        </w:tc>
        <w:tc>
          <w:tcPr>
            <w:tcW w:w="50" w:type="pct"/>
            <w:shd w:val="clear" w:color="auto" w:fill="CFF0FC"/>
            <w:noWrap/>
            <w:tcMar>
              <w:top w:w="15" w:type="dxa"/>
              <w:left w:w="0" w:type="dxa"/>
              <w:bottom w:w="0" w:type="dxa"/>
              <w:right w:w="15" w:type="dxa"/>
            </w:tcMar>
            <w:vAlign w:val="bottom"/>
            <w:hideMark/>
          </w:tcPr>
          <w:p w14:paraId="4DE99D9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164F8A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9008E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B31323" w14:textId="77777777" w:rsidR="00000000" w:rsidRDefault="00582324">
            <w:pPr>
              <w:pStyle w:val="a3"/>
              <w:spacing w:before="0" w:beforeAutospacing="0" w:after="0" w:afterAutospacing="0"/>
              <w:jc w:val="right"/>
              <w:rPr>
                <w:color w:val="000000"/>
                <w:sz w:val="18"/>
                <w:szCs w:val="18"/>
              </w:rPr>
            </w:pPr>
            <w:r>
              <w:rPr>
                <w:color w:val="000000"/>
                <w:sz w:val="18"/>
                <w:szCs w:val="18"/>
              </w:rPr>
              <w:t>100</w:t>
            </w:r>
          </w:p>
        </w:tc>
        <w:tc>
          <w:tcPr>
            <w:tcW w:w="50" w:type="pct"/>
            <w:shd w:val="clear" w:color="auto" w:fill="CFF0FC"/>
            <w:noWrap/>
            <w:tcMar>
              <w:top w:w="15" w:type="dxa"/>
              <w:left w:w="0" w:type="dxa"/>
              <w:bottom w:w="0" w:type="dxa"/>
              <w:right w:w="15" w:type="dxa"/>
            </w:tcMar>
            <w:vAlign w:val="bottom"/>
            <w:hideMark/>
          </w:tcPr>
          <w:p w14:paraId="04F1F1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50CC34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04AFD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D99374" w14:textId="77777777" w:rsidR="00000000" w:rsidRDefault="00582324">
            <w:pPr>
              <w:pStyle w:val="a3"/>
              <w:spacing w:before="0" w:beforeAutospacing="0" w:after="0" w:afterAutospacing="0"/>
              <w:jc w:val="right"/>
              <w:rPr>
                <w:color w:val="000000"/>
                <w:sz w:val="18"/>
                <w:szCs w:val="18"/>
              </w:rPr>
            </w:pPr>
            <w:r>
              <w:rPr>
                <w:color w:val="000000"/>
                <w:sz w:val="18"/>
                <w:szCs w:val="18"/>
              </w:rPr>
              <w:t>34,661</w:t>
            </w:r>
          </w:p>
        </w:tc>
        <w:tc>
          <w:tcPr>
            <w:tcW w:w="50" w:type="pct"/>
            <w:shd w:val="clear" w:color="auto" w:fill="CFF0FC"/>
            <w:noWrap/>
            <w:tcMar>
              <w:top w:w="15" w:type="dxa"/>
              <w:left w:w="0" w:type="dxa"/>
              <w:bottom w:w="0" w:type="dxa"/>
              <w:right w:w="15" w:type="dxa"/>
            </w:tcMar>
            <w:vAlign w:val="bottom"/>
            <w:hideMark/>
          </w:tcPr>
          <w:p w14:paraId="38FAC1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6E2F3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B6003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33A570" w14:textId="77777777" w:rsidR="00000000" w:rsidRDefault="00582324">
            <w:pPr>
              <w:pStyle w:val="a3"/>
              <w:spacing w:before="0" w:beforeAutospacing="0" w:after="0" w:afterAutospacing="0"/>
              <w:jc w:val="right"/>
              <w:rPr>
                <w:color w:val="000000"/>
                <w:sz w:val="18"/>
                <w:szCs w:val="18"/>
              </w:rPr>
            </w:pPr>
            <w:r>
              <w:rPr>
                <w:color w:val="000000"/>
                <w:sz w:val="18"/>
                <w:szCs w:val="18"/>
              </w:rPr>
              <w:t>10,543</w:t>
            </w:r>
          </w:p>
        </w:tc>
        <w:tc>
          <w:tcPr>
            <w:tcW w:w="50" w:type="pct"/>
            <w:shd w:val="clear" w:color="auto" w:fill="CFF0FC"/>
            <w:noWrap/>
            <w:tcMar>
              <w:top w:w="15" w:type="dxa"/>
              <w:left w:w="0" w:type="dxa"/>
              <w:bottom w:w="0" w:type="dxa"/>
              <w:right w:w="15" w:type="dxa"/>
            </w:tcMar>
            <w:vAlign w:val="bottom"/>
            <w:hideMark/>
          </w:tcPr>
          <w:p w14:paraId="785E70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5A1010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46E20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B59266A" w14:textId="77777777" w:rsidR="00000000" w:rsidRDefault="00582324">
            <w:pPr>
              <w:pStyle w:val="a3"/>
              <w:spacing w:before="0" w:beforeAutospacing="0" w:after="0" w:afterAutospacing="0"/>
              <w:jc w:val="right"/>
              <w:rPr>
                <w:color w:val="000000"/>
                <w:sz w:val="18"/>
                <w:szCs w:val="18"/>
              </w:rPr>
            </w:pPr>
            <w:r>
              <w:rPr>
                <w:color w:val="000000"/>
                <w:sz w:val="18"/>
                <w:szCs w:val="18"/>
              </w:rPr>
              <w:t>243,865</w:t>
            </w:r>
          </w:p>
        </w:tc>
        <w:tc>
          <w:tcPr>
            <w:tcW w:w="50" w:type="pct"/>
            <w:shd w:val="clear" w:color="auto" w:fill="CFF0FC"/>
            <w:noWrap/>
            <w:tcMar>
              <w:top w:w="15" w:type="dxa"/>
              <w:left w:w="0" w:type="dxa"/>
              <w:bottom w:w="0" w:type="dxa"/>
              <w:right w:w="15" w:type="dxa"/>
            </w:tcMar>
            <w:vAlign w:val="bottom"/>
            <w:hideMark/>
          </w:tcPr>
          <w:p w14:paraId="2623997C"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7DD94F8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4CD2A31"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The contingent consideration elements of the purchase price of the acquisitions are related to earn-outs which are based on the expected achievement of</w:t>
      </w:r>
      <w:r>
        <w:rPr>
          <w:color w:val="000000"/>
          <w:sz w:val="20"/>
          <w:szCs w:val="20"/>
        </w:rPr>
        <w:t xml:space="preserve"> revenue or earnings thresholds as of the date of the acquisition and for which the maximum potential amount is limited.</w:t>
      </w:r>
    </w:p>
    <w:p w14:paraId="1DD8512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CTEH first year earn-out was calculated at twelve times CTEH’s 2020 EBITDA (as defined in the purchase agreement) in excess of $18.</w:t>
      </w:r>
      <w:r>
        <w:rPr>
          <w:color w:val="000000"/>
          <w:sz w:val="20"/>
          <w:szCs w:val="20"/>
        </w:rPr>
        <w:t xml:space="preserve">3 million, with a maximum first year earn-out payment of $50.0 million, which was fully achieved. The second year earn-out is to be calculated at ten times CTEH’s 2021 EBITDA in excess of actual 2020 EBITDA (with actual 2020 EBITDA subject to a minimum of </w:t>
      </w:r>
      <w:r>
        <w:rPr>
          <w:color w:val="000000"/>
          <w:sz w:val="20"/>
          <w:szCs w:val="20"/>
        </w:rPr>
        <w:t xml:space="preserve">$18.3 million and a maximum of $22.5 million), with a maximum second year earn-out payment of $30.0 million. The 2020 earn-out was initially payable 100.0% in common stock, but as a result of the completion of the Company’s IPO (Note 1), 50.0% was payable </w:t>
      </w:r>
      <w:r>
        <w:rPr>
          <w:color w:val="000000"/>
          <w:sz w:val="20"/>
          <w:szCs w:val="20"/>
        </w:rPr>
        <w:t xml:space="preserve">in cash. In April 2021, the 2020 earn-out payment was made with 50.0% paid in cash and the remaining 50.0% paid in common stock of the Company (Notes 14 and 18). The 2021 earn-out, if any, is payable 100.0% in cash. </w:t>
      </w:r>
    </w:p>
    <w:p w14:paraId="0EAEE7BE" w14:textId="77777777" w:rsidR="00000000" w:rsidRDefault="00582324">
      <w:pPr>
        <w:pStyle w:val="a3"/>
        <w:spacing w:before="240" w:beforeAutospacing="0" w:after="0" w:afterAutospacing="0"/>
        <w:jc w:val="center"/>
        <w:rPr>
          <w:sz w:val="20"/>
          <w:szCs w:val="20"/>
        </w:rPr>
      </w:pPr>
      <w:r>
        <w:rPr>
          <w:sz w:val="20"/>
          <w:szCs w:val="20"/>
        </w:rPr>
        <w:t>13</w:t>
      </w:r>
    </w:p>
    <w:p w14:paraId="66FD26EF" w14:textId="77777777" w:rsidR="00000000" w:rsidRDefault="00582324">
      <w:pPr>
        <w:rPr>
          <w:rFonts w:eastAsia="Times New Roman"/>
        </w:rPr>
      </w:pPr>
      <w:r>
        <w:rPr>
          <w:rFonts w:eastAsia="Times New Roman"/>
        </w:rPr>
        <w:pict w14:anchorId="426F1E71">
          <v:rect id="_x0000_i1039" style="width:0;height:1.5pt" o:hralign="center" o:hrstd="t" o:hr="t" fillcolor="#a0a0a0" stroked="f"/>
        </w:pict>
      </w:r>
    </w:p>
    <w:p w14:paraId="18CB8089" w14:textId="77777777" w:rsidR="00000000" w:rsidRDefault="00582324">
      <w:pPr>
        <w:pStyle w:val="a3"/>
        <w:spacing w:before="0" w:beforeAutospacing="0" w:after="0" w:afterAutospacing="0"/>
        <w:rPr>
          <w:sz w:val="20"/>
          <w:szCs w:val="20"/>
        </w:rPr>
      </w:pPr>
      <w:r>
        <w:rPr>
          <w:sz w:val="20"/>
          <w:szCs w:val="20"/>
        </w:rPr>
        <w:t> </w:t>
      </w:r>
    </w:p>
    <w:p w14:paraId="520EB5DA" w14:textId="77777777" w:rsidR="00000000" w:rsidRDefault="00582324">
      <w:pPr>
        <w:pStyle w:val="a3"/>
        <w:spacing w:before="240" w:beforeAutospacing="0" w:after="0" w:afterAutospacing="0"/>
        <w:ind w:firstLine="416"/>
        <w:rPr>
          <w:color w:val="000000"/>
          <w:sz w:val="20"/>
          <w:szCs w:val="20"/>
        </w:rPr>
      </w:pPr>
      <w:r>
        <w:rPr>
          <w:color w:val="000000"/>
          <w:sz w:val="20"/>
          <w:szCs w:val="20"/>
        </w:rPr>
        <w:t>The purchase price attributable to the acquisitions was allocated as follows:</w:t>
      </w:r>
    </w:p>
    <w:p w14:paraId="19633ADF"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91"/>
        <w:gridCol w:w="60"/>
        <w:gridCol w:w="105"/>
        <w:gridCol w:w="673"/>
        <w:gridCol w:w="60"/>
        <w:gridCol w:w="60"/>
        <w:gridCol w:w="106"/>
        <w:gridCol w:w="883"/>
        <w:gridCol w:w="60"/>
        <w:gridCol w:w="60"/>
        <w:gridCol w:w="105"/>
        <w:gridCol w:w="622"/>
        <w:gridCol w:w="60"/>
      </w:tblGrid>
      <w:tr w:rsidR="00000000" w14:paraId="642753CE" w14:textId="77777777">
        <w:trPr>
          <w:divId w:val="1603803778"/>
        </w:trPr>
        <w:tc>
          <w:tcPr>
            <w:tcW w:w="2880" w:type="pct"/>
            <w:shd w:val="clear" w:color="auto" w:fill="FFFFFF"/>
            <w:tcMar>
              <w:top w:w="15" w:type="dxa"/>
              <w:left w:w="0" w:type="dxa"/>
              <w:bottom w:w="0" w:type="dxa"/>
              <w:right w:w="15" w:type="dxa"/>
            </w:tcMar>
            <w:vAlign w:val="bottom"/>
            <w:hideMark/>
          </w:tcPr>
          <w:p w14:paraId="0ED64C37" w14:textId="77777777" w:rsidR="00000000" w:rsidRDefault="00582324">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14:paraId="4E368D3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1DD4F39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CTEH</w:t>
            </w:r>
          </w:p>
        </w:tc>
        <w:tc>
          <w:tcPr>
            <w:tcW w:w="50" w:type="pct"/>
            <w:shd w:val="clear" w:color="auto" w:fill="FFFFFF"/>
            <w:noWrap/>
            <w:tcMar>
              <w:top w:w="15" w:type="dxa"/>
              <w:left w:w="0" w:type="dxa"/>
              <w:bottom w:w="0" w:type="dxa"/>
              <w:right w:w="15" w:type="dxa"/>
            </w:tcMar>
            <w:vAlign w:val="bottom"/>
            <w:hideMark/>
          </w:tcPr>
          <w:p w14:paraId="0D90C1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054B764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3B05581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 2020</w:t>
            </w:r>
          </w:p>
          <w:p w14:paraId="57120D9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Acquisitions</w:t>
            </w:r>
          </w:p>
        </w:tc>
        <w:tc>
          <w:tcPr>
            <w:tcW w:w="50" w:type="pct"/>
            <w:shd w:val="clear" w:color="auto" w:fill="FFFFFF"/>
            <w:noWrap/>
            <w:tcMar>
              <w:top w:w="15" w:type="dxa"/>
              <w:left w:w="0" w:type="dxa"/>
              <w:bottom w:w="0" w:type="dxa"/>
              <w:right w:w="15" w:type="dxa"/>
            </w:tcMar>
            <w:vAlign w:val="bottom"/>
            <w:hideMark/>
          </w:tcPr>
          <w:p w14:paraId="6AA0A83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3061DC3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14:paraId="354AC19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0FF2796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3137076" w14:textId="77777777">
        <w:trPr>
          <w:divId w:val="1603803778"/>
        </w:trPr>
        <w:tc>
          <w:tcPr>
            <w:tcW w:w="2880" w:type="pct"/>
            <w:shd w:val="clear" w:color="auto" w:fill="CFF0FC"/>
            <w:tcMar>
              <w:top w:w="15" w:type="dxa"/>
              <w:left w:w="0" w:type="dxa"/>
              <w:bottom w:w="0" w:type="dxa"/>
              <w:right w:w="15" w:type="dxa"/>
            </w:tcMar>
            <w:hideMark/>
          </w:tcPr>
          <w:p w14:paraId="53C6F04F" w14:textId="77777777" w:rsidR="00000000" w:rsidRDefault="00582324">
            <w:pPr>
              <w:pStyle w:val="a3"/>
              <w:spacing w:before="0" w:beforeAutospacing="0" w:after="0" w:afterAutospacing="0"/>
              <w:rPr>
                <w:color w:val="000000"/>
                <w:sz w:val="18"/>
                <w:szCs w:val="18"/>
              </w:rPr>
            </w:pPr>
            <w:r>
              <w:rPr>
                <w:color w:val="000000"/>
                <w:sz w:val="18"/>
                <w:szCs w:val="18"/>
              </w:rPr>
              <w:t>Cash</w:t>
            </w:r>
          </w:p>
        </w:tc>
        <w:tc>
          <w:tcPr>
            <w:tcW w:w="67" w:type="pct"/>
            <w:shd w:val="clear" w:color="auto" w:fill="CFF0FC"/>
            <w:tcMar>
              <w:top w:w="15" w:type="dxa"/>
              <w:left w:w="0" w:type="dxa"/>
              <w:bottom w:w="0" w:type="dxa"/>
              <w:right w:w="15" w:type="dxa"/>
            </w:tcMar>
            <w:vAlign w:val="bottom"/>
            <w:hideMark/>
          </w:tcPr>
          <w:p w14:paraId="11FDE4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3FB86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2B934EFF" w14:textId="77777777" w:rsidR="00000000" w:rsidRDefault="00582324">
            <w:pPr>
              <w:pStyle w:val="a3"/>
              <w:spacing w:before="0" w:beforeAutospacing="0" w:after="0" w:afterAutospacing="0"/>
              <w:jc w:val="right"/>
              <w:rPr>
                <w:color w:val="000000"/>
                <w:sz w:val="18"/>
                <w:szCs w:val="18"/>
              </w:rPr>
            </w:pPr>
            <w:r>
              <w:rPr>
                <w:color w:val="000000"/>
                <w:sz w:val="18"/>
                <w:szCs w:val="18"/>
              </w:rPr>
              <w:t>1,527</w:t>
            </w:r>
          </w:p>
        </w:tc>
        <w:tc>
          <w:tcPr>
            <w:tcW w:w="50" w:type="pct"/>
            <w:shd w:val="clear" w:color="auto" w:fill="CFF0FC"/>
            <w:noWrap/>
            <w:tcMar>
              <w:top w:w="15" w:type="dxa"/>
              <w:left w:w="0" w:type="dxa"/>
              <w:bottom w:w="0" w:type="dxa"/>
              <w:right w:w="15" w:type="dxa"/>
            </w:tcMar>
            <w:vAlign w:val="bottom"/>
            <w:hideMark/>
          </w:tcPr>
          <w:p w14:paraId="4D4A49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360019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DB126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3B5EDE8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18BAF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26D295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C56F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C4632C9" w14:textId="77777777" w:rsidR="00000000" w:rsidRDefault="00582324">
            <w:pPr>
              <w:pStyle w:val="a3"/>
              <w:spacing w:before="0" w:beforeAutospacing="0" w:after="0" w:afterAutospacing="0"/>
              <w:jc w:val="right"/>
              <w:rPr>
                <w:color w:val="000000"/>
                <w:sz w:val="18"/>
                <w:szCs w:val="18"/>
              </w:rPr>
            </w:pPr>
            <w:r>
              <w:rPr>
                <w:color w:val="000000"/>
                <w:sz w:val="18"/>
                <w:szCs w:val="18"/>
              </w:rPr>
              <w:t>1,527</w:t>
            </w:r>
          </w:p>
        </w:tc>
        <w:tc>
          <w:tcPr>
            <w:tcW w:w="50" w:type="pct"/>
            <w:shd w:val="clear" w:color="auto" w:fill="CFF0FC"/>
            <w:noWrap/>
            <w:tcMar>
              <w:top w:w="15" w:type="dxa"/>
              <w:left w:w="0" w:type="dxa"/>
              <w:bottom w:w="0" w:type="dxa"/>
              <w:right w:w="15" w:type="dxa"/>
            </w:tcMar>
            <w:vAlign w:val="bottom"/>
            <w:hideMark/>
          </w:tcPr>
          <w:p w14:paraId="5C17408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0E2C41D" w14:textId="77777777">
        <w:trPr>
          <w:divId w:val="1603803778"/>
        </w:trPr>
        <w:tc>
          <w:tcPr>
            <w:tcW w:w="2880" w:type="pct"/>
            <w:shd w:val="clear" w:color="auto" w:fill="FFFFFF"/>
            <w:tcMar>
              <w:top w:w="15" w:type="dxa"/>
              <w:left w:w="0" w:type="dxa"/>
              <w:bottom w:w="0" w:type="dxa"/>
              <w:right w:w="15" w:type="dxa"/>
            </w:tcMar>
            <w:hideMark/>
          </w:tcPr>
          <w:p w14:paraId="1BCE042F" w14:textId="77777777" w:rsidR="00000000" w:rsidRDefault="00582324">
            <w:pPr>
              <w:pStyle w:val="a3"/>
              <w:spacing w:before="0" w:beforeAutospacing="0" w:after="0" w:afterAutospacing="0"/>
              <w:rPr>
                <w:color w:val="000000"/>
                <w:sz w:val="18"/>
                <w:szCs w:val="18"/>
              </w:rPr>
            </w:pPr>
            <w:r>
              <w:rPr>
                <w:color w:val="000000"/>
                <w:sz w:val="18"/>
                <w:szCs w:val="18"/>
              </w:rPr>
              <w:t>Accounts receivable</w:t>
            </w:r>
          </w:p>
        </w:tc>
        <w:tc>
          <w:tcPr>
            <w:tcW w:w="67" w:type="pct"/>
            <w:shd w:val="clear" w:color="auto" w:fill="FFFFFF"/>
            <w:tcMar>
              <w:top w:w="15" w:type="dxa"/>
              <w:left w:w="0" w:type="dxa"/>
              <w:bottom w:w="0" w:type="dxa"/>
              <w:right w:w="15" w:type="dxa"/>
            </w:tcMar>
            <w:vAlign w:val="bottom"/>
            <w:hideMark/>
          </w:tcPr>
          <w:p w14:paraId="498344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D7D5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322B994B" w14:textId="77777777" w:rsidR="00000000" w:rsidRDefault="00582324">
            <w:pPr>
              <w:pStyle w:val="a3"/>
              <w:spacing w:before="0" w:beforeAutospacing="0" w:after="0" w:afterAutospacing="0"/>
              <w:jc w:val="right"/>
              <w:rPr>
                <w:color w:val="000000"/>
                <w:sz w:val="18"/>
                <w:szCs w:val="18"/>
              </w:rPr>
            </w:pPr>
            <w:r>
              <w:rPr>
                <w:color w:val="000000"/>
                <w:sz w:val="18"/>
                <w:szCs w:val="18"/>
              </w:rPr>
              <w:t>17,059</w:t>
            </w:r>
          </w:p>
        </w:tc>
        <w:tc>
          <w:tcPr>
            <w:tcW w:w="50" w:type="pct"/>
            <w:shd w:val="clear" w:color="auto" w:fill="FFFFFF"/>
            <w:noWrap/>
            <w:tcMar>
              <w:top w:w="15" w:type="dxa"/>
              <w:left w:w="0" w:type="dxa"/>
              <w:bottom w:w="0" w:type="dxa"/>
              <w:right w:w="15" w:type="dxa"/>
            </w:tcMar>
            <w:vAlign w:val="bottom"/>
            <w:hideMark/>
          </w:tcPr>
          <w:p w14:paraId="4DA4AC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417059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22BB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6590686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00355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4AEFF3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25136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30AC6F0F" w14:textId="77777777" w:rsidR="00000000" w:rsidRDefault="00582324">
            <w:pPr>
              <w:pStyle w:val="a3"/>
              <w:spacing w:before="0" w:beforeAutospacing="0" w:after="0" w:afterAutospacing="0"/>
              <w:jc w:val="right"/>
              <w:rPr>
                <w:color w:val="000000"/>
                <w:sz w:val="18"/>
                <w:szCs w:val="18"/>
              </w:rPr>
            </w:pPr>
            <w:r>
              <w:rPr>
                <w:color w:val="000000"/>
                <w:sz w:val="18"/>
                <w:szCs w:val="18"/>
              </w:rPr>
              <w:t>17,059</w:t>
            </w:r>
          </w:p>
        </w:tc>
        <w:tc>
          <w:tcPr>
            <w:tcW w:w="50" w:type="pct"/>
            <w:shd w:val="clear" w:color="auto" w:fill="FFFFFF"/>
            <w:noWrap/>
            <w:tcMar>
              <w:top w:w="15" w:type="dxa"/>
              <w:left w:w="0" w:type="dxa"/>
              <w:bottom w:w="0" w:type="dxa"/>
              <w:right w:w="15" w:type="dxa"/>
            </w:tcMar>
            <w:vAlign w:val="bottom"/>
            <w:hideMark/>
          </w:tcPr>
          <w:p w14:paraId="622D5A0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9009D50" w14:textId="77777777">
        <w:trPr>
          <w:divId w:val="1603803778"/>
        </w:trPr>
        <w:tc>
          <w:tcPr>
            <w:tcW w:w="2880" w:type="pct"/>
            <w:shd w:val="clear" w:color="auto" w:fill="CFF0FC"/>
            <w:tcMar>
              <w:top w:w="15" w:type="dxa"/>
              <w:left w:w="0" w:type="dxa"/>
              <w:bottom w:w="0" w:type="dxa"/>
              <w:right w:w="15" w:type="dxa"/>
            </w:tcMar>
            <w:hideMark/>
          </w:tcPr>
          <w:p w14:paraId="168A47A8" w14:textId="77777777" w:rsidR="00000000" w:rsidRDefault="00582324">
            <w:pPr>
              <w:pStyle w:val="a3"/>
              <w:spacing w:before="0" w:beforeAutospacing="0" w:after="0" w:afterAutospacing="0"/>
              <w:rPr>
                <w:color w:val="000000"/>
                <w:sz w:val="18"/>
                <w:szCs w:val="18"/>
              </w:rPr>
            </w:pPr>
            <w:r>
              <w:rPr>
                <w:color w:val="000000"/>
                <w:sz w:val="18"/>
                <w:szCs w:val="18"/>
              </w:rPr>
              <w:t>Other current assets</w:t>
            </w:r>
          </w:p>
        </w:tc>
        <w:tc>
          <w:tcPr>
            <w:tcW w:w="67" w:type="pct"/>
            <w:shd w:val="clear" w:color="auto" w:fill="CFF0FC"/>
            <w:tcMar>
              <w:top w:w="15" w:type="dxa"/>
              <w:left w:w="0" w:type="dxa"/>
              <w:bottom w:w="0" w:type="dxa"/>
              <w:right w:w="15" w:type="dxa"/>
            </w:tcMar>
            <w:vAlign w:val="bottom"/>
            <w:hideMark/>
          </w:tcPr>
          <w:p w14:paraId="51EBB7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EE42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017D0488" w14:textId="77777777" w:rsidR="00000000" w:rsidRDefault="00582324">
            <w:pPr>
              <w:pStyle w:val="a3"/>
              <w:spacing w:before="0" w:beforeAutospacing="0" w:after="0" w:afterAutospacing="0"/>
              <w:jc w:val="right"/>
              <w:rPr>
                <w:color w:val="000000"/>
                <w:sz w:val="18"/>
                <w:szCs w:val="18"/>
              </w:rPr>
            </w:pPr>
            <w:r>
              <w:rPr>
                <w:color w:val="000000"/>
                <w:sz w:val="18"/>
                <w:szCs w:val="18"/>
              </w:rPr>
              <w:t>1,265</w:t>
            </w:r>
          </w:p>
        </w:tc>
        <w:tc>
          <w:tcPr>
            <w:tcW w:w="50" w:type="pct"/>
            <w:shd w:val="clear" w:color="auto" w:fill="CFF0FC"/>
            <w:noWrap/>
            <w:tcMar>
              <w:top w:w="15" w:type="dxa"/>
              <w:left w:w="0" w:type="dxa"/>
              <w:bottom w:w="0" w:type="dxa"/>
              <w:right w:w="15" w:type="dxa"/>
            </w:tcMar>
            <w:vAlign w:val="bottom"/>
            <w:hideMark/>
          </w:tcPr>
          <w:p w14:paraId="342383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518960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409F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302206D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46C65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6D6BB2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AAC75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4DAF1AEB" w14:textId="77777777" w:rsidR="00000000" w:rsidRDefault="00582324">
            <w:pPr>
              <w:pStyle w:val="a3"/>
              <w:spacing w:before="0" w:beforeAutospacing="0" w:after="0" w:afterAutospacing="0"/>
              <w:jc w:val="right"/>
              <w:rPr>
                <w:color w:val="000000"/>
                <w:sz w:val="18"/>
                <w:szCs w:val="18"/>
              </w:rPr>
            </w:pPr>
            <w:r>
              <w:rPr>
                <w:color w:val="000000"/>
                <w:sz w:val="18"/>
                <w:szCs w:val="18"/>
              </w:rPr>
              <w:t>1,265</w:t>
            </w:r>
          </w:p>
        </w:tc>
        <w:tc>
          <w:tcPr>
            <w:tcW w:w="50" w:type="pct"/>
            <w:shd w:val="clear" w:color="auto" w:fill="CFF0FC"/>
            <w:noWrap/>
            <w:tcMar>
              <w:top w:w="15" w:type="dxa"/>
              <w:left w:w="0" w:type="dxa"/>
              <w:bottom w:w="0" w:type="dxa"/>
              <w:right w:w="15" w:type="dxa"/>
            </w:tcMar>
            <w:vAlign w:val="bottom"/>
            <w:hideMark/>
          </w:tcPr>
          <w:p w14:paraId="51A884E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249F9E4" w14:textId="77777777">
        <w:trPr>
          <w:divId w:val="1603803778"/>
        </w:trPr>
        <w:tc>
          <w:tcPr>
            <w:tcW w:w="2880" w:type="pct"/>
            <w:shd w:val="clear" w:color="auto" w:fill="FFFFFF"/>
            <w:tcMar>
              <w:top w:w="15" w:type="dxa"/>
              <w:left w:w="0" w:type="dxa"/>
              <w:bottom w:w="0" w:type="dxa"/>
              <w:right w:w="15" w:type="dxa"/>
            </w:tcMar>
            <w:hideMark/>
          </w:tcPr>
          <w:p w14:paraId="379FF3C2" w14:textId="77777777" w:rsidR="00000000" w:rsidRDefault="00582324">
            <w:pPr>
              <w:pStyle w:val="a3"/>
              <w:spacing w:before="0" w:beforeAutospacing="0" w:after="0" w:afterAutospacing="0"/>
              <w:ind w:left="274"/>
              <w:rPr>
                <w:color w:val="000000"/>
                <w:sz w:val="18"/>
                <w:szCs w:val="18"/>
              </w:rPr>
            </w:pPr>
            <w:r>
              <w:rPr>
                <w:color w:val="000000"/>
                <w:sz w:val="18"/>
                <w:szCs w:val="18"/>
              </w:rPr>
              <w:t>Current assets</w:t>
            </w:r>
          </w:p>
        </w:tc>
        <w:tc>
          <w:tcPr>
            <w:tcW w:w="67" w:type="pct"/>
            <w:shd w:val="clear" w:color="auto" w:fill="FFFFFF"/>
            <w:tcMar>
              <w:top w:w="15" w:type="dxa"/>
              <w:left w:w="0" w:type="dxa"/>
              <w:bottom w:w="0" w:type="dxa"/>
              <w:right w:w="15" w:type="dxa"/>
            </w:tcMar>
            <w:vAlign w:val="bottom"/>
            <w:hideMark/>
          </w:tcPr>
          <w:p w14:paraId="0E5730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1E581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1C9D18D9" w14:textId="77777777" w:rsidR="00000000" w:rsidRDefault="00582324">
            <w:pPr>
              <w:pStyle w:val="a3"/>
              <w:spacing w:before="0" w:beforeAutospacing="0" w:after="0" w:afterAutospacing="0"/>
              <w:jc w:val="right"/>
              <w:rPr>
                <w:color w:val="000000"/>
                <w:sz w:val="18"/>
                <w:szCs w:val="18"/>
              </w:rPr>
            </w:pPr>
            <w:r>
              <w:rPr>
                <w:color w:val="000000"/>
                <w:sz w:val="18"/>
                <w:szCs w:val="18"/>
              </w:rPr>
              <w:t>19,851</w:t>
            </w:r>
          </w:p>
        </w:tc>
        <w:tc>
          <w:tcPr>
            <w:tcW w:w="50" w:type="pct"/>
            <w:shd w:val="clear" w:color="auto" w:fill="FFFFFF"/>
            <w:noWrap/>
            <w:tcMar>
              <w:top w:w="15" w:type="dxa"/>
              <w:left w:w="0" w:type="dxa"/>
              <w:bottom w:w="0" w:type="dxa"/>
              <w:right w:w="15" w:type="dxa"/>
            </w:tcMar>
            <w:vAlign w:val="bottom"/>
            <w:hideMark/>
          </w:tcPr>
          <w:p w14:paraId="51CEFC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0CA9241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FD97E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65DFD4F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6FA5D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DD37A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50D88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432F51D0" w14:textId="77777777" w:rsidR="00000000" w:rsidRDefault="00582324">
            <w:pPr>
              <w:pStyle w:val="a3"/>
              <w:spacing w:before="0" w:beforeAutospacing="0" w:after="0" w:afterAutospacing="0"/>
              <w:jc w:val="right"/>
              <w:rPr>
                <w:color w:val="000000"/>
                <w:sz w:val="18"/>
                <w:szCs w:val="18"/>
              </w:rPr>
            </w:pPr>
            <w:r>
              <w:rPr>
                <w:color w:val="000000"/>
                <w:sz w:val="18"/>
                <w:szCs w:val="18"/>
              </w:rPr>
              <w:t>19,851</w:t>
            </w:r>
          </w:p>
        </w:tc>
        <w:tc>
          <w:tcPr>
            <w:tcW w:w="50" w:type="pct"/>
            <w:shd w:val="clear" w:color="auto" w:fill="FFFFFF"/>
            <w:noWrap/>
            <w:tcMar>
              <w:top w:w="15" w:type="dxa"/>
              <w:left w:w="0" w:type="dxa"/>
              <w:bottom w:w="0" w:type="dxa"/>
              <w:right w:w="15" w:type="dxa"/>
            </w:tcMar>
            <w:vAlign w:val="bottom"/>
            <w:hideMark/>
          </w:tcPr>
          <w:p w14:paraId="09627C5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413E054" w14:textId="77777777">
        <w:trPr>
          <w:divId w:val="1603803778"/>
        </w:trPr>
        <w:tc>
          <w:tcPr>
            <w:tcW w:w="2880" w:type="pct"/>
            <w:shd w:val="clear" w:color="auto" w:fill="CFF0FC"/>
            <w:tcMar>
              <w:top w:w="15" w:type="dxa"/>
              <w:left w:w="0" w:type="dxa"/>
              <w:bottom w:w="0" w:type="dxa"/>
              <w:right w:w="15" w:type="dxa"/>
            </w:tcMar>
            <w:hideMark/>
          </w:tcPr>
          <w:p w14:paraId="0B046E35" w14:textId="77777777" w:rsidR="00000000" w:rsidRDefault="00582324">
            <w:pPr>
              <w:pStyle w:val="a3"/>
              <w:spacing w:before="0" w:beforeAutospacing="0" w:after="0" w:afterAutospacing="0"/>
              <w:rPr>
                <w:color w:val="000000"/>
                <w:sz w:val="18"/>
                <w:szCs w:val="18"/>
              </w:rPr>
            </w:pPr>
            <w:r>
              <w:rPr>
                <w:color w:val="000000"/>
                <w:sz w:val="18"/>
                <w:szCs w:val="18"/>
              </w:rPr>
              <w:t>Property and equipment</w:t>
            </w:r>
          </w:p>
        </w:tc>
        <w:tc>
          <w:tcPr>
            <w:tcW w:w="67" w:type="pct"/>
            <w:shd w:val="clear" w:color="auto" w:fill="CFF0FC"/>
            <w:tcMar>
              <w:top w:w="15" w:type="dxa"/>
              <w:left w:w="0" w:type="dxa"/>
              <w:bottom w:w="0" w:type="dxa"/>
              <w:right w:w="15" w:type="dxa"/>
            </w:tcMar>
            <w:vAlign w:val="bottom"/>
            <w:hideMark/>
          </w:tcPr>
          <w:p w14:paraId="44049A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AB09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FA644EA" w14:textId="77777777" w:rsidR="00000000" w:rsidRDefault="00582324">
            <w:pPr>
              <w:pStyle w:val="a3"/>
              <w:spacing w:before="0" w:beforeAutospacing="0" w:after="0" w:afterAutospacing="0"/>
              <w:jc w:val="right"/>
              <w:rPr>
                <w:color w:val="000000"/>
                <w:sz w:val="18"/>
                <w:szCs w:val="18"/>
              </w:rPr>
            </w:pPr>
            <w:r>
              <w:rPr>
                <w:color w:val="000000"/>
                <w:sz w:val="18"/>
                <w:szCs w:val="18"/>
              </w:rPr>
              <w:t>7,042</w:t>
            </w:r>
          </w:p>
        </w:tc>
        <w:tc>
          <w:tcPr>
            <w:tcW w:w="50" w:type="pct"/>
            <w:shd w:val="clear" w:color="auto" w:fill="CFF0FC"/>
            <w:noWrap/>
            <w:tcMar>
              <w:top w:w="15" w:type="dxa"/>
              <w:left w:w="0" w:type="dxa"/>
              <w:bottom w:w="0" w:type="dxa"/>
              <w:right w:w="15" w:type="dxa"/>
            </w:tcMar>
            <w:vAlign w:val="bottom"/>
            <w:hideMark/>
          </w:tcPr>
          <w:p w14:paraId="08AEB8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31F90F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D46C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0247E468" w14:textId="77777777" w:rsidR="00000000" w:rsidRDefault="00582324">
            <w:pPr>
              <w:pStyle w:val="a3"/>
              <w:spacing w:before="0" w:beforeAutospacing="0" w:after="0" w:afterAutospacing="0"/>
              <w:jc w:val="right"/>
              <w:rPr>
                <w:color w:val="000000"/>
                <w:sz w:val="18"/>
                <w:szCs w:val="18"/>
              </w:rPr>
            </w:pPr>
            <w:r>
              <w:rPr>
                <w:color w:val="000000"/>
                <w:sz w:val="18"/>
                <w:szCs w:val="18"/>
              </w:rPr>
              <w:t>75</w:t>
            </w:r>
          </w:p>
        </w:tc>
        <w:tc>
          <w:tcPr>
            <w:tcW w:w="50" w:type="pct"/>
            <w:shd w:val="clear" w:color="auto" w:fill="CFF0FC"/>
            <w:noWrap/>
            <w:tcMar>
              <w:top w:w="15" w:type="dxa"/>
              <w:left w:w="0" w:type="dxa"/>
              <w:bottom w:w="0" w:type="dxa"/>
              <w:right w:w="15" w:type="dxa"/>
            </w:tcMar>
            <w:vAlign w:val="bottom"/>
            <w:hideMark/>
          </w:tcPr>
          <w:p w14:paraId="1B1211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1F2D53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E328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2D89B5BF" w14:textId="77777777" w:rsidR="00000000" w:rsidRDefault="00582324">
            <w:pPr>
              <w:pStyle w:val="a3"/>
              <w:spacing w:before="0" w:beforeAutospacing="0" w:after="0" w:afterAutospacing="0"/>
              <w:jc w:val="right"/>
              <w:rPr>
                <w:color w:val="000000"/>
                <w:sz w:val="18"/>
                <w:szCs w:val="18"/>
              </w:rPr>
            </w:pPr>
            <w:r>
              <w:rPr>
                <w:color w:val="000000"/>
                <w:sz w:val="18"/>
                <w:szCs w:val="18"/>
              </w:rPr>
              <w:t>7,117</w:t>
            </w:r>
          </w:p>
        </w:tc>
        <w:tc>
          <w:tcPr>
            <w:tcW w:w="50" w:type="pct"/>
            <w:shd w:val="clear" w:color="auto" w:fill="CFF0FC"/>
            <w:noWrap/>
            <w:tcMar>
              <w:top w:w="15" w:type="dxa"/>
              <w:left w:w="0" w:type="dxa"/>
              <w:bottom w:w="0" w:type="dxa"/>
              <w:right w:w="15" w:type="dxa"/>
            </w:tcMar>
            <w:vAlign w:val="bottom"/>
            <w:hideMark/>
          </w:tcPr>
          <w:p w14:paraId="170E20F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43E3B3" w14:textId="77777777">
        <w:trPr>
          <w:divId w:val="1603803778"/>
        </w:trPr>
        <w:tc>
          <w:tcPr>
            <w:tcW w:w="2880" w:type="pct"/>
            <w:shd w:val="clear" w:color="auto" w:fill="FFFFFF"/>
            <w:tcMar>
              <w:top w:w="15" w:type="dxa"/>
              <w:left w:w="0" w:type="dxa"/>
              <w:bottom w:w="0" w:type="dxa"/>
              <w:right w:w="15" w:type="dxa"/>
            </w:tcMar>
            <w:hideMark/>
          </w:tcPr>
          <w:p w14:paraId="5991B142" w14:textId="77777777" w:rsidR="00000000" w:rsidRDefault="00582324">
            <w:pPr>
              <w:pStyle w:val="a3"/>
              <w:spacing w:before="0" w:beforeAutospacing="0" w:after="0" w:afterAutospacing="0"/>
              <w:rPr>
                <w:color w:val="000000"/>
                <w:sz w:val="18"/>
                <w:szCs w:val="18"/>
              </w:rPr>
            </w:pPr>
            <w:r>
              <w:rPr>
                <w:color w:val="000000"/>
                <w:sz w:val="18"/>
                <w:szCs w:val="18"/>
              </w:rPr>
              <w:t>Customer relationships</w:t>
            </w:r>
          </w:p>
        </w:tc>
        <w:tc>
          <w:tcPr>
            <w:tcW w:w="67" w:type="pct"/>
            <w:shd w:val="clear" w:color="auto" w:fill="FFFFFF"/>
            <w:tcMar>
              <w:top w:w="15" w:type="dxa"/>
              <w:left w:w="0" w:type="dxa"/>
              <w:bottom w:w="0" w:type="dxa"/>
              <w:right w:w="15" w:type="dxa"/>
            </w:tcMar>
            <w:vAlign w:val="bottom"/>
            <w:hideMark/>
          </w:tcPr>
          <w:p w14:paraId="454A1A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E3AA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2718613B" w14:textId="77777777" w:rsidR="00000000" w:rsidRDefault="00582324">
            <w:pPr>
              <w:pStyle w:val="a3"/>
              <w:spacing w:before="0" w:beforeAutospacing="0" w:after="0" w:afterAutospacing="0"/>
              <w:jc w:val="right"/>
              <w:rPr>
                <w:color w:val="000000"/>
                <w:sz w:val="18"/>
                <w:szCs w:val="18"/>
              </w:rPr>
            </w:pPr>
            <w:r>
              <w:rPr>
                <w:color w:val="000000"/>
                <w:sz w:val="18"/>
                <w:szCs w:val="18"/>
              </w:rPr>
              <w:t>56,000</w:t>
            </w:r>
          </w:p>
        </w:tc>
        <w:tc>
          <w:tcPr>
            <w:tcW w:w="50" w:type="pct"/>
            <w:shd w:val="clear" w:color="auto" w:fill="FFFFFF"/>
            <w:noWrap/>
            <w:tcMar>
              <w:top w:w="15" w:type="dxa"/>
              <w:left w:w="0" w:type="dxa"/>
              <w:bottom w:w="0" w:type="dxa"/>
              <w:right w:w="15" w:type="dxa"/>
            </w:tcMar>
            <w:vAlign w:val="bottom"/>
            <w:hideMark/>
          </w:tcPr>
          <w:p w14:paraId="6D56E3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397037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FDD1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444BE6A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EDC79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B2BF0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A3AE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057CB1BF" w14:textId="77777777" w:rsidR="00000000" w:rsidRDefault="00582324">
            <w:pPr>
              <w:pStyle w:val="a3"/>
              <w:spacing w:before="0" w:beforeAutospacing="0" w:after="0" w:afterAutospacing="0"/>
              <w:jc w:val="right"/>
              <w:rPr>
                <w:color w:val="000000"/>
                <w:sz w:val="18"/>
                <w:szCs w:val="18"/>
              </w:rPr>
            </w:pPr>
            <w:r>
              <w:rPr>
                <w:color w:val="000000"/>
                <w:sz w:val="18"/>
                <w:szCs w:val="18"/>
              </w:rPr>
              <w:t>56,000</w:t>
            </w:r>
          </w:p>
        </w:tc>
        <w:tc>
          <w:tcPr>
            <w:tcW w:w="50" w:type="pct"/>
            <w:shd w:val="clear" w:color="auto" w:fill="FFFFFF"/>
            <w:noWrap/>
            <w:tcMar>
              <w:top w:w="15" w:type="dxa"/>
              <w:left w:w="0" w:type="dxa"/>
              <w:bottom w:w="0" w:type="dxa"/>
              <w:right w:w="15" w:type="dxa"/>
            </w:tcMar>
            <w:vAlign w:val="bottom"/>
            <w:hideMark/>
          </w:tcPr>
          <w:p w14:paraId="1BBBA8B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51ABD83" w14:textId="77777777">
        <w:trPr>
          <w:divId w:val="1603803778"/>
        </w:trPr>
        <w:tc>
          <w:tcPr>
            <w:tcW w:w="2880" w:type="pct"/>
            <w:shd w:val="clear" w:color="auto" w:fill="CFF0FC"/>
            <w:tcMar>
              <w:top w:w="15" w:type="dxa"/>
              <w:left w:w="0" w:type="dxa"/>
              <w:bottom w:w="0" w:type="dxa"/>
              <w:right w:w="15" w:type="dxa"/>
            </w:tcMar>
            <w:hideMark/>
          </w:tcPr>
          <w:p w14:paraId="0C83097F" w14:textId="77777777" w:rsidR="00000000" w:rsidRDefault="00582324">
            <w:pPr>
              <w:pStyle w:val="a3"/>
              <w:spacing w:before="0" w:beforeAutospacing="0" w:after="0" w:afterAutospacing="0"/>
              <w:rPr>
                <w:color w:val="000000"/>
                <w:sz w:val="18"/>
                <w:szCs w:val="18"/>
              </w:rPr>
            </w:pPr>
            <w:r>
              <w:rPr>
                <w:color w:val="000000"/>
                <w:sz w:val="18"/>
                <w:szCs w:val="18"/>
              </w:rPr>
              <w:t>Trade names</w:t>
            </w:r>
          </w:p>
        </w:tc>
        <w:tc>
          <w:tcPr>
            <w:tcW w:w="67" w:type="pct"/>
            <w:shd w:val="clear" w:color="auto" w:fill="CFF0FC"/>
            <w:tcMar>
              <w:top w:w="15" w:type="dxa"/>
              <w:left w:w="0" w:type="dxa"/>
              <w:bottom w:w="0" w:type="dxa"/>
              <w:right w:w="15" w:type="dxa"/>
            </w:tcMar>
            <w:vAlign w:val="bottom"/>
            <w:hideMark/>
          </w:tcPr>
          <w:p w14:paraId="1A0FFA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1702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77CE178F" w14:textId="77777777" w:rsidR="00000000" w:rsidRDefault="00582324">
            <w:pPr>
              <w:pStyle w:val="a3"/>
              <w:spacing w:before="0" w:beforeAutospacing="0" w:after="0" w:afterAutospacing="0"/>
              <w:jc w:val="right"/>
              <w:rPr>
                <w:color w:val="000000"/>
                <w:sz w:val="18"/>
                <w:szCs w:val="18"/>
              </w:rPr>
            </w:pPr>
            <w:r>
              <w:rPr>
                <w:color w:val="000000"/>
                <w:sz w:val="18"/>
                <w:szCs w:val="18"/>
              </w:rPr>
              <w:t>4,200</w:t>
            </w:r>
          </w:p>
        </w:tc>
        <w:tc>
          <w:tcPr>
            <w:tcW w:w="50" w:type="pct"/>
            <w:shd w:val="clear" w:color="auto" w:fill="CFF0FC"/>
            <w:noWrap/>
            <w:tcMar>
              <w:top w:w="15" w:type="dxa"/>
              <w:left w:w="0" w:type="dxa"/>
              <w:bottom w:w="0" w:type="dxa"/>
              <w:right w:w="15" w:type="dxa"/>
            </w:tcMar>
            <w:vAlign w:val="bottom"/>
            <w:hideMark/>
          </w:tcPr>
          <w:p w14:paraId="386AC7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736332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F9692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0E7C45B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08BBA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1B712B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FAD3C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13E53BA7" w14:textId="77777777" w:rsidR="00000000" w:rsidRDefault="00582324">
            <w:pPr>
              <w:pStyle w:val="a3"/>
              <w:spacing w:before="0" w:beforeAutospacing="0" w:after="0" w:afterAutospacing="0"/>
              <w:jc w:val="right"/>
              <w:rPr>
                <w:color w:val="000000"/>
                <w:sz w:val="18"/>
                <w:szCs w:val="18"/>
              </w:rPr>
            </w:pPr>
            <w:r>
              <w:rPr>
                <w:color w:val="000000"/>
                <w:sz w:val="18"/>
                <w:szCs w:val="18"/>
              </w:rPr>
              <w:t>4,200</w:t>
            </w:r>
          </w:p>
        </w:tc>
        <w:tc>
          <w:tcPr>
            <w:tcW w:w="50" w:type="pct"/>
            <w:shd w:val="clear" w:color="auto" w:fill="CFF0FC"/>
            <w:noWrap/>
            <w:tcMar>
              <w:top w:w="15" w:type="dxa"/>
              <w:left w:w="0" w:type="dxa"/>
              <w:bottom w:w="0" w:type="dxa"/>
              <w:right w:w="15" w:type="dxa"/>
            </w:tcMar>
            <w:vAlign w:val="bottom"/>
            <w:hideMark/>
          </w:tcPr>
          <w:p w14:paraId="5C2E3E5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1B9DFF8" w14:textId="77777777">
        <w:trPr>
          <w:divId w:val="1603803778"/>
        </w:trPr>
        <w:tc>
          <w:tcPr>
            <w:tcW w:w="2880" w:type="pct"/>
            <w:shd w:val="clear" w:color="auto" w:fill="FFFFFF"/>
            <w:tcMar>
              <w:top w:w="15" w:type="dxa"/>
              <w:left w:w="0" w:type="dxa"/>
              <w:bottom w:w="0" w:type="dxa"/>
              <w:right w:w="15" w:type="dxa"/>
            </w:tcMar>
            <w:hideMark/>
          </w:tcPr>
          <w:p w14:paraId="1DE53AFC" w14:textId="77777777" w:rsidR="00000000" w:rsidRDefault="00582324">
            <w:pPr>
              <w:pStyle w:val="a3"/>
              <w:spacing w:before="0" w:beforeAutospacing="0" w:after="0" w:afterAutospacing="0"/>
              <w:rPr>
                <w:color w:val="000000"/>
                <w:sz w:val="18"/>
                <w:szCs w:val="18"/>
              </w:rPr>
            </w:pPr>
            <w:r>
              <w:rPr>
                <w:color w:val="000000"/>
                <w:sz w:val="18"/>
                <w:szCs w:val="18"/>
              </w:rPr>
              <w:t>Covenants not to compete</w:t>
            </w:r>
          </w:p>
        </w:tc>
        <w:tc>
          <w:tcPr>
            <w:tcW w:w="67" w:type="pct"/>
            <w:shd w:val="clear" w:color="auto" w:fill="FFFFFF"/>
            <w:tcMar>
              <w:top w:w="15" w:type="dxa"/>
              <w:left w:w="0" w:type="dxa"/>
              <w:bottom w:w="0" w:type="dxa"/>
              <w:right w:w="15" w:type="dxa"/>
            </w:tcMar>
            <w:vAlign w:val="bottom"/>
            <w:hideMark/>
          </w:tcPr>
          <w:p w14:paraId="7E149A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7FDE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F812EED" w14:textId="77777777" w:rsidR="00000000" w:rsidRDefault="00582324">
            <w:pPr>
              <w:pStyle w:val="a3"/>
              <w:spacing w:before="0" w:beforeAutospacing="0" w:after="0" w:afterAutospacing="0"/>
              <w:jc w:val="right"/>
              <w:rPr>
                <w:color w:val="000000"/>
                <w:sz w:val="18"/>
                <w:szCs w:val="18"/>
              </w:rPr>
            </w:pPr>
            <w:r>
              <w:rPr>
                <w:color w:val="000000"/>
                <w:sz w:val="18"/>
                <w:szCs w:val="18"/>
              </w:rPr>
              <w:t>4,000</w:t>
            </w:r>
          </w:p>
        </w:tc>
        <w:tc>
          <w:tcPr>
            <w:tcW w:w="50" w:type="pct"/>
            <w:shd w:val="clear" w:color="auto" w:fill="FFFFFF"/>
            <w:noWrap/>
            <w:tcMar>
              <w:top w:w="15" w:type="dxa"/>
              <w:left w:w="0" w:type="dxa"/>
              <w:bottom w:w="0" w:type="dxa"/>
              <w:right w:w="15" w:type="dxa"/>
            </w:tcMar>
            <w:vAlign w:val="bottom"/>
            <w:hideMark/>
          </w:tcPr>
          <w:p w14:paraId="19F248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ECFD5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3ACF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193CD744" w14:textId="77777777" w:rsidR="00000000" w:rsidRDefault="00582324">
            <w:pPr>
              <w:pStyle w:val="a3"/>
              <w:spacing w:before="0" w:beforeAutospacing="0" w:after="0" w:afterAutospacing="0"/>
              <w:jc w:val="right"/>
              <w:rPr>
                <w:color w:val="000000"/>
                <w:sz w:val="18"/>
                <w:szCs w:val="18"/>
              </w:rPr>
            </w:pPr>
            <w:r>
              <w:rPr>
                <w:color w:val="000000"/>
                <w:sz w:val="18"/>
                <w:szCs w:val="18"/>
              </w:rPr>
              <w:t>109</w:t>
            </w:r>
          </w:p>
        </w:tc>
        <w:tc>
          <w:tcPr>
            <w:tcW w:w="50" w:type="pct"/>
            <w:shd w:val="clear" w:color="auto" w:fill="FFFFFF"/>
            <w:noWrap/>
            <w:tcMar>
              <w:top w:w="15" w:type="dxa"/>
              <w:left w:w="0" w:type="dxa"/>
              <w:bottom w:w="0" w:type="dxa"/>
              <w:right w:w="15" w:type="dxa"/>
            </w:tcMar>
            <w:vAlign w:val="bottom"/>
            <w:hideMark/>
          </w:tcPr>
          <w:p w14:paraId="4E1B1B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010947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164A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5E262528" w14:textId="77777777" w:rsidR="00000000" w:rsidRDefault="00582324">
            <w:pPr>
              <w:pStyle w:val="a3"/>
              <w:spacing w:before="0" w:beforeAutospacing="0" w:after="0" w:afterAutospacing="0"/>
              <w:jc w:val="right"/>
              <w:rPr>
                <w:color w:val="000000"/>
                <w:sz w:val="18"/>
                <w:szCs w:val="18"/>
              </w:rPr>
            </w:pPr>
            <w:r>
              <w:rPr>
                <w:color w:val="000000"/>
                <w:sz w:val="18"/>
                <w:szCs w:val="18"/>
              </w:rPr>
              <w:t>4,109</w:t>
            </w:r>
          </w:p>
        </w:tc>
        <w:tc>
          <w:tcPr>
            <w:tcW w:w="50" w:type="pct"/>
            <w:shd w:val="clear" w:color="auto" w:fill="FFFFFF"/>
            <w:noWrap/>
            <w:tcMar>
              <w:top w:w="15" w:type="dxa"/>
              <w:left w:w="0" w:type="dxa"/>
              <w:bottom w:w="0" w:type="dxa"/>
              <w:right w:w="15" w:type="dxa"/>
            </w:tcMar>
            <w:vAlign w:val="bottom"/>
            <w:hideMark/>
          </w:tcPr>
          <w:p w14:paraId="786C670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0BCFF7C" w14:textId="77777777">
        <w:trPr>
          <w:divId w:val="1603803778"/>
        </w:trPr>
        <w:tc>
          <w:tcPr>
            <w:tcW w:w="2880" w:type="pct"/>
            <w:shd w:val="clear" w:color="auto" w:fill="CFF0FC"/>
            <w:tcMar>
              <w:top w:w="15" w:type="dxa"/>
              <w:left w:w="0" w:type="dxa"/>
              <w:bottom w:w="0" w:type="dxa"/>
              <w:right w:w="15" w:type="dxa"/>
            </w:tcMar>
            <w:hideMark/>
          </w:tcPr>
          <w:p w14:paraId="02D21852" w14:textId="77777777" w:rsidR="00000000" w:rsidRDefault="00582324">
            <w:pPr>
              <w:pStyle w:val="a3"/>
              <w:spacing w:before="0" w:beforeAutospacing="0" w:after="0" w:afterAutospacing="0"/>
              <w:rPr>
                <w:color w:val="000000"/>
                <w:sz w:val="18"/>
                <w:szCs w:val="18"/>
              </w:rPr>
            </w:pPr>
            <w:r>
              <w:rPr>
                <w:color w:val="000000"/>
                <w:sz w:val="18"/>
                <w:szCs w:val="18"/>
              </w:rPr>
              <w:t>Proprietary software</w:t>
            </w:r>
          </w:p>
        </w:tc>
        <w:tc>
          <w:tcPr>
            <w:tcW w:w="67" w:type="pct"/>
            <w:shd w:val="clear" w:color="auto" w:fill="CFF0FC"/>
            <w:tcMar>
              <w:top w:w="15" w:type="dxa"/>
              <w:left w:w="0" w:type="dxa"/>
              <w:bottom w:w="0" w:type="dxa"/>
              <w:right w:w="15" w:type="dxa"/>
            </w:tcMar>
            <w:vAlign w:val="bottom"/>
            <w:hideMark/>
          </w:tcPr>
          <w:p w14:paraId="50FBB2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2FE48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01E4634" w14:textId="77777777" w:rsidR="00000000" w:rsidRDefault="00582324">
            <w:pPr>
              <w:pStyle w:val="a3"/>
              <w:spacing w:before="0" w:beforeAutospacing="0" w:after="0" w:afterAutospacing="0"/>
              <w:jc w:val="right"/>
              <w:rPr>
                <w:color w:val="000000"/>
                <w:sz w:val="18"/>
                <w:szCs w:val="18"/>
              </w:rPr>
            </w:pPr>
            <w:r>
              <w:rPr>
                <w:color w:val="000000"/>
                <w:sz w:val="18"/>
                <w:szCs w:val="18"/>
              </w:rPr>
              <w:t>14,700</w:t>
            </w:r>
          </w:p>
        </w:tc>
        <w:tc>
          <w:tcPr>
            <w:tcW w:w="50" w:type="pct"/>
            <w:shd w:val="clear" w:color="auto" w:fill="CFF0FC"/>
            <w:noWrap/>
            <w:tcMar>
              <w:top w:w="15" w:type="dxa"/>
              <w:left w:w="0" w:type="dxa"/>
              <w:bottom w:w="0" w:type="dxa"/>
              <w:right w:w="15" w:type="dxa"/>
            </w:tcMar>
            <w:vAlign w:val="bottom"/>
            <w:hideMark/>
          </w:tcPr>
          <w:p w14:paraId="347816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7E145A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DB7A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17FA3CA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5F6D2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19088C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088F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7B6C6702" w14:textId="77777777" w:rsidR="00000000" w:rsidRDefault="00582324">
            <w:pPr>
              <w:pStyle w:val="a3"/>
              <w:spacing w:before="0" w:beforeAutospacing="0" w:after="0" w:afterAutospacing="0"/>
              <w:jc w:val="right"/>
              <w:rPr>
                <w:color w:val="000000"/>
                <w:sz w:val="18"/>
                <w:szCs w:val="18"/>
              </w:rPr>
            </w:pPr>
            <w:r>
              <w:rPr>
                <w:color w:val="000000"/>
                <w:sz w:val="18"/>
                <w:szCs w:val="18"/>
              </w:rPr>
              <w:t>14,700</w:t>
            </w:r>
          </w:p>
        </w:tc>
        <w:tc>
          <w:tcPr>
            <w:tcW w:w="50" w:type="pct"/>
            <w:shd w:val="clear" w:color="auto" w:fill="CFF0FC"/>
            <w:noWrap/>
            <w:tcMar>
              <w:top w:w="15" w:type="dxa"/>
              <w:left w:w="0" w:type="dxa"/>
              <w:bottom w:w="0" w:type="dxa"/>
              <w:right w:w="15" w:type="dxa"/>
            </w:tcMar>
            <w:vAlign w:val="bottom"/>
            <w:hideMark/>
          </w:tcPr>
          <w:p w14:paraId="08B8B32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C848166" w14:textId="77777777">
        <w:trPr>
          <w:divId w:val="1603803778"/>
        </w:trPr>
        <w:tc>
          <w:tcPr>
            <w:tcW w:w="2880" w:type="pct"/>
            <w:shd w:val="clear" w:color="auto" w:fill="FFFFFF"/>
            <w:tcMar>
              <w:top w:w="15" w:type="dxa"/>
              <w:left w:w="0" w:type="dxa"/>
              <w:bottom w:w="0" w:type="dxa"/>
              <w:right w:w="15" w:type="dxa"/>
            </w:tcMar>
            <w:hideMark/>
          </w:tcPr>
          <w:p w14:paraId="5DA2139C" w14:textId="77777777" w:rsidR="00000000" w:rsidRDefault="00582324">
            <w:pPr>
              <w:pStyle w:val="a3"/>
              <w:spacing w:before="0" w:beforeAutospacing="0" w:after="0" w:afterAutospacing="0"/>
              <w:rPr>
                <w:color w:val="000000"/>
                <w:sz w:val="18"/>
                <w:szCs w:val="18"/>
              </w:rPr>
            </w:pPr>
            <w:r>
              <w:rPr>
                <w:color w:val="000000"/>
                <w:sz w:val="18"/>
                <w:szCs w:val="18"/>
              </w:rPr>
              <w:t>Goodwill</w:t>
            </w:r>
          </w:p>
        </w:tc>
        <w:tc>
          <w:tcPr>
            <w:tcW w:w="67" w:type="pct"/>
            <w:shd w:val="clear" w:color="auto" w:fill="FFFFFF"/>
            <w:tcMar>
              <w:top w:w="15" w:type="dxa"/>
              <w:left w:w="0" w:type="dxa"/>
              <w:bottom w:w="0" w:type="dxa"/>
              <w:right w:w="15" w:type="dxa"/>
            </w:tcMar>
            <w:vAlign w:val="bottom"/>
            <w:hideMark/>
          </w:tcPr>
          <w:p w14:paraId="2DD720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F9B2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764521B2" w14:textId="77777777" w:rsidR="00000000" w:rsidRDefault="00582324">
            <w:pPr>
              <w:pStyle w:val="a3"/>
              <w:spacing w:before="0" w:beforeAutospacing="0" w:after="0" w:afterAutospacing="0"/>
              <w:jc w:val="right"/>
              <w:rPr>
                <w:color w:val="000000"/>
                <w:sz w:val="18"/>
                <w:szCs w:val="18"/>
              </w:rPr>
            </w:pPr>
            <w:r>
              <w:rPr>
                <w:color w:val="000000"/>
                <w:sz w:val="18"/>
                <w:szCs w:val="18"/>
              </w:rPr>
              <w:t>146,983</w:t>
            </w:r>
          </w:p>
        </w:tc>
        <w:tc>
          <w:tcPr>
            <w:tcW w:w="50" w:type="pct"/>
            <w:shd w:val="clear" w:color="auto" w:fill="FFFFFF"/>
            <w:noWrap/>
            <w:tcMar>
              <w:top w:w="15" w:type="dxa"/>
              <w:left w:w="0" w:type="dxa"/>
              <w:bottom w:w="0" w:type="dxa"/>
              <w:right w:w="15" w:type="dxa"/>
            </w:tcMar>
            <w:vAlign w:val="bottom"/>
            <w:hideMark/>
          </w:tcPr>
          <w:p w14:paraId="552A978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E033B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D013A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73360F09" w14:textId="77777777" w:rsidR="00000000" w:rsidRDefault="00582324">
            <w:pPr>
              <w:pStyle w:val="a3"/>
              <w:spacing w:before="0" w:beforeAutospacing="0" w:after="0" w:afterAutospacing="0"/>
              <w:jc w:val="right"/>
              <w:rPr>
                <w:color w:val="000000"/>
                <w:sz w:val="18"/>
                <w:szCs w:val="18"/>
              </w:rPr>
            </w:pPr>
            <w:r>
              <w:rPr>
                <w:color w:val="000000"/>
                <w:sz w:val="18"/>
                <w:szCs w:val="18"/>
              </w:rPr>
              <w:t>626</w:t>
            </w:r>
          </w:p>
        </w:tc>
        <w:tc>
          <w:tcPr>
            <w:tcW w:w="50" w:type="pct"/>
            <w:shd w:val="clear" w:color="auto" w:fill="FFFFFF"/>
            <w:noWrap/>
            <w:tcMar>
              <w:top w:w="15" w:type="dxa"/>
              <w:left w:w="0" w:type="dxa"/>
              <w:bottom w:w="0" w:type="dxa"/>
              <w:right w:w="15" w:type="dxa"/>
            </w:tcMar>
            <w:vAlign w:val="bottom"/>
            <w:hideMark/>
          </w:tcPr>
          <w:p w14:paraId="7BEBD1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20E1E6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489E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1E0780A3" w14:textId="77777777" w:rsidR="00000000" w:rsidRDefault="00582324">
            <w:pPr>
              <w:pStyle w:val="a3"/>
              <w:spacing w:before="0" w:beforeAutospacing="0" w:after="0" w:afterAutospacing="0"/>
              <w:jc w:val="right"/>
              <w:rPr>
                <w:color w:val="000000"/>
                <w:sz w:val="18"/>
                <w:szCs w:val="18"/>
              </w:rPr>
            </w:pPr>
            <w:r>
              <w:rPr>
                <w:color w:val="000000"/>
                <w:sz w:val="18"/>
                <w:szCs w:val="18"/>
              </w:rPr>
              <w:t>147,609</w:t>
            </w:r>
          </w:p>
        </w:tc>
        <w:tc>
          <w:tcPr>
            <w:tcW w:w="50" w:type="pct"/>
            <w:shd w:val="clear" w:color="auto" w:fill="FFFFFF"/>
            <w:noWrap/>
            <w:tcMar>
              <w:top w:w="15" w:type="dxa"/>
              <w:left w:w="0" w:type="dxa"/>
              <w:bottom w:w="0" w:type="dxa"/>
              <w:right w:w="15" w:type="dxa"/>
            </w:tcMar>
            <w:vAlign w:val="bottom"/>
            <w:hideMark/>
          </w:tcPr>
          <w:p w14:paraId="20DEC05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A32CFFE" w14:textId="77777777">
        <w:trPr>
          <w:divId w:val="1603803778"/>
        </w:trPr>
        <w:tc>
          <w:tcPr>
            <w:tcW w:w="2880" w:type="pct"/>
            <w:shd w:val="clear" w:color="auto" w:fill="CFF0FC"/>
            <w:tcMar>
              <w:top w:w="15" w:type="dxa"/>
              <w:left w:w="0" w:type="dxa"/>
              <w:bottom w:w="0" w:type="dxa"/>
              <w:right w:w="15" w:type="dxa"/>
            </w:tcMar>
            <w:hideMark/>
          </w:tcPr>
          <w:p w14:paraId="2264F2B5" w14:textId="77777777" w:rsidR="00000000" w:rsidRDefault="00582324">
            <w:pPr>
              <w:pStyle w:val="a3"/>
              <w:spacing w:before="0" w:beforeAutospacing="0" w:after="0" w:afterAutospacing="0"/>
              <w:ind w:left="274"/>
              <w:rPr>
                <w:color w:val="000000"/>
                <w:sz w:val="18"/>
                <w:szCs w:val="18"/>
              </w:rPr>
            </w:pPr>
            <w:r>
              <w:rPr>
                <w:color w:val="000000"/>
                <w:sz w:val="18"/>
                <w:szCs w:val="18"/>
              </w:rPr>
              <w:t>Total assets</w:t>
            </w:r>
          </w:p>
        </w:tc>
        <w:tc>
          <w:tcPr>
            <w:tcW w:w="67" w:type="pct"/>
            <w:shd w:val="clear" w:color="auto" w:fill="CFF0FC"/>
            <w:tcMar>
              <w:top w:w="15" w:type="dxa"/>
              <w:left w:w="0" w:type="dxa"/>
              <w:bottom w:w="0" w:type="dxa"/>
              <w:right w:w="15" w:type="dxa"/>
            </w:tcMar>
            <w:vAlign w:val="bottom"/>
            <w:hideMark/>
          </w:tcPr>
          <w:p w14:paraId="15BFDC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7FBB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4B58FF63" w14:textId="77777777" w:rsidR="00000000" w:rsidRDefault="00582324">
            <w:pPr>
              <w:pStyle w:val="a3"/>
              <w:spacing w:before="0" w:beforeAutospacing="0" w:after="0" w:afterAutospacing="0"/>
              <w:jc w:val="right"/>
              <w:rPr>
                <w:color w:val="000000"/>
                <w:sz w:val="18"/>
                <w:szCs w:val="18"/>
              </w:rPr>
            </w:pPr>
            <w:r>
              <w:rPr>
                <w:color w:val="000000"/>
                <w:sz w:val="18"/>
                <w:szCs w:val="18"/>
              </w:rPr>
              <w:t>252,776</w:t>
            </w:r>
          </w:p>
        </w:tc>
        <w:tc>
          <w:tcPr>
            <w:tcW w:w="50" w:type="pct"/>
            <w:shd w:val="clear" w:color="auto" w:fill="CFF0FC"/>
            <w:noWrap/>
            <w:tcMar>
              <w:top w:w="15" w:type="dxa"/>
              <w:left w:w="0" w:type="dxa"/>
              <w:bottom w:w="0" w:type="dxa"/>
              <w:right w:w="15" w:type="dxa"/>
            </w:tcMar>
            <w:vAlign w:val="bottom"/>
            <w:hideMark/>
          </w:tcPr>
          <w:p w14:paraId="304A4A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2D2108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4EFA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BE9F3B9" w14:textId="77777777" w:rsidR="00000000" w:rsidRDefault="00582324">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CFF0FC"/>
            <w:noWrap/>
            <w:tcMar>
              <w:top w:w="15" w:type="dxa"/>
              <w:left w:w="0" w:type="dxa"/>
              <w:bottom w:w="0" w:type="dxa"/>
              <w:right w:w="15" w:type="dxa"/>
            </w:tcMar>
            <w:vAlign w:val="bottom"/>
            <w:hideMark/>
          </w:tcPr>
          <w:p w14:paraId="3937EF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31D9AB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A16D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79F9969B" w14:textId="77777777" w:rsidR="00000000" w:rsidRDefault="00582324">
            <w:pPr>
              <w:pStyle w:val="a3"/>
              <w:spacing w:before="0" w:beforeAutospacing="0" w:after="0" w:afterAutospacing="0"/>
              <w:jc w:val="right"/>
              <w:rPr>
                <w:color w:val="000000"/>
                <w:sz w:val="18"/>
                <w:szCs w:val="18"/>
              </w:rPr>
            </w:pPr>
            <w:r>
              <w:rPr>
                <w:color w:val="000000"/>
                <w:sz w:val="18"/>
                <w:szCs w:val="18"/>
              </w:rPr>
              <w:t>253,586</w:t>
            </w:r>
          </w:p>
        </w:tc>
        <w:tc>
          <w:tcPr>
            <w:tcW w:w="50" w:type="pct"/>
            <w:shd w:val="clear" w:color="auto" w:fill="CFF0FC"/>
            <w:noWrap/>
            <w:tcMar>
              <w:top w:w="15" w:type="dxa"/>
              <w:left w:w="0" w:type="dxa"/>
              <w:bottom w:w="0" w:type="dxa"/>
              <w:right w:w="15" w:type="dxa"/>
            </w:tcMar>
            <w:vAlign w:val="bottom"/>
            <w:hideMark/>
          </w:tcPr>
          <w:p w14:paraId="7713B5C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04E5C99" w14:textId="77777777">
        <w:trPr>
          <w:divId w:val="1603803778"/>
        </w:trPr>
        <w:tc>
          <w:tcPr>
            <w:tcW w:w="2880" w:type="pct"/>
            <w:shd w:val="clear" w:color="auto" w:fill="FFFFFF"/>
            <w:tcMar>
              <w:top w:w="15" w:type="dxa"/>
              <w:left w:w="0" w:type="dxa"/>
              <w:bottom w:w="0" w:type="dxa"/>
              <w:right w:w="15" w:type="dxa"/>
            </w:tcMar>
            <w:hideMark/>
          </w:tcPr>
          <w:p w14:paraId="1A621E9D" w14:textId="77777777" w:rsidR="00000000" w:rsidRDefault="00582324">
            <w:pPr>
              <w:pStyle w:val="a3"/>
              <w:spacing w:before="0" w:beforeAutospacing="0" w:after="0" w:afterAutospacing="0"/>
              <w:rPr>
                <w:color w:val="000000"/>
                <w:sz w:val="18"/>
                <w:szCs w:val="18"/>
              </w:rPr>
            </w:pPr>
            <w:r>
              <w:rPr>
                <w:color w:val="000000"/>
                <w:sz w:val="18"/>
                <w:szCs w:val="18"/>
              </w:rPr>
              <w:t>Current liabilities</w:t>
            </w:r>
          </w:p>
        </w:tc>
        <w:tc>
          <w:tcPr>
            <w:tcW w:w="67" w:type="pct"/>
            <w:shd w:val="clear" w:color="auto" w:fill="FFFFFF"/>
            <w:tcMar>
              <w:top w:w="15" w:type="dxa"/>
              <w:left w:w="0" w:type="dxa"/>
              <w:bottom w:w="0" w:type="dxa"/>
              <w:right w:w="15" w:type="dxa"/>
            </w:tcMar>
            <w:vAlign w:val="bottom"/>
            <w:hideMark/>
          </w:tcPr>
          <w:p w14:paraId="413D30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7F17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1DB3B939" w14:textId="77777777" w:rsidR="00000000" w:rsidRDefault="00582324">
            <w:pPr>
              <w:pStyle w:val="a3"/>
              <w:spacing w:before="0" w:beforeAutospacing="0" w:after="0" w:afterAutospacing="0"/>
              <w:jc w:val="right"/>
              <w:rPr>
                <w:color w:val="000000"/>
                <w:sz w:val="18"/>
                <w:szCs w:val="18"/>
              </w:rPr>
            </w:pPr>
            <w:r>
              <w:rPr>
                <w:color w:val="000000"/>
                <w:sz w:val="18"/>
                <w:szCs w:val="18"/>
              </w:rPr>
              <w:t>9,721</w:t>
            </w:r>
          </w:p>
        </w:tc>
        <w:tc>
          <w:tcPr>
            <w:tcW w:w="50" w:type="pct"/>
            <w:shd w:val="clear" w:color="auto" w:fill="FFFFFF"/>
            <w:noWrap/>
            <w:tcMar>
              <w:top w:w="15" w:type="dxa"/>
              <w:left w:w="0" w:type="dxa"/>
              <w:bottom w:w="0" w:type="dxa"/>
              <w:right w:w="15" w:type="dxa"/>
            </w:tcMar>
            <w:vAlign w:val="bottom"/>
            <w:hideMark/>
          </w:tcPr>
          <w:p w14:paraId="12D591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26456E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BF73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BB2063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7A67F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297ABD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BEB6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0379B9E4" w14:textId="77777777" w:rsidR="00000000" w:rsidRDefault="00582324">
            <w:pPr>
              <w:pStyle w:val="a3"/>
              <w:spacing w:before="0" w:beforeAutospacing="0" w:after="0" w:afterAutospacing="0"/>
              <w:jc w:val="right"/>
              <w:rPr>
                <w:color w:val="000000"/>
                <w:sz w:val="18"/>
                <w:szCs w:val="18"/>
              </w:rPr>
            </w:pPr>
            <w:r>
              <w:rPr>
                <w:color w:val="000000"/>
                <w:sz w:val="18"/>
                <w:szCs w:val="18"/>
              </w:rPr>
              <w:t>9,721</w:t>
            </w:r>
          </w:p>
        </w:tc>
        <w:tc>
          <w:tcPr>
            <w:tcW w:w="50" w:type="pct"/>
            <w:shd w:val="clear" w:color="auto" w:fill="FFFFFF"/>
            <w:noWrap/>
            <w:tcMar>
              <w:top w:w="15" w:type="dxa"/>
              <w:left w:w="0" w:type="dxa"/>
              <w:bottom w:w="0" w:type="dxa"/>
              <w:right w:w="15" w:type="dxa"/>
            </w:tcMar>
            <w:vAlign w:val="bottom"/>
            <w:hideMark/>
          </w:tcPr>
          <w:p w14:paraId="6FDD1A7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B4608DC" w14:textId="77777777">
        <w:trPr>
          <w:divId w:val="1603803778"/>
        </w:trPr>
        <w:tc>
          <w:tcPr>
            <w:tcW w:w="2880" w:type="pct"/>
            <w:shd w:val="clear" w:color="auto" w:fill="CFF0FC"/>
            <w:tcMar>
              <w:top w:w="15" w:type="dxa"/>
              <w:left w:w="0" w:type="dxa"/>
              <w:bottom w:w="0" w:type="dxa"/>
              <w:right w:w="15" w:type="dxa"/>
            </w:tcMar>
            <w:hideMark/>
          </w:tcPr>
          <w:p w14:paraId="294300C5" w14:textId="77777777" w:rsidR="00000000" w:rsidRDefault="00582324">
            <w:pPr>
              <w:pStyle w:val="a3"/>
              <w:spacing w:before="0" w:beforeAutospacing="0" w:after="0" w:afterAutospacing="0"/>
              <w:ind w:left="274"/>
              <w:rPr>
                <w:color w:val="000000"/>
                <w:sz w:val="18"/>
                <w:szCs w:val="18"/>
              </w:rPr>
            </w:pPr>
            <w:r>
              <w:rPr>
                <w:color w:val="000000"/>
                <w:sz w:val="18"/>
                <w:szCs w:val="18"/>
              </w:rPr>
              <w:t>Total liabilities</w:t>
            </w:r>
          </w:p>
        </w:tc>
        <w:tc>
          <w:tcPr>
            <w:tcW w:w="67" w:type="pct"/>
            <w:shd w:val="clear" w:color="auto" w:fill="CFF0FC"/>
            <w:tcMar>
              <w:top w:w="15" w:type="dxa"/>
              <w:left w:w="0" w:type="dxa"/>
              <w:bottom w:w="0" w:type="dxa"/>
              <w:right w:w="15" w:type="dxa"/>
            </w:tcMar>
            <w:vAlign w:val="bottom"/>
            <w:hideMark/>
          </w:tcPr>
          <w:p w14:paraId="0A815F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330A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29D3A3" w14:textId="77777777" w:rsidR="00000000" w:rsidRDefault="00582324">
            <w:pPr>
              <w:pStyle w:val="a3"/>
              <w:spacing w:before="0" w:beforeAutospacing="0" w:after="0" w:afterAutospacing="0"/>
              <w:jc w:val="right"/>
              <w:rPr>
                <w:color w:val="000000"/>
                <w:sz w:val="18"/>
                <w:szCs w:val="18"/>
              </w:rPr>
            </w:pPr>
            <w:r>
              <w:rPr>
                <w:color w:val="000000"/>
                <w:sz w:val="18"/>
                <w:szCs w:val="18"/>
              </w:rPr>
              <w:t>9,721</w:t>
            </w:r>
          </w:p>
        </w:tc>
        <w:tc>
          <w:tcPr>
            <w:tcW w:w="50" w:type="pct"/>
            <w:shd w:val="clear" w:color="auto" w:fill="CFF0FC"/>
            <w:noWrap/>
            <w:tcMar>
              <w:top w:w="15" w:type="dxa"/>
              <w:left w:w="0" w:type="dxa"/>
              <w:bottom w:w="0" w:type="dxa"/>
              <w:right w:w="15" w:type="dxa"/>
            </w:tcMar>
            <w:vAlign w:val="bottom"/>
            <w:hideMark/>
          </w:tcPr>
          <w:p w14:paraId="1CA908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1BB533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17B65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ED193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3EE6C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5CB29F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8BDD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CFCB7C" w14:textId="77777777" w:rsidR="00000000" w:rsidRDefault="00582324">
            <w:pPr>
              <w:pStyle w:val="a3"/>
              <w:spacing w:before="0" w:beforeAutospacing="0" w:after="0" w:afterAutospacing="0"/>
              <w:jc w:val="right"/>
              <w:rPr>
                <w:color w:val="000000"/>
                <w:sz w:val="18"/>
                <w:szCs w:val="18"/>
              </w:rPr>
            </w:pPr>
            <w:r>
              <w:rPr>
                <w:color w:val="000000"/>
                <w:sz w:val="18"/>
                <w:szCs w:val="18"/>
              </w:rPr>
              <w:t>9,721</w:t>
            </w:r>
          </w:p>
        </w:tc>
        <w:tc>
          <w:tcPr>
            <w:tcW w:w="50" w:type="pct"/>
            <w:shd w:val="clear" w:color="auto" w:fill="CFF0FC"/>
            <w:noWrap/>
            <w:tcMar>
              <w:top w:w="15" w:type="dxa"/>
              <w:left w:w="0" w:type="dxa"/>
              <w:bottom w:w="0" w:type="dxa"/>
              <w:right w:w="15" w:type="dxa"/>
            </w:tcMar>
            <w:vAlign w:val="bottom"/>
            <w:hideMark/>
          </w:tcPr>
          <w:p w14:paraId="71BE441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051DE01" w14:textId="77777777">
        <w:trPr>
          <w:divId w:val="1603803778"/>
        </w:trPr>
        <w:tc>
          <w:tcPr>
            <w:tcW w:w="2880" w:type="pct"/>
            <w:shd w:val="clear" w:color="auto" w:fill="FFFFFF"/>
            <w:tcMar>
              <w:top w:w="15" w:type="dxa"/>
              <w:left w:w="0" w:type="dxa"/>
              <w:bottom w:w="0" w:type="dxa"/>
              <w:right w:w="15" w:type="dxa"/>
            </w:tcMar>
            <w:hideMark/>
          </w:tcPr>
          <w:p w14:paraId="38CE9AE4" w14:textId="77777777" w:rsidR="00000000" w:rsidRDefault="00582324">
            <w:pPr>
              <w:pStyle w:val="a3"/>
              <w:spacing w:before="0" w:beforeAutospacing="0" w:after="0" w:afterAutospacing="0"/>
              <w:rPr>
                <w:color w:val="000000"/>
                <w:sz w:val="18"/>
                <w:szCs w:val="18"/>
              </w:rPr>
            </w:pPr>
            <w:r>
              <w:rPr>
                <w:color w:val="000000"/>
                <w:sz w:val="18"/>
                <w:szCs w:val="18"/>
              </w:rPr>
              <w:t>Purchase price</w:t>
            </w:r>
          </w:p>
        </w:tc>
        <w:tc>
          <w:tcPr>
            <w:tcW w:w="67" w:type="pct"/>
            <w:shd w:val="clear" w:color="auto" w:fill="FFFFFF"/>
            <w:tcMar>
              <w:top w:w="15" w:type="dxa"/>
              <w:left w:w="0" w:type="dxa"/>
              <w:bottom w:w="0" w:type="dxa"/>
              <w:right w:w="15" w:type="dxa"/>
            </w:tcMar>
            <w:vAlign w:val="bottom"/>
            <w:hideMark/>
          </w:tcPr>
          <w:p w14:paraId="6918F4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73F30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3F20DE" w14:textId="77777777" w:rsidR="00000000" w:rsidRDefault="00582324">
            <w:pPr>
              <w:pStyle w:val="a3"/>
              <w:spacing w:before="0" w:beforeAutospacing="0" w:after="0" w:afterAutospacing="0"/>
              <w:jc w:val="right"/>
              <w:rPr>
                <w:color w:val="000000"/>
                <w:sz w:val="18"/>
                <w:szCs w:val="18"/>
              </w:rPr>
            </w:pPr>
            <w:r>
              <w:rPr>
                <w:color w:val="000000"/>
                <w:sz w:val="18"/>
                <w:szCs w:val="18"/>
              </w:rPr>
              <w:t>243,055</w:t>
            </w:r>
          </w:p>
        </w:tc>
        <w:tc>
          <w:tcPr>
            <w:tcW w:w="50" w:type="pct"/>
            <w:shd w:val="clear" w:color="auto" w:fill="FFFFFF"/>
            <w:noWrap/>
            <w:tcMar>
              <w:top w:w="15" w:type="dxa"/>
              <w:left w:w="0" w:type="dxa"/>
              <w:bottom w:w="0" w:type="dxa"/>
              <w:right w:w="15" w:type="dxa"/>
            </w:tcMar>
            <w:vAlign w:val="bottom"/>
            <w:hideMark/>
          </w:tcPr>
          <w:p w14:paraId="64DCCF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061F75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DB5CA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7E4B16" w14:textId="77777777" w:rsidR="00000000" w:rsidRDefault="00582324">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FFFFFF"/>
            <w:noWrap/>
            <w:tcMar>
              <w:top w:w="15" w:type="dxa"/>
              <w:left w:w="0" w:type="dxa"/>
              <w:bottom w:w="0" w:type="dxa"/>
              <w:right w:w="15" w:type="dxa"/>
            </w:tcMar>
            <w:vAlign w:val="bottom"/>
            <w:hideMark/>
          </w:tcPr>
          <w:p w14:paraId="11134B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2C3EBD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E6564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8916D3" w14:textId="77777777" w:rsidR="00000000" w:rsidRDefault="00582324">
            <w:pPr>
              <w:pStyle w:val="a3"/>
              <w:spacing w:before="0" w:beforeAutospacing="0" w:after="0" w:afterAutospacing="0"/>
              <w:jc w:val="right"/>
              <w:rPr>
                <w:color w:val="000000"/>
                <w:sz w:val="18"/>
                <w:szCs w:val="18"/>
              </w:rPr>
            </w:pPr>
            <w:r>
              <w:rPr>
                <w:color w:val="000000"/>
                <w:sz w:val="18"/>
                <w:szCs w:val="18"/>
              </w:rPr>
              <w:t>243,865</w:t>
            </w:r>
          </w:p>
        </w:tc>
        <w:tc>
          <w:tcPr>
            <w:tcW w:w="50" w:type="pct"/>
            <w:shd w:val="clear" w:color="auto" w:fill="FFFFFF"/>
            <w:noWrap/>
            <w:tcMar>
              <w:top w:w="15" w:type="dxa"/>
              <w:left w:w="0" w:type="dxa"/>
              <w:bottom w:w="0" w:type="dxa"/>
              <w:right w:w="15" w:type="dxa"/>
            </w:tcMar>
            <w:vAlign w:val="bottom"/>
            <w:hideMark/>
          </w:tcPr>
          <w:p w14:paraId="0E3D4A23"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FBEBC88"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3538407"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CTEH, LEED and AETC are included in the Company’s </w:t>
      </w:r>
      <w:r>
        <w:rPr>
          <w:color w:val="000000"/>
          <w:sz w:val="20"/>
          <w:szCs w:val="20"/>
        </w:rPr>
        <w:t>Assessment, Permitting and Response, Remediation and Reuse and Measurement and Analysis segments, respectively.</w:t>
      </w:r>
    </w:p>
    <w:p w14:paraId="05FCB320"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weighted average useful lives for the acquired customer relationships and internal proprietary software for the CTEH acquisition are 15 year</w:t>
      </w:r>
      <w:r>
        <w:rPr>
          <w:color w:val="000000"/>
          <w:sz w:val="20"/>
          <w:szCs w:val="20"/>
        </w:rPr>
        <w:t xml:space="preserve">s and 3 years, respectively. The weighted average useful lives for the acquired tradenames, covenants not to compete and external proprietary software for the CTEH acquisition is 5 years. The weighted average useful lives for the acquired covenants not to </w:t>
      </w:r>
      <w:r>
        <w:rPr>
          <w:color w:val="000000"/>
          <w:sz w:val="20"/>
          <w:szCs w:val="20"/>
        </w:rPr>
        <w:t>compete for the other acquisitions is 4 years.</w:t>
      </w:r>
    </w:p>
    <w:p w14:paraId="4A70770A"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Goodwill associated with the CTEH, LEED and AETC acquisitions is deductible for income tax purposes.</w:t>
      </w:r>
    </w:p>
    <w:p w14:paraId="57939F1C"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Supplemental Unaudited Pro-Forma</w:t>
      </w:r>
      <w:r>
        <w:rPr>
          <w:color w:val="000000"/>
          <w:sz w:val="20"/>
          <w:szCs w:val="20"/>
        </w:rPr>
        <w:t>—</w:t>
      </w:r>
      <w:r>
        <w:rPr>
          <w:color w:val="000000"/>
          <w:sz w:val="20"/>
          <w:szCs w:val="20"/>
        </w:rPr>
        <w:t>The unaudited condensed consolidated financial information summarized in the following table gives effect to the 2021 and the 2020 acquisitions discussed above assuming they occurred on January 1, 2020. These unaudited consolidated pro forma operating resu</w:t>
      </w:r>
      <w:r>
        <w:rPr>
          <w:color w:val="000000"/>
          <w:sz w:val="20"/>
          <w:szCs w:val="20"/>
        </w:rPr>
        <w:t xml:space="preserve">lts do not assume any impact from revenue, cost or other operating synergies that are expected or may have been realized as a result of the acquisitions. These unaudited consolidated pro forma operating results are presented for illustrative purposes only </w:t>
      </w:r>
      <w:r>
        <w:rPr>
          <w:color w:val="000000"/>
          <w:sz w:val="20"/>
          <w:szCs w:val="20"/>
        </w:rPr>
        <w:t>and are not indicative of the operating results that would have been achieved had the acquisitions occurred on January 1, 2020, nor does the information purport to reflect results for any future period.</w:t>
      </w:r>
    </w:p>
    <w:p w14:paraId="554BE543"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32"/>
        <w:gridCol w:w="60"/>
        <w:gridCol w:w="105"/>
        <w:gridCol w:w="600"/>
        <w:gridCol w:w="75"/>
        <w:gridCol w:w="60"/>
        <w:gridCol w:w="123"/>
        <w:gridCol w:w="843"/>
        <w:gridCol w:w="60"/>
        <w:gridCol w:w="60"/>
        <w:gridCol w:w="131"/>
        <w:gridCol w:w="895"/>
        <w:gridCol w:w="75"/>
        <w:gridCol w:w="60"/>
        <w:gridCol w:w="105"/>
        <w:gridCol w:w="600"/>
        <w:gridCol w:w="75"/>
        <w:gridCol w:w="60"/>
        <w:gridCol w:w="123"/>
        <w:gridCol w:w="843"/>
        <w:gridCol w:w="60"/>
        <w:gridCol w:w="60"/>
        <w:gridCol w:w="130"/>
        <w:gridCol w:w="896"/>
        <w:gridCol w:w="75"/>
      </w:tblGrid>
      <w:tr w:rsidR="00000000" w14:paraId="763E6DFE" w14:textId="77777777">
        <w:trPr>
          <w:divId w:val="1443497374"/>
        </w:trPr>
        <w:tc>
          <w:tcPr>
            <w:tcW w:w="2046" w:type="pct"/>
            <w:shd w:val="clear" w:color="auto" w:fill="FFFFFF"/>
            <w:tcMar>
              <w:top w:w="15" w:type="dxa"/>
              <w:left w:w="0" w:type="dxa"/>
              <w:bottom w:w="0" w:type="dxa"/>
              <w:right w:w="15" w:type="dxa"/>
            </w:tcMar>
            <w:vAlign w:val="bottom"/>
            <w:hideMark/>
          </w:tcPr>
          <w:p w14:paraId="5BA7315A" w14:textId="77777777" w:rsidR="00000000" w:rsidRDefault="00582324">
            <w:pPr>
              <w:pStyle w:val="a3"/>
              <w:spacing w:before="0" w:beforeAutospacing="0" w:after="0" w:afterAutospacing="0"/>
              <w:rPr>
                <w:sz w:val="20"/>
                <w:szCs w:val="20"/>
              </w:rPr>
            </w:pPr>
            <w:r>
              <w:rPr>
                <w:sz w:val="20"/>
                <w:szCs w:val="20"/>
              </w:rPr>
              <w:t> </w:t>
            </w:r>
          </w:p>
        </w:tc>
        <w:tc>
          <w:tcPr>
            <w:tcW w:w="48" w:type="pct"/>
            <w:shd w:val="clear" w:color="auto" w:fill="FFFFFF"/>
            <w:tcMar>
              <w:top w:w="15" w:type="dxa"/>
              <w:left w:w="0" w:type="dxa"/>
              <w:bottom w:w="0" w:type="dxa"/>
              <w:right w:w="15" w:type="dxa"/>
            </w:tcMar>
            <w:vAlign w:val="bottom"/>
            <w:hideMark/>
          </w:tcPr>
          <w:p w14:paraId="381D26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855" w:type="pct"/>
            <w:gridSpan w:val="22"/>
            <w:tcBorders>
              <w:bottom w:val="single" w:sz="6" w:space="0" w:color="000000"/>
            </w:tcBorders>
            <w:shd w:val="clear" w:color="auto" w:fill="FFFFFF"/>
            <w:tcMar>
              <w:top w:w="15" w:type="dxa"/>
              <w:left w:w="0" w:type="dxa"/>
              <w:bottom w:w="0" w:type="dxa"/>
              <w:right w:w="15" w:type="dxa"/>
            </w:tcMar>
            <w:vAlign w:val="bottom"/>
            <w:hideMark/>
          </w:tcPr>
          <w:p w14:paraId="5164AAE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Three Months Ended June 30,</w:t>
            </w:r>
          </w:p>
        </w:tc>
        <w:tc>
          <w:tcPr>
            <w:tcW w:w="50" w:type="pct"/>
            <w:shd w:val="clear" w:color="auto" w:fill="FFFFFF"/>
            <w:noWrap/>
            <w:tcMar>
              <w:top w:w="15" w:type="dxa"/>
              <w:left w:w="0" w:type="dxa"/>
              <w:bottom w:w="0" w:type="dxa"/>
              <w:right w:w="15" w:type="dxa"/>
            </w:tcMar>
            <w:vAlign w:val="bottom"/>
            <w:hideMark/>
          </w:tcPr>
          <w:p w14:paraId="1DFC61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DBE7A1A" w14:textId="77777777">
        <w:trPr>
          <w:divId w:val="1443497374"/>
        </w:trPr>
        <w:tc>
          <w:tcPr>
            <w:tcW w:w="2046" w:type="pct"/>
            <w:shd w:val="clear" w:color="auto" w:fill="FFFFFF"/>
            <w:tcMar>
              <w:top w:w="15" w:type="dxa"/>
              <w:left w:w="0" w:type="dxa"/>
              <w:bottom w:w="0" w:type="dxa"/>
              <w:right w:w="15" w:type="dxa"/>
            </w:tcMar>
            <w:vAlign w:val="bottom"/>
            <w:hideMark/>
          </w:tcPr>
          <w:p w14:paraId="540E9D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4FB9B3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7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39D70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1FFA3E1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2DEF4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37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420DC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3816621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049940C" w14:textId="77777777">
        <w:trPr>
          <w:divId w:val="1443497374"/>
        </w:trPr>
        <w:tc>
          <w:tcPr>
            <w:tcW w:w="2046" w:type="pct"/>
            <w:tcBorders>
              <w:bottom w:val="single" w:sz="6" w:space="0" w:color="000000"/>
            </w:tcBorders>
            <w:shd w:val="clear" w:color="auto" w:fill="FFFFFF"/>
            <w:tcMar>
              <w:top w:w="15" w:type="dxa"/>
              <w:left w:w="0" w:type="dxa"/>
              <w:bottom w:w="0" w:type="dxa"/>
              <w:right w:w="15" w:type="dxa"/>
            </w:tcMar>
            <w:vAlign w:val="bottom"/>
            <w:hideMark/>
          </w:tcPr>
          <w:p w14:paraId="1F5F1E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shd w:val="clear" w:color="auto" w:fill="FFFFFF"/>
            <w:tcMar>
              <w:top w:w="15" w:type="dxa"/>
              <w:left w:w="0" w:type="dxa"/>
              <w:bottom w:w="0" w:type="dxa"/>
              <w:right w:w="15" w:type="dxa"/>
            </w:tcMar>
            <w:vAlign w:val="bottom"/>
            <w:hideMark/>
          </w:tcPr>
          <w:p w14:paraId="1F23B84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623AD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 reported</w:t>
            </w:r>
          </w:p>
        </w:tc>
        <w:tc>
          <w:tcPr>
            <w:tcW w:w="50" w:type="pct"/>
            <w:shd w:val="clear" w:color="auto" w:fill="FFFFFF"/>
            <w:noWrap/>
            <w:tcMar>
              <w:top w:w="15" w:type="dxa"/>
              <w:left w:w="0" w:type="dxa"/>
              <w:bottom w:w="0" w:type="dxa"/>
              <w:right w:w="15" w:type="dxa"/>
            </w:tcMar>
            <w:vAlign w:val="bottom"/>
            <w:hideMark/>
          </w:tcPr>
          <w:p w14:paraId="2B780DE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37BAB2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62D40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Acquisitions</w:t>
            </w:r>
          </w:p>
          <w:p w14:paraId="3A6CE3B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7E68AEC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061D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32A87D7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E236D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755FA70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7198BE1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shd w:val="clear" w:color="auto" w:fill="FFFFFF"/>
            <w:noWrap/>
            <w:tcMar>
              <w:top w:w="15" w:type="dxa"/>
              <w:left w:w="0" w:type="dxa"/>
              <w:bottom w:w="0" w:type="dxa"/>
              <w:right w:w="15" w:type="dxa"/>
            </w:tcMar>
            <w:vAlign w:val="bottom"/>
            <w:hideMark/>
          </w:tcPr>
          <w:p w14:paraId="0BC087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7412F81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C5C01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 reported</w:t>
            </w:r>
          </w:p>
        </w:tc>
        <w:tc>
          <w:tcPr>
            <w:tcW w:w="50" w:type="pct"/>
            <w:shd w:val="clear" w:color="auto" w:fill="FFFFFF"/>
            <w:noWrap/>
            <w:tcMar>
              <w:top w:w="15" w:type="dxa"/>
              <w:left w:w="0" w:type="dxa"/>
              <w:bottom w:w="0" w:type="dxa"/>
              <w:right w:w="15" w:type="dxa"/>
            </w:tcMar>
            <w:vAlign w:val="bottom"/>
            <w:hideMark/>
          </w:tcPr>
          <w:p w14:paraId="3B66EB8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7666643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1FB1C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Acquisitions</w:t>
            </w:r>
          </w:p>
          <w:p w14:paraId="47F4F03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1AB174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CF6DF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44BAE5F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15F06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51B482E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150F79F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shd w:val="clear" w:color="auto" w:fill="FFFFFF"/>
            <w:noWrap/>
            <w:tcMar>
              <w:top w:w="15" w:type="dxa"/>
              <w:left w:w="0" w:type="dxa"/>
              <w:bottom w:w="0" w:type="dxa"/>
              <w:right w:w="15" w:type="dxa"/>
            </w:tcMar>
            <w:vAlign w:val="bottom"/>
            <w:hideMark/>
          </w:tcPr>
          <w:p w14:paraId="0DC6D79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67D912E" w14:textId="77777777">
        <w:trPr>
          <w:divId w:val="1443497374"/>
        </w:trPr>
        <w:tc>
          <w:tcPr>
            <w:tcW w:w="2046" w:type="pct"/>
            <w:tcBorders>
              <w:top w:val="single" w:sz="6" w:space="0" w:color="000000"/>
            </w:tcBorders>
            <w:shd w:val="clear" w:color="auto" w:fill="CFF0FC"/>
            <w:tcMar>
              <w:top w:w="15" w:type="dxa"/>
              <w:left w:w="0" w:type="dxa"/>
              <w:bottom w:w="0" w:type="dxa"/>
              <w:right w:w="15" w:type="dxa"/>
            </w:tcMar>
            <w:hideMark/>
          </w:tcPr>
          <w:p w14:paraId="41C1622E" w14:textId="77777777" w:rsidR="00000000" w:rsidRDefault="00582324">
            <w:pPr>
              <w:pStyle w:val="a3"/>
              <w:spacing w:before="0" w:beforeAutospacing="0" w:after="0" w:afterAutospacing="0"/>
              <w:rPr>
                <w:color w:val="000000"/>
                <w:sz w:val="18"/>
                <w:szCs w:val="18"/>
              </w:rPr>
            </w:pPr>
            <w:r>
              <w:rPr>
                <w:color w:val="000000"/>
                <w:sz w:val="18"/>
                <w:szCs w:val="18"/>
              </w:rPr>
              <w:t>Revenues</w:t>
            </w:r>
          </w:p>
        </w:tc>
        <w:tc>
          <w:tcPr>
            <w:tcW w:w="48" w:type="pct"/>
            <w:shd w:val="clear" w:color="auto" w:fill="CFF0FC"/>
            <w:tcMar>
              <w:top w:w="15" w:type="dxa"/>
              <w:left w:w="0" w:type="dxa"/>
              <w:bottom w:w="0" w:type="dxa"/>
              <w:right w:w="15" w:type="dxa"/>
            </w:tcMar>
            <w:vAlign w:val="bottom"/>
            <w:hideMark/>
          </w:tcPr>
          <w:p w14:paraId="32E066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B7539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50FA0E6" w14:textId="77777777" w:rsidR="00000000" w:rsidRDefault="00582324">
            <w:pPr>
              <w:pStyle w:val="a3"/>
              <w:spacing w:before="0" w:beforeAutospacing="0" w:after="0" w:afterAutospacing="0"/>
              <w:jc w:val="right"/>
              <w:rPr>
                <w:color w:val="000000"/>
                <w:sz w:val="18"/>
                <w:szCs w:val="18"/>
              </w:rPr>
            </w:pPr>
            <w:r>
              <w:rPr>
                <w:color w:val="000000"/>
                <w:sz w:val="18"/>
                <w:szCs w:val="18"/>
              </w:rPr>
              <w:t>136,224</w:t>
            </w:r>
          </w:p>
        </w:tc>
        <w:tc>
          <w:tcPr>
            <w:tcW w:w="50" w:type="pct"/>
            <w:shd w:val="clear" w:color="auto" w:fill="CFF0FC"/>
            <w:noWrap/>
            <w:tcMar>
              <w:top w:w="15" w:type="dxa"/>
              <w:left w:w="0" w:type="dxa"/>
              <w:bottom w:w="0" w:type="dxa"/>
              <w:right w:w="15" w:type="dxa"/>
            </w:tcMar>
            <w:vAlign w:val="bottom"/>
            <w:hideMark/>
          </w:tcPr>
          <w:p w14:paraId="039C82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2654C3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D286B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38659D1" w14:textId="77777777" w:rsidR="00000000" w:rsidRDefault="00582324">
            <w:pPr>
              <w:pStyle w:val="a3"/>
              <w:spacing w:before="0" w:beforeAutospacing="0" w:after="0" w:afterAutospacing="0"/>
              <w:jc w:val="right"/>
              <w:rPr>
                <w:color w:val="000000"/>
                <w:sz w:val="18"/>
                <w:szCs w:val="18"/>
              </w:rPr>
            </w:pPr>
            <w:r>
              <w:rPr>
                <w:color w:val="000000"/>
                <w:sz w:val="18"/>
                <w:szCs w:val="18"/>
              </w:rPr>
              <w:t>1,178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308A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353000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980F1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1D8808C7" w14:textId="77777777" w:rsidR="00000000" w:rsidRDefault="00582324">
            <w:pPr>
              <w:pStyle w:val="a3"/>
              <w:spacing w:before="0" w:beforeAutospacing="0" w:after="0" w:afterAutospacing="0"/>
              <w:jc w:val="right"/>
              <w:rPr>
                <w:color w:val="000000"/>
                <w:sz w:val="18"/>
                <w:szCs w:val="18"/>
              </w:rPr>
            </w:pPr>
            <w:r>
              <w:rPr>
                <w:color w:val="000000"/>
                <w:sz w:val="18"/>
                <w:szCs w:val="18"/>
              </w:rPr>
              <w:t>137,402</w:t>
            </w:r>
          </w:p>
        </w:tc>
        <w:tc>
          <w:tcPr>
            <w:tcW w:w="50" w:type="pct"/>
            <w:shd w:val="clear" w:color="auto" w:fill="CFF0FC"/>
            <w:noWrap/>
            <w:tcMar>
              <w:top w:w="15" w:type="dxa"/>
              <w:left w:w="0" w:type="dxa"/>
              <w:bottom w:w="0" w:type="dxa"/>
              <w:right w:w="15" w:type="dxa"/>
            </w:tcMar>
            <w:vAlign w:val="bottom"/>
            <w:hideMark/>
          </w:tcPr>
          <w:p w14:paraId="06C573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5FF9C5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24AEB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64EA8DE" w14:textId="77777777" w:rsidR="00000000" w:rsidRDefault="00582324">
            <w:pPr>
              <w:pStyle w:val="a3"/>
              <w:spacing w:before="0" w:beforeAutospacing="0" w:after="0" w:afterAutospacing="0"/>
              <w:jc w:val="right"/>
              <w:rPr>
                <w:color w:val="000000"/>
                <w:sz w:val="18"/>
                <w:szCs w:val="18"/>
              </w:rPr>
            </w:pPr>
            <w:r>
              <w:rPr>
                <w:color w:val="000000"/>
                <w:sz w:val="18"/>
                <w:szCs w:val="18"/>
              </w:rPr>
              <w:t>73,766</w:t>
            </w:r>
          </w:p>
        </w:tc>
        <w:tc>
          <w:tcPr>
            <w:tcW w:w="50" w:type="pct"/>
            <w:shd w:val="clear" w:color="auto" w:fill="CFF0FC"/>
            <w:noWrap/>
            <w:tcMar>
              <w:top w:w="15" w:type="dxa"/>
              <w:left w:w="0" w:type="dxa"/>
              <w:bottom w:w="0" w:type="dxa"/>
              <w:right w:w="15" w:type="dxa"/>
            </w:tcMar>
            <w:vAlign w:val="bottom"/>
            <w:hideMark/>
          </w:tcPr>
          <w:p w14:paraId="42B154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28006B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349CF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0477B057" w14:textId="77777777" w:rsidR="00000000" w:rsidRDefault="00582324">
            <w:pPr>
              <w:pStyle w:val="a3"/>
              <w:spacing w:before="0" w:beforeAutospacing="0" w:after="0" w:afterAutospacing="0"/>
              <w:jc w:val="right"/>
              <w:rPr>
                <w:color w:val="000000"/>
                <w:sz w:val="18"/>
                <w:szCs w:val="18"/>
              </w:rPr>
            </w:pPr>
            <w:r>
              <w:rPr>
                <w:color w:val="000000"/>
                <w:sz w:val="18"/>
                <w:szCs w:val="18"/>
              </w:rPr>
              <w:t>5,569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B4BA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767498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06793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D64DA77" w14:textId="77777777" w:rsidR="00000000" w:rsidRDefault="00582324">
            <w:pPr>
              <w:pStyle w:val="a3"/>
              <w:spacing w:before="0" w:beforeAutospacing="0" w:after="0" w:afterAutospacing="0"/>
              <w:jc w:val="right"/>
              <w:rPr>
                <w:color w:val="000000"/>
                <w:sz w:val="18"/>
                <w:szCs w:val="18"/>
              </w:rPr>
            </w:pPr>
            <w:r>
              <w:rPr>
                <w:color w:val="000000"/>
                <w:sz w:val="18"/>
                <w:szCs w:val="18"/>
              </w:rPr>
              <w:t>79,335</w:t>
            </w:r>
          </w:p>
        </w:tc>
        <w:tc>
          <w:tcPr>
            <w:tcW w:w="50" w:type="pct"/>
            <w:shd w:val="clear" w:color="auto" w:fill="CFF0FC"/>
            <w:noWrap/>
            <w:tcMar>
              <w:top w:w="15" w:type="dxa"/>
              <w:left w:w="0" w:type="dxa"/>
              <w:bottom w:w="0" w:type="dxa"/>
              <w:right w:w="15" w:type="dxa"/>
            </w:tcMar>
            <w:vAlign w:val="bottom"/>
            <w:hideMark/>
          </w:tcPr>
          <w:p w14:paraId="211DFCF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394CC3D" w14:textId="77777777">
        <w:trPr>
          <w:divId w:val="1443497374"/>
        </w:trPr>
        <w:tc>
          <w:tcPr>
            <w:tcW w:w="2046" w:type="pct"/>
            <w:shd w:val="clear" w:color="auto" w:fill="FFFFFF"/>
            <w:tcMar>
              <w:top w:w="15" w:type="dxa"/>
              <w:left w:w="0" w:type="dxa"/>
              <w:bottom w:w="0" w:type="dxa"/>
              <w:right w:w="15" w:type="dxa"/>
            </w:tcMar>
            <w:hideMark/>
          </w:tcPr>
          <w:p w14:paraId="6A374D34" w14:textId="77777777" w:rsidR="00000000" w:rsidRDefault="00582324">
            <w:pPr>
              <w:pStyle w:val="a3"/>
              <w:spacing w:before="0" w:beforeAutospacing="0" w:after="0" w:afterAutospacing="0"/>
              <w:rPr>
                <w:color w:val="000000"/>
                <w:sz w:val="18"/>
                <w:szCs w:val="18"/>
              </w:rPr>
            </w:pPr>
            <w:r>
              <w:rPr>
                <w:color w:val="000000"/>
                <w:sz w:val="18"/>
                <w:szCs w:val="18"/>
              </w:rPr>
              <w:t>Net (loss) income</w:t>
            </w:r>
          </w:p>
        </w:tc>
        <w:tc>
          <w:tcPr>
            <w:tcW w:w="48" w:type="pct"/>
            <w:shd w:val="clear" w:color="auto" w:fill="FFFFFF"/>
            <w:tcMar>
              <w:top w:w="15" w:type="dxa"/>
              <w:left w:w="0" w:type="dxa"/>
              <w:bottom w:w="0" w:type="dxa"/>
              <w:right w:w="15" w:type="dxa"/>
            </w:tcMar>
            <w:vAlign w:val="bottom"/>
            <w:hideMark/>
          </w:tcPr>
          <w:p w14:paraId="6699A6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F8C91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EC49B3C" w14:textId="77777777" w:rsidR="00000000" w:rsidRDefault="00582324">
            <w:pPr>
              <w:pStyle w:val="a3"/>
              <w:spacing w:before="0" w:beforeAutospacing="0" w:after="0" w:afterAutospacing="0"/>
              <w:jc w:val="right"/>
              <w:rPr>
                <w:color w:val="000000"/>
                <w:sz w:val="18"/>
                <w:szCs w:val="18"/>
              </w:rPr>
            </w:pPr>
            <w:r>
              <w:rPr>
                <w:color w:val="000000"/>
                <w:sz w:val="18"/>
                <w:szCs w:val="18"/>
              </w:rPr>
              <w:t>(14,483</w:t>
            </w:r>
          </w:p>
        </w:tc>
        <w:tc>
          <w:tcPr>
            <w:tcW w:w="50" w:type="pct"/>
            <w:shd w:val="clear" w:color="auto" w:fill="FFFFFF"/>
            <w:noWrap/>
            <w:tcMar>
              <w:top w:w="15" w:type="dxa"/>
              <w:left w:w="0" w:type="dxa"/>
              <w:bottom w:w="0" w:type="dxa"/>
              <w:right w:w="15" w:type="dxa"/>
            </w:tcMar>
            <w:vAlign w:val="bottom"/>
            <w:hideMark/>
          </w:tcPr>
          <w:p w14:paraId="17841F5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8" w:type="pct"/>
            <w:shd w:val="clear" w:color="auto" w:fill="FFFFFF"/>
            <w:tcMar>
              <w:top w:w="15" w:type="dxa"/>
              <w:left w:w="0" w:type="dxa"/>
              <w:bottom w:w="0" w:type="dxa"/>
              <w:right w:w="15" w:type="dxa"/>
            </w:tcMar>
            <w:vAlign w:val="bottom"/>
            <w:hideMark/>
          </w:tcPr>
          <w:p w14:paraId="42B439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0C1A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65FF11E" w14:textId="77777777" w:rsidR="00000000" w:rsidRDefault="00582324">
            <w:pPr>
              <w:pStyle w:val="a3"/>
              <w:spacing w:before="0" w:beforeAutospacing="0" w:after="0" w:afterAutospacing="0"/>
              <w:jc w:val="right"/>
              <w:rPr>
                <w:color w:val="000000"/>
                <w:sz w:val="18"/>
                <w:szCs w:val="18"/>
              </w:rPr>
            </w:pPr>
            <w:r>
              <w:rPr>
                <w:color w:val="000000"/>
                <w:sz w:val="18"/>
                <w:szCs w:val="18"/>
              </w:rPr>
              <w:t>219</w:t>
            </w:r>
          </w:p>
        </w:tc>
        <w:tc>
          <w:tcPr>
            <w:tcW w:w="50" w:type="pct"/>
            <w:shd w:val="clear" w:color="auto" w:fill="FFFFFF"/>
            <w:noWrap/>
            <w:tcMar>
              <w:top w:w="15" w:type="dxa"/>
              <w:left w:w="0" w:type="dxa"/>
              <w:bottom w:w="0" w:type="dxa"/>
              <w:right w:w="15" w:type="dxa"/>
            </w:tcMar>
            <w:vAlign w:val="bottom"/>
            <w:hideMark/>
          </w:tcPr>
          <w:p w14:paraId="69B1D3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661E13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F16F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0B43203D" w14:textId="77777777" w:rsidR="00000000" w:rsidRDefault="00582324">
            <w:pPr>
              <w:pStyle w:val="a3"/>
              <w:spacing w:before="0" w:beforeAutospacing="0" w:after="0" w:afterAutospacing="0"/>
              <w:jc w:val="right"/>
              <w:rPr>
                <w:color w:val="000000"/>
                <w:sz w:val="18"/>
                <w:szCs w:val="18"/>
              </w:rPr>
            </w:pPr>
            <w:r>
              <w:rPr>
                <w:color w:val="000000"/>
                <w:sz w:val="18"/>
                <w:szCs w:val="18"/>
              </w:rPr>
              <w:t>(14,264</w:t>
            </w:r>
          </w:p>
        </w:tc>
        <w:tc>
          <w:tcPr>
            <w:tcW w:w="50" w:type="pct"/>
            <w:shd w:val="clear" w:color="auto" w:fill="FFFFFF"/>
            <w:noWrap/>
            <w:tcMar>
              <w:top w:w="15" w:type="dxa"/>
              <w:left w:w="0" w:type="dxa"/>
              <w:bottom w:w="0" w:type="dxa"/>
              <w:right w:w="15" w:type="dxa"/>
            </w:tcMar>
            <w:vAlign w:val="bottom"/>
            <w:hideMark/>
          </w:tcPr>
          <w:p w14:paraId="2938868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8" w:type="pct"/>
            <w:shd w:val="clear" w:color="auto" w:fill="FFFFFF"/>
            <w:tcMar>
              <w:top w:w="15" w:type="dxa"/>
              <w:left w:w="0" w:type="dxa"/>
              <w:bottom w:w="0" w:type="dxa"/>
              <w:right w:w="15" w:type="dxa"/>
            </w:tcMar>
            <w:vAlign w:val="bottom"/>
            <w:hideMark/>
          </w:tcPr>
          <w:p w14:paraId="788E80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D723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16A4223" w14:textId="77777777" w:rsidR="00000000" w:rsidRDefault="00582324">
            <w:pPr>
              <w:pStyle w:val="a3"/>
              <w:spacing w:before="0" w:beforeAutospacing="0" w:after="0" w:afterAutospacing="0"/>
              <w:jc w:val="right"/>
              <w:rPr>
                <w:color w:val="000000"/>
                <w:sz w:val="18"/>
                <w:szCs w:val="18"/>
              </w:rPr>
            </w:pPr>
            <w:r>
              <w:rPr>
                <w:color w:val="000000"/>
                <w:sz w:val="18"/>
                <w:szCs w:val="18"/>
              </w:rPr>
              <w:t>13,224</w:t>
            </w:r>
          </w:p>
        </w:tc>
        <w:tc>
          <w:tcPr>
            <w:tcW w:w="50" w:type="pct"/>
            <w:shd w:val="clear" w:color="auto" w:fill="FFFFFF"/>
            <w:noWrap/>
            <w:tcMar>
              <w:top w:w="15" w:type="dxa"/>
              <w:left w:w="0" w:type="dxa"/>
              <w:bottom w:w="0" w:type="dxa"/>
              <w:right w:w="15" w:type="dxa"/>
            </w:tcMar>
            <w:vAlign w:val="bottom"/>
            <w:hideMark/>
          </w:tcPr>
          <w:p w14:paraId="3477FA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79C66D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5B85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E2CB679" w14:textId="77777777" w:rsidR="00000000" w:rsidRDefault="00582324">
            <w:pPr>
              <w:pStyle w:val="a3"/>
              <w:spacing w:before="0" w:beforeAutospacing="0" w:after="0" w:afterAutospacing="0"/>
              <w:jc w:val="right"/>
              <w:rPr>
                <w:color w:val="000000"/>
                <w:sz w:val="18"/>
                <w:szCs w:val="18"/>
              </w:rPr>
            </w:pPr>
            <w:r>
              <w:rPr>
                <w:color w:val="000000"/>
                <w:sz w:val="18"/>
                <w:szCs w:val="18"/>
              </w:rPr>
              <w:t>841</w:t>
            </w:r>
          </w:p>
        </w:tc>
        <w:tc>
          <w:tcPr>
            <w:tcW w:w="50" w:type="pct"/>
            <w:shd w:val="clear" w:color="auto" w:fill="FFFFFF"/>
            <w:noWrap/>
            <w:tcMar>
              <w:top w:w="15" w:type="dxa"/>
              <w:left w:w="0" w:type="dxa"/>
              <w:bottom w:w="0" w:type="dxa"/>
              <w:right w:w="15" w:type="dxa"/>
            </w:tcMar>
            <w:vAlign w:val="bottom"/>
            <w:hideMark/>
          </w:tcPr>
          <w:p w14:paraId="44612B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5ED67A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1405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C29D0D4" w14:textId="77777777" w:rsidR="00000000" w:rsidRDefault="00582324">
            <w:pPr>
              <w:pStyle w:val="a3"/>
              <w:spacing w:before="0" w:beforeAutospacing="0" w:after="0" w:afterAutospacing="0"/>
              <w:jc w:val="right"/>
              <w:rPr>
                <w:color w:val="000000"/>
                <w:sz w:val="18"/>
                <w:szCs w:val="18"/>
              </w:rPr>
            </w:pPr>
            <w:r>
              <w:rPr>
                <w:color w:val="000000"/>
                <w:sz w:val="18"/>
                <w:szCs w:val="18"/>
              </w:rPr>
              <w:t>14,065</w:t>
            </w:r>
          </w:p>
        </w:tc>
        <w:tc>
          <w:tcPr>
            <w:tcW w:w="50" w:type="pct"/>
            <w:shd w:val="clear" w:color="auto" w:fill="FFFFFF"/>
            <w:noWrap/>
            <w:tcMar>
              <w:top w:w="15" w:type="dxa"/>
              <w:left w:w="0" w:type="dxa"/>
              <w:bottom w:w="0" w:type="dxa"/>
              <w:right w:w="15" w:type="dxa"/>
            </w:tcMar>
            <w:vAlign w:val="bottom"/>
            <w:hideMark/>
          </w:tcPr>
          <w:p w14:paraId="7B3D23D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3A85C80" w14:textId="77777777">
        <w:trPr>
          <w:divId w:val="1443497374"/>
        </w:trPr>
        <w:tc>
          <w:tcPr>
            <w:tcW w:w="2046" w:type="pct"/>
            <w:shd w:val="clear" w:color="auto" w:fill="FFFFFF"/>
            <w:tcMar>
              <w:top w:w="15" w:type="dxa"/>
              <w:left w:w="0" w:type="dxa"/>
              <w:bottom w:w="0" w:type="dxa"/>
              <w:right w:w="15" w:type="dxa"/>
            </w:tcMar>
            <w:vAlign w:val="bottom"/>
            <w:hideMark/>
          </w:tcPr>
          <w:p w14:paraId="2E6C37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08AC10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2855" w:type="pct"/>
            <w:gridSpan w:val="22"/>
            <w:tcBorders>
              <w:bottom w:val="single" w:sz="6" w:space="0" w:color="000000"/>
            </w:tcBorders>
            <w:shd w:val="clear" w:color="auto" w:fill="FFFFFF"/>
            <w:tcMar>
              <w:top w:w="15" w:type="dxa"/>
              <w:left w:w="0" w:type="dxa"/>
              <w:bottom w:w="0" w:type="dxa"/>
              <w:right w:w="15" w:type="dxa"/>
            </w:tcMar>
            <w:vAlign w:val="bottom"/>
            <w:hideMark/>
          </w:tcPr>
          <w:p w14:paraId="4BEF4B0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Six Months Ended June 30,</w:t>
            </w:r>
          </w:p>
        </w:tc>
        <w:tc>
          <w:tcPr>
            <w:tcW w:w="50" w:type="pct"/>
            <w:shd w:val="clear" w:color="auto" w:fill="FFFFFF"/>
            <w:noWrap/>
            <w:tcMar>
              <w:top w:w="15" w:type="dxa"/>
              <w:left w:w="0" w:type="dxa"/>
              <w:bottom w:w="0" w:type="dxa"/>
              <w:right w:w="15" w:type="dxa"/>
            </w:tcMar>
            <w:vAlign w:val="bottom"/>
            <w:hideMark/>
          </w:tcPr>
          <w:p w14:paraId="361D78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5D6E53A" w14:textId="77777777">
        <w:trPr>
          <w:divId w:val="1443497374"/>
        </w:trPr>
        <w:tc>
          <w:tcPr>
            <w:tcW w:w="2046" w:type="pct"/>
            <w:shd w:val="clear" w:color="auto" w:fill="FFFFFF"/>
            <w:tcMar>
              <w:top w:w="15" w:type="dxa"/>
              <w:left w:w="0" w:type="dxa"/>
              <w:bottom w:w="0" w:type="dxa"/>
              <w:right w:w="15" w:type="dxa"/>
            </w:tcMar>
            <w:vAlign w:val="bottom"/>
            <w:hideMark/>
          </w:tcPr>
          <w:p w14:paraId="0CF168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245412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7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6740C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3C2DDA7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236AA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378"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BED3C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4ECEFD4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7519119" w14:textId="77777777">
        <w:trPr>
          <w:divId w:val="1443497374"/>
        </w:trPr>
        <w:tc>
          <w:tcPr>
            <w:tcW w:w="2046" w:type="pct"/>
            <w:tcBorders>
              <w:bottom w:val="single" w:sz="6" w:space="0" w:color="000000"/>
            </w:tcBorders>
            <w:shd w:val="clear" w:color="auto" w:fill="FFFFFF"/>
            <w:tcMar>
              <w:top w:w="15" w:type="dxa"/>
              <w:left w:w="0" w:type="dxa"/>
              <w:bottom w:w="0" w:type="dxa"/>
              <w:right w:w="15" w:type="dxa"/>
            </w:tcMar>
            <w:vAlign w:val="bottom"/>
            <w:hideMark/>
          </w:tcPr>
          <w:p w14:paraId="5024E5D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shd w:val="clear" w:color="auto" w:fill="FFFFFF"/>
            <w:tcMar>
              <w:top w:w="15" w:type="dxa"/>
              <w:left w:w="0" w:type="dxa"/>
              <w:bottom w:w="0" w:type="dxa"/>
              <w:right w:w="15" w:type="dxa"/>
            </w:tcMar>
            <w:vAlign w:val="bottom"/>
            <w:hideMark/>
          </w:tcPr>
          <w:p w14:paraId="329362F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489E7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 reported</w:t>
            </w:r>
          </w:p>
        </w:tc>
        <w:tc>
          <w:tcPr>
            <w:tcW w:w="50" w:type="pct"/>
            <w:shd w:val="clear" w:color="auto" w:fill="FFFFFF"/>
            <w:noWrap/>
            <w:tcMar>
              <w:top w:w="15" w:type="dxa"/>
              <w:left w:w="0" w:type="dxa"/>
              <w:bottom w:w="0" w:type="dxa"/>
              <w:right w:w="15" w:type="dxa"/>
            </w:tcMar>
            <w:vAlign w:val="bottom"/>
            <w:hideMark/>
          </w:tcPr>
          <w:p w14:paraId="0BF3CA9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22AFE5C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0E3AB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Acquisitions</w:t>
            </w:r>
          </w:p>
          <w:p w14:paraId="29EE4B6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35CF839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F8E5A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0B8F9D7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99086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4CE3D19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5AEBC7C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shd w:val="clear" w:color="auto" w:fill="FFFFFF"/>
            <w:noWrap/>
            <w:tcMar>
              <w:top w:w="15" w:type="dxa"/>
              <w:left w:w="0" w:type="dxa"/>
              <w:bottom w:w="0" w:type="dxa"/>
              <w:right w:w="15" w:type="dxa"/>
            </w:tcMar>
            <w:vAlign w:val="bottom"/>
            <w:hideMark/>
          </w:tcPr>
          <w:p w14:paraId="225CBD5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5AD7AEF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5FC16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 reported</w:t>
            </w:r>
          </w:p>
        </w:tc>
        <w:tc>
          <w:tcPr>
            <w:tcW w:w="50" w:type="pct"/>
            <w:shd w:val="clear" w:color="auto" w:fill="FFFFFF"/>
            <w:noWrap/>
            <w:tcMar>
              <w:top w:w="15" w:type="dxa"/>
              <w:left w:w="0" w:type="dxa"/>
              <w:bottom w:w="0" w:type="dxa"/>
              <w:right w:w="15" w:type="dxa"/>
            </w:tcMar>
            <w:vAlign w:val="bottom"/>
            <w:hideMark/>
          </w:tcPr>
          <w:p w14:paraId="378A479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4EE8F27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A9FF0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Acquisitions</w:t>
            </w:r>
          </w:p>
          <w:p w14:paraId="69A9231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18B496C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0A281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14:paraId="17AFD5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A78B0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698D5D7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Pro-Forma</w:t>
            </w:r>
          </w:p>
          <w:p w14:paraId="6F467FF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(Unaudited)</w:t>
            </w:r>
          </w:p>
        </w:tc>
        <w:tc>
          <w:tcPr>
            <w:tcW w:w="50" w:type="pct"/>
            <w:shd w:val="clear" w:color="auto" w:fill="FFFFFF"/>
            <w:noWrap/>
            <w:tcMar>
              <w:top w:w="15" w:type="dxa"/>
              <w:left w:w="0" w:type="dxa"/>
              <w:bottom w:w="0" w:type="dxa"/>
              <w:right w:w="15" w:type="dxa"/>
            </w:tcMar>
            <w:vAlign w:val="bottom"/>
            <w:hideMark/>
          </w:tcPr>
          <w:p w14:paraId="7EA8A86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AD3EE3F" w14:textId="77777777">
        <w:trPr>
          <w:divId w:val="1443497374"/>
        </w:trPr>
        <w:tc>
          <w:tcPr>
            <w:tcW w:w="2046" w:type="pct"/>
            <w:tcBorders>
              <w:top w:val="single" w:sz="6" w:space="0" w:color="000000"/>
            </w:tcBorders>
            <w:shd w:val="clear" w:color="auto" w:fill="CFF0FC"/>
            <w:tcMar>
              <w:top w:w="15" w:type="dxa"/>
              <w:left w:w="0" w:type="dxa"/>
              <w:bottom w:w="0" w:type="dxa"/>
              <w:right w:w="15" w:type="dxa"/>
            </w:tcMar>
            <w:hideMark/>
          </w:tcPr>
          <w:p w14:paraId="7F383489" w14:textId="77777777" w:rsidR="00000000" w:rsidRDefault="00582324">
            <w:pPr>
              <w:pStyle w:val="a3"/>
              <w:spacing w:before="0" w:beforeAutospacing="0" w:after="0" w:afterAutospacing="0"/>
              <w:rPr>
                <w:color w:val="000000"/>
                <w:sz w:val="18"/>
                <w:szCs w:val="18"/>
              </w:rPr>
            </w:pPr>
            <w:r>
              <w:rPr>
                <w:color w:val="000000"/>
                <w:sz w:val="18"/>
                <w:szCs w:val="18"/>
              </w:rPr>
              <w:t>Revenues</w:t>
            </w:r>
          </w:p>
        </w:tc>
        <w:tc>
          <w:tcPr>
            <w:tcW w:w="48" w:type="pct"/>
            <w:shd w:val="clear" w:color="auto" w:fill="CFF0FC"/>
            <w:tcMar>
              <w:top w:w="15" w:type="dxa"/>
              <w:left w:w="0" w:type="dxa"/>
              <w:bottom w:w="0" w:type="dxa"/>
              <w:right w:w="15" w:type="dxa"/>
            </w:tcMar>
            <w:vAlign w:val="bottom"/>
            <w:hideMark/>
          </w:tcPr>
          <w:p w14:paraId="2A445E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E6B8B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D4809E8" w14:textId="77777777" w:rsidR="00000000" w:rsidRDefault="00582324">
            <w:pPr>
              <w:pStyle w:val="a3"/>
              <w:spacing w:before="0" w:beforeAutospacing="0" w:after="0" w:afterAutospacing="0"/>
              <w:jc w:val="right"/>
              <w:rPr>
                <w:color w:val="000000"/>
                <w:sz w:val="18"/>
                <w:szCs w:val="18"/>
              </w:rPr>
            </w:pPr>
            <w:r>
              <w:rPr>
                <w:color w:val="000000"/>
                <w:sz w:val="18"/>
                <w:szCs w:val="18"/>
              </w:rPr>
              <w:t>270,041</w:t>
            </w:r>
          </w:p>
        </w:tc>
        <w:tc>
          <w:tcPr>
            <w:tcW w:w="50" w:type="pct"/>
            <w:shd w:val="clear" w:color="auto" w:fill="CFF0FC"/>
            <w:noWrap/>
            <w:tcMar>
              <w:top w:w="15" w:type="dxa"/>
              <w:left w:w="0" w:type="dxa"/>
              <w:bottom w:w="0" w:type="dxa"/>
              <w:right w:w="15" w:type="dxa"/>
            </w:tcMar>
            <w:vAlign w:val="bottom"/>
            <w:hideMark/>
          </w:tcPr>
          <w:p w14:paraId="4FB0FE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5421FE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34071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1FFF74F" w14:textId="77777777" w:rsidR="00000000" w:rsidRDefault="00582324">
            <w:pPr>
              <w:pStyle w:val="a3"/>
              <w:spacing w:before="0" w:beforeAutospacing="0" w:after="0" w:afterAutospacing="0"/>
              <w:jc w:val="right"/>
              <w:rPr>
                <w:color w:val="000000"/>
                <w:sz w:val="18"/>
                <w:szCs w:val="18"/>
              </w:rPr>
            </w:pPr>
            <w:r>
              <w:rPr>
                <w:color w:val="000000"/>
                <w:sz w:val="18"/>
                <w:szCs w:val="18"/>
              </w:rPr>
              <w:t>2,381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BF6D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51CF7B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CE61B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B8759F5" w14:textId="77777777" w:rsidR="00000000" w:rsidRDefault="00582324">
            <w:pPr>
              <w:pStyle w:val="a3"/>
              <w:spacing w:before="0" w:beforeAutospacing="0" w:after="0" w:afterAutospacing="0"/>
              <w:jc w:val="right"/>
              <w:rPr>
                <w:color w:val="000000"/>
                <w:sz w:val="18"/>
                <w:szCs w:val="18"/>
              </w:rPr>
            </w:pPr>
            <w:r>
              <w:rPr>
                <w:color w:val="000000"/>
                <w:sz w:val="18"/>
                <w:szCs w:val="18"/>
              </w:rPr>
              <w:t>272,422</w:t>
            </w:r>
          </w:p>
        </w:tc>
        <w:tc>
          <w:tcPr>
            <w:tcW w:w="50" w:type="pct"/>
            <w:shd w:val="clear" w:color="auto" w:fill="CFF0FC"/>
            <w:noWrap/>
            <w:tcMar>
              <w:top w:w="15" w:type="dxa"/>
              <w:left w:w="0" w:type="dxa"/>
              <w:bottom w:w="0" w:type="dxa"/>
              <w:right w:w="15" w:type="dxa"/>
            </w:tcMar>
            <w:vAlign w:val="bottom"/>
            <w:hideMark/>
          </w:tcPr>
          <w:p w14:paraId="2292F9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7B87DE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73EC4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83C1EF5" w14:textId="77777777" w:rsidR="00000000" w:rsidRDefault="00582324">
            <w:pPr>
              <w:pStyle w:val="a3"/>
              <w:spacing w:before="0" w:beforeAutospacing="0" w:after="0" w:afterAutospacing="0"/>
              <w:jc w:val="right"/>
              <w:rPr>
                <w:color w:val="000000"/>
                <w:sz w:val="18"/>
                <w:szCs w:val="18"/>
              </w:rPr>
            </w:pPr>
            <w:r>
              <w:rPr>
                <w:color w:val="000000"/>
                <w:sz w:val="18"/>
                <w:szCs w:val="18"/>
              </w:rPr>
              <w:t>134,797</w:t>
            </w:r>
          </w:p>
        </w:tc>
        <w:tc>
          <w:tcPr>
            <w:tcW w:w="50" w:type="pct"/>
            <w:shd w:val="clear" w:color="auto" w:fill="CFF0FC"/>
            <w:noWrap/>
            <w:tcMar>
              <w:top w:w="15" w:type="dxa"/>
              <w:left w:w="0" w:type="dxa"/>
              <w:bottom w:w="0" w:type="dxa"/>
              <w:right w:w="15" w:type="dxa"/>
            </w:tcMar>
            <w:vAlign w:val="bottom"/>
            <w:hideMark/>
          </w:tcPr>
          <w:p w14:paraId="457C7B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539D25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C7639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2440A98" w14:textId="77777777" w:rsidR="00000000" w:rsidRDefault="00582324">
            <w:pPr>
              <w:pStyle w:val="a3"/>
              <w:spacing w:before="0" w:beforeAutospacing="0" w:after="0" w:afterAutospacing="0"/>
              <w:jc w:val="right"/>
              <w:rPr>
                <w:color w:val="000000"/>
                <w:sz w:val="18"/>
                <w:szCs w:val="18"/>
              </w:rPr>
            </w:pPr>
            <w:r>
              <w:rPr>
                <w:color w:val="000000"/>
                <w:sz w:val="18"/>
                <w:szCs w:val="18"/>
              </w:rPr>
              <w:t>43,326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573D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CFF0FC"/>
            <w:tcMar>
              <w:top w:w="15" w:type="dxa"/>
              <w:left w:w="0" w:type="dxa"/>
              <w:bottom w:w="0" w:type="dxa"/>
              <w:right w:w="15" w:type="dxa"/>
            </w:tcMar>
            <w:vAlign w:val="bottom"/>
            <w:hideMark/>
          </w:tcPr>
          <w:p w14:paraId="08D712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DD6D1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2AE2347" w14:textId="77777777" w:rsidR="00000000" w:rsidRDefault="00582324">
            <w:pPr>
              <w:pStyle w:val="a3"/>
              <w:spacing w:before="0" w:beforeAutospacing="0" w:after="0" w:afterAutospacing="0"/>
              <w:jc w:val="right"/>
              <w:rPr>
                <w:color w:val="000000"/>
                <w:sz w:val="18"/>
                <w:szCs w:val="18"/>
              </w:rPr>
            </w:pPr>
            <w:r>
              <w:rPr>
                <w:color w:val="000000"/>
                <w:sz w:val="18"/>
                <w:szCs w:val="18"/>
              </w:rPr>
              <w:t>178,123</w:t>
            </w:r>
          </w:p>
        </w:tc>
        <w:tc>
          <w:tcPr>
            <w:tcW w:w="50" w:type="pct"/>
            <w:shd w:val="clear" w:color="auto" w:fill="CFF0FC"/>
            <w:noWrap/>
            <w:tcMar>
              <w:top w:w="15" w:type="dxa"/>
              <w:left w:w="0" w:type="dxa"/>
              <w:bottom w:w="0" w:type="dxa"/>
              <w:right w:w="15" w:type="dxa"/>
            </w:tcMar>
            <w:vAlign w:val="bottom"/>
            <w:hideMark/>
          </w:tcPr>
          <w:p w14:paraId="1D8C4F8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6B48BC6" w14:textId="77777777">
        <w:trPr>
          <w:divId w:val="1443497374"/>
        </w:trPr>
        <w:tc>
          <w:tcPr>
            <w:tcW w:w="2046" w:type="pct"/>
            <w:shd w:val="clear" w:color="auto" w:fill="FFFFFF"/>
            <w:tcMar>
              <w:top w:w="15" w:type="dxa"/>
              <w:left w:w="0" w:type="dxa"/>
              <w:bottom w:w="0" w:type="dxa"/>
              <w:right w:w="15" w:type="dxa"/>
            </w:tcMar>
            <w:hideMark/>
          </w:tcPr>
          <w:p w14:paraId="1F67B890" w14:textId="77777777" w:rsidR="00000000" w:rsidRDefault="00582324">
            <w:pPr>
              <w:pStyle w:val="a3"/>
              <w:spacing w:before="0" w:beforeAutospacing="0" w:after="0" w:afterAutospacing="0"/>
              <w:rPr>
                <w:color w:val="000000"/>
                <w:sz w:val="18"/>
                <w:szCs w:val="18"/>
              </w:rPr>
            </w:pPr>
            <w:r>
              <w:rPr>
                <w:color w:val="000000"/>
                <w:sz w:val="18"/>
                <w:szCs w:val="18"/>
              </w:rPr>
              <w:t>Net (loss) income</w:t>
            </w:r>
          </w:p>
        </w:tc>
        <w:tc>
          <w:tcPr>
            <w:tcW w:w="48" w:type="pct"/>
            <w:shd w:val="clear" w:color="auto" w:fill="FFFFFF"/>
            <w:tcMar>
              <w:top w:w="15" w:type="dxa"/>
              <w:left w:w="0" w:type="dxa"/>
              <w:bottom w:w="0" w:type="dxa"/>
              <w:right w:w="15" w:type="dxa"/>
            </w:tcMar>
            <w:vAlign w:val="bottom"/>
            <w:hideMark/>
          </w:tcPr>
          <w:p w14:paraId="69201F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05F1A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B952922" w14:textId="77777777" w:rsidR="00000000" w:rsidRDefault="00582324">
            <w:pPr>
              <w:pStyle w:val="a3"/>
              <w:spacing w:before="0" w:beforeAutospacing="0" w:after="0" w:afterAutospacing="0"/>
              <w:jc w:val="right"/>
              <w:rPr>
                <w:color w:val="000000"/>
                <w:sz w:val="18"/>
                <w:szCs w:val="18"/>
              </w:rPr>
            </w:pPr>
            <w:r>
              <w:rPr>
                <w:color w:val="000000"/>
                <w:sz w:val="18"/>
                <w:szCs w:val="18"/>
              </w:rPr>
              <w:t>(26,079</w:t>
            </w:r>
          </w:p>
        </w:tc>
        <w:tc>
          <w:tcPr>
            <w:tcW w:w="50" w:type="pct"/>
            <w:shd w:val="clear" w:color="auto" w:fill="FFFFFF"/>
            <w:noWrap/>
            <w:tcMar>
              <w:top w:w="15" w:type="dxa"/>
              <w:left w:w="0" w:type="dxa"/>
              <w:bottom w:w="0" w:type="dxa"/>
              <w:right w:w="15" w:type="dxa"/>
            </w:tcMar>
            <w:vAlign w:val="bottom"/>
            <w:hideMark/>
          </w:tcPr>
          <w:p w14:paraId="1457C95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8" w:type="pct"/>
            <w:shd w:val="clear" w:color="auto" w:fill="FFFFFF"/>
            <w:tcMar>
              <w:top w:w="15" w:type="dxa"/>
              <w:left w:w="0" w:type="dxa"/>
              <w:bottom w:w="0" w:type="dxa"/>
              <w:right w:w="15" w:type="dxa"/>
            </w:tcMar>
            <w:vAlign w:val="bottom"/>
            <w:hideMark/>
          </w:tcPr>
          <w:p w14:paraId="06D37C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5829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33FC20C" w14:textId="77777777" w:rsidR="00000000" w:rsidRDefault="00582324">
            <w:pPr>
              <w:pStyle w:val="a3"/>
              <w:spacing w:before="0" w:beforeAutospacing="0" w:after="0" w:afterAutospacing="0"/>
              <w:jc w:val="right"/>
              <w:rPr>
                <w:color w:val="000000"/>
                <w:sz w:val="18"/>
                <w:szCs w:val="18"/>
              </w:rPr>
            </w:pPr>
            <w:r>
              <w:rPr>
                <w:color w:val="000000"/>
                <w:sz w:val="18"/>
                <w:szCs w:val="18"/>
              </w:rPr>
              <w:t>166</w:t>
            </w:r>
          </w:p>
        </w:tc>
        <w:tc>
          <w:tcPr>
            <w:tcW w:w="50" w:type="pct"/>
            <w:shd w:val="clear" w:color="auto" w:fill="FFFFFF"/>
            <w:noWrap/>
            <w:tcMar>
              <w:top w:w="15" w:type="dxa"/>
              <w:left w:w="0" w:type="dxa"/>
              <w:bottom w:w="0" w:type="dxa"/>
              <w:right w:w="15" w:type="dxa"/>
            </w:tcMar>
            <w:vAlign w:val="bottom"/>
            <w:hideMark/>
          </w:tcPr>
          <w:p w14:paraId="600411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1720AF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FB69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7054CDA" w14:textId="77777777" w:rsidR="00000000" w:rsidRDefault="00582324">
            <w:pPr>
              <w:pStyle w:val="a3"/>
              <w:spacing w:before="0" w:beforeAutospacing="0" w:after="0" w:afterAutospacing="0"/>
              <w:jc w:val="right"/>
              <w:rPr>
                <w:color w:val="000000"/>
                <w:sz w:val="18"/>
                <w:szCs w:val="18"/>
              </w:rPr>
            </w:pPr>
            <w:r>
              <w:rPr>
                <w:color w:val="000000"/>
                <w:sz w:val="18"/>
                <w:szCs w:val="18"/>
              </w:rPr>
              <w:t>(25,913</w:t>
            </w:r>
          </w:p>
        </w:tc>
        <w:tc>
          <w:tcPr>
            <w:tcW w:w="50" w:type="pct"/>
            <w:shd w:val="clear" w:color="auto" w:fill="FFFFFF"/>
            <w:noWrap/>
            <w:tcMar>
              <w:top w:w="15" w:type="dxa"/>
              <w:left w:w="0" w:type="dxa"/>
              <w:bottom w:w="0" w:type="dxa"/>
              <w:right w:w="15" w:type="dxa"/>
            </w:tcMar>
            <w:vAlign w:val="bottom"/>
            <w:hideMark/>
          </w:tcPr>
          <w:p w14:paraId="0162390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8" w:type="pct"/>
            <w:shd w:val="clear" w:color="auto" w:fill="FFFFFF"/>
            <w:tcMar>
              <w:top w:w="15" w:type="dxa"/>
              <w:left w:w="0" w:type="dxa"/>
              <w:bottom w:w="0" w:type="dxa"/>
              <w:right w:w="15" w:type="dxa"/>
            </w:tcMar>
            <w:vAlign w:val="bottom"/>
            <w:hideMark/>
          </w:tcPr>
          <w:p w14:paraId="3031FE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FF7E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CB6352A" w14:textId="77777777" w:rsidR="00000000" w:rsidRDefault="00582324">
            <w:pPr>
              <w:pStyle w:val="a3"/>
              <w:spacing w:before="0" w:beforeAutospacing="0" w:after="0" w:afterAutospacing="0"/>
              <w:jc w:val="right"/>
              <w:rPr>
                <w:color w:val="000000"/>
                <w:sz w:val="18"/>
                <w:szCs w:val="18"/>
              </w:rPr>
            </w:pPr>
            <w:r>
              <w:rPr>
                <w:color w:val="000000"/>
                <w:sz w:val="18"/>
                <w:szCs w:val="18"/>
              </w:rPr>
              <w:t>(28,024</w:t>
            </w:r>
          </w:p>
        </w:tc>
        <w:tc>
          <w:tcPr>
            <w:tcW w:w="50" w:type="pct"/>
            <w:shd w:val="clear" w:color="auto" w:fill="FFFFFF"/>
            <w:noWrap/>
            <w:tcMar>
              <w:top w:w="15" w:type="dxa"/>
              <w:left w:w="0" w:type="dxa"/>
              <w:bottom w:w="0" w:type="dxa"/>
              <w:right w:w="15" w:type="dxa"/>
            </w:tcMar>
            <w:vAlign w:val="bottom"/>
            <w:hideMark/>
          </w:tcPr>
          <w:p w14:paraId="0522584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8" w:type="pct"/>
            <w:shd w:val="clear" w:color="auto" w:fill="FFFFFF"/>
            <w:tcMar>
              <w:top w:w="15" w:type="dxa"/>
              <w:left w:w="0" w:type="dxa"/>
              <w:bottom w:w="0" w:type="dxa"/>
              <w:right w:w="15" w:type="dxa"/>
            </w:tcMar>
            <w:vAlign w:val="bottom"/>
            <w:hideMark/>
          </w:tcPr>
          <w:p w14:paraId="11A146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204A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8DB29A0" w14:textId="77777777" w:rsidR="00000000" w:rsidRDefault="00582324">
            <w:pPr>
              <w:pStyle w:val="a3"/>
              <w:spacing w:before="0" w:beforeAutospacing="0" w:after="0" w:afterAutospacing="0"/>
              <w:jc w:val="right"/>
              <w:rPr>
                <w:color w:val="000000"/>
                <w:sz w:val="18"/>
                <w:szCs w:val="18"/>
              </w:rPr>
            </w:pPr>
            <w:r>
              <w:rPr>
                <w:color w:val="000000"/>
                <w:sz w:val="18"/>
                <w:szCs w:val="18"/>
              </w:rPr>
              <w:t>12,247</w:t>
            </w:r>
          </w:p>
        </w:tc>
        <w:tc>
          <w:tcPr>
            <w:tcW w:w="50" w:type="pct"/>
            <w:shd w:val="clear" w:color="auto" w:fill="FFFFFF"/>
            <w:noWrap/>
            <w:tcMar>
              <w:top w:w="15" w:type="dxa"/>
              <w:left w:w="0" w:type="dxa"/>
              <w:bottom w:w="0" w:type="dxa"/>
              <w:right w:w="15" w:type="dxa"/>
            </w:tcMar>
            <w:vAlign w:val="bottom"/>
            <w:hideMark/>
          </w:tcPr>
          <w:p w14:paraId="4AD8A8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8" w:type="pct"/>
            <w:shd w:val="clear" w:color="auto" w:fill="FFFFFF"/>
            <w:tcMar>
              <w:top w:w="15" w:type="dxa"/>
              <w:left w:w="0" w:type="dxa"/>
              <w:bottom w:w="0" w:type="dxa"/>
              <w:right w:w="15" w:type="dxa"/>
            </w:tcMar>
            <w:vAlign w:val="bottom"/>
            <w:hideMark/>
          </w:tcPr>
          <w:p w14:paraId="74CFC9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6BC9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C1B24B3" w14:textId="77777777" w:rsidR="00000000" w:rsidRDefault="00582324">
            <w:pPr>
              <w:pStyle w:val="a3"/>
              <w:spacing w:before="0" w:beforeAutospacing="0" w:after="0" w:afterAutospacing="0"/>
              <w:jc w:val="right"/>
              <w:rPr>
                <w:color w:val="000000"/>
                <w:sz w:val="18"/>
                <w:szCs w:val="18"/>
              </w:rPr>
            </w:pPr>
            <w:r>
              <w:rPr>
                <w:color w:val="000000"/>
                <w:sz w:val="18"/>
                <w:szCs w:val="18"/>
              </w:rPr>
              <w:t>(15,777</w:t>
            </w:r>
          </w:p>
        </w:tc>
        <w:tc>
          <w:tcPr>
            <w:tcW w:w="50" w:type="pct"/>
            <w:shd w:val="clear" w:color="auto" w:fill="FFFFFF"/>
            <w:noWrap/>
            <w:tcMar>
              <w:top w:w="15" w:type="dxa"/>
              <w:left w:w="0" w:type="dxa"/>
              <w:bottom w:w="0" w:type="dxa"/>
              <w:right w:w="15" w:type="dxa"/>
            </w:tcMar>
            <w:vAlign w:val="bottom"/>
            <w:hideMark/>
          </w:tcPr>
          <w:p w14:paraId="185BD985"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2762F735"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AB282A6"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shd w:val="clear" w:color="auto" w:fill="FFFFFF"/>
        </w:rPr>
        <w:t>During the first quarter of 2020, the Company determined to reduce the footprint of its environmental lab in Berkeley, California, and to exit its non-s</w:t>
      </w:r>
      <w:r>
        <w:rPr>
          <w:color w:val="000000"/>
          <w:sz w:val="20"/>
          <w:szCs w:val="20"/>
          <w:shd w:val="clear" w:color="auto" w:fill="FFFFFF"/>
        </w:rPr>
        <w:t>pecialized municipal water engineering service line and its food waste biogas engineering service line, (together, “the Discontinued Service Lines”). Revenues from Discontinued Service Lines included in revenues in the above table was zero for the three an</w:t>
      </w:r>
      <w:r>
        <w:rPr>
          <w:color w:val="000000"/>
          <w:sz w:val="20"/>
          <w:szCs w:val="20"/>
          <w:shd w:val="clear" w:color="auto" w:fill="FFFFFF"/>
        </w:rPr>
        <w:t>d six months ended June 30, 2021 and $1.3 million and $3.8 million for the three and six months ended June 30, 2020, respectively</w:t>
      </w:r>
      <w:r>
        <w:rPr>
          <w:color w:val="000000"/>
          <w:sz w:val="20"/>
          <w:szCs w:val="20"/>
        </w:rPr>
        <w:t>.</w:t>
      </w:r>
    </w:p>
    <w:p w14:paraId="4D4ADE57" w14:textId="77777777" w:rsidR="00000000" w:rsidRDefault="00582324">
      <w:pPr>
        <w:pStyle w:val="a3"/>
        <w:spacing w:before="240" w:beforeAutospacing="0" w:after="0" w:afterAutospacing="0"/>
        <w:jc w:val="center"/>
        <w:rPr>
          <w:sz w:val="20"/>
          <w:szCs w:val="20"/>
        </w:rPr>
      </w:pPr>
      <w:r>
        <w:rPr>
          <w:sz w:val="20"/>
          <w:szCs w:val="20"/>
        </w:rPr>
        <w:t>14</w:t>
      </w:r>
    </w:p>
    <w:p w14:paraId="4C4086BF" w14:textId="77777777" w:rsidR="00000000" w:rsidRDefault="00582324">
      <w:pPr>
        <w:rPr>
          <w:rFonts w:eastAsia="Times New Roman"/>
        </w:rPr>
      </w:pPr>
      <w:r>
        <w:rPr>
          <w:rFonts w:eastAsia="Times New Roman"/>
        </w:rPr>
        <w:pict w14:anchorId="3BEFA500">
          <v:rect id="_x0000_i1040" style="width:0;height:1.5pt" o:hralign="center" o:hrstd="t" o:hr="t" fillcolor="#a0a0a0" stroked="f"/>
        </w:pict>
      </w:r>
    </w:p>
    <w:p w14:paraId="627E30BD" w14:textId="77777777" w:rsidR="00000000" w:rsidRDefault="00582324">
      <w:pPr>
        <w:pStyle w:val="a3"/>
        <w:spacing w:before="0" w:beforeAutospacing="0" w:after="0" w:afterAutospacing="0"/>
        <w:rPr>
          <w:sz w:val="20"/>
          <w:szCs w:val="20"/>
        </w:rPr>
      </w:pPr>
      <w:r>
        <w:rPr>
          <w:sz w:val="20"/>
          <w:szCs w:val="20"/>
        </w:rPr>
        <w:t> </w:t>
      </w:r>
    </w:p>
    <w:p w14:paraId="1E20BD52" w14:textId="77777777" w:rsidR="00000000" w:rsidRDefault="00582324">
      <w:pPr>
        <w:pStyle w:val="a3"/>
        <w:shd w:val="clear" w:color="auto" w:fill="FFFFFF"/>
        <w:spacing w:before="360" w:beforeAutospacing="0" w:after="0" w:afterAutospacing="0"/>
        <w:rPr>
          <w:b/>
          <w:bCs/>
          <w:sz w:val="20"/>
          <w:szCs w:val="20"/>
        </w:rPr>
      </w:pPr>
      <w:r>
        <w:rPr>
          <w:b/>
          <w:bCs/>
          <w:sz w:val="20"/>
          <w:szCs w:val="20"/>
        </w:rPr>
        <w:t>8. GOODWILL AND INTANGIBLE ASSETS</w:t>
      </w:r>
    </w:p>
    <w:p w14:paraId="690BB386"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Amounts related to goodwill are as follows:</w:t>
      </w:r>
    </w:p>
    <w:p w14:paraId="00F3197D"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259"/>
        <w:gridCol w:w="60"/>
        <w:gridCol w:w="106"/>
        <w:gridCol w:w="847"/>
        <w:gridCol w:w="60"/>
        <w:gridCol w:w="60"/>
        <w:gridCol w:w="106"/>
        <w:gridCol w:w="969"/>
        <w:gridCol w:w="60"/>
        <w:gridCol w:w="60"/>
        <w:gridCol w:w="106"/>
        <w:gridCol w:w="897"/>
        <w:gridCol w:w="60"/>
        <w:gridCol w:w="60"/>
        <w:gridCol w:w="105"/>
        <w:gridCol w:w="600"/>
        <w:gridCol w:w="60"/>
      </w:tblGrid>
      <w:tr w:rsidR="00000000" w14:paraId="69E63978" w14:textId="77777777">
        <w:trPr>
          <w:divId w:val="744762367"/>
        </w:trPr>
        <w:tc>
          <w:tcPr>
            <w:tcW w:w="2517" w:type="pct"/>
            <w:shd w:val="clear" w:color="auto" w:fill="FFFFFF"/>
            <w:tcMar>
              <w:top w:w="15" w:type="dxa"/>
              <w:left w:w="0" w:type="dxa"/>
              <w:bottom w:w="0" w:type="dxa"/>
              <w:right w:w="15" w:type="dxa"/>
            </w:tcMar>
            <w:vAlign w:val="bottom"/>
            <w:hideMark/>
          </w:tcPr>
          <w:p w14:paraId="092582EA" w14:textId="77777777" w:rsidR="00000000" w:rsidRDefault="00582324">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F1C0ED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72715C0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Assessment,</w:t>
            </w:r>
          </w:p>
          <w:p w14:paraId="01E4509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Permitting</w:t>
            </w:r>
          </w:p>
          <w:p w14:paraId="2EF44E7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and Response</w:t>
            </w:r>
          </w:p>
        </w:tc>
        <w:tc>
          <w:tcPr>
            <w:tcW w:w="50" w:type="pct"/>
            <w:shd w:val="clear" w:color="auto" w:fill="FFFFFF"/>
            <w:noWrap/>
            <w:tcMar>
              <w:top w:w="15" w:type="dxa"/>
              <w:left w:w="0" w:type="dxa"/>
              <w:bottom w:w="0" w:type="dxa"/>
              <w:right w:w="15" w:type="dxa"/>
            </w:tcMar>
            <w:vAlign w:val="bottom"/>
            <w:hideMark/>
          </w:tcPr>
          <w:p w14:paraId="6D72885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1" w:type="pct"/>
            <w:shd w:val="clear" w:color="auto" w:fill="FFFFFF"/>
            <w:tcMar>
              <w:top w:w="15" w:type="dxa"/>
              <w:left w:w="0" w:type="dxa"/>
              <w:bottom w:w="0" w:type="dxa"/>
              <w:right w:w="15" w:type="dxa"/>
            </w:tcMar>
            <w:vAlign w:val="bottom"/>
            <w:hideMark/>
          </w:tcPr>
          <w:p w14:paraId="5DE463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1DCB965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Measurement</w:t>
            </w:r>
          </w:p>
          <w:p w14:paraId="2653BFC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and</w:t>
            </w:r>
          </w:p>
          <w:p w14:paraId="75F1214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Analysis</w:t>
            </w:r>
          </w:p>
        </w:tc>
        <w:tc>
          <w:tcPr>
            <w:tcW w:w="50" w:type="pct"/>
            <w:shd w:val="clear" w:color="auto" w:fill="FFFFFF"/>
            <w:noWrap/>
            <w:tcMar>
              <w:top w:w="15" w:type="dxa"/>
              <w:left w:w="0" w:type="dxa"/>
              <w:bottom w:w="0" w:type="dxa"/>
              <w:right w:w="15" w:type="dxa"/>
            </w:tcMar>
            <w:vAlign w:val="bottom"/>
            <w:hideMark/>
          </w:tcPr>
          <w:p w14:paraId="3E95FDB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1" w:type="pct"/>
            <w:shd w:val="clear" w:color="auto" w:fill="FFFFFF"/>
            <w:tcMar>
              <w:top w:w="15" w:type="dxa"/>
              <w:left w:w="0" w:type="dxa"/>
              <w:bottom w:w="0" w:type="dxa"/>
              <w:right w:w="15" w:type="dxa"/>
            </w:tcMar>
            <w:vAlign w:val="bottom"/>
            <w:hideMark/>
          </w:tcPr>
          <w:p w14:paraId="1B33A21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6DEE85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Remediation</w:t>
            </w:r>
          </w:p>
          <w:p w14:paraId="5083EEC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and</w:t>
            </w:r>
          </w:p>
          <w:p w14:paraId="706B2ED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Reuse</w:t>
            </w:r>
          </w:p>
        </w:tc>
        <w:tc>
          <w:tcPr>
            <w:tcW w:w="50" w:type="pct"/>
            <w:shd w:val="clear" w:color="auto" w:fill="FFFFFF"/>
            <w:noWrap/>
            <w:tcMar>
              <w:top w:w="15" w:type="dxa"/>
              <w:left w:w="0" w:type="dxa"/>
              <w:bottom w:w="0" w:type="dxa"/>
              <w:right w:w="15" w:type="dxa"/>
            </w:tcMar>
            <w:vAlign w:val="bottom"/>
            <w:hideMark/>
          </w:tcPr>
          <w:p w14:paraId="5AF0C7F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1" w:type="pct"/>
            <w:shd w:val="clear" w:color="auto" w:fill="FFFFFF"/>
            <w:tcMar>
              <w:top w:w="15" w:type="dxa"/>
              <w:left w:w="0" w:type="dxa"/>
              <w:bottom w:w="0" w:type="dxa"/>
              <w:right w:w="15" w:type="dxa"/>
            </w:tcMar>
            <w:vAlign w:val="bottom"/>
            <w:hideMark/>
          </w:tcPr>
          <w:p w14:paraId="623360A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681013C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4BD29D3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29BADC3" w14:textId="77777777">
        <w:trPr>
          <w:divId w:val="744762367"/>
        </w:trPr>
        <w:tc>
          <w:tcPr>
            <w:tcW w:w="2517" w:type="pct"/>
            <w:shd w:val="clear" w:color="auto" w:fill="CFF0FC"/>
            <w:tcMar>
              <w:top w:w="15" w:type="dxa"/>
              <w:left w:w="0" w:type="dxa"/>
              <w:bottom w:w="0" w:type="dxa"/>
              <w:right w:w="15" w:type="dxa"/>
            </w:tcMar>
            <w:hideMark/>
          </w:tcPr>
          <w:p w14:paraId="40379F6A" w14:textId="77777777" w:rsidR="00000000" w:rsidRDefault="00582324">
            <w:pPr>
              <w:pStyle w:val="a3"/>
              <w:spacing w:before="0" w:beforeAutospacing="0" w:after="0" w:afterAutospacing="0"/>
              <w:rPr>
                <w:color w:val="000000"/>
                <w:sz w:val="18"/>
                <w:szCs w:val="18"/>
              </w:rPr>
            </w:pPr>
            <w:r>
              <w:rPr>
                <w:color w:val="000000"/>
                <w:sz w:val="18"/>
                <w:szCs w:val="18"/>
              </w:rPr>
              <w:t>Balance as of December 31, 2020</w:t>
            </w:r>
          </w:p>
        </w:tc>
        <w:tc>
          <w:tcPr>
            <w:tcW w:w="61" w:type="pct"/>
            <w:shd w:val="clear" w:color="auto" w:fill="CFF0FC"/>
            <w:tcMar>
              <w:top w:w="15" w:type="dxa"/>
              <w:left w:w="0" w:type="dxa"/>
              <w:bottom w:w="0" w:type="dxa"/>
              <w:right w:w="15" w:type="dxa"/>
            </w:tcMar>
            <w:vAlign w:val="bottom"/>
            <w:hideMark/>
          </w:tcPr>
          <w:p w14:paraId="30EB71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79026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45E608A" w14:textId="77777777" w:rsidR="00000000" w:rsidRDefault="00582324">
            <w:pPr>
              <w:pStyle w:val="a3"/>
              <w:spacing w:before="0" w:beforeAutospacing="0" w:after="0" w:afterAutospacing="0"/>
              <w:jc w:val="right"/>
              <w:rPr>
                <w:color w:val="000000"/>
                <w:sz w:val="18"/>
                <w:szCs w:val="18"/>
              </w:rPr>
            </w:pPr>
            <w:r>
              <w:rPr>
                <w:color w:val="000000"/>
                <w:sz w:val="18"/>
                <w:szCs w:val="18"/>
              </w:rPr>
              <w:t>162,156</w:t>
            </w:r>
          </w:p>
        </w:tc>
        <w:tc>
          <w:tcPr>
            <w:tcW w:w="50" w:type="pct"/>
            <w:shd w:val="clear" w:color="auto" w:fill="CFF0FC"/>
            <w:noWrap/>
            <w:tcMar>
              <w:top w:w="15" w:type="dxa"/>
              <w:left w:w="0" w:type="dxa"/>
              <w:bottom w:w="0" w:type="dxa"/>
              <w:right w:w="15" w:type="dxa"/>
            </w:tcMar>
            <w:vAlign w:val="bottom"/>
            <w:hideMark/>
          </w:tcPr>
          <w:p w14:paraId="13AA8B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10BBCF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16E85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9DBEBFB" w14:textId="77777777" w:rsidR="00000000" w:rsidRDefault="00582324">
            <w:pPr>
              <w:pStyle w:val="a3"/>
              <w:spacing w:before="0" w:beforeAutospacing="0" w:after="0" w:afterAutospacing="0"/>
              <w:jc w:val="right"/>
              <w:rPr>
                <w:color w:val="000000"/>
                <w:sz w:val="18"/>
                <w:szCs w:val="18"/>
              </w:rPr>
            </w:pPr>
            <w:r>
              <w:rPr>
                <w:color w:val="000000"/>
                <w:sz w:val="18"/>
                <w:szCs w:val="18"/>
              </w:rPr>
              <w:t>69,054</w:t>
            </w:r>
          </w:p>
        </w:tc>
        <w:tc>
          <w:tcPr>
            <w:tcW w:w="50" w:type="pct"/>
            <w:shd w:val="clear" w:color="auto" w:fill="CFF0FC"/>
            <w:noWrap/>
            <w:tcMar>
              <w:top w:w="15" w:type="dxa"/>
              <w:left w:w="0" w:type="dxa"/>
              <w:bottom w:w="0" w:type="dxa"/>
              <w:right w:w="15" w:type="dxa"/>
            </w:tcMar>
            <w:vAlign w:val="bottom"/>
            <w:hideMark/>
          </w:tcPr>
          <w:p w14:paraId="64F8D3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38DB79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E3C91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BA6133A" w14:textId="77777777" w:rsidR="00000000" w:rsidRDefault="00582324">
            <w:pPr>
              <w:pStyle w:val="a3"/>
              <w:spacing w:before="0" w:beforeAutospacing="0" w:after="0" w:afterAutospacing="0"/>
              <w:jc w:val="right"/>
              <w:rPr>
                <w:color w:val="000000"/>
                <w:sz w:val="18"/>
                <w:szCs w:val="18"/>
              </w:rPr>
            </w:pPr>
            <w:r>
              <w:rPr>
                <w:color w:val="000000"/>
                <w:sz w:val="18"/>
                <w:szCs w:val="18"/>
              </w:rPr>
              <w:t>43,457</w:t>
            </w:r>
          </w:p>
        </w:tc>
        <w:tc>
          <w:tcPr>
            <w:tcW w:w="50" w:type="pct"/>
            <w:shd w:val="clear" w:color="auto" w:fill="CFF0FC"/>
            <w:noWrap/>
            <w:tcMar>
              <w:top w:w="15" w:type="dxa"/>
              <w:left w:w="0" w:type="dxa"/>
              <w:bottom w:w="0" w:type="dxa"/>
              <w:right w:w="15" w:type="dxa"/>
            </w:tcMar>
            <w:vAlign w:val="bottom"/>
            <w:hideMark/>
          </w:tcPr>
          <w:p w14:paraId="2D3C87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063223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8DA9C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1B6623F" w14:textId="77777777" w:rsidR="00000000" w:rsidRDefault="00582324">
            <w:pPr>
              <w:pStyle w:val="a3"/>
              <w:spacing w:before="0" w:beforeAutospacing="0" w:after="0" w:afterAutospacing="0"/>
              <w:jc w:val="right"/>
              <w:rPr>
                <w:color w:val="000000"/>
                <w:sz w:val="18"/>
                <w:szCs w:val="18"/>
              </w:rPr>
            </w:pPr>
            <w:r>
              <w:rPr>
                <w:color w:val="000000"/>
                <w:sz w:val="18"/>
                <w:szCs w:val="18"/>
              </w:rPr>
              <w:t>274,667</w:t>
            </w:r>
          </w:p>
        </w:tc>
        <w:tc>
          <w:tcPr>
            <w:tcW w:w="50" w:type="pct"/>
            <w:shd w:val="clear" w:color="auto" w:fill="CFF0FC"/>
            <w:noWrap/>
            <w:tcMar>
              <w:top w:w="15" w:type="dxa"/>
              <w:left w:w="0" w:type="dxa"/>
              <w:bottom w:w="0" w:type="dxa"/>
              <w:right w:w="15" w:type="dxa"/>
            </w:tcMar>
            <w:vAlign w:val="bottom"/>
            <w:hideMark/>
          </w:tcPr>
          <w:p w14:paraId="7CE404D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DFFFF06" w14:textId="77777777">
        <w:trPr>
          <w:divId w:val="744762367"/>
        </w:trPr>
        <w:tc>
          <w:tcPr>
            <w:tcW w:w="2517" w:type="pct"/>
            <w:shd w:val="clear" w:color="auto" w:fill="FFFFFF"/>
            <w:tcMar>
              <w:top w:w="15" w:type="dxa"/>
              <w:left w:w="0" w:type="dxa"/>
              <w:bottom w:w="0" w:type="dxa"/>
              <w:right w:w="15" w:type="dxa"/>
            </w:tcMar>
            <w:hideMark/>
          </w:tcPr>
          <w:p w14:paraId="3965E815" w14:textId="77777777" w:rsidR="00000000" w:rsidRDefault="00582324">
            <w:pPr>
              <w:pStyle w:val="a3"/>
              <w:spacing w:before="0" w:beforeAutospacing="0" w:after="0" w:afterAutospacing="0"/>
              <w:ind w:left="274"/>
              <w:rPr>
                <w:color w:val="000000"/>
                <w:sz w:val="18"/>
                <w:szCs w:val="18"/>
              </w:rPr>
            </w:pPr>
            <w:r>
              <w:rPr>
                <w:color w:val="000000"/>
                <w:sz w:val="18"/>
                <w:szCs w:val="18"/>
              </w:rPr>
              <w:t>Goodwill acquired during the period</w:t>
            </w:r>
          </w:p>
        </w:tc>
        <w:tc>
          <w:tcPr>
            <w:tcW w:w="61" w:type="pct"/>
            <w:shd w:val="clear" w:color="auto" w:fill="FFFFFF"/>
            <w:tcMar>
              <w:top w:w="15" w:type="dxa"/>
              <w:left w:w="0" w:type="dxa"/>
              <w:bottom w:w="0" w:type="dxa"/>
              <w:right w:w="15" w:type="dxa"/>
            </w:tcMar>
            <w:vAlign w:val="bottom"/>
            <w:hideMark/>
          </w:tcPr>
          <w:p w14:paraId="15854A1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7833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F65BC4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CF458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FFFFFF"/>
            <w:tcMar>
              <w:top w:w="15" w:type="dxa"/>
              <w:left w:w="0" w:type="dxa"/>
              <w:bottom w:w="0" w:type="dxa"/>
              <w:right w:w="15" w:type="dxa"/>
            </w:tcMar>
            <w:vAlign w:val="bottom"/>
            <w:hideMark/>
          </w:tcPr>
          <w:p w14:paraId="24E261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BC664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516C85F" w14:textId="77777777" w:rsidR="00000000" w:rsidRDefault="00582324">
            <w:pPr>
              <w:pStyle w:val="a3"/>
              <w:spacing w:before="0" w:beforeAutospacing="0" w:after="0" w:afterAutospacing="0"/>
              <w:jc w:val="right"/>
              <w:rPr>
                <w:color w:val="000000"/>
                <w:sz w:val="18"/>
                <w:szCs w:val="18"/>
              </w:rPr>
            </w:pPr>
            <w:r>
              <w:rPr>
                <w:color w:val="000000"/>
                <w:sz w:val="18"/>
                <w:szCs w:val="18"/>
              </w:rPr>
              <w:t>5,013</w:t>
            </w:r>
          </w:p>
        </w:tc>
        <w:tc>
          <w:tcPr>
            <w:tcW w:w="50" w:type="pct"/>
            <w:shd w:val="clear" w:color="auto" w:fill="FFFFFF"/>
            <w:noWrap/>
            <w:tcMar>
              <w:top w:w="15" w:type="dxa"/>
              <w:left w:w="0" w:type="dxa"/>
              <w:bottom w:w="0" w:type="dxa"/>
              <w:right w:w="15" w:type="dxa"/>
            </w:tcMar>
            <w:vAlign w:val="bottom"/>
            <w:hideMark/>
          </w:tcPr>
          <w:p w14:paraId="7611B6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FFFFFF"/>
            <w:tcMar>
              <w:top w:w="15" w:type="dxa"/>
              <w:left w:w="0" w:type="dxa"/>
              <w:bottom w:w="0" w:type="dxa"/>
              <w:right w:w="15" w:type="dxa"/>
            </w:tcMar>
            <w:vAlign w:val="bottom"/>
            <w:hideMark/>
          </w:tcPr>
          <w:p w14:paraId="209561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D66F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66F6E03" w14:textId="77777777" w:rsidR="00000000" w:rsidRDefault="00582324">
            <w:pPr>
              <w:pStyle w:val="a3"/>
              <w:spacing w:before="0" w:beforeAutospacing="0" w:after="0" w:afterAutospacing="0"/>
              <w:jc w:val="right"/>
              <w:rPr>
                <w:color w:val="000000"/>
                <w:sz w:val="18"/>
                <w:szCs w:val="18"/>
              </w:rPr>
            </w:pPr>
            <w:r>
              <w:rPr>
                <w:color w:val="000000"/>
                <w:sz w:val="18"/>
                <w:szCs w:val="18"/>
              </w:rPr>
              <w:t>7,613</w:t>
            </w:r>
          </w:p>
        </w:tc>
        <w:tc>
          <w:tcPr>
            <w:tcW w:w="50" w:type="pct"/>
            <w:shd w:val="clear" w:color="auto" w:fill="FFFFFF"/>
            <w:noWrap/>
            <w:tcMar>
              <w:top w:w="15" w:type="dxa"/>
              <w:left w:w="0" w:type="dxa"/>
              <w:bottom w:w="0" w:type="dxa"/>
              <w:right w:w="15" w:type="dxa"/>
            </w:tcMar>
            <w:vAlign w:val="bottom"/>
            <w:hideMark/>
          </w:tcPr>
          <w:p w14:paraId="3BDC41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FFFFFF"/>
            <w:tcMar>
              <w:top w:w="15" w:type="dxa"/>
              <w:left w:w="0" w:type="dxa"/>
              <w:bottom w:w="0" w:type="dxa"/>
              <w:right w:w="15" w:type="dxa"/>
            </w:tcMar>
            <w:vAlign w:val="bottom"/>
            <w:hideMark/>
          </w:tcPr>
          <w:p w14:paraId="0BCCB8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CD5D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C90D69A" w14:textId="77777777" w:rsidR="00000000" w:rsidRDefault="00582324">
            <w:pPr>
              <w:pStyle w:val="a3"/>
              <w:spacing w:before="0" w:beforeAutospacing="0" w:after="0" w:afterAutospacing="0"/>
              <w:jc w:val="right"/>
              <w:rPr>
                <w:color w:val="000000"/>
                <w:sz w:val="18"/>
                <w:szCs w:val="18"/>
              </w:rPr>
            </w:pPr>
            <w:r>
              <w:rPr>
                <w:color w:val="000000"/>
                <w:sz w:val="18"/>
                <w:szCs w:val="18"/>
              </w:rPr>
              <w:t>12,626</w:t>
            </w:r>
          </w:p>
        </w:tc>
        <w:tc>
          <w:tcPr>
            <w:tcW w:w="50" w:type="pct"/>
            <w:shd w:val="clear" w:color="auto" w:fill="FFFFFF"/>
            <w:noWrap/>
            <w:tcMar>
              <w:top w:w="15" w:type="dxa"/>
              <w:left w:w="0" w:type="dxa"/>
              <w:bottom w:w="0" w:type="dxa"/>
              <w:right w:w="15" w:type="dxa"/>
            </w:tcMar>
            <w:vAlign w:val="bottom"/>
            <w:hideMark/>
          </w:tcPr>
          <w:p w14:paraId="4B85905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251387B" w14:textId="77777777">
        <w:trPr>
          <w:divId w:val="744762367"/>
        </w:trPr>
        <w:tc>
          <w:tcPr>
            <w:tcW w:w="2517" w:type="pct"/>
            <w:shd w:val="clear" w:color="auto" w:fill="CFF0FC"/>
            <w:tcMar>
              <w:top w:w="15" w:type="dxa"/>
              <w:left w:w="0" w:type="dxa"/>
              <w:bottom w:w="0" w:type="dxa"/>
              <w:right w:w="15" w:type="dxa"/>
            </w:tcMar>
            <w:hideMark/>
          </w:tcPr>
          <w:p w14:paraId="40E76EB5" w14:textId="77777777" w:rsidR="00000000" w:rsidRDefault="00582324">
            <w:pPr>
              <w:pStyle w:val="a3"/>
              <w:spacing w:before="0" w:beforeAutospacing="0" w:after="0" w:afterAutospacing="0"/>
              <w:rPr>
                <w:color w:val="000000"/>
                <w:sz w:val="18"/>
                <w:szCs w:val="18"/>
              </w:rPr>
            </w:pPr>
            <w:r>
              <w:rPr>
                <w:color w:val="000000"/>
                <w:sz w:val="18"/>
                <w:szCs w:val="18"/>
              </w:rPr>
              <w:t>Balance as of June 30, 2021</w:t>
            </w:r>
          </w:p>
        </w:tc>
        <w:tc>
          <w:tcPr>
            <w:tcW w:w="61" w:type="pct"/>
            <w:shd w:val="clear" w:color="auto" w:fill="CFF0FC"/>
            <w:tcMar>
              <w:top w:w="15" w:type="dxa"/>
              <w:left w:w="0" w:type="dxa"/>
              <w:bottom w:w="0" w:type="dxa"/>
              <w:right w:w="15" w:type="dxa"/>
            </w:tcMar>
            <w:vAlign w:val="bottom"/>
            <w:hideMark/>
          </w:tcPr>
          <w:p w14:paraId="098EF4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3F83B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ADF254" w14:textId="77777777" w:rsidR="00000000" w:rsidRDefault="00582324">
            <w:pPr>
              <w:pStyle w:val="a3"/>
              <w:spacing w:before="0" w:beforeAutospacing="0" w:after="0" w:afterAutospacing="0"/>
              <w:jc w:val="right"/>
              <w:rPr>
                <w:color w:val="000000"/>
                <w:sz w:val="18"/>
                <w:szCs w:val="18"/>
              </w:rPr>
            </w:pPr>
            <w:r>
              <w:rPr>
                <w:color w:val="000000"/>
                <w:sz w:val="18"/>
                <w:szCs w:val="18"/>
              </w:rPr>
              <w:t>162,156</w:t>
            </w:r>
          </w:p>
        </w:tc>
        <w:tc>
          <w:tcPr>
            <w:tcW w:w="50" w:type="pct"/>
            <w:shd w:val="clear" w:color="auto" w:fill="CFF0FC"/>
            <w:noWrap/>
            <w:tcMar>
              <w:top w:w="15" w:type="dxa"/>
              <w:left w:w="0" w:type="dxa"/>
              <w:bottom w:w="0" w:type="dxa"/>
              <w:right w:w="15" w:type="dxa"/>
            </w:tcMar>
            <w:vAlign w:val="bottom"/>
            <w:hideMark/>
          </w:tcPr>
          <w:p w14:paraId="1B3666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110112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1DDBD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8737D3" w14:textId="77777777" w:rsidR="00000000" w:rsidRDefault="00582324">
            <w:pPr>
              <w:pStyle w:val="a3"/>
              <w:spacing w:before="0" w:beforeAutospacing="0" w:after="0" w:afterAutospacing="0"/>
              <w:jc w:val="right"/>
              <w:rPr>
                <w:color w:val="000000"/>
                <w:sz w:val="18"/>
                <w:szCs w:val="18"/>
              </w:rPr>
            </w:pPr>
            <w:r>
              <w:rPr>
                <w:color w:val="000000"/>
                <w:sz w:val="18"/>
                <w:szCs w:val="18"/>
              </w:rPr>
              <w:t>74,067</w:t>
            </w:r>
          </w:p>
        </w:tc>
        <w:tc>
          <w:tcPr>
            <w:tcW w:w="50" w:type="pct"/>
            <w:shd w:val="clear" w:color="auto" w:fill="CFF0FC"/>
            <w:noWrap/>
            <w:tcMar>
              <w:top w:w="15" w:type="dxa"/>
              <w:left w:w="0" w:type="dxa"/>
              <w:bottom w:w="0" w:type="dxa"/>
              <w:right w:w="15" w:type="dxa"/>
            </w:tcMar>
            <w:vAlign w:val="bottom"/>
            <w:hideMark/>
          </w:tcPr>
          <w:p w14:paraId="5B754B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3DCC40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CAE3D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93BF92" w14:textId="77777777" w:rsidR="00000000" w:rsidRDefault="00582324">
            <w:pPr>
              <w:pStyle w:val="a3"/>
              <w:spacing w:before="0" w:beforeAutospacing="0" w:after="0" w:afterAutospacing="0"/>
              <w:jc w:val="right"/>
              <w:rPr>
                <w:color w:val="000000"/>
                <w:sz w:val="18"/>
                <w:szCs w:val="18"/>
              </w:rPr>
            </w:pPr>
            <w:r>
              <w:rPr>
                <w:color w:val="000000"/>
                <w:sz w:val="18"/>
                <w:szCs w:val="18"/>
              </w:rPr>
              <w:t>51,070</w:t>
            </w:r>
          </w:p>
        </w:tc>
        <w:tc>
          <w:tcPr>
            <w:tcW w:w="50" w:type="pct"/>
            <w:shd w:val="clear" w:color="auto" w:fill="CFF0FC"/>
            <w:noWrap/>
            <w:tcMar>
              <w:top w:w="15" w:type="dxa"/>
              <w:left w:w="0" w:type="dxa"/>
              <w:bottom w:w="0" w:type="dxa"/>
              <w:right w:w="15" w:type="dxa"/>
            </w:tcMar>
            <w:vAlign w:val="bottom"/>
            <w:hideMark/>
          </w:tcPr>
          <w:p w14:paraId="1028FF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1" w:type="pct"/>
            <w:shd w:val="clear" w:color="auto" w:fill="CFF0FC"/>
            <w:tcMar>
              <w:top w:w="15" w:type="dxa"/>
              <w:left w:w="0" w:type="dxa"/>
              <w:bottom w:w="0" w:type="dxa"/>
              <w:right w:w="15" w:type="dxa"/>
            </w:tcMar>
            <w:vAlign w:val="bottom"/>
            <w:hideMark/>
          </w:tcPr>
          <w:p w14:paraId="0FD747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D25C2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25C644" w14:textId="77777777" w:rsidR="00000000" w:rsidRDefault="00582324">
            <w:pPr>
              <w:pStyle w:val="a3"/>
              <w:spacing w:before="0" w:beforeAutospacing="0" w:after="0" w:afterAutospacing="0"/>
              <w:jc w:val="right"/>
              <w:rPr>
                <w:color w:val="000000"/>
                <w:sz w:val="18"/>
                <w:szCs w:val="18"/>
              </w:rPr>
            </w:pPr>
            <w:r>
              <w:rPr>
                <w:color w:val="000000"/>
                <w:sz w:val="18"/>
                <w:szCs w:val="18"/>
              </w:rPr>
              <w:t>287,293</w:t>
            </w:r>
          </w:p>
        </w:tc>
        <w:tc>
          <w:tcPr>
            <w:tcW w:w="50" w:type="pct"/>
            <w:shd w:val="clear" w:color="auto" w:fill="CFF0FC"/>
            <w:noWrap/>
            <w:tcMar>
              <w:top w:w="15" w:type="dxa"/>
              <w:left w:w="0" w:type="dxa"/>
              <w:bottom w:w="0" w:type="dxa"/>
              <w:right w:w="15" w:type="dxa"/>
            </w:tcMar>
            <w:vAlign w:val="bottom"/>
            <w:hideMark/>
          </w:tcPr>
          <w:p w14:paraId="1133FBD8"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50F08433" w14:textId="77777777" w:rsidR="00000000" w:rsidRDefault="00582324">
      <w:pPr>
        <w:pStyle w:val="a3"/>
        <w:shd w:val="clear" w:color="auto" w:fill="FFFFFF"/>
        <w:spacing w:before="0" w:beforeAutospacing="0" w:after="0" w:afterAutospacing="0"/>
        <w:rPr>
          <w:sz w:val="20"/>
          <w:szCs w:val="20"/>
        </w:rPr>
      </w:pPr>
      <w:r>
        <w:rPr>
          <w:sz w:val="20"/>
          <w:szCs w:val="20"/>
        </w:rPr>
        <w:t> </w:t>
      </w:r>
    </w:p>
    <w:p w14:paraId="360C773D"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Amounts related to finite-lived intangible assets are as follows:</w:t>
      </w:r>
    </w:p>
    <w:p w14:paraId="1747296B"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753"/>
        <w:gridCol w:w="128"/>
        <w:gridCol w:w="1284"/>
        <w:gridCol w:w="128"/>
        <w:gridCol w:w="105"/>
        <w:gridCol w:w="1134"/>
        <w:gridCol w:w="67"/>
        <w:gridCol w:w="129"/>
        <w:gridCol w:w="106"/>
        <w:gridCol w:w="1135"/>
        <w:gridCol w:w="68"/>
        <w:gridCol w:w="129"/>
        <w:gridCol w:w="106"/>
        <w:gridCol w:w="1135"/>
        <w:gridCol w:w="68"/>
      </w:tblGrid>
      <w:tr w:rsidR="00000000" w14:paraId="2870DB9B" w14:textId="77777777">
        <w:trPr>
          <w:divId w:val="1993483058"/>
        </w:trPr>
        <w:tc>
          <w:tcPr>
            <w:tcW w:w="1176" w:type="pct"/>
            <w:shd w:val="clear" w:color="auto" w:fill="FFFFFF"/>
            <w:tcMar>
              <w:top w:w="15" w:type="dxa"/>
              <w:left w:w="0" w:type="dxa"/>
              <w:bottom w:w="0" w:type="dxa"/>
              <w:right w:w="15" w:type="dxa"/>
            </w:tcMar>
            <w:vAlign w:val="bottom"/>
            <w:hideMark/>
          </w:tcPr>
          <w:p w14:paraId="200CA193" w14:textId="77777777" w:rsidR="00000000" w:rsidRDefault="00582324">
            <w:pPr>
              <w:pStyle w:val="a3"/>
              <w:spacing w:before="0" w:beforeAutospacing="0" w:after="0" w:afterAutospacing="0"/>
              <w:rPr>
                <w:b/>
                <w:bCs/>
                <w:color w:val="000000"/>
                <w:sz w:val="18"/>
                <w:szCs w:val="18"/>
              </w:rPr>
            </w:pPr>
            <w:r>
              <w:rPr>
                <w:b/>
                <w:bCs/>
                <w:color w:val="000000"/>
                <w:sz w:val="18"/>
                <w:szCs w:val="18"/>
              </w:rPr>
              <w:t>June 30, 2021</w:t>
            </w:r>
          </w:p>
        </w:tc>
        <w:tc>
          <w:tcPr>
            <w:tcW w:w="91" w:type="pct"/>
            <w:shd w:val="clear" w:color="auto" w:fill="FFFFFF"/>
            <w:tcMar>
              <w:top w:w="15" w:type="dxa"/>
              <w:left w:w="0" w:type="dxa"/>
              <w:bottom w:w="0" w:type="dxa"/>
              <w:right w:w="15" w:type="dxa"/>
            </w:tcMar>
            <w:vAlign w:val="center"/>
            <w:hideMark/>
          </w:tcPr>
          <w:p w14:paraId="1F9F449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3" w:type="pct"/>
            <w:tcBorders>
              <w:bottom w:val="single" w:sz="6" w:space="0" w:color="000000"/>
            </w:tcBorders>
            <w:shd w:val="clear" w:color="auto" w:fill="FFFFFF"/>
            <w:tcMar>
              <w:top w:w="15" w:type="dxa"/>
              <w:left w:w="0" w:type="dxa"/>
              <w:bottom w:w="0" w:type="dxa"/>
              <w:right w:w="15" w:type="dxa"/>
            </w:tcMar>
            <w:vAlign w:val="center"/>
            <w:hideMark/>
          </w:tcPr>
          <w:p w14:paraId="3C182E6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Estimated</w:t>
            </w:r>
          </w:p>
          <w:p w14:paraId="06B9DAF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Useful Life</w:t>
            </w:r>
          </w:p>
        </w:tc>
        <w:tc>
          <w:tcPr>
            <w:tcW w:w="91" w:type="pct"/>
            <w:shd w:val="clear" w:color="auto" w:fill="FFFFFF"/>
            <w:tcMar>
              <w:top w:w="15" w:type="dxa"/>
              <w:left w:w="0" w:type="dxa"/>
              <w:bottom w:w="0" w:type="dxa"/>
              <w:right w:w="15" w:type="dxa"/>
            </w:tcMar>
            <w:vAlign w:val="center"/>
            <w:hideMark/>
          </w:tcPr>
          <w:p w14:paraId="23115D7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center"/>
            <w:hideMark/>
          </w:tcPr>
          <w:p w14:paraId="6C3B791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Gross</w:t>
            </w:r>
          </w:p>
          <w:p w14:paraId="40A25A6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Balance</w:t>
            </w:r>
          </w:p>
        </w:tc>
        <w:tc>
          <w:tcPr>
            <w:tcW w:w="50" w:type="pct"/>
            <w:shd w:val="clear" w:color="auto" w:fill="FFFFFF"/>
            <w:noWrap/>
            <w:tcMar>
              <w:top w:w="15" w:type="dxa"/>
              <w:left w:w="0" w:type="dxa"/>
              <w:bottom w:w="0" w:type="dxa"/>
              <w:right w:w="15" w:type="dxa"/>
            </w:tcMar>
            <w:vAlign w:val="center"/>
            <w:hideMark/>
          </w:tcPr>
          <w:p w14:paraId="2F72E77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1" w:type="pct"/>
            <w:shd w:val="clear" w:color="auto" w:fill="FFFFFF"/>
            <w:tcMar>
              <w:top w:w="15" w:type="dxa"/>
              <w:left w:w="0" w:type="dxa"/>
              <w:bottom w:w="0" w:type="dxa"/>
              <w:right w:w="15" w:type="dxa"/>
            </w:tcMar>
            <w:vAlign w:val="center"/>
            <w:hideMark/>
          </w:tcPr>
          <w:p w14:paraId="662706C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center"/>
            <w:hideMark/>
          </w:tcPr>
          <w:p w14:paraId="023C5A9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Accumulated</w:t>
            </w:r>
          </w:p>
          <w:p w14:paraId="606AFE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Amortization</w:t>
            </w:r>
          </w:p>
        </w:tc>
        <w:tc>
          <w:tcPr>
            <w:tcW w:w="50" w:type="pct"/>
            <w:shd w:val="clear" w:color="auto" w:fill="FFFFFF"/>
            <w:noWrap/>
            <w:tcMar>
              <w:top w:w="15" w:type="dxa"/>
              <w:left w:w="0" w:type="dxa"/>
              <w:bottom w:w="0" w:type="dxa"/>
              <w:right w:w="15" w:type="dxa"/>
            </w:tcMar>
            <w:vAlign w:val="center"/>
            <w:hideMark/>
          </w:tcPr>
          <w:p w14:paraId="03ACE42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1" w:type="pct"/>
            <w:shd w:val="clear" w:color="auto" w:fill="FFFFFF"/>
            <w:tcMar>
              <w:top w:w="15" w:type="dxa"/>
              <w:left w:w="0" w:type="dxa"/>
              <w:bottom w:w="0" w:type="dxa"/>
              <w:right w:w="15" w:type="dxa"/>
            </w:tcMar>
            <w:vAlign w:val="center"/>
            <w:hideMark/>
          </w:tcPr>
          <w:p w14:paraId="1ABA20D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center"/>
            <w:hideMark/>
          </w:tcPr>
          <w:p w14:paraId="7189813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432ED08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Intangible</w:t>
            </w:r>
          </w:p>
          <w:p w14:paraId="7603ACA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Assets—Net</w:t>
            </w:r>
          </w:p>
        </w:tc>
        <w:tc>
          <w:tcPr>
            <w:tcW w:w="50" w:type="pct"/>
            <w:shd w:val="clear" w:color="auto" w:fill="FFFFFF"/>
            <w:noWrap/>
            <w:tcMar>
              <w:top w:w="15" w:type="dxa"/>
              <w:left w:w="0" w:type="dxa"/>
              <w:bottom w:w="0" w:type="dxa"/>
              <w:right w:w="15" w:type="dxa"/>
            </w:tcMar>
            <w:vAlign w:val="center"/>
            <w:hideMark/>
          </w:tcPr>
          <w:p w14:paraId="06027C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645D4D8" w14:textId="77777777">
        <w:trPr>
          <w:divId w:val="1993483058"/>
        </w:trPr>
        <w:tc>
          <w:tcPr>
            <w:tcW w:w="1176" w:type="pct"/>
            <w:shd w:val="clear" w:color="auto" w:fill="CFF0FC"/>
            <w:tcMar>
              <w:top w:w="15" w:type="dxa"/>
              <w:left w:w="0" w:type="dxa"/>
              <w:bottom w:w="0" w:type="dxa"/>
              <w:right w:w="15" w:type="dxa"/>
            </w:tcMar>
            <w:hideMark/>
          </w:tcPr>
          <w:p w14:paraId="0CA58D7F" w14:textId="77777777" w:rsidR="00000000" w:rsidRDefault="00582324">
            <w:pPr>
              <w:pStyle w:val="a3"/>
              <w:spacing w:before="0" w:beforeAutospacing="0" w:after="0" w:afterAutospacing="0"/>
              <w:rPr>
                <w:color w:val="000000"/>
                <w:sz w:val="18"/>
                <w:szCs w:val="18"/>
              </w:rPr>
            </w:pPr>
            <w:r>
              <w:rPr>
                <w:color w:val="000000"/>
                <w:sz w:val="18"/>
                <w:szCs w:val="18"/>
              </w:rPr>
              <w:t>Finite lived intangible assets</w:t>
            </w:r>
          </w:p>
        </w:tc>
        <w:tc>
          <w:tcPr>
            <w:tcW w:w="91" w:type="pct"/>
            <w:shd w:val="clear" w:color="auto" w:fill="CFF0FC"/>
            <w:tcMar>
              <w:top w:w="15" w:type="dxa"/>
              <w:left w:w="0" w:type="dxa"/>
              <w:bottom w:w="0" w:type="dxa"/>
              <w:right w:w="15" w:type="dxa"/>
            </w:tcMar>
            <w:vAlign w:val="bottom"/>
            <w:hideMark/>
          </w:tcPr>
          <w:p w14:paraId="4631FF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tcBorders>
              <w:top w:val="single" w:sz="6" w:space="0" w:color="000000"/>
            </w:tcBorders>
            <w:shd w:val="clear" w:color="auto" w:fill="CFF0FC"/>
            <w:tcMar>
              <w:top w:w="15" w:type="dxa"/>
              <w:left w:w="0" w:type="dxa"/>
              <w:bottom w:w="0" w:type="dxa"/>
              <w:right w:w="15" w:type="dxa"/>
            </w:tcMar>
            <w:vAlign w:val="bottom"/>
            <w:hideMark/>
          </w:tcPr>
          <w:p w14:paraId="0731295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040A90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5FA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04E65F3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DFEA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6D2D12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3503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0DDDB8F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0E8C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5F2F80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6D34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44945CF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C0172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A883E3" w14:textId="77777777">
        <w:trPr>
          <w:divId w:val="1993483058"/>
        </w:trPr>
        <w:tc>
          <w:tcPr>
            <w:tcW w:w="1176" w:type="pct"/>
            <w:shd w:val="clear" w:color="auto" w:fill="FFFFFF"/>
            <w:tcMar>
              <w:top w:w="15" w:type="dxa"/>
              <w:left w:w="0" w:type="dxa"/>
              <w:bottom w:w="0" w:type="dxa"/>
              <w:right w:w="15" w:type="dxa"/>
            </w:tcMar>
            <w:hideMark/>
          </w:tcPr>
          <w:p w14:paraId="40031E7D" w14:textId="77777777" w:rsidR="00000000" w:rsidRDefault="00582324">
            <w:pPr>
              <w:pStyle w:val="a3"/>
              <w:spacing w:before="0" w:beforeAutospacing="0" w:after="0" w:afterAutospacing="0"/>
              <w:rPr>
                <w:color w:val="000000"/>
                <w:sz w:val="18"/>
                <w:szCs w:val="18"/>
              </w:rPr>
            </w:pPr>
            <w:r>
              <w:rPr>
                <w:color w:val="000000"/>
                <w:sz w:val="18"/>
                <w:szCs w:val="18"/>
              </w:rPr>
              <w:t>Customer relationships</w:t>
            </w:r>
          </w:p>
        </w:tc>
        <w:tc>
          <w:tcPr>
            <w:tcW w:w="91" w:type="pct"/>
            <w:shd w:val="clear" w:color="auto" w:fill="FFFFFF"/>
            <w:tcMar>
              <w:top w:w="15" w:type="dxa"/>
              <w:left w:w="0" w:type="dxa"/>
              <w:bottom w:w="0" w:type="dxa"/>
              <w:right w:w="15" w:type="dxa"/>
            </w:tcMar>
            <w:vAlign w:val="bottom"/>
            <w:hideMark/>
          </w:tcPr>
          <w:p w14:paraId="52B567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145D996C" w14:textId="77777777" w:rsidR="00000000" w:rsidRDefault="00582324">
            <w:pPr>
              <w:pStyle w:val="a3"/>
              <w:spacing w:before="0" w:beforeAutospacing="0" w:after="0" w:afterAutospacing="0"/>
              <w:jc w:val="center"/>
              <w:rPr>
                <w:color w:val="000000"/>
                <w:sz w:val="18"/>
                <w:szCs w:val="18"/>
              </w:rPr>
            </w:pPr>
            <w:r>
              <w:rPr>
                <w:color w:val="000000"/>
                <w:sz w:val="18"/>
                <w:szCs w:val="18"/>
              </w:rPr>
              <w:t>2-15 years</w:t>
            </w:r>
          </w:p>
        </w:tc>
        <w:tc>
          <w:tcPr>
            <w:tcW w:w="91" w:type="pct"/>
            <w:shd w:val="clear" w:color="auto" w:fill="FFFFFF"/>
            <w:tcMar>
              <w:top w:w="15" w:type="dxa"/>
              <w:left w:w="0" w:type="dxa"/>
              <w:bottom w:w="0" w:type="dxa"/>
              <w:right w:w="15" w:type="dxa"/>
            </w:tcMar>
            <w:vAlign w:val="bottom"/>
            <w:hideMark/>
          </w:tcPr>
          <w:p w14:paraId="65D370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8D7F5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7E5AC960" w14:textId="77777777" w:rsidR="00000000" w:rsidRDefault="00582324">
            <w:pPr>
              <w:pStyle w:val="a3"/>
              <w:spacing w:before="0" w:beforeAutospacing="0" w:after="0" w:afterAutospacing="0"/>
              <w:jc w:val="right"/>
              <w:rPr>
                <w:color w:val="000000"/>
                <w:sz w:val="18"/>
                <w:szCs w:val="18"/>
              </w:rPr>
            </w:pPr>
            <w:r>
              <w:rPr>
                <w:color w:val="000000"/>
                <w:sz w:val="18"/>
                <w:szCs w:val="18"/>
              </w:rPr>
              <w:t>175,158</w:t>
            </w:r>
          </w:p>
        </w:tc>
        <w:tc>
          <w:tcPr>
            <w:tcW w:w="50" w:type="pct"/>
            <w:shd w:val="clear" w:color="auto" w:fill="FFFFFF"/>
            <w:noWrap/>
            <w:tcMar>
              <w:top w:w="15" w:type="dxa"/>
              <w:left w:w="0" w:type="dxa"/>
              <w:bottom w:w="0" w:type="dxa"/>
              <w:right w:w="15" w:type="dxa"/>
            </w:tcMar>
            <w:vAlign w:val="bottom"/>
            <w:hideMark/>
          </w:tcPr>
          <w:p w14:paraId="7BEC5E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35F1A9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02F68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73B813CC" w14:textId="77777777" w:rsidR="00000000" w:rsidRDefault="00582324">
            <w:pPr>
              <w:pStyle w:val="a3"/>
              <w:spacing w:before="0" w:beforeAutospacing="0" w:after="0" w:afterAutospacing="0"/>
              <w:jc w:val="right"/>
              <w:rPr>
                <w:color w:val="000000"/>
                <w:sz w:val="18"/>
                <w:szCs w:val="18"/>
              </w:rPr>
            </w:pPr>
            <w:r>
              <w:rPr>
                <w:color w:val="000000"/>
                <w:sz w:val="18"/>
                <w:szCs w:val="18"/>
              </w:rPr>
              <w:t>63,157</w:t>
            </w:r>
          </w:p>
        </w:tc>
        <w:tc>
          <w:tcPr>
            <w:tcW w:w="50" w:type="pct"/>
            <w:shd w:val="clear" w:color="auto" w:fill="FFFFFF"/>
            <w:noWrap/>
            <w:tcMar>
              <w:top w:w="15" w:type="dxa"/>
              <w:left w:w="0" w:type="dxa"/>
              <w:bottom w:w="0" w:type="dxa"/>
              <w:right w:w="15" w:type="dxa"/>
            </w:tcMar>
            <w:vAlign w:val="bottom"/>
            <w:hideMark/>
          </w:tcPr>
          <w:p w14:paraId="77DC5D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5C0AB3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18758A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6060B9B6" w14:textId="77777777" w:rsidR="00000000" w:rsidRDefault="00582324">
            <w:pPr>
              <w:pStyle w:val="a3"/>
              <w:spacing w:before="0" w:beforeAutospacing="0" w:after="0" w:afterAutospacing="0"/>
              <w:jc w:val="right"/>
              <w:rPr>
                <w:color w:val="000000"/>
                <w:sz w:val="18"/>
                <w:szCs w:val="18"/>
              </w:rPr>
            </w:pPr>
            <w:r>
              <w:rPr>
                <w:color w:val="000000"/>
                <w:sz w:val="18"/>
                <w:szCs w:val="18"/>
              </w:rPr>
              <w:t>112,001</w:t>
            </w:r>
          </w:p>
        </w:tc>
        <w:tc>
          <w:tcPr>
            <w:tcW w:w="50" w:type="pct"/>
            <w:shd w:val="clear" w:color="auto" w:fill="FFFFFF"/>
            <w:noWrap/>
            <w:tcMar>
              <w:top w:w="15" w:type="dxa"/>
              <w:left w:w="0" w:type="dxa"/>
              <w:bottom w:w="0" w:type="dxa"/>
              <w:right w:w="15" w:type="dxa"/>
            </w:tcMar>
            <w:vAlign w:val="bottom"/>
            <w:hideMark/>
          </w:tcPr>
          <w:p w14:paraId="79C15A0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4A61139" w14:textId="77777777">
        <w:trPr>
          <w:divId w:val="1993483058"/>
        </w:trPr>
        <w:tc>
          <w:tcPr>
            <w:tcW w:w="1176" w:type="pct"/>
            <w:shd w:val="clear" w:color="auto" w:fill="CFF0FC"/>
            <w:tcMar>
              <w:top w:w="15" w:type="dxa"/>
              <w:left w:w="0" w:type="dxa"/>
              <w:bottom w:w="0" w:type="dxa"/>
              <w:right w:w="15" w:type="dxa"/>
            </w:tcMar>
            <w:hideMark/>
          </w:tcPr>
          <w:p w14:paraId="20D842F4" w14:textId="77777777" w:rsidR="00000000" w:rsidRDefault="00582324">
            <w:pPr>
              <w:pStyle w:val="a3"/>
              <w:spacing w:before="0" w:beforeAutospacing="0" w:after="0" w:afterAutospacing="0"/>
              <w:rPr>
                <w:color w:val="000000"/>
                <w:sz w:val="18"/>
                <w:szCs w:val="18"/>
              </w:rPr>
            </w:pPr>
            <w:r>
              <w:rPr>
                <w:color w:val="000000"/>
                <w:sz w:val="18"/>
                <w:szCs w:val="18"/>
              </w:rPr>
              <w:t>Covenants not to compete</w:t>
            </w:r>
          </w:p>
        </w:tc>
        <w:tc>
          <w:tcPr>
            <w:tcW w:w="91" w:type="pct"/>
            <w:shd w:val="clear" w:color="auto" w:fill="CFF0FC"/>
            <w:tcMar>
              <w:top w:w="15" w:type="dxa"/>
              <w:left w:w="0" w:type="dxa"/>
              <w:bottom w:w="0" w:type="dxa"/>
              <w:right w:w="15" w:type="dxa"/>
            </w:tcMar>
            <w:vAlign w:val="bottom"/>
            <w:hideMark/>
          </w:tcPr>
          <w:p w14:paraId="238D59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00BF4698" w14:textId="77777777" w:rsidR="00000000" w:rsidRDefault="00582324">
            <w:pPr>
              <w:pStyle w:val="a3"/>
              <w:spacing w:before="0" w:beforeAutospacing="0" w:after="0" w:afterAutospacing="0"/>
              <w:jc w:val="center"/>
              <w:rPr>
                <w:color w:val="000000"/>
                <w:sz w:val="18"/>
                <w:szCs w:val="18"/>
              </w:rPr>
            </w:pPr>
            <w:r>
              <w:rPr>
                <w:color w:val="000000"/>
                <w:sz w:val="18"/>
                <w:szCs w:val="18"/>
              </w:rPr>
              <w:t>4-5 years</w:t>
            </w:r>
          </w:p>
        </w:tc>
        <w:tc>
          <w:tcPr>
            <w:tcW w:w="91" w:type="pct"/>
            <w:shd w:val="clear" w:color="auto" w:fill="CFF0FC"/>
            <w:tcMar>
              <w:top w:w="15" w:type="dxa"/>
              <w:left w:w="0" w:type="dxa"/>
              <w:bottom w:w="0" w:type="dxa"/>
              <w:right w:w="15" w:type="dxa"/>
            </w:tcMar>
            <w:vAlign w:val="bottom"/>
            <w:hideMark/>
          </w:tcPr>
          <w:p w14:paraId="4503ED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C91D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387A408D" w14:textId="77777777" w:rsidR="00000000" w:rsidRDefault="00582324">
            <w:pPr>
              <w:pStyle w:val="a3"/>
              <w:spacing w:before="0" w:beforeAutospacing="0" w:after="0" w:afterAutospacing="0"/>
              <w:jc w:val="right"/>
              <w:rPr>
                <w:color w:val="000000"/>
                <w:sz w:val="18"/>
                <w:szCs w:val="18"/>
              </w:rPr>
            </w:pPr>
            <w:r>
              <w:rPr>
                <w:color w:val="000000"/>
                <w:sz w:val="18"/>
                <w:szCs w:val="18"/>
              </w:rPr>
              <w:t>31,104</w:t>
            </w:r>
          </w:p>
        </w:tc>
        <w:tc>
          <w:tcPr>
            <w:tcW w:w="50" w:type="pct"/>
            <w:shd w:val="clear" w:color="auto" w:fill="CFF0FC"/>
            <w:noWrap/>
            <w:tcMar>
              <w:top w:w="15" w:type="dxa"/>
              <w:left w:w="0" w:type="dxa"/>
              <w:bottom w:w="0" w:type="dxa"/>
              <w:right w:w="15" w:type="dxa"/>
            </w:tcMar>
            <w:vAlign w:val="bottom"/>
            <w:hideMark/>
          </w:tcPr>
          <w:p w14:paraId="450B41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5BD43B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0511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7577E3BD" w14:textId="77777777" w:rsidR="00000000" w:rsidRDefault="00582324">
            <w:pPr>
              <w:pStyle w:val="a3"/>
              <w:spacing w:before="0" w:beforeAutospacing="0" w:after="0" w:afterAutospacing="0"/>
              <w:jc w:val="right"/>
              <w:rPr>
                <w:color w:val="000000"/>
                <w:sz w:val="18"/>
                <w:szCs w:val="18"/>
              </w:rPr>
            </w:pPr>
            <w:r>
              <w:rPr>
                <w:color w:val="000000"/>
                <w:sz w:val="18"/>
                <w:szCs w:val="18"/>
              </w:rPr>
              <w:t>23,403</w:t>
            </w:r>
          </w:p>
        </w:tc>
        <w:tc>
          <w:tcPr>
            <w:tcW w:w="50" w:type="pct"/>
            <w:shd w:val="clear" w:color="auto" w:fill="CFF0FC"/>
            <w:noWrap/>
            <w:tcMar>
              <w:top w:w="15" w:type="dxa"/>
              <w:left w:w="0" w:type="dxa"/>
              <w:bottom w:w="0" w:type="dxa"/>
              <w:right w:w="15" w:type="dxa"/>
            </w:tcMar>
            <w:vAlign w:val="bottom"/>
            <w:hideMark/>
          </w:tcPr>
          <w:p w14:paraId="1368CA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362BF4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3C63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5ABDC06E" w14:textId="77777777" w:rsidR="00000000" w:rsidRDefault="00582324">
            <w:pPr>
              <w:pStyle w:val="a3"/>
              <w:spacing w:before="0" w:beforeAutospacing="0" w:after="0" w:afterAutospacing="0"/>
              <w:jc w:val="right"/>
              <w:rPr>
                <w:color w:val="000000"/>
                <w:sz w:val="18"/>
                <w:szCs w:val="18"/>
              </w:rPr>
            </w:pPr>
            <w:r>
              <w:rPr>
                <w:color w:val="000000"/>
                <w:sz w:val="18"/>
                <w:szCs w:val="18"/>
              </w:rPr>
              <w:t>7,701</w:t>
            </w:r>
          </w:p>
        </w:tc>
        <w:tc>
          <w:tcPr>
            <w:tcW w:w="50" w:type="pct"/>
            <w:shd w:val="clear" w:color="auto" w:fill="CFF0FC"/>
            <w:noWrap/>
            <w:tcMar>
              <w:top w:w="15" w:type="dxa"/>
              <w:left w:w="0" w:type="dxa"/>
              <w:bottom w:w="0" w:type="dxa"/>
              <w:right w:w="15" w:type="dxa"/>
            </w:tcMar>
            <w:vAlign w:val="bottom"/>
            <w:hideMark/>
          </w:tcPr>
          <w:p w14:paraId="3C8C124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4DD17CE" w14:textId="77777777">
        <w:trPr>
          <w:divId w:val="1993483058"/>
        </w:trPr>
        <w:tc>
          <w:tcPr>
            <w:tcW w:w="1176" w:type="pct"/>
            <w:shd w:val="clear" w:color="auto" w:fill="FFFFFF"/>
            <w:tcMar>
              <w:top w:w="15" w:type="dxa"/>
              <w:left w:w="0" w:type="dxa"/>
              <w:bottom w:w="0" w:type="dxa"/>
              <w:right w:w="15" w:type="dxa"/>
            </w:tcMar>
            <w:hideMark/>
          </w:tcPr>
          <w:p w14:paraId="51EF92F8" w14:textId="77777777" w:rsidR="00000000" w:rsidRDefault="00582324">
            <w:pPr>
              <w:pStyle w:val="a3"/>
              <w:spacing w:before="0" w:beforeAutospacing="0" w:after="0" w:afterAutospacing="0"/>
              <w:rPr>
                <w:color w:val="000000"/>
                <w:sz w:val="18"/>
                <w:szCs w:val="18"/>
              </w:rPr>
            </w:pPr>
            <w:r>
              <w:rPr>
                <w:color w:val="000000"/>
                <w:sz w:val="18"/>
                <w:szCs w:val="18"/>
              </w:rPr>
              <w:t>Trade names</w:t>
            </w:r>
          </w:p>
        </w:tc>
        <w:tc>
          <w:tcPr>
            <w:tcW w:w="91" w:type="pct"/>
            <w:shd w:val="clear" w:color="auto" w:fill="FFFFFF"/>
            <w:tcMar>
              <w:top w:w="15" w:type="dxa"/>
              <w:left w:w="0" w:type="dxa"/>
              <w:bottom w:w="0" w:type="dxa"/>
              <w:right w:w="15" w:type="dxa"/>
            </w:tcMar>
            <w:vAlign w:val="bottom"/>
            <w:hideMark/>
          </w:tcPr>
          <w:p w14:paraId="6EE617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0C100BB9" w14:textId="77777777" w:rsidR="00000000" w:rsidRDefault="00582324">
            <w:pPr>
              <w:pStyle w:val="a3"/>
              <w:spacing w:before="0" w:beforeAutospacing="0" w:after="0" w:afterAutospacing="0"/>
              <w:jc w:val="center"/>
              <w:rPr>
                <w:color w:val="000000"/>
                <w:sz w:val="18"/>
                <w:szCs w:val="18"/>
              </w:rPr>
            </w:pPr>
            <w:r>
              <w:rPr>
                <w:color w:val="000000"/>
                <w:sz w:val="18"/>
                <w:szCs w:val="18"/>
              </w:rPr>
              <w:t>1-5 years</w:t>
            </w:r>
          </w:p>
        </w:tc>
        <w:tc>
          <w:tcPr>
            <w:tcW w:w="91" w:type="pct"/>
            <w:shd w:val="clear" w:color="auto" w:fill="FFFFFF"/>
            <w:tcMar>
              <w:top w:w="15" w:type="dxa"/>
              <w:left w:w="0" w:type="dxa"/>
              <w:bottom w:w="0" w:type="dxa"/>
              <w:right w:w="15" w:type="dxa"/>
            </w:tcMar>
            <w:vAlign w:val="bottom"/>
            <w:hideMark/>
          </w:tcPr>
          <w:p w14:paraId="5E9E67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E972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7FC77AD5" w14:textId="77777777" w:rsidR="00000000" w:rsidRDefault="00582324">
            <w:pPr>
              <w:pStyle w:val="a3"/>
              <w:spacing w:before="0" w:beforeAutospacing="0" w:after="0" w:afterAutospacing="0"/>
              <w:jc w:val="right"/>
              <w:rPr>
                <w:color w:val="000000"/>
                <w:sz w:val="18"/>
                <w:szCs w:val="18"/>
              </w:rPr>
            </w:pPr>
            <w:r>
              <w:rPr>
                <w:color w:val="000000"/>
                <w:sz w:val="18"/>
                <w:szCs w:val="18"/>
              </w:rPr>
              <w:t>18,743</w:t>
            </w:r>
          </w:p>
        </w:tc>
        <w:tc>
          <w:tcPr>
            <w:tcW w:w="50" w:type="pct"/>
            <w:shd w:val="clear" w:color="auto" w:fill="FFFFFF"/>
            <w:noWrap/>
            <w:tcMar>
              <w:top w:w="15" w:type="dxa"/>
              <w:left w:w="0" w:type="dxa"/>
              <w:bottom w:w="0" w:type="dxa"/>
              <w:right w:w="15" w:type="dxa"/>
            </w:tcMar>
            <w:vAlign w:val="bottom"/>
            <w:hideMark/>
          </w:tcPr>
          <w:p w14:paraId="22C041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44AE07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5DC5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1F6A6D2A" w14:textId="77777777" w:rsidR="00000000" w:rsidRDefault="00582324">
            <w:pPr>
              <w:pStyle w:val="a3"/>
              <w:spacing w:before="0" w:beforeAutospacing="0" w:after="0" w:afterAutospacing="0"/>
              <w:jc w:val="right"/>
              <w:rPr>
                <w:color w:val="000000"/>
                <w:sz w:val="18"/>
                <w:szCs w:val="18"/>
              </w:rPr>
            </w:pPr>
            <w:r>
              <w:rPr>
                <w:color w:val="000000"/>
                <w:sz w:val="18"/>
                <w:szCs w:val="18"/>
              </w:rPr>
              <w:t>13,920</w:t>
            </w:r>
          </w:p>
        </w:tc>
        <w:tc>
          <w:tcPr>
            <w:tcW w:w="50" w:type="pct"/>
            <w:shd w:val="clear" w:color="auto" w:fill="FFFFFF"/>
            <w:noWrap/>
            <w:tcMar>
              <w:top w:w="15" w:type="dxa"/>
              <w:left w:w="0" w:type="dxa"/>
              <w:bottom w:w="0" w:type="dxa"/>
              <w:right w:w="15" w:type="dxa"/>
            </w:tcMar>
            <w:vAlign w:val="bottom"/>
            <w:hideMark/>
          </w:tcPr>
          <w:p w14:paraId="50EAA3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54A063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24E7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2AD82353" w14:textId="77777777" w:rsidR="00000000" w:rsidRDefault="00582324">
            <w:pPr>
              <w:pStyle w:val="a3"/>
              <w:spacing w:before="0" w:beforeAutospacing="0" w:after="0" w:afterAutospacing="0"/>
              <w:jc w:val="right"/>
              <w:rPr>
                <w:color w:val="000000"/>
                <w:sz w:val="18"/>
                <w:szCs w:val="18"/>
              </w:rPr>
            </w:pPr>
            <w:r>
              <w:rPr>
                <w:color w:val="000000"/>
                <w:sz w:val="18"/>
                <w:szCs w:val="18"/>
              </w:rPr>
              <w:t>4,823</w:t>
            </w:r>
          </w:p>
        </w:tc>
        <w:tc>
          <w:tcPr>
            <w:tcW w:w="50" w:type="pct"/>
            <w:shd w:val="clear" w:color="auto" w:fill="FFFFFF"/>
            <w:noWrap/>
            <w:tcMar>
              <w:top w:w="15" w:type="dxa"/>
              <w:left w:w="0" w:type="dxa"/>
              <w:bottom w:w="0" w:type="dxa"/>
              <w:right w:w="15" w:type="dxa"/>
            </w:tcMar>
            <w:vAlign w:val="bottom"/>
            <w:hideMark/>
          </w:tcPr>
          <w:p w14:paraId="40CFF45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307942" w14:textId="77777777">
        <w:trPr>
          <w:divId w:val="1993483058"/>
        </w:trPr>
        <w:tc>
          <w:tcPr>
            <w:tcW w:w="1176" w:type="pct"/>
            <w:shd w:val="clear" w:color="auto" w:fill="CFF0FC"/>
            <w:tcMar>
              <w:top w:w="15" w:type="dxa"/>
              <w:left w:w="0" w:type="dxa"/>
              <w:bottom w:w="0" w:type="dxa"/>
              <w:right w:w="15" w:type="dxa"/>
            </w:tcMar>
            <w:hideMark/>
          </w:tcPr>
          <w:p w14:paraId="30E6F2C8" w14:textId="77777777" w:rsidR="00000000" w:rsidRDefault="00582324">
            <w:pPr>
              <w:pStyle w:val="a3"/>
              <w:spacing w:before="0" w:beforeAutospacing="0" w:after="0" w:afterAutospacing="0"/>
              <w:rPr>
                <w:color w:val="000000"/>
                <w:sz w:val="18"/>
                <w:szCs w:val="18"/>
              </w:rPr>
            </w:pPr>
            <w:r>
              <w:rPr>
                <w:color w:val="000000"/>
                <w:sz w:val="18"/>
                <w:szCs w:val="18"/>
              </w:rPr>
              <w:t>Proprietary software</w:t>
            </w:r>
          </w:p>
        </w:tc>
        <w:tc>
          <w:tcPr>
            <w:tcW w:w="91" w:type="pct"/>
            <w:shd w:val="clear" w:color="auto" w:fill="CFF0FC"/>
            <w:tcMar>
              <w:top w:w="15" w:type="dxa"/>
              <w:left w:w="0" w:type="dxa"/>
              <w:bottom w:w="0" w:type="dxa"/>
              <w:right w:w="15" w:type="dxa"/>
            </w:tcMar>
            <w:vAlign w:val="bottom"/>
            <w:hideMark/>
          </w:tcPr>
          <w:p w14:paraId="26FCBE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491D22B4" w14:textId="77777777" w:rsidR="00000000" w:rsidRDefault="00582324">
            <w:pPr>
              <w:pStyle w:val="a3"/>
              <w:spacing w:before="0" w:beforeAutospacing="0" w:after="0" w:afterAutospacing="0"/>
              <w:jc w:val="center"/>
              <w:rPr>
                <w:color w:val="000000"/>
                <w:sz w:val="18"/>
                <w:szCs w:val="18"/>
              </w:rPr>
            </w:pPr>
            <w:r>
              <w:rPr>
                <w:color w:val="000000"/>
                <w:sz w:val="18"/>
                <w:szCs w:val="18"/>
              </w:rPr>
              <w:t>3-5 years</w:t>
            </w:r>
          </w:p>
        </w:tc>
        <w:tc>
          <w:tcPr>
            <w:tcW w:w="91" w:type="pct"/>
            <w:shd w:val="clear" w:color="auto" w:fill="CFF0FC"/>
            <w:tcMar>
              <w:top w:w="15" w:type="dxa"/>
              <w:left w:w="0" w:type="dxa"/>
              <w:bottom w:w="0" w:type="dxa"/>
              <w:right w:w="15" w:type="dxa"/>
            </w:tcMar>
            <w:vAlign w:val="bottom"/>
            <w:hideMark/>
          </w:tcPr>
          <w:p w14:paraId="7DC93C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34A6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7AF57C3C" w14:textId="77777777" w:rsidR="00000000" w:rsidRDefault="00582324">
            <w:pPr>
              <w:pStyle w:val="a3"/>
              <w:spacing w:before="0" w:beforeAutospacing="0" w:after="0" w:afterAutospacing="0"/>
              <w:jc w:val="right"/>
              <w:rPr>
                <w:color w:val="000000"/>
                <w:sz w:val="18"/>
                <w:szCs w:val="18"/>
              </w:rPr>
            </w:pPr>
            <w:r>
              <w:rPr>
                <w:color w:val="000000"/>
                <w:sz w:val="18"/>
                <w:szCs w:val="18"/>
              </w:rPr>
              <w:t>21,272</w:t>
            </w:r>
          </w:p>
        </w:tc>
        <w:tc>
          <w:tcPr>
            <w:tcW w:w="50" w:type="pct"/>
            <w:shd w:val="clear" w:color="auto" w:fill="CFF0FC"/>
            <w:noWrap/>
            <w:tcMar>
              <w:top w:w="15" w:type="dxa"/>
              <w:left w:w="0" w:type="dxa"/>
              <w:bottom w:w="0" w:type="dxa"/>
              <w:right w:w="15" w:type="dxa"/>
            </w:tcMar>
            <w:vAlign w:val="bottom"/>
            <w:hideMark/>
          </w:tcPr>
          <w:p w14:paraId="36AC00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7F95A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AD4CA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4071D760" w14:textId="77777777" w:rsidR="00000000" w:rsidRDefault="00582324">
            <w:pPr>
              <w:pStyle w:val="a3"/>
              <w:spacing w:before="0" w:beforeAutospacing="0" w:after="0" w:afterAutospacing="0"/>
              <w:jc w:val="right"/>
              <w:rPr>
                <w:color w:val="000000"/>
                <w:sz w:val="18"/>
                <w:szCs w:val="18"/>
              </w:rPr>
            </w:pPr>
            <w:r>
              <w:rPr>
                <w:color w:val="000000"/>
                <w:sz w:val="18"/>
                <w:szCs w:val="18"/>
              </w:rPr>
              <w:t>8,592</w:t>
            </w:r>
          </w:p>
        </w:tc>
        <w:tc>
          <w:tcPr>
            <w:tcW w:w="50" w:type="pct"/>
            <w:shd w:val="clear" w:color="auto" w:fill="CFF0FC"/>
            <w:noWrap/>
            <w:tcMar>
              <w:top w:w="15" w:type="dxa"/>
              <w:left w:w="0" w:type="dxa"/>
              <w:bottom w:w="0" w:type="dxa"/>
              <w:right w:w="15" w:type="dxa"/>
            </w:tcMar>
            <w:vAlign w:val="bottom"/>
            <w:hideMark/>
          </w:tcPr>
          <w:p w14:paraId="6A6052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0C4002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B054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1DA80B60" w14:textId="77777777" w:rsidR="00000000" w:rsidRDefault="00582324">
            <w:pPr>
              <w:pStyle w:val="a3"/>
              <w:spacing w:before="0" w:beforeAutospacing="0" w:after="0" w:afterAutospacing="0"/>
              <w:jc w:val="right"/>
              <w:rPr>
                <w:color w:val="000000"/>
                <w:sz w:val="18"/>
                <w:szCs w:val="18"/>
              </w:rPr>
            </w:pPr>
            <w:r>
              <w:rPr>
                <w:color w:val="000000"/>
                <w:sz w:val="18"/>
                <w:szCs w:val="18"/>
              </w:rPr>
              <w:t>12,680</w:t>
            </w:r>
          </w:p>
        </w:tc>
        <w:tc>
          <w:tcPr>
            <w:tcW w:w="50" w:type="pct"/>
            <w:shd w:val="clear" w:color="auto" w:fill="CFF0FC"/>
            <w:noWrap/>
            <w:tcMar>
              <w:top w:w="15" w:type="dxa"/>
              <w:left w:w="0" w:type="dxa"/>
              <w:bottom w:w="0" w:type="dxa"/>
              <w:right w:w="15" w:type="dxa"/>
            </w:tcMar>
            <w:vAlign w:val="bottom"/>
            <w:hideMark/>
          </w:tcPr>
          <w:p w14:paraId="52C9222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F302385" w14:textId="77777777">
        <w:trPr>
          <w:divId w:val="1993483058"/>
        </w:trPr>
        <w:tc>
          <w:tcPr>
            <w:tcW w:w="1176" w:type="pct"/>
            <w:shd w:val="clear" w:color="auto" w:fill="FFFFFF"/>
            <w:tcMar>
              <w:top w:w="15" w:type="dxa"/>
              <w:left w:w="0" w:type="dxa"/>
              <w:bottom w:w="0" w:type="dxa"/>
              <w:right w:w="15" w:type="dxa"/>
            </w:tcMar>
            <w:hideMark/>
          </w:tcPr>
          <w:p w14:paraId="23A87DD8" w14:textId="77777777" w:rsidR="00000000" w:rsidRDefault="00582324">
            <w:pPr>
              <w:pStyle w:val="a3"/>
              <w:spacing w:before="0" w:beforeAutospacing="0" w:after="0" w:afterAutospacing="0"/>
              <w:rPr>
                <w:color w:val="000000"/>
                <w:sz w:val="18"/>
                <w:szCs w:val="18"/>
              </w:rPr>
            </w:pPr>
            <w:r>
              <w:rPr>
                <w:color w:val="000000"/>
                <w:sz w:val="18"/>
                <w:szCs w:val="18"/>
              </w:rPr>
              <w:t>Patent</w:t>
            </w:r>
          </w:p>
        </w:tc>
        <w:tc>
          <w:tcPr>
            <w:tcW w:w="91" w:type="pct"/>
            <w:shd w:val="clear" w:color="auto" w:fill="FFFFFF"/>
            <w:tcMar>
              <w:top w:w="15" w:type="dxa"/>
              <w:left w:w="0" w:type="dxa"/>
              <w:bottom w:w="0" w:type="dxa"/>
              <w:right w:w="15" w:type="dxa"/>
            </w:tcMar>
            <w:vAlign w:val="bottom"/>
            <w:hideMark/>
          </w:tcPr>
          <w:p w14:paraId="11F089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53C5CF46" w14:textId="77777777" w:rsidR="00000000" w:rsidRDefault="00582324">
            <w:pPr>
              <w:pStyle w:val="a3"/>
              <w:spacing w:before="0" w:beforeAutospacing="0" w:after="0" w:afterAutospacing="0"/>
              <w:jc w:val="center"/>
              <w:rPr>
                <w:color w:val="000000"/>
                <w:sz w:val="18"/>
                <w:szCs w:val="18"/>
              </w:rPr>
            </w:pPr>
            <w:r>
              <w:rPr>
                <w:color w:val="000000"/>
                <w:sz w:val="18"/>
                <w:szCs w:val="18"/>
              </w:rPr>
              <w:t>16 years</w:t>
            </w:r>
          </w:p>
        </w:tc>
        <w:tc>
          <w:tcPr>
            <w:tcW w:w="91" w:type="pct"/>
            <w:shd w:val="clear" w:color="auto" w:fill="FFFFFF"/>
            <w:tcMar>
              <w:top w:w="15" w:type="dxa"/>
              <w:left w:w="0" w:type="dxa"/>
              <w:bottom w:w="0" w:type="dxa"/>
              <w:right w:w="15" w:type="dxa"/>
            </w:tcMar>
            <w:vAlign w:val="bottom"/>
            <w:hideMark/>
          </w:tcPr>
          <w:p w14:paraId="66AD82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96D98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6C7E35A3" w14:textId="77777777" w:rsidR="00000000" w:rsidRDefault="00582324">
            <w:pPr>
              <w:pStyle w:val="a3"/>
              <w:spacing w:before="0" w:beforeAutospacing="0" w:after="0" w:afterAutospacing="0"/>
              <w:jc w:val="right"/>
              <w:rPr>
                <w:color w:val="000000"/>
                <w:sz w:val="18"/>
                <w:szCs w:val="18"/>
              </w:rPr>
            </w:pPr>
            <w:r>
              <w:rPr>
                <w:color w:val="000000"/>
                <w:sz w:val="18"/>
                <w:szCs w:val="18"/>
              </w:rPr>
              <w:t>17,479</w:t>
            </w:r>
          </w:p>
        </w:tc>
        <w:tc>
          <w:tcPr>
            <w:tcW w:w="50" w:type="pct"/>
            <w:shd w:val="clear" w:color="auto" w:fill="FFFFFF"/>
            <w:noWrap/>
            <w:tcMar>
              <w:top w:w="15" w:type="dxa"/>
              <w:left w:w="0" w:type="dxa"/>
              <w:bottom w:w="0" w:type="dxa"/>
              <w:right w:w="15" w:type="dxa"/>
            </w:tcMar>
            <w:vAlign w:val="bottom"/>
            <w:hideMark/>
          </w:tcPr>
          <w:p w14:paraId="40DCA1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6B2AC7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23AE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6AEBDC8A" w14:textId="77777777" w:rsidR="00000000" w:rsidRDefault="00582324">
            <w:pPr>
              <w:pStyle w:val="a3"/>
              <w:spacing w:before="0" w:beforeAutospacing="0" w:after="0" w:afterAutospacing="0"/>
              <w:jc w:val="right"/>
              <w:rPr>
                <w:color w:val="000000"/>
                <w:sz w:val="18"/>
                <w:szCs w:val="18"/>
              </w:rPr>
            </w:pPr>
            <w:r>
              <w:rPr>
                <w:color w:val="000000"/>
                <w:sz w:val="18"/>
                <w:szCs w:val="18"/>
              </w:rPr>
              <w:t>1,944</w:t>
            </w:r>
          </w:p>
        </w:tc>
        <w:tc>
          <w:tcPr>
            <w:tcW w:w="50" w:type="pct"/>
            <w:shd w:val="clear" w:color="auto" w:fill="FFFFFF"/>
            <w:noWrap/>
            <w:tcMar>
              <w:top w:w="15" w:type="dxa"/>
              <w:left w:w="0" w:type="dxa"/>
              <w:bottom w:w="0" w:type="dxa"/>
              <w:right w:w="15" w:type="dxa"/>
            </w:tcMar>
            <w:vAlign w:val="bottom"/>
            <w:hideMark/>
          </w:tcPr>
          <w:p w14:paraId="757896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2E2D4D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B130C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44C0882F" w14:textId="77777777" w:rsidR="00000000" w:rsidRDefault="00582324">
            <w:pPr>
              <w:pStyle w:val="a3"/>
              <w:spacing w:before="0" w:beforeAutospacing="0" w:after="0" w:afterAutospacing="0"/>
              <w:jc w:val="right"/>
              <w:rPr>
                <w:color w:val="000000"/>
                <w:sz w:val="18"/>
                <w:szCs w:val="18"/>
              </w:rPr>
            </w:pPr>
            <w:r>
              <w:rPr>
                <w:color w:val="000000"/>
                <w:sz w:val="18"/>
                <w:szCs w:val="18"/>
              </w:rPr>
              <w:t>15,535</w:t>
            </w:r>
          </w:p>
        </w:tc>
        <w:tc>
          <w:tcPr>
            <w:tcW w:w="50" w:type="pct"/>
            <w:shd w:val="clear" w:color="auto" w:fill="FFFFFF"/>
            <w:noWrap/>
            <w:tcMar>
              <w:top w:w="15" w:type="dxa"/>
              <w:left w:w="0" w:type="dxa"/>
              <w:bottom w:w="0" w:type="dxa"/>
              <w:right w:w="15" w:type="dxa"/>
            </w:tcMar>
            <w:vAlign w:val="bottom"/>
            <w:hideMark/>
          </w:tcPr>
          <w:p w14:paraId="29355CA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0DAA8D2" w14:textId="77777777">
        <w:trPr>
          <w:divId w:val="1993483058"/>
        </w:trPr>
        <w:tc>
          <w:tcPr>
            <w:tcW w:w="1176" w:type="pct"/>
            <w:shd w:val="clear" w:color="auto" w:fill="CFF0FC"/>
            <w:tcMar>
              <w:top w:w="15" w:type="dxa"/>
              <w:left w:w="0" w:type="dxa"/>
              <w:bottom w:w="0" w:type="dxa"/>
              <w:right w:w="15" w:type="dxa"/>
            </w:tcMar>
            <w:hideMark/>
          </w:tcPr>
          <w:p w14:paraId="74CF8FA3" w14:textId="77777777" w:rsidR="00000000" w:rsidRDefault="00582324">
            <w:pPr>
              <w:pStyle w:val="a3"/>
              <w:spacing w:before="0" w:beforeAutospacing="0" w:after="0" w:afterAutospacing="0"/>
              <w:rPr>
                <w:color w:val="000000"/>
                <w:sz w:val="18"/>
                <w:szCs w:val="18"/>
              </w:rPr>
            </w:pPr>
            <w:r>
              <w:rPr>
                <w:color w:val="000000"/>
                <w:sz w:val="18"/>
                <w:szCs w:val="18"/>
              </w:rPr>
              <w:t>Total other intangible assets</w:t>
            </w:r>
          </w:p>
          <w:p w14:paraId="59C656D3" w14:textId="77777777" w:rsidR="00000000" w:rsidRDefault="00582324">
            <w:pPr>
              <w:pStyle w:val="a3"/>
              <w:spacing w:before="0" w:beforeAutospacing="0" w:after="0" w:afterAutospacing="0"/>
              <w:rPr>
                <w:color w:val="000000"/>
                <w:sz w:val="18"/>
                <w:szCs w:val="18"/>
              </w:rPr>
            </w:pPr>
            <w:r>
              <w:rPr>
                <w:color w:val="000000"/>
                <w:sz w:val="18"/>
                <w:szCs w:val="18"/>
              </w:rPr>
              <w:t>   —net</w:t>
            </w:r>
          </w:p>
        </w:tc>
        <w:tc>
          <w:tcPr>
            <w:tcW w:w="91" w:type="pct"/>
            <w:shd w:val="clear" w:color="auto" w:fill="CFF0FC"/>
            <w:tcMar>
              <w:top w:w="15" w:type="dxa"/>
              <w:left w:w="0" w:type="dxa"/>
              <w:bottom w:w="0" w:type="dxa"/>
              <w:right w:w="15" w:type="dxa"/>
            </w:tcMar>
            <w:vAlign w:val="bottom"/>
            <w:hideMark/>
          </w:tcPr>
          <w:p w14:paraId="28FDCB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2B682DC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56B005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D4B40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0B2F69" w14:textId="77777777" w:rsidR="00000000" w:rsidRDefault="00582324">
            <w:pPr>
              <w:pStyle w:val="a3"/>
              <w:spacing w:before="0" w:beforeAutospacing="0" w:after="0" w:afterAutospacing="0"/>
              <w:jc w:val="right"/>
              <w:rPr>
                <w:color w:val="000000"/>
                <w:sz w:val="18"/>
                <w:szCs w:val="18"/>
              </w:rPr>
            </w:pPr>
            <w:r>
              <w:rPr>
                <w:color w:val="000000"/>
                <w:sz w:val="18"/>
                <w:szCs w:val="18"/>
              </w:rPr>
              <w:t>263,756</w:t>
            </w:r>
          </w:p>
        </w:tc>
        <w:tc>
          <w:tcPr>
            <w:tcW w:w="50" w:type="pct"/>
            <w:shd w:val="clear" w:color="auto" w:fill="CFF0FC"/>
            <w:noWrap/>
            <w:tcMar>
              <w:top w:w="15" w:type="dxa"/>
              <w:left w:w="0" w:type="dxa"/>
              <w:bottom w:w="0" w:type="dxa"/>
              <w:right w:w="15" w:type="dxa"/>
            </w:tcMar>
            <w:vAlign w:val="bottom"/>
            <w:hideMark/>
          </w:tcPr>
          <w:p w14:paraId="382691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3AB565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F7768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8A99DE" w14:textId="77777777" w:rsidR="00000000" w:rsidRDefault="00582324">
            <w:pPr>
              <w:pStyle w:val="a3"/>
              <w:spacing w:before="0" w:beforeAutospacing="0" w:after="0" w:afterAutospacing="0"/>
              <w:jc w:val="right"/>
              <w:rPr>
                <w:color w:val="000000"/>
                <w:sz w:val="18"/>
                <w:szCs w:val="18"/>
              </w:rPr>
            </w:pPr>
            <w:r>
              <w:rPr>
                <w:color w:val="000000"/>
                <w:sz w:val="18"/>
                <w:szCs w:val="18"/>
              </w:rPr>
              <w:t>111,016</w:t>
            </w:r>
          </w:p>
        </w:tc>
        <w:tc>
          <w:tcPr>
            <w:tcW w:w="50" w:type="pct"/>
            <w:shd w:val="clear" w:color="auto" w:fill="CFF0FC"/>
            <w:noWrap/>
            <w:tcMar>
              <w:top w:w="15" w:type="dxa"/>
              <w:left w:w="0" w:type="dxa"/>
              <w:bottom w:w="0" w:type="dxa"/>
              <w:right w:w="15" w:type="dxa"/>
            </w:tcMar>
            <w:vAlign w:val="bottom"/>
            <w:hideMark/>
          </w:tcPr>
          <w:p w14:paraId="433DB3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3118B4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C6592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5614D7" w14:textId="77777777" w:rsidR="00000000" w:rsidRDefault="00582324">
            <w:pPr>
              <w:pStyle w:val="a3"/>
              <w:spacing w:before="0" w:beforeAutospacing="0" w:after="0" w:afterAutospacing="0"/>
              <w:jc w:val="right"/>
              <w:rPr>
                <w:color w:val="000000"/>
                <w:sz w:val="18"/>
                <w:szCs w:val="18"/>
              </w:rPr>
            </w:pPr>
            <w:r>
              <w:rPr>
                <w:color w:val="000000"/>
                <w:sz w:val="18"/>
                <w:szCs w:val="18"/>
              </w:rPr>
              <w:t>152,740</w:t>
            </w:r>
          </w:p>
        </w:tc>
        <w:tc>
          <w:tcPr>
            <w:tcW w:w="50" w:type="pct"/>
            <w:shd w:val="clear" w:color="auto" w:fill="CFF0FC"/>
            <w:noWrap/>
            <w:tcMar>
              <w:top w:w="15" w:type="dxa"/>
              <w:left w:w="0" w:type="dxa"/>
              <w:bottom w:w="0" w:type="dxa"/>
              <w:right w:w="15" w:type="dxa"/>
            </w:tcMar>
            <w:vAlign w:val="bottom"/>
            <w:hideMark/>
          </w:tcPr>
          <w:p w14:paraId="386A4B61"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F8B5F4C"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753"/>
        <w:gridCol w:w="128"/>
        <w:gridCol w:w="1284"/>
        <w:gridCol w:w="128"/>
        <w:gridCol w:w="105"/>
        <w:gridCol w:w="1134"/>
        <w:gridCol w:w="67"/>
        <w:gridCol w:w="129"/>
        <w:gridCol w:w="106"/>
        <w:gridCol w:w="1135"/>
        <w:gridCol w:w="68"/>
        <w:gridCol w:w="129"/>
        <w:gridCol w:w="106"/>
        <w:gridCol w:w="1135"/>
        <w:gridCol w:w="68"/>
      </w:tblGrid>
      <w:tr w:rsidR="00000000" w14:paraId="2CBE8D7D" w14:textId="77777777">
        <w:trPr>
          <w:divId w:val="594823437"/>
        </w:trPr>
        <w:tc>
          <w:tcPr>
            <w:tcW w:w="1176" w:type="pct"/>
            <w:shd w:val="clear" w:color="auto" w:fill="FFFFFF"/>
            <w:tcMar>
              <w:top w:w="15" w:type="dxa"/>
              <w:left w:w="0" w:type="dxa"/>
              <w:bottom w:w="0" w:type="dxa"/>
              <w:right w:w="15" w:type="dxa"/>
            </w:tcMar>
            <w:vAlign w:val="bottom"/>
            <w:hideMark/>
          </w:tcPr>
          <w:p w14:paraId="60D3CCBC" w14:textId="77777777" w:rsidR="00000000" w:rsidRDefault="00582324">
            <w:pPr>
              <w:pStyle w:val="a3"/>
              <w:spacing w:before="0" w:beforeAutospacing="0" w:after="0" w:afterAutospacing="0"/>
              <w:rPr>
                <w:b/>
                <w:bCs/>
                <w:color w:val="000000"/>
                <w:sz w:val="18"/>
                <w:szCs w:val="18"/>
              </w:rPr>
            </w:pPr>
            <w:r>
              <w:rPr>
                <w:b/>
                <w:bCs/>
                <w:color w:val="000000"/>
                <w:sz w:val="18"/>
                <w:szCs w:val="18"/>
              </w:rPr>
              <w:t>December 31, 2020</w:t>
            </w:r>
          </w:p>
        </w:tc>
        <w:tc>
          <w:tcPr>
            <w:tcW w:w="91" w:type="pct"/>
            <w:shd w:val="clear" w:color="auto" w:fill="FFFFFF"/>
            <w:tcMar>
              <w:top w:w="15" w:type="dxa"/>
              <w:left w:w="0" w:type="dxa"/>
              <w:bottom w:w="0" w:type="dxa"/>
              <w:right w:w="15" w:type="dxa"/>
            </w:tcMar>
            <w:vAlign w:val="bottom"/>
            <w:hideMark/>
          </w:tcPr>
          <w:p w14:paraId="3862383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3" w:type="pct"/>
            <w:tcBorders>
              <w:bottom w:val="single" w:sz="6" w:space="0" w:color="000000"/>
            </w:tcBorders>
            <w:shd w:val="clear" w:color="auto" w:fill="FFFFFF"/>
            <w:tcMar>
              <w:top w:w="15" w:type="dxa"/>
              <w:left w:w="0" w:type="dxa"/>
              <w:bottom w:w="0" w:type="dxa"/>
              <w:right w:w="15" w:type="dxa"/>
            </w:tcMar>
            <w:vAlign w:val="bottom"/>
            <w:hideMark/>
          </w:tcPr>
          <w:p w14:paraId="2B14643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Estimated</w:t>
            </w:r>
          </w:p>
          <w:p w14:paraId="4856371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Useful Life</w:t>
            </w:r>
          </w:p>
        </w:tc>
        <w:tc>
          <w:tcPr>
            <w:tcW w:w="91" w:type="pct"/>
            <w:shd w:val="clear" w:color="auto" w:fill="FFFFFF"/>
            <w:tcMar>
              <w:top w:w="15" w:type="dxa"/>
              <w:left w:w="0" w:type="dxa"/>
              <w:bottom w:w="0" w:type="dxa"/>
              <w:right w:w="15" w:type="dxa"/>
            </w:tcMar>
            <w:vAlign w:val="bottom"/>
            <w:hideMark/>
          </w:tcPr>
          <w:p w14:paraId="2E8CAA1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bottom"/>
            <w:hideMark/>
          </w:tcPr>
          <w:p w14:paraId="6566702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Gross</w:t>
            </w:r>
          </w:p>
          <w:p w14:paraId="25E85CC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Balance</w:t>
            </w:r>
          </w:p>
        </w:tc>
        <w:tc>
          <w:tcPr>
            <w:tcW w:w="50" w:type="pct"/>
            <w:shd w:val="clear" w:color="auto" w:fill="FFFFFF"/>
            <w:noWrap/>
            <w:tcMar>
              <w:top w:w="15" w:type="dxa"/>
              <w:left w:w="0" w:type="dxa"/>
              <w:bottom w:w="0" w:type="dxa"/>
              <w:right w:w="15" w:type="dxa"/>
            </w:tcMar>
            <w:vAlign w:val="bottom"/>
            <w:hideMark/>
          </w:tcPr>
          <w:p w14:paraId="5E3D3B3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1" w:type="pct"/>
            <w:shd w:val="clear" w:color="auto" w:fill="FFFFFF"/>
            <w:tcMar>
              <w:top w:w="15" w:type="dxa"/>
              <w:left w:w="0" w:type="dxa"/>
              <w:bottom w:w="0" w:type="dxa"/>
              <w:right w:w="15" w:type="dxa"/>
            </w:tcMar>
            <w:vAlign w:val="bottom"/>
            <w:hideMark/>
          </w:tcPr>
          <w:p w14:paraId="6E160B9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bottom"/>
            <w:hideMark/>
          </w:tcPr>
          <w:p w14:paraId="5EC792C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Accumulated</w:t>
            </w:r>
          </w:p>
          <w:p w14:paraId="2957682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Amortization</w:t>
            </w:r>
          </w:p>
        </w:tc>
        <w:tc>
          <w:tcPr>
            <w:tcW w:w="50" w:type="pct"/>
            <w:shd w:val="clear" w:color="auto" w:fill="FFFFFF"/>
            <w:noWrap/>
            <w:tcMar>
              <w:top w:w="15" w:type="dxa"/>
              <w:left w:w="0" w:type="dxa"/>
              <w:bottom w:w="0" w:type="dxa"/>
              <w:right w:w="15" w:type="dxa"/>
            </w:tcMar>
            <w:vAlign w:val="bottom"/>
            <w:hideMark/>
          </w:tcPr>
          <w:p w14:paraId="1943D4B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1" w:type="pct"/>
            <w:shd w:val="clear" w:color="auto" w:fill="FFFFFF"/>
            <w:tcMar>
              <w:top w:w="15" w:type="dxa"/>
              <w:left w:w="0" w:type="dxa"/>
              <w:bottom w:w="0" w:type="dxa"/>
              <w:right w:w="15" w:type="dxa"/>
            </w:tcMar>
            <w:vAlign w:val="bottom"/>
            <w:hideMark/>
          </w:tcPr>
          <w:p w14:paraId="5A4573C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3" w:type="pct"/>
            <w:gridSpan w:val="2"/>
            <w:tcBorders>
              <w:bottom w:val="single" w:sz="6" w:space="0" w:color="000000"/>
            </w:tcBorders>
            <w:shd w:val="clear" w:color="auto" w:fill="FFFFFF"/>
            <w:tcMar>
              <w:top w:w="15" w:type="dxa"/>
              <w:left w:w="0" w:type="dxa"/>
              <w:bottom w:w="0" w:type="dxa"/>
              <w:right w:w="15" w:type="dxa"/>
            </w:tcMar>
            <w:vAlign w:val="bottom"/>
            <w:hideMark/>
          </w:tcPr>
          <w:p w14:paraId="3577BC0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4D75933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Intangible</w:t>
            </w:r>
          </w:p>
          <w:p w14:paraId="329C842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Assets—Net</w:t>
            </w:r>
          </w:p>
        </w:tc>
        <w:tc>
          <w:tcPr>
            <w:tcW w:w="50" w:type="pct"/>
            <w:shd w:val="clear" w:color="auto" w:fill="FFFFFF"/>
            <w:noWrap/>
            <w:tcMar>
              <w:top w:w="15" w:type="dxa"/>
              <w:left w:w="0" w:type="dxa"/>
              <w:bottom w:w="0" w:type="dxa"/>
              <w:right w:w="15" w:type="dxa"/>
            </w:tcMar>
            <w:vAlign w:val="bottom"/>
            <w:hideMark/>
          </w:tcPr>
          <w:p w14:paraId="3987E08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C367B0A" w14:textId="77777777">
        <w:trPr>
          <w:divId w:val="594823437"/>
        </w:trPr>
        <w:tc>
          <w:tcPr>
            <w:tcW w:w="1176" w:type="pct"/>
            <w:shd w:val="clear" w:color="auto" w:fill="CFF0FC"/>
            <w:tcMar>
              <w:top w:w="15" w:type="dxa"/>
              <w:left w:w="0" w:type="dxa"/>
              <w:bottom w:w="0" w:type="dxa"/>
              <w:right w:w="15" w:type="dxa"/>
            </w:tcMar>
            <w:hideMark/>
          </w:tcPr>
          <w:p w14:paraId="2546CF73" w14:textId="77777777" w:rsidR="00000000" w:rsidRDefault="00582324">
            <w:pPr>
              <w:pStyle w:val="a3"/>
              <w:spacing w:before="0" w:beforeAutospacing="0" w:after="0" w:afterAutospacing="0"/>
              <w:rPr>
                <w:color w:val="000000"/>
                <w:sz w:val="18"/>
                <w:szCs w:val="18"/>
              </w:rPr>
            </w:pPr>
            <w:r>
              <w:rPr>
                <w:color w:val="000000"/>
                <w:sz w:val="18"/>
                <w:szCs w:val="18"/>
              </w:rPr>
              <w:t>Finite lived intangible assets</w:t>
            </w:r>
          </w:p>
        </w:tc>
        <w:tc>
          <w:tcPr>
            <w:tcW w:w="91" w:type="pct"/>
            <w:shd w:val="clear" w:color="auto" w:fill="CFF0FC"/>
            <w:tcMar>
              <w:top w:w="15" w:type="dxa"/>
              <w:left w:w="0" w:type="dxa"/>
              <w:bottom w:w="0" w:type="dxa"/>
              <w:right w:w="15" w:type="dxa"/>
            </w:tcMar>
            <w:vAlign w:val="bottom"/>
            <w:hideMark/>
          </w:tcPr>
          <w:p w14:paraId="28913C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tcBorders>
              <w:top w:val="single" w:sz="6" w:space="0" w:color="000000"/>
            </w:tcBorders>
            <w:shd w:val="clear" w:color="auto" w:fill="CFF0FC"/>
            <w:tcMar>
              <w:top w:w="15" w:type="dxa"/>
              <w:left w:w="0" w:type="dxa"/>
              <w:bottom w:w="0" w:type="dxa"/>
              <w:right w:w="15" w:type="dxa"/>
            </w:tcMar>
            <w:vAlign w:val="bottom"/>
            <w:hideMark/>
          </w:tcPr>
          <w:p w14:paraId="66D85B5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153646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2BE6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554414C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DD2E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535FA7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A6D7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76A3D18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5AA33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6D7A77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50ED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top w:val="single" w:sz="6" w:space="0" w:color="000000"/>
            </w:tcBorders>
            <w:shd w:val="clear" w:color="auto" w:fill="CFF0FC"/>
            <w:noWrap/>
            <w:tcMar>
              <w:top w:w="15" w:type="dxa"/>
              <w:left w:w="0" w:type="dxa"/>
              <w:bottom w:w="0" w:type="dxa"/>
              <w:right w:w="15" w:type="dxa"/>
            </w:tcMar>
            <w:vAlign w:val="bottom"/>
            <w:hideMark/>
          </w:tcPr>
          <w:p w14:paraId="51AA645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0D7A73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1703C95" w14:textId="77777777">
        <w:trPr>
          <w:divId w:val="594823437"/>
        </w:trPr>
        <w:tc>
          <w:tcPr>
            <w:tcW w:w="1176" w:type="pct"/>
            <w:shd w:val="clear" w:color="auto" w:fill="FFFFFF"/>
            <w:tcMar>
              <w:top w:w="15" w:type="dxa"/>
              <w:left w:w="0" w:type="dxa"/>
              <w:bottom w:w="0" w:type="dxa"/>
              <w:right w:w="15" w:type="dxa"/>
            </w:tcMar>
            <w:hideMark/>
          </w:tcPr>
          <w:p w14:paraId="111AFFDC" w14:textId="77777777" w:rsidR="00000000" w:rsidRDefault="00582324">
            <w:pPr>
              <w:pStyle w:val="a3"/>
              <w:spacing w:before="0" w:beforeAutospacing="0" w:after="0" w:afterAutospacing="0"/>
              <w:rPr>
                <w:color w:val="000000"/>
                <w:sz w:val="18"/>
                <w:szCs w:val="18"/>
              </w:rPr>
            </w:pPr>
            <w:r>
              <w:rPr>
                <w:color w:val="000000"/>
                <w:sz w:val="18"/>
                <w:szCs w:val="18"/>
              </w:rPr>
              <w:t>Customer relationships</w:t>
            </w:r>
          </w:p>
        </w:tc>
        <w:tc>
          <w:tcPr>
            <w:tcW w:w="91" w:type="pct"/>
            <w:shd w:val="clear" w:color="auto" w:fill="FFFFFF"/>
            <w:tcMar>
              <w:top w:w="15" w:type="dxa"/>
              <w:left w:w="0" w:type="dxa"/>
              <w:bottom w:w="0" w:type="dxa"/>
              <w:right w:w="15" w:type="dxa"/>
            </w:tcMar>
            <w:vAlign w:val="bottom"/>
            <w:hideMark/>
          </w:tcPr>
          <w:p w14:paraId="53D64A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5EF4F773" w14:textId="77777777" w:rsidR="00000000" w:rsidRDefault="00582324">
            <w:pPr>
              <w:pStyle w:val="a3"/>
              <w:spacing w:before="0" w:beforeAutospacing="0" w:after="0" w:afterAutospacing="0"/>
              <w:jc w:val="center"/>
              <w:rPr>
                <w:color w:val="000000"/>
                <w:sz w:val="18"/>
                <w:szCs w:val="18"/>
              </w:rPr>
            </w:pPr>
            <w:r>
              <w:rPr>
                <w:color w:val="000000"/>
                <w:sz w:val="18"/>
                <w:szCs w:val="18"/>
              </w:rPr>
              <w:t>7-15 years</w:t>
            </w:r>
          </w:p>
        </w:tc>
        <w:tc>
          <w:tcPr>
            <w:tcW w:w="91" w:type="pct"/>
            <w:shd w:val="clear" w:color="auto" w:fill="FFFFFF"/>
            <w:tcMar>
              <w:top w:w="15" w:type="dxa"/>
              <w:left w:w="0" w:type="dxa"/>
              <w:bottom w:w="0" w:type="dxa"/>
              <w:right w:w="15" w:type="dxa"/>
            </w:tcMar>
            <w:vAlign w:val="bottom"/>
            <w:hideMark/>
          </w:tcPr>
          <w:p w14:paraId="76C5E6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12E290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02E99ACA" w14:textId="77777777" w:rsidR="00000000" w:rsidRDefault="00582324">
            <w:pPr>
              <w:pStyle w:val="a3"/>
              <w:spacing w:before="0" w:beforeAutospacing="0" w:after="0" w:afterAutospacing="0"/>
              <w:jc w:val="right"/>
              <w:rPr>
                <w:color w:val="000000"/>
                <w:sz w:val="18"/>
                <w:szCs w:val="18"/>
              </w:rPr>
            </w:pPr>
            <w:r>
              <w:rPr>
                <w:color w:val="000000"/>
                <w:sz w:val="18"/>
                <w:szCs w:val="18"/>
              </w:rPr>
              <w:t>164,782</w:t>
            </w:r>
          </w:p>
        </w:tc>
        <w:tc>
          <w:tcPr>
            <w:tcW w:w="50" w:type="pct"/>
            <w:shd w:val="clear" w:color="auto" w:fill="FFFFFF"/>
            <w:noWrap/>
            <w:tcMar>
              <w:top w:w="15" w:type="dxa"/>
              <w:left w:w="0" w:type="dxa"/>
              <w:bottom w:w="0" w:type="dxa"/>
              <w:right w:w="15" w:type="dxa"/>
            </w:tcMar>
            <w:vAlign w:val="bottom"/>
            <w:hideMark/>
          </w:tcPr>
          <w:p w14:paraId="56E3DA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7E3A88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870CC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2601ED76" w14:textId="77777777" w:rsidR="00000000" w:rsidRDefault="00582324">
            <w:pPr>
              <w:pStyle w:val="a3"/>
              <w:spacing w:before="0" w:beforeAutospacing="0" w:after="0" w:afterAutospacing="0"/>
              <w:jc w:val="right"/>
              <w:rPr>
                <w:color w:val="000000"/>
                <w:sz w:val="18"/>
                <w:szCs w:val="18"/>
              </w:rPr>
            </w:pPr>
            <w:r>
              <w:rPr>
                <w:color w:val="000000"/>
                <w:sz w:val="18"/>
                <w:szCs w:val="18"/>
              </w:rPr>
              <w:t>53,446</w:t>
            </w:r>
          </w:p>
        </w:tc>
        <w:tc>
          <w:tcPr>
            <w:tcW w:w="50" w:type="pct"/>
            <w:shd w:val="clear" w:color="auto" w:fill="FFFFFF"/>
            <w:noWrap/>
            <w:tcMar>
              <w:top w:w="15" w:type="dxa"/>
              <w:left w:w="0" w:type="dxa"/>
              <w:bottom w:w="0" w:type="dxa"/>
              <w:right w:w="15" w:type="dxa"/>
            </w:tcMar>
            <w:vAlign w:val="bottom"/>
            <w:hideMark/>
          </w:tcPr>
          <w:p w14:paraId="32FF80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0EE0C8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786C1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shd w:val="clear" w:color="auto" w:fill="FFFFFF"/>
            <w:noWrap/>
            <w:tcMar>
              <w:top w:w="15" w:type="dxa"/>
              <w:left w:w="0" w:type="dxa"/>
              <w:bottom w:w="0" w:type="dxa"/>
              <w:right w:w="15" w:type="dxa"/>
            </w:tcMar>
            <w:vAlign w:val="bottom"/>
            <w:hideMark/>
          </w:tcPr>
          <w:p w14:paraId="06D72119" w14:textId="77777777" w:rsidR="00000000" w:rsidRDefault="00582324">
            <w:pPr>
              <w:pStyle w:val="a3"/>
              <w:spacing w:before="0" w:beforeAutospacing="0" w:after="0" w:afterAutospacing="0"/>
              <w:jc w:val="right"/>
              <w:rPr>
                <w:color w:val="000000"/>
                <w:sz w:val="18"/>
                <w:szCs w:val="18"/>
              </w:rPr>
            </w:pPr>
            <w:r>
              <w:rPr>
                <w:color w:val="000000"/>
                <w:sz w:val="18"/>
                <w:szCs w:val="18"/>
              </w:rPr>
              <w:t>111,336</w:t>
            </w:r>
          </w:p>
        </w:tc>
        <w:tc>
          <w:tcPr>
            <w:tcW w:w="50" w:type="pct"/>
            <w:shd w:val="clear" w:color="auto" w:fill="FFFFFF"/>
            <w:noWrap/>
            <w:tcMar>
              <w:top w:w="15" w:type="dxa"/>
              <w:left w:w="0" w:type="dxa"/>
              <w:bottom w:w="0" w:type="dxa"/>
              <w:right w:w="15" w:type="dxa"/>
            </w:tcMar>
            <w:vAlign w:val="bottom"/>
            <w:hideMark/>
          </w:tcPr>
          <w:p w14:paraId="061D69C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EA6422B" w14:textId="77777777">
        <w:trPr>
          <w:divId w:val="594823437"/>
        </w:trPr>
        <w:tc>
          <w:tcPr>
            <w:tcW w:w="1176" w:type="pct"/>
            <w:shd w:val="clear" w:color="auto" w:fill="CFF0FC"/>
            <w:tcMar>
              <w:top w:w="15" w:type="dxa"/>
              <w:left w:w="0" w:type="dxa"/>
              <w:bottom w:w="0" w:type="dxa"/>
              <w:right w:w="15" w:type="dxa"/>
            </w:tcMar>
            <w:hideMark/>
          </w:tcPr>
          <w:p w14:paraId="39D0DD92" w14:textId="77777777" w:rsidR="00000000" w:rsidRDefault="00582324">
            <w:pPr>
              <w:pStyle w:val="a3"/>
              <w:spacing w:before="0" w:beforeAutospacing="0" w:after="0" w:afterAutospacing="0"/>
              <w:rPr>
                <w:color w:val="000000"/>
                <w:sz w:val="18"/>
                <w:szCs w:val="18"/>
              </w:rPr>
            </w:pPr>
            <w:r>
              <w:rPr>
                <w:color w:val="000000"/>
                <w:sz w:val="18"/>
                <w:szCs w:val="18"/>
              </w:rPr>
              <w:t>Covenants not to compete</w:t>
            </w:r>
          </w:p>
        </w:tc>
        <w:tc>
          <w:tcPr>
            <w:tcW w:w="91" w:type="pct"/>
            <w:shd w:val="clear" w:color="auto" w:fill="CFF0FC"/>
            <w:tcMar>
              <w:top w:w="15" w:type="dxa"/>
              <w:left w:w="0" w:type="dxa"/>
              <w:bottom w:w="0" w:type="dxa"/>
              <w:right w:w="15" w:type="dxa"/>
            </w:tcMar>
            <w:vAlign w:val="bottom"/>
            <w:hideMark/>
          </w:tcPr>
          <w:p w14:paraId="1CD101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193E2409" w14:textId="77777777" w:rsidR="00000000" w:rsidRDefault="00582324">
            <w:pPr>
              <w:pStyle w:val="a3"/>
              <w:spacing w:before="0" w:beforeAutospacing="0" w:after="0" w:afterAutospacing="0"/>
              <w:jc w:val="center"/>
              <w:rPr>
                <w:color w:val="000000"/>
                <w:sz w:val="18"/>
                <w:szCs w:val="18"/>
              </w:rPr>
            </w:pPr>
            <w:r>
              <w:rPr>
                <w:color w:val="000000"/>
                <w:sz w:val="18"/>
                <w:szCs w:val="18"/>
              </w:rPr>
              <w:t>4-5 years</w:t>
            </w:r>
          </w:p>
        </w:tc>
        <w:tc>
          <w:tcPr>
            <w:tcW w:w="91" w:type="pct"/>
            <w:shd w:val="clear" w:color="auto" w:fill="CFF0FC"/>
            <w:tcMar>
              <w:top w:w="15" w:type="dxa"/>
              <w:left w:w="0" w:type="dxa"/>
              <w:bottom w:w="0" w:type="dxa"/>
              <w:right w:w="15" w:type="dxa"/>
            </w:tcMar>
            <w:vAlign w:val="bottom"/>
            <w:hideMark/>
          </w:tcPr>
          <w:p w14:paraId="7FF920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6451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0A907210" w14:textId="77777777" w:rsidR="00000000" w:rsidRDefault="00582324">
            <w:pPr>
              <w:pStyle w:val="a3"/>
              <w:spacing w:before="0" w:beforeAutospacing="0" w:after="0" w:afterAutospacing="0"/>
              <w:jc w:val="right"/>
              <w:rPr>
                <w:color w:val="000000"/>
                <w:sz w:val="18"/>
                <w:szCs w:val="18"/>
              </w:rPr>
            </w:pPr>
            <w:r>
              <w:rPr>
                <w:color w:val="000000"/>
                <w:sz w:val="18"/>
                <w:szCs w:val="18"/>
              </w:rPr>
              <w:t>29,942</w:t>
            </w:r>
          </w:p>
        </w:tc>
        <w:tc>
          <w:tcPr>
            <w:tcW w:w="50" w:type="pct"/>
            <w:shd w:val="clear" w:color="auto" w:fill="CFF0FC"/>
            <w:noWrap/>
            <w:tcMar>
              <w:top w:w="15" w:type="dxa"/>
              <w:left w:w="0" w:type="dxa"/>
              <w:bottom w:w="0" w:type="dxa"/>
              <w:right w:w="15" w:type="dxa"/>
            </w:tcMar>
            <w:vAlign w:val="bottom"/>
            <w:hideMark/>
          </w:tcPr>
          <w:p w14:paraId="627476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290334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1104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56D3EA97" w14:textId="77777777" w:rsidR="00000000" w:rsidRDefault="00582324">
            <w:pPr>
              <w:pStyle w:val="a3"/>
              <w:spacing w:before="0" w:beforeAutospacing="0" w:after="0" w:afterAutospacing="0"/>
              <w:jc w:val="right"/>
              <w:rPr>
                <w:color w:val="000000"/>
                <w:sz w:val="18"/>
                <w:szCs w:val="18"/>
              </w:rPr>
            </w:pPr>
            <w:r>
              <w:rPr>
                <w:color w:val="000000"/>
                <w:sz w:val="18"/>
                <w:szCs w:val="18"/>
              </w:rPr>
              <w:t>21,469</w:t>
            </w:r>
          </w:p>
        </w:tc>
        <w:tc>
          <w:tcPr>
            <w:tcW w:w="50" w:type="pct"/>
            <w:shd w:val="clear" w:color="auto" w:fill="CFF0FC"/>
            <w:noWrap/>
            <w:tcMar>
              <w:top w:w="15" w:type="dxa"/>
              <w:left w:w="0" w:type="dxa"/>
              <w:bottom w:w="0" w:type="dxa"/>
              <w:right w:w="15" w:type="dxa"/>
            </w:tcMar>
            <w:vAlign w:val="bottom"/>
            <w:hideMark/>
          </w:tcPr>
          <w:p w14:paraId="1ADB74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700998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B388A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0334A472" w14:textId="77777777" w:rsidR="00000000" w:rsidRDefault="00582324">
            <w:pPr>
              <w:pStyle w:val="a3"/>
              <w:spacing w:before="0" w:beforeAutospacing="0" w:after="0" w:afterAutospacing="0"/>
              <w:jc w:val="right"/>
              <w:rPr>
                <w:color w:val="000000"/>
                <w:sz w:val="18"/>
                <w:szCs w:val="18"/>
              </w:rPr>
            </w:pPr>
            <w:r>
              <w:rPr>
                <w:color w:val="000000"/>
                <w:sz w:val="18"/>
                <w:szCs w:val="18"/>
              </w:rPr>
              <w:t>8,473</w:t>
            </w:r>
          </w:p>
        </w:tc>
        <w:tc>
          <w:tcPr>
            <w:tcW w:w="50" w:type="pct"/>
            <w:shd w:val="clear" w:color="auto" w:fill="CFF0FC"/>
            <w:noWrap/>
            <w:tcMar>
              <w:top w:w="15" w:type="dxa"/>
              <w:left w:w="0" w:type="dxa"/>
              <w:bottom w:w="0" w:type="dxa"/>
              <w:right w:w="15" w:type="dxa"/>
            </w:tcMar>
            <w:vAlign w:val="bottom"/>
            <w:hideMark/>
          </w:tcPr>
          <w:p w14:paraId="1595609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D110D2" w14:textId="77777777">
        <w:trPr>
          <w:divId w:val="594823437"/>
        </w:trPr>
        <w:tc>
          <w:tcPr>
            <w:tcW w:w="1176" w:type="pct"/>
            <w:shd w:val="clear" w:color="auto" w:fill="FFFFFF"/>
            <w:tcMar>
              <w:top w:w="15" w:type="dxa"/>
              <w:left w:w="0" w:type="dxa"/>
              <w:bottom w:w="0" w:type="dxa"/>
              <w:right w:w="15" w:type="dxa"/>
            </w:tcMar>
            <w:hideMark/>
          </w:tcPr>
          <w:p w14:paraId="6B452B88" w14:textId="77777777" w:rsidR="00000000" w:rsidRDefault="00582324">
            <w:pPr>
              <w:pStyle w:val="a3"/>
              <w:spacing w:before="0" w:beforeAutospacing="0" w:after="0" w:afterAutospacing="0"/>
              <w:rPr>
                <w:color w:val="000000"/>
                <w:sz w:val="18"/>
                <w:szCs w:val="18"/>
              </w:rPr>
            </w:pPr>
            <w:r>
              <w:rPr>
                <w:color w:val="000000"/>
                <w:sz w:val="18"/>
                <w:szCs w:val="18"/>
              </w:rPr>
              <w:t>Trade names</w:t>
            </w:r>
          </w:p>
        </w:tc>
        <w:tc>
          <w:tcPr>
            <w:tcW w:w="91" w:type="pct"/>
            <w:shd w:val="clear" w:color="auto" w:fill="FFFFFF"/>
            <w:tcMar>
              <w:top w:w="15" w:type="dxa"/>
              <w:left w:w="0" w:type="dxa"/>
              <w:bottom w:w="0" w:type="dxa"/>
              <w:right w:w="15" w:type="dxa"/>
            </w:tcMar>
            <w:vAlign w:val="bottom"/>
            <w:hideMark/>
          </w:tcPr>
          <w:p w14:paraId="57A3FE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495F165A" w14:textId="77777777" w:rsidR="00000000" w:rsidRDefault="00582324">
            <w:pPr>
              <w:pStyle w:val="a3"/>
              <w:spacing w:before="0" w:beforeAutospacing="0" w:after="0" w:afterAutospacing="0"/>
              <w:jc w:val="center"/>
              <w:rPr>
                <w:color w:val="000000"/>
                <w:sz w:val="18"/>
                <w:szCs w:val="18"/>
              </w:rPr>
            </w:pPr>
            <w:r>
              <w:rPr>
                <w:color w:val="000000"/>
                <w:sz w:val="18"/>
                <w:szCs w:val="18"/>
              </w:rPr>
              <w:t>1-5 years</w:t>
            </w:r>
          </w:p>
        </w:tc>
        <w:tc>
          <w:tcPr>
            <w:tcW w:w="91" w:type="pct"/>
            <w:shd w:val="clear" w:color="auto" w:fill="FFFFFF"/>
            <w:tcMar>
              <w:top w:w="15" w:type="dxa"/>
              <w:left w:w="0" w:type="dxa"/>
              <w:bottom w:w="0" w:type="dxa"/>
              <w:right w:w="15" w:type="dxa"/>
            </w:tcMar>
            <w:vAlign w:val="bottom"/>
            <w:hideMark/>
          </w:tcPr>
          <w:p w14:paraId="5FE960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31685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5D7D7D9E" w14:textId="77777777" w:rsidR="00000000" w:rsidRDefault="00582324">
            <w:pPr>
              <w:pStyle w:val="a3"/>
              <w:spacing w:before="0" w:beforeAutospacing="0" w:after="0" w:afterAutospacing="0"/>
              <w:jc w:val="right"/>
              <w:rPr>
                <w:color w:val="000000"/>
                <w:sz w:val="18"/>
                <w:szCs w:val="18"/>
              </w:rPr>
            </w:pPr>
            <w:r>
              <w:rPr>
                <w:color w:val="000000"/>
                <w:sz w:val="18"/>
                <w:szCs w:val="18"/>
              </w:rPr>
              <w:t>16,938</w:t>
            </w:r>
          </w:p>
        </w:tc>
        <w:tc>
          <w:tcPr>
            <w:tcW w:w="50" w:type="pct"/>
            <w:shd w:val="clear" w:color="auto" w:fill="FFFFFF"/>
            <w:noWrap/>
            <w:tcMar>
              <w:top w:w="15" w:type="dxa"/>
              <w:left w:w="0" w:type="dxa"/>
              <w:bottom w:w="0" w:type="dxa"/>
              <w:right w:w="15" w:type="dxa"/>
            </w:tcMar>
            <w:vAlign w:val="bottom"/>
            <w:hideMark/>
          </w:tcPr>
          <w:p w14:paraId="3248FB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34DE92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AE6D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13AEF2CE" w14:textId="77777777" w:rsidR="00000000" w:rsidRDefault="00582324">
            <w:pPr>
              <w:pStyle w:val="a3"/>
              <w:spacing w:before="0" w:beforeAutospacing="0" w:after="0" w:afterAutospacing="0"/>
              <w:jc w:val="right"/>
              <w:rPr>
                <w:color w:val="000000"/>
                <w:sz w:val="18"/>
                <w:szCs w:val="18"/>
              </w:rPr>
            </w:pPr>
            <w:r>
              <w:rPr>
                <w:color w:val="000000"/>
                <w:sz w:val="18"/>
                <w:szCs w:val="18"/>
              </w:rPr>
              <w:t>12,849</w:t>
            </w:r>
          </w:p>
        </w:tc>
        <w:tc>
          <w:tcPr>
            <w:tcW w:w="50" w:type="pct"/>
            <w:shd w:val="clear" w:color="auto" w:fill="FFFFFF"/>
            <w:noWrap/>
            <w:tcMar>
              <w:top w:w="15" w:type="dxa"/>
              <w:left w:w="0" w:type="dxa"/>
              <w:bottom w:w="0" w:type="dxa"/>
              <w:right w:w="15" w:type="dxa"/>
            </w:tcMar>
            <w:vAlign w:val="bottom"/>
            <w:hideMark/>
          </w:tcPr>
          <w:p w14:paraId="39A57E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1CE3D7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D425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FFFFFF"/>
            <w:noWrap/>
            <w:tcMar>
              <w:top w:w="15" w:type="dxa"/>
              <w:left w:w="0" w:type="dxa"/>
              <w:bottom w:w="0" w:type="dxa"/>
              <w:right w:w="15" w:type="dxa"/>
            </w:tcMar>
            <w:vAlign w:val="bottom"/>
            <w:hideMark/>
          </w:tcPr>
          <w:p w14:paraId="449EAE07" w14:textId="77777777" w:rsidR="00000000" w:rsidRDefault="00582324">
            <w:pPr>
              <w:pStyle w:val="a3"/>
              <w:spacing w:before="0" w:beforeAutospacing="0" w:after="0" w:afterAutospacing="0"/>
              <w:jc w:val="right"/>
              <w:rPr>
                <w:color w:val="000000"/>
                <w:sz w:val="18"/>
                <w:szCs w:val="18"/>
              </w:rPr>
            </w:pPr>
            <w:r>
              <w:rPr>
                <w:color w:val="000000"/>
                <w:sz w:val="18"/>
                <w:szCs w:val="18"/>
              </w:rPr>
              <w:t>4,089</w:t>
            </w:r>
          </w:p>
        </w:tc>
        <w:tc>
          <w:tcPr>
            <w:tcW w:w="50" w:type="pct"/>
            <w:shd w:val="clear" w:color="auto" w:fill="FFFFFF"/>
            <w:noWrap/>
            <w:tcMar>
              <w:top w:w="15" w:type="dxa"/>
              <w:left w:w="0" w:type="dxa"/>
              <w:bottom w:w="0" w:type="dxa"/>
              <w:right w:w="15" w:type="dxa"/>
            </w:tcMar>
            <w:vAlign w:val="bottom"/>
            <w:hideMark/>
          </w:tcPr>
          <w:p w14:paraId="16872CD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ADD574C" w14:textId="77777777">
        <w:trPr>
          <w:divId w:val="594823437"/>
        </w:trPr>
        <w:tc>
          <w:tcPr>
            <w:tcW w:w="1176" w:type="pct"/>
            <w:shd w:val="clear" w:color="auto" w:fill="CFF0FC"/>
            <w:tcMar>
              <w:top w:w="15" w:type="dxa"/>
              <w:left w:w="0" w:type="dxa"/>
              <w:bottom w:w="0" w:type="dxa"/>
              <w:right w:w="15" w:type="dxa"/>
            </w:tcMar>
            <w:hideMark/>
          </w:tcPr>
          <w:p w14:paraId="217F2FC4" w14:textId="77777777" w:rsidR="00000000" w:rsidRDefault="00582324">
            <w:pPr>
              <w:pStyle w:val="a3"/>
              <w:spacing w:before="0" w:beforeAutospacing="0" w:after="0" w:afterAutospacing="0"/>
              <w:rPr>
                <w:color w:val="000000"/>
                <w:sz w:val="18"/>
                <w:szCs w:val="18"/>
              </w:rPr>
            </w:pPr>
            <w:r>
              <w:rPr>
                <w:color w:val="000000"/>
                <w:sz w:val="18"/>
                <w:szCs w:val="18"/>
              </w:rPr>
              <w:t>Proprietary software</w:t>
            </w:r>
          </w:p>
        </w:tc>
        <w:tc>
          <w:tcPr>
            <w:tcW w:w="91" w:type="pct"/>
            <w:shd w:val="clear" w:color="auto" w:fill="CFF0FC"/>
            <w:tcMar>
              <w:top w:w="15" w:type="dxa"/>
              <w:left w:w="0" w:type="dxa"/>
              <w:bottom w:w="0" w:type="dxa"/>
              <w:right w:w="15" w:type="dxa"/>
            </w:tcMar>
            <w:vAlign w:val="bottom"/>
            <w:hideMark/>
          </w:tcPr>
          <w:p w14:paraId="275846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0086FDE4" w14:textId="77777777" w:rsidR="00000000" w:rsidRDefault="00582324">
            <w:pPr>
              <w:pStyle w:val="a3"/>
              <w:spacing w:before="0" w:beforeAutospacing="0" w:after="0" w:afterAutospacing="0"/>
              <w:jc w:val="center"/>
              <w:rPr>
                <w:color w:val="000000"/>
                <w:sz w:val="18"/>
                <w:szCs w:val="18"/>
              </w:rPr>
            </w:pPr>
            <w:r>
              <w:rPr>
                <w:color w:val="000000"/>
                <w:sz w:val="18"/>
                <w:szCs w:val="18"/>
              </w:rPr>
              <w:t>3-5 years</w:t>
            </w:r>
          </w:p>
        </w:tc>
        <w:tc>
          <w:tcPr>
            <w:tcW w:w="91" w:type="pct"/>
            <w:shd w:val="clear" w:color="auto" w:fill="CFF0FC"/>
            <w:tcMar>
              <w:top w:w="15" w:type="dxa"/>
              <w:left w:w="0" w:type="dxa"/>
              <w:bottom w:w="0" w:type="dxa"/>
              <w:right w:w="15" w:type="dxa"/>
            </w:tcMar>
            <w:vAlign w:val="bottom"/>
            <w:hideMark/>
          </w:tcPr>
          <w:p w14:paraId="55C6B3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D38F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494065FE" w14:textId="77777777" w:rsidR="00000000" w:rsidRDefault="00582324">
            <w:pPr>
              <w:pStyle w:val="a3"/>
              <w:spacing w:before="0" w:beforeAutospacing="0" w:after="0" w:afterAutospacing="0"/>
              <w:jc w:val="right"/>
              <w:rPr>
                <w:color w:val="000000"/>
                <w:sz w:val="18"/>
                <w:szCs w:val="18"/>
              </w:rPr>
            </w:pPr>
            <w:r>
              <w:rPr>
                <w:color w:val="000000"/>
                <w:sz w:val="18"/>
                <w:szCs w:val="18"/>
              </w:rPr>
              <w:t>21,007</w:t>
            </w:r>
          </w:p>
        </w:tc>
        <w:tc>
          <w:tcPr>
            <w:tcW w:w="50" w:type="pct"/>
            <w:shd w:val="clear" w:color="auto" w:fill="CFF0FC"/>
            <w:noWrap/>
            <w:tcMar>
              <w:top w:w="15" w:type="dxa"/>
              <w:left w:w="0" w:type="dxa"/>
              <w:bottom w:w="0" w:type="dxa"/>
              <w:right w:w="15" w:type="dxa"/>
            </w:tcMar>
            <w:vAlign w:val="bottom"/>
            <w:hideMark/>
          </w:tcPr>
          <w:p w14:paraId="469595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73A062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EB61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6304ACEB" w14:textId="77777777" w:rsidR="00000000" w:rsidRDefault="00582324">
            <w:pPr>
              <w:pStyle w:val="a3"/>
              <w:spacing w:before="0" w:beforeAutospacing="0" w:after="0" w:afterAutospacing="0"/>
              <w:jc w:val="right"/>
              <w:rPr>
                <w:color w:val="000000"/>
                <w:sz w:val="18"/>
                <w:szCs w:val="18"/>
              </w:rPr>
            </w:pPr>
            <w:r>
              <w:rPr>
                <w:color w:val="000000"/>
                <w:sz w:val="18"/>
                <w:szCs w:val="18"/>
              </w:rPr>
              <w:t>6,132</w:t>
            </w:r>
          </w:p>
        </w:tc>
        <w:tc>
          <w:tcPr>
            <w:tcW w:w="50" w:type="pct"/>
            <w:shd w:val="clear" w:color="auto" w:fill="CFF0FC"/>
            <w:noWrap/>
            <w:tcMar>
              <w:top w:w="15" w:type="dxa"/>
              <w:left w:w="0" w:type="dxa"/>
              <w:bottom w:w="0" w:type="dxa"/>
              <w:right w:w="15" w:type="dxa"/>
            </w:tcMar>
            <w:vAlign w:val="bottom"/>
            <w:hideMark/>
          </w:tcPr>
          <w:p w14:paraId="456AA0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26AF00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A57D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shd w:val="clear" w:color="auto" w:fill="CFF0FC"/>
            <w:noWrap/>
            <w:tcMar>
              <w:top w:w="15" w:type="dxa"/>
              <w:left w:w="0" w:type="dxa"/>
              <w:bottom w:w="0" w:type="dxa"/>
              <w:right w:w="15" w:type="dxa"/>
            </w:tcMar>
            <w:vAlign w:val="bottom"/>
            <w:hideMark/>
          </w:tcPr>
          <w:p w14:paraId="41C8E32F" w14:textId="77777777" w:rsidR="00000000" w:rsidRDefault="00582324">
            <w:pPr>
              <w:pStyle w:val="a3"/>
              <w:spacing w:before="0" w:beforeAutospacing="0" w:after="0" w:afterAutospacing="0"/>
              <w:jc w:val="right"/>
              <w:rPr>
                <w:color w:val="000000"/>
                <w:sz w:val="18"/>
                <w:szCs w:val="18"/>
              </w:rPr>
            </w:pPr>
            <w:r>
              <w:rPr>
                <w:color w:val="000000"/>
                <w:sz w:val="18"/>
                <w:szCs w:val="18"/>
              </w:rPr>
              <w:t>14,875</w:t>
            </w:r>
          </w:p>
        </w:tc>
        <w:tc>
          <w:tcPr>
            <w:tcW w:w="50" w:type="pct"/>
            <w:shd w:val="clear" w:color="auto" w:fill="CFF0FC"/>
            <w:noWrap/>
            <w:tcMar>
              <w:top w:w="15" w:type="dxa"/>
              <w:left w:w="0" w:type="dxa"/>
              <w:bottom w:w="0" w:type="dxa"/>
              <w:right w:w="15" w:type="dxa"/>
            </w:tcMar>
            <w:vAlign w:val="bottom"/>
            <w:hideMark/>
          </w:tcPr>
          <w:p w14:paraId="52C06B3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E813335" w14:textId="77777777">
        <w:trPr>
          <w:divId w:val="594823437"/>
        </w:trPr>
        <w:tc>
          <w:tcPr>
            <w:tcW w:w="1176" w:type="pct"/>
            <w:shd w:val="clear" w:color="auto" w:fill="FFFFFF"/>
            <w:tcMar>
              <w:top w:w="15" w:type="dxa"/>
              <w:left w:w="0" w:type="dxa"/>
              <w:bottom w:w="0" w:type="dxa"/>
              <w:right w:w="15" w:type="dxa"/>
            </w:tcMar>
            <w:hideMark/>
          </w:tcPr>
          <w:p w14:paraId="586ADB4B" w14:textId="77777777" w:rsidR="00000000" w:rsidRDefault="00582324">
            <w:pPr>
              <w:pStyle w:val="a3"/>
              <w:spacing w:before="0" w:beforeAutospacing="0" w:after="0" w:afterAutospacing="0"/>
              <w:rPr>
                <w:color w:val="000000"/>
                <w:sz w:val="18"/>
                <w:szCs w:val="18"/>
              </w:rPr>
            </w:pPr>
            <w:r>
              <w:rPr>
                <w:color w:val="000000"/>
                <w:sz w:val="18"/>
                <w:szCs w:val="18"/>
              </w:rPr>
              <w:t>Patent</w:t>
            </w:r>
          </w:p>
        </w:tc>
        <w:tc>
          <w:tcPr>
            <w:tcW w:w="91" w:type="pct"/>
            <w:shd w:val="clear" w:color="auto" w:fill="FFFFFF"/>
            <w:tcMar>
              <w:top w:w="15" w:type="dxa"/>
              <w:left w:w="0" w:type="dxa"/>
              <w:bottom w:w="0" w:type="dxa"/>
              <w:right w:w="15" w:type="dxa"/>
            </w:tcMar>
            <w:vAlign w:val="bottom"/>
            <w:hideMark/>
          </w:tcPr>
          <w:p w14:paraId="166BC0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tcMar>
              <w:top w:w="15" w:type="dxa"/>
              <w:left w:w="0" w:type="dxa"/>
              <w:bottom w:w="0" w:type="dxa"/>
              <w:right w:w="15" w:type="dxa"/>
            </w:tcMar>
            <w:vAlign w:val="bottom"/>
            <w:hideMark/>
          </w:tcPr>
          <w:p w14:paraId="3EC61E03" w14:textId="77777777" w:rsidR="00000000" w:rsidRDefault="00582324">
            <w:pPr>
              <w:pStyle w:val="a3"/>
              <w:spacing w:before="0" w:beforeAutospacing="0" w:after="0" w:afterAutospacing="0"/>
              <w:jc w:val="center"/>
              <w:rPr>
                <w:color w:val="000000"/>
                <w:sz w:val="18"/>
                <w:szCs w:val="18"/>
              </w:rPr>
            </w:pPr>
            <w:r>
              <w:rPr>
                <w:color w:val="000000"/>
                <w:sz w:val="18"/>
                <w:szCs w:val="18"/>
              </w:rPr>
              <w:t>16 years</w:t>
            </w:r>
          </w:p>
        </w:tc>
        <w:tc>
          <w:tcPr>
            <w:tcW w:w="91" w:type="pct"/>
            <w:shd w:val="clear" w:color="auto" w:fill="FFFFFF"/>
            <w:tcMar>
              <w:top w:w="15" w:type="dxa"/>
              <w:left w:w="0" w:type="dxa"/>
              <w:bottom w:w="0" w:type="dxa"/>
              <w:right w:w="15" w:type="dxa"/>
            </w:tcMar>
            <w:vAlign w:val="bottom"/>
            <w:hideMark/>
          </w:tcPr>
          <w:p w14:paraId="517A35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6541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3F92B9EA" w14:textId="77777777" w:rsidR="00000000" w:rsidRDefault="00582324">
            <w:pPr>
              <w:pStyle w:val="a3"/>
              <w:spacing w:before="0" w:beforeAutospacing="0" w:after="0" w:afterAutospacing="0"/>
              <w:jc w:val="right"/>
              <w:rPr>
                <w:color w:val="000000"/>
                <w:sz w:val="18"/>
                <w:szCs w:val="18"/>
              </w:rPr>
            </w:pPr>
            <w:r>
              <w:rPr>
                <w:color w:val="000000"/>
                <w:sz w:val="18"/>
                <w:szCs w:val="18"/>
              </w:rPr>
              <w:t>17,479</w:t>
            </w:r>
          </w:p>
        </w:tc>
        <w:tc>
          <w:tcPr>
            <w:tcW w:w="50" w:type="pct"/>
            <w:shd w:val="clear" w:color="auto" w:fill="FFFFFF"/>
            <w:noWrap/>
            <w:tcMar>
              <w:top w:w="15" w:type="dxa"/>
              <w:left w:w="0" w:type="dxa"/>
              <w:bottom w:w="0" w:type="dxa"/>
              <w:right w:w="15" w:type="dxa"/>
            </w:tcMar>
            <w:vAlign w:val="bottom"/>
            <w:hideMark/>
          </w:tcPr>
          <w:p w14:paraId="7AF321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5C5316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A309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5BA566A2" w14:textId="77777777" w:rsidR="00000000" w:rsidRDefault="00582324">
            <w:pPr>
              <w:pStyle w:val="a3"/>
              <w:spacing w:before="0" w:beforeAutospacing="0" w:after="0" w:afterAutospacing="0"/>
              <w:jc w:val="right"/>
              <w:rPr>
                <w:color w:val="000000"/>
                <w:sz w:val="18"/>
                <w:szCs w:val="18"/>
              </w:rPr>
            </w:pPr>
            <w:r>
              <w:rPr>
                <w:color w:val="000000"/>
                <w:sz w:val="18"/>
                <w:szCs w:val="18"/>
              </w:rPr>
              <w:t>1,398</w:t>
            </w:r>
          </w:p>
        </w:tc>
        <w:tc>
          <w:tcPr>
            <w:tcW w:w="50" w:type="pct"/>
            <w:shd w:val="clear" w:color="auto" w:fill="FFFFFF"/>
            <w:noWrap/>
            <w:tcMar>
              <w:top w:w="15" w:type="dxa"/>
              <w:left w:w="0" w:type="dxa"/>
              <w:bottom w:w="0" w:type="dxa"/>
              <w:right w:w="15" w:type="dxa"/>
            </w:tcMar>
            <w:vAlign w:val="bottom"/>
            <w:hideMark/>
          </w:tcPr>
          <w:p w14:paraId="735F45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FFFFFF"/>
            <w:tcMar>
              <w:top w:w="15" w:type="dxa"/>
              <w:left w:w="0" w:type="dxa"/>
              <w:bottom w:w="0" w:type="dxa"/>
              <w:right w:w="15" w:type="dxa"/>
            </w:tcMar>
            <w:vAlign w:val="bottom"/>
            <w:hideMark/>
          </w:tcPr>
          <w:p w14:paraId="28ED67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9BFA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63" w:type="pct"/>
            <w:tcBorders>
              <w:bottom w:val="single" w:sz="6" w:space="0" w:color="000000"/>
            </w:tcBorders>
            <w:shd w:val="clear" w:color="auto" w:fill="FFFFFF"/>
            <w:noWrap/>
            <w:tcMar>
              <w:top w:w="15" w:type="dxa"/>
              <w:left w:w="0" w:type="dxa"/>
              <w:bottom w:w="0" w:type="dxa"/>
              <w:right w:w="15" w:type="dxa"/>
            </w:tcMar>
            <w:vAlign w:val="bottom"/>
            <w:hideMark/>
          </w:tcPr>
          <w:p w14:paraId="18DA29A2" w14:textId="77777777" w:rsidR="00000000" w:rsidRDefault="00582324">
            <w:pPr>
              <w:pStyle w:val="a3"/>
              <w:spacing w:before="0" w:beforeAutospacing="0" w:after="0" w:afterAutospacing="0"/>
              <w:jc w:val="right"/>
              <w:rPr>
                <w:color w:val="000000"/>
                <w:sz w:val="18"/>
                <w:szCs w:val="18"/>
              </w:rPr>
            </w:pPr>
            <w:r>
              <w:rPr>
                <w:color w:val="000000"/>
                <w:sz w:val="18"/>
                <w:szCs w:val="18"/>
              </w:rPr>
              <w:t>16,081</w:t>
            </w:r>
          </w:p>
        </w:tc>
        <w:tc>
          <w:tcPr>
            <w:tcW w:w="50" w:type="pct"/>
            <w:shd w:val="clear" w:color="auto" w:fill="FFFFFF"/>
            <w:noWrap/>
            <w:tcMar>
              <w:top w:w="15" w:type="dxa"/>
              <w:left w:w="0" w:type="dxa"/>
              <w:bottom w:w="0" w:type="dxa"/>
              <w:right w:w="15" w:type="dxa"/>
            </w:tcMar>
            <w:vAlign w:val="bottom"/>
            <w:hideMark/>
          </w:tcPr>
          <w:p w14:paraId="047BDAB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FEF98E2" w14:textId="77777777">
        <w:trPr>
          <w:divId w:val="594823437"/>
        </w:trPr>
        <w:tc>
          <w:tcPr>
            <w:tcW w:w="1176" w:type="pct"/>
            <w:shd w:val="clear" w:color="auto" w:fill="CFF0FC"/>
            <w:tcMar>
              <w:top w:w="15" w:type="dxa"/>
              <w:left w:w="0" w:type="dxa"/>
              <w:bottom w:w="0" w:type="dxa"/>
              <w:right w:w="15" w:type="dxa"/>
            </w:tcMar>
            <w:hideMark/>
          </w:tcPr>
          <w:p w14:paraId="5D96449B" w14:textId="77777777" w:rsidR="00000000" w:rsidRDefault="00582324">
            <w:pPr>
              <w:pStyle w:val="a3"/>
              <w:spacing w:before="0" w:beforeAutospacing="0" w:after="0" w:afterAutospacing="0"/>
              <w:rPr>
                <w:color w:val="000000"/>
                <w:sz w:val="18"/>
                <w:szCs w:val="18"/>
              </w:rPr>
            </w:pPr>
            <w:r>
              <w:rPr>
                <w:color w:val="000000"/>
                <w:sz w:val="18"/>
                <w:szCs w:val="18"/>
              </w:rPr>
              <w:t>Total other intangible assets</w:t>
            </w:r>
          </w:p>
          <w:p w14:paraId="68D2CBAB" w14:textId="77777777" w:rsidR="00000000" w:rsidRDefault="00582324">
            <w:pPr>
              <w:pStyle w:val="a3"/>
              <w:spacing w:before="0" w:beforeAutospacing="0" w:after="0" w:afterAutospacing="0"/>
              <w:rPr>
                <w:color w:val="000000"/>
                <w:sz w:val="18"/>
                <w:szCs w:val="18"/>
              </w:rPr>
            </w:pPr>
            <w:r>
              <w:rPr>
                <w:color w:val="000000"/>
                <w:sz w:val="18"/>
                <w:szCs w:val="18"/>
              </w:rPr>
              <w:t>   —net</w:t>
            </w:r>
          </w:p>
        </w:tc>
        <w:tc>
          <w:tcPr>
            <w:tcW w:w="91" w:type="pct"/>
            <w:shd w:val="clear" w:color="auto" w:fill="CFF0FC"/>
            <w:tcMar>
              <w:top w:w="15" w:type="dxa"/>
              <w:left w:w="0" w:type="dxa"/>
              <w:bottom w:w="0" w:type="dxa"/>
              <w:right w:w="15" w:type="dxa"/>
            </w:tcMar>
            <w:vAlign w:val="bottom"/>
            <w:hideMark/>
          </w:tcPr>
          <w:p w14:paraId="79DC45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CFF0FC"/>
            <w:tcMar>
              <w:top w:w="15" w:type="dxa"/>
              <w:left w:w="0" w:type="dxa"/>
              <w:bottom w:w="0" w:type="dxa"/>
              <w:right w:w="15" w:type="dxa"/>
            </w:tcMar>
            <w:vAlign w:val="bottom"/>
            <w:hideMark/>
          </w:tcPr>
          <w:p w14:paraId="125F3193"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68FD8D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388A1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1570CA" w14:textId="77777777" w:rsidR="00000000" w:rsidRDefault="00582324">
            <w:pPr>
              <w:pStyle w:val="a3"/>
              <w:spacing w:before="0" w:beforeAutospacing="0" w:after="0" w:afterAutospacing="0"/>
              <w:jc w:val="right"/>
              <w:rPr>
                <w:color w:val="000000"/>
                <w:sz w:val="18"/>
                <w:szCs w:val="18"/>
              </w:rPr>
            </w:pPr>
            <w:r>
              <w:rPr>
                <w:color w:val="000000"/>
                <w:sz w:val="18"/>
                <w:szCs w:val="18"/>
              </w:rPr>
              <w:t>250,148</w:t>
            </w:r>
          </w:p>
        </w:tc>
        <w:tc>
          <w:tcPr>
            <w:tcW w:w="50" w:type="pct"/>
            <w:shd w:val="clear" w:color="auto" w:fill="CFF0FC"/>
            <w:noWrap/>
            <w:tcMar>
              <w:top w:w="15" w:type="dxa"/>
              <w:left w:w="0" w:type="dxa"/>
              <w:bottom w:w="0" w:type="dxa"/>
              <w:right w:w="15" w:type="dxa"/>
            </w:tcMar>
            <w:vAlign w:val="bottom"/>
            <w:hideMark/>
          </w:tcPr>
          <w:p w14:paraId="0794BB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6FDF11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BEE4D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5D29BA" w14:textId="77777777" w:rsidR="00000000" w:rsidRDefault="00582324">
            <w:pPr>
              <w:pStyle w:val="a3"/>
              <w:spacing w:before="0" w:beforeAutospacing="0" w:after="0" w:afterAutospacing="0"/>
              <w:jc w:val="right"/>
              <w:rPr>
                <w:color w:val="000000"/>
                <w:sz w:val="18"/>
                <w:szCs w:val="18"/>
              </w:rPr>
            </w:pPr>
            <w:r>
              <w:rPr>
                <w:color w:val="000000"/>
                <w:sz w:val="18"/>
                <w:szCs w:val="18"/>
              </w:rPr>
              <w:t>95,294</w:t>
            </w:r>
          </w:p>
        </w:tc>
        <w:tc>
          <w:tcPr>
            <w:tcW w:w="50" w:type="pct"/>
            <w:shd w:val="clear" w:color="auto" w:fill="CFF0FC"/>
            <w:noWrap/>
            <w:tcMar>
              <w:top w:w="15" w:type="dxa"/>
              <w:left w:w="0" w:type="dxa"/>
              <w:bottom w:w="0" w:type="dxa"/>
              <w:right w:w="15" w:type="dxa"/>
            </w:tcMar>
            <w:vAlign w:val="bottom"/>
            <w:hideMark/>
          </w:tcPr>
          <w:p w14:paraId="22168B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1" w:type="pct"/>
            <w:shd w:val="clear" w:color="auto" w:fill="CFF0FC"/>
            <w:tcMar>
              <w:top w:w="15" w:type="dxa"/>
              <w:left w:w="0" w:type="dxa"/>
              <w:bottom w:w="0" w:type="dxa"/>
              <w:right w:w="15" w:type="dxa"/>
            </w:tcMar>
            <w:vAlign w:val="bottom"/>
            <w:hideMark/>
          </w:tcPr>
          <w:p w14:paraId="55F0B4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4ACBF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801859" w14:textId="77777777" w:rsidR="00000000" w:rsidRDefault="00582324">
            <w:pPr>
              <w:pStyle w:val="a3"/>
              <w:spacing w:before="0" w:beforeAutospacing="0" w:after="0" w:afterAutospacing="0"/>
              <w:jc w:val="right"/>
              <w:rPr>
                <w:color w:val="000000"/>
                <w:sz w:val="18"/>
                <w:szCs w:val="18"/>
              </w:rPr>
            </w:pPr>
            <w:r>
              <w:rPr>
                <w:color w:val="000000"/>
                <w:sz w:val="18"/>
                <w:szCs w:val="18"/>
              </w:rPr>
              <w:t>154,854</w:t>
            </w:r>
          </w:p>
        </w:tc>
        <w:tc>
          <w:tcPr>
            <w:tcW w:w="50" w:type="pct"/>
            <w:shd w:val="clear" w:color="auto" w:fill="CFF0FC"/>
            <w:noWrap/>
            <w:tcMar>
              <w:top w:w="15" w:type="dxa"/>
              <w:left w:w="0" w:type="dxa"/>
              <w:bottom w:w="0" w:type="dxa"/>
              <w:right w:w="15" w:type="dxa"/>
            </w:tcMar>
            <w:vAlign w:val="bottom"/>
            <w:hideMark/>
          </w:tcPr>
          <w:p w14:paraId="5B330910"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5C8E96C" w14:textId="77777777" w:rsidR="00000000" w:rsidRDefault="00582324">
      <w:pPr>
        <w:pStyle w:val="a3"/>
        <w:shd w:val="clear" w:color="auto" w:fill="FFFFFF"/>
        <w:spacing w:before="0" w:beforeAutospacing="0" w:after="0" w:afterAutospacing="0"/>
        <w:rPr>
          <w:sz w:val="20"/>
          <w:szCs w:val="20"/>
        </w:rPr>
      </w:pPr>
      <w:r>
        <w:rPr>
          <w:sz w:val="20"/>
          <w:szCs w:val="20"/>
        </w:rPr>
        <w:t> </w:t>
      </w:r>
    </w:p>
    <w:p w14:paraId="77AFAD79"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Intangible assets with finite lives are stated at cost, less accumulated amortization and impairment losses, if any. These intangible assets are amortized using the straight-line method over the estimated useful lives of the assets. Amortization expense wa</w:t>
      </w:r>
      <w:r>
        <w:rPr>
          <w:color w:val="000000"/>
          <w:sz w:val="20"/>
          <w:szCs w:val="20"/>
        </w:rPr>
        <w:t xml:space="preserve">s $8.4 million and $17.0 million for the three and six months ended June 30, 2021, respectively, and $7.8 million and $13.3 million for the three and six months ended June 30, 2020, respectively. </w:t>
      </w:r>
    </w:p>
    <w:p w14:paraId="299EE19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Future amortization expense is estimated to be as follows for each of the five following years and thereafter:</w:t>
      </w:r>
    </w:p>
    <w:p w14:paraId="4F41F1D1"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81"/>
        <w:gridCol w:w="72"/>
        <w:gridCol w:w="105"/>
        <w:gridCol w:w="766"/>
        <w:gridCol w:w="60"/>
      </w:tblGrid>
      <w:tr w:rsidR="00000000" w14:paraId="7344984C" w14:textId="77777777">
        <w:trPr>
          <w:divId w:val="1970285489"/>
        </w:trPr>
        <w:tc>
          <w:tcPr>
            <w:tcW w:w="4015" w:type="pct"/>
            <w:tcBorders>
              <w:bottom w:val="single" w:sz="6" w:space="0" w:color="000000"/>
            </w:tcBorders>
            <w:shd w:val="clear" w:color="auto" w:fill="FFFFFF"/>
            <w:tcMar>
              <w:top w:w="15" w:type="dxa"/>
              <w:left w:w="0" w:type="dxa"/>
              <w:bottom w:w="0" w:type="dxa"/>
              <w:right w:w="15" w:type="dxa"/>
            </w:tcMar>
            <w:vAlign w:val="bottom"/>
            <w:hideMark/>
          </w:tcPr>
          <w:p w14:paraId="2FE6B817" w14:textId="77777777" w:rsidR="00000000" w:rsidRDefault="00582324">
            <w:pPr>
              <w:pStyle w:val="a3"/>
              <w:spacing w:before="0" w:beforeAutospacing="0" w:after="0" w:afterAutospacing="0"/>
              <w:rPr>
                <w:b/>
                <w:bCs/>
                <w:color w:val="000000"/>
                <w:sz w:val="18"/>
                <w:szCs w:val="18"/>
              </w:rPr>
            </w:pPr>
            <w:r>
              <w:rPr>
                <w:b/>
                <w:bCs/>
                <w:color w:val="000000"/>
                <w:sz w:val="18"/>
                <w:szCs w:val="18"/>
              </w:rPr>
              <w:t>December 31,</w:t>
            </w:r>
          </w:p>
        </w:tc>
        <w:tc>
          <w:tcPr>
            <w:tcW w:w="94" w:type="pct"/>
            <w:tcBorders>
              <w:bottom w:val="single" w:sz="6" w:space="0" w:color="000000"/>
            </w:tcBorders>
            <w:shd w:val="clear" w:color="auto" w:fill="FFFFFF"/>
            <w:tcMar>
              <w:top w:w="15" w:type="dxa"/>
              <w:left w:w="0" w:type="dxa"/>
              <w:bottom w:w="0" w:type="dxa"/>
              <w:right w:w="15" w:type="dxa"/>
            </w:tcMar>
            <w:vAlign w:val="bottom"/>
            <w:hideMark/>
          </w:tcPr>
          <w:p w14:paraId="41312A0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2699C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0" w:type="pct"/>
            <w:tcBorders>
              <w:bottom w:val="single" w:sz="6" w:space="0" w:color="000000"/>
            </w:tcBorders>
            <w:shd w:val="clear" w:color="auto" w:fill="FFFFFF"/>
            <w:noWrap/>
            <w:tcMar>
              <w:top w:w="15" w:type="dxa"/>
              <w:left w:w="0" w:type="dxa"/>
              <w:bottom w:w="0" w:type="dxa"/>
              <w:right w:w="15" w:type="dxa"/>
            </w:tcMar>
            <w:vAlign w:val="bottom"/>
            <w:hideMark/>
          </w:tcPr>
          <w:p w14:paraId="61E5259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E0706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C7BB7D2" w14:textId="77777777">
        <w:trPr>
          <w:divId w:val="1970285489"/>
        </w:trPr>
        <w:tc>
          <w:tcPr>
            <w:tcW w:w="4015" w:type="pct"/>
            <w:tcBorders>
              <w:top w:val="single" w:sz="6" w:space="0" w:color="000000"/>
            </w:tcBorders>
            <w:shd w:val="clear" w:color="auto" w:fill="CFF0FC"/>
            <w:tcMar>
              <w:top w:w="15" w:type="dxa"/>
              <w:left w:w="0" w:type="dxa"/>
              <w:bottom w:w="0" w:type="dxa"/>
              <w:right w:w="15" w:type="dxa"/>
            </w:tcMar>
            <w:hideMark/>
          </w:tcPr>
          <w:p w14:paraId="299391FF" w14:textId="77777777" w:rsidR="00000000" w:rsidRDefault="00582324">
            <w:pPr>
              <w:pStyle w:val="a3"/>
              <w:spacing w:before="0" w:beforeAutospacing="0" w:after="0" w:afterAutospacing="0"/>
              <w:rPr>
                <w:color w:val="000000"/>
                <w:sz w:val="18"/>
                <w:szCs w:val="18"/>
              </w:rPr>
            </w:pPr>
            <w:r>
              <w:rPr>
                <w:color w:val="000000"/>
                <w:sz w:val="18"/>
                <w:szCs w:val="18"/>
              </w:rPr>
              <w:t>2021 (remaining)</w:t>
            </w:r>
          </w:p>
        </w:tc>
        <w:tc>
          <w:tcPr>
            <w:tcW w:w="94" w:type="pct"/>
            <w:tcBorders>
              <w:top w:val="single" w:sz="6" w:space="0" w:color="000000"/>
            </w:tcBorders>
            <w:shd w:val="clear" w:color="auto" w:fill="CFF0FC"/>
            <w:tcMar>
              <w:top w:w="15" w:type="dxa"/>
              <w:left w:w="0" w:type="dxa"/>
              <w:bottom w:w="0" w:type="dxa"/>
              <w:right w:w="15" w:type="dxa"/>
            </w:tcMar>
            <w:vAlign w:val="bottom"/>
            <w:hideMark/>
          </w:tcPr>
          <w:p w14:paraId="1D54BD2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EA438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0" w:type="pct"/>
            <w:tcBorders>
              <w:top w:val="single" w:sz="6" w:space="0" w:color="000000"/>
            </w:tcBorders>
            <w:shd w:val="clear" w:color="auto" w:fill="CFF0FC"/>
            <w:noWrap/>
            <w:tcMar>
              <w:top w:w="15" w:type="dxa"/>
              <w:left w:w="0" w:type="dxa"/>
              <w:bottom w:w="0" w:type="dxa"/>
              <w:right w:w="15" w:type="dxa"/>
            </w:tcMar>
            <w:vAlign w:val="bottom"/>
            <w:hideMark/>
          </w:tcPr>
          <w:p w14:paraId="742CBC19" w14:textId="77777777" w:rsidR="00000000" w:rsidRDefault="00582324">
            <w:pPr>
              <w:pStyle w:val="a3"/>
              <w:spacing w:before="0" w:beforeAutospacing="0" w:after="0" w:afterAutospacing="0"/>
              <w:jc w:val="right"/>
              <w:rPr>
                <w:color w:val="000000"/>
                <w:sz w:val="18"/>
                <w:szCs w:val="18"/>
              </w:rPr>
            </w:pPr>
            <w:r>
              <w:rPr>
                <w:color w:val="000000"/>
                <w:sz w:val="18"/>
                <w:szCs w:val="18"/>
              </w:rPr>
              <w:t>15,433</w:t>
            </w:r>
          </w:p>
        </w:tc>
        <w:tc>
          <w:tcPr>
            <w:tcW w:w="50" w:type="pct"/>
            <w:shd w:val="clear" w:color="auto" w:fill="CFF0FC"/>
            <w:noWrap/>
            <w:tcMar>
              <w:top w:w="15" w:type="dxa"/>
              <w:left w:w="0" w:type="dxa"/>
              <w:bottom w:w="0" w:type="dxa"/>
              <w:right w:w="15" w:type="dxa"/>
            </w:tcMar>
            <w:vAlign w:val="bottom"/>
            <w:hideMark/>
          </w:tcPr>
          <w:p w14:paraId="7338FE2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CEC65FF" w14:textId="77777777">
        <w:trPr>
          <w:divId w:val="1970285489"/>
        </w:trPr>
        <w:tc>
          <w:tcPr>
            <w:tcW w:w="4015" w:type="pct"/>
            <w:shd w:val="clear" w:color="auto" w:fill="FFFFFF"/>
            <w:tcMar>
              <w:top w:w="15" w:type="dxa"/>
              <w:left w:w="0" w:type="dxa"/>
              <w:bottom w:w="0" w:type="dxa"/>
              <w:right w:w="15" w:type="dxa"/>
            </w:tcMar>
            <w:hideMark/>
          </w:tcPr>
          <w:p w14:paraId="6147EB66" w14:textId="77777777" w:rsidR="00000000" w:rsidRDefault="00582324">
            <w:pPr>
              <w:pStyle w:val="a3"/>
              <w:spacing w:before="0" w:beforeAutospacing="0" w:after="0" w:afterAutospacing="0"/>
              <w:rPr>
                <w:color w:val="000000"/>
                <w:sz w:val="18"/>
                <w:szCs w:val="18"/>
              </w:rPr>
            </w:pPr>
            <w:r>
              <w:rPr>
                <w:color w:val="000000"/>
                <w:sz w:val="18"/>
                <w:szCs w:val="18"/>
              </w:rPr>
              <w:t>2022</w:t>
            </w:r>
          </w:p>
        </w:tc>
        <w:tc>
          <w:tcPr>
            <w:tcW w:w="94" w:type="pct"/>
            <w:shd w:val="clear" w:color="auto" w:fill="FFFFFF"/>
            <w:tcMar>
              <w:top w:w="15" w:type="dxa"/>
              <w:left w:w="0" w:type="dxa"/>
              <w:bottom w:w="0" w:type="dxa"/>
              <w:right w:w="15" w:type="dxa"/>
            </w:tcMar>
            <w:vAlign w:val="bottom"/>
            <w:hideMark/>
          </w:tcPr>
          <w:p w14:paraId="1F1E887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66F4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FFFFFF"/>
            <w:noWrap/>
            <w:tcMar>
              <w:top w:w="15" w:type="dxa"/>
              <w:left w:w="0" w:type="dxa"/>
              <w:bottom w:w="0" w:type="dxa"/>
              <w:right w:w="15" w:type="dxa"/>
            </w:tcMar>
            <w:vAlign w:val="bottom"/>
            <w:hideMark/>
          </w:tcPr>
          <w:p w14:paraId="15BE010E" w14:textId="77777777" w:rsidR="00000000" w:rsidRDefault="00582324">
            <w:pPr>
              <w:pStyle w:val="a3"/>
              <w:spacing w:before="0" w:beforeAutospacing="0" w:after="0" w:afterAutospacing="0"/>
              <w:jc w:val="right"/>
              <w:rPr>
                <w:color w:val="000000"/>
                <w:sz w:val="18"/>
                <w:szCs w:val="18"/>
              </w:rPr>
            </w:pPr>
            <w:r>
              <w:rPr>
                <w:color w:val="000000"/>
                <w:sz w:val="18"/>
                <w:szCs w:val="18"/>
              </w:rPr>
              <w:t>27,472</w:t>
            </w:r>
          </w:p>
        </w:tc>
        <w:tc>
          <w:tcPr>
            <w:tcW w:w="50" w:type="pct"/>
            <w:shd w:val="clear" w:color="auto" w:fill="FFFFFF"/>
            <w:noWrap/>
            <w:tcMar>
              <w:top w:w="15" w:type="dxa"/>
              <w:left w:w="0" w:type="dxa"/>
              <w:bottom w:w="0" w:type="dxa"/>
              <w:right w:w="15" w:type="dxa"/>
            </w:tcMar>
            <w:vAlign w:val="bottom"/>
            <w:hideMark/>
          </w:tcPr>
          <w:p w14:paraId="353B3EF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D21363A" w14:textId="77777777">
        <w:trPr>
          <w:divId w:val="1970285489"/>
        </w:trPr>
        <w:tc>
          <w:tcPr>
            <w:tcW w:w="4015" w:type="pct"/>
            <w:shd w:val="clear" w:color="auto" w:fill="CFF0FC"/>
            <w:tcMar>
              <w:top w:w="15" w:type="dxa"/>
              <w:left w:w="0" w:type="dxa"/>
              <w:bottom w:w="0" w:type="dxa"/>
              <w:right w:w="15" w:type="dxa"/>
            </w:tcMar>
            <w:hideMark/>
          </w:tcPr>
          <w:p w14:paraId="5411CBAA" w14:textId="77777777" w:rsidR="00000000" w:rsidRDefault="00582324">
            <w:pPr>
              <w:pStyle w:val="a3"/>
              <w:spacing w:before="0" w:beforeAutospacing="0" w:after="0" w:afterAutospacing="0"/>
              <w:rPr>
                <w:color w:val="000000"/>
                <w:sz w:val="18"/>
                <w:szCs w:val="18"/>
              </w:rPr>
            </w:pPr>
            <w:r>
              <w:rPr>
                <w:color w:val="000000"/>
                <w:sz w:val="18"/>
                <w:szCs w:val="18"/>
              </w:rPr>
              <w:t>2023</w:t>
            </w:r>
          </w:p>
        </w:tc>
        <w:tc>
          <w:tcPr>
            <w:tcW w:w="94" w:type="pct"/>
            <w:shd w:val="clear" w:color="auto" w:fill="CFF0FC"/>
            <w:tcMar>
              <w:top w:w="15" w:type="dxa"/>
              <w:left w:w="0" w:type="dxa"/>
              <w:bottom w:w="0" w:type="dxa"/>
              <w:right w:w="15" w:type="dxa"/>
            </w:tcMar>
            <w:vAlign w:val="bottom"/>
            <w:hideMark/>
          </w:tcPr>
          <w:p w14:paraId="49BF256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0AC8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CFF0FC"/>
            <w:noWrap/>
            <w:tcMar>
              <w:top w:w="15" w:type="dxa"/>
              <w:left w:w="0" w:type="dxa"/>
              <w:bottom w:w="0" w:type="dxa"/>
              <w:right w:w="15" w:type="dxa"/>
            </w:tcMar>
            <w:vAlign w:val="bottom"/>
            <w:hideMark/>
          </w:tcPr>
          <w:p w14:paraId="49C5EE8F" w14:textId="77777777" w:rsidR="00000000" w:rsidRDefault="00582324">
            <w:pPr>
              <w:pStyle w:val="a3"/>
              <w:spacing w:before="0" w:beforeAutospacing="0" w:after="0" w:afterAutospacing="0"/>
              <w:jc w:val="right"/>
              <w:rPr>
                <w:color w:val="000000"/>
                <w:sz w:val="18"/>
                <w:szCs w:val="18"/>
              </w:rPr>
            </w:pPr>
            <w:r>
              <w:rPr>
                <w:color w:val="000000"/>
                <w:sz w:val="18"/>
                <w:szCs w:val="18"/>
              </w:rPr>
              <w:t>21,831</w:t>
            </w:r>
          </w:p>
        </w:tc>
        <w:tc>
          <w:tcPr>
            <w:tcW w:w="50" w:type="pct"/>
            <w:shd w:val="clear" w:color="auto" w:fill="CFF0FC"/>
            <w:noWrap/>
            <w:tcMar>
              <w:top w:w="15" w:type="dxa"/>
              <w:left w:w="0" w:type="dxa"/>
              <w:bottom w:w="0" w:type="dxa"/>
              <w:right w:w="15" w:type="dxa"/>
            </w:tcMar>
            <w:vAlign w:val="bottom"/>
            <w:hideMark/>
          </w:tcPr>
          <w:p w14:paraId="495DC37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3D96B22" w14:textId="77777777">
        <w:trPr>
          <w:divId w:val="1970285489"/>
        </w:trPr>
        <w:tc>
          <w:tcPr>
            <w:tcW w:w="4015" w:type="pct"/>
            <w:shd w:val="clear" w:color="auto" w:fill="FFFFFF"/>
            <w:tcMar>
              <w:top w:w="15" w:type="dxa"/>
              <w:left w:w="0" w:type="dxa"/>
              <w:bottom w:w="0" w:type="dxa"/>
              <w:right w:w="15" w:type="dxa"/>
            </w:tcMar>
            <w:hideMark/>
          </w:tcPr>
          <w:p w14:paraId="6E2A222A" w14:textId="77777777" w:rsidR="00000000" w:rsidRDefault="00582324">
            <w:pPr>
              <w:pStyle w:val="a3"/>
              <w:spacing w:before="0" w:beforeAutospacing="0" w:after="0" w:afterAutospacing="0"/>
              <w:rPr>
                <w:color w:val="000000"/>
                <w:sz w:val="18"/>
                <w:szCs w:val="18"/>
              </w:rPr>
            </w:pPr>
            <w:r>
              <w:rPr>
                <w:color w:val="000000"/>
                <w:sz w:val="18"/>
                <w:szCs w:val="18"/>
              </w:rPr>
              <w:t>2024</w:t>
            </w:r>
          </w:p>
        </w:tc>
        <w:tc>
          <w:tcPr>
            <w:tcW w:w="94" w:type="pct"/>
            <w:shd w:val="clear" w:color="auto" w:fill="FFFFFF"/>
            <w:tcMar>
              <w:top w:w="15" w:type="dxa"/>
              <w:left w:w="0" w:type="dxa"/>
              <w:bottom w:w="0" w:type="dxa"/>
              <w:right w:w="15" w:type="dxa"/>
            </w:tcMar>
            <w:vAlign w:val="bottom"/>
            <w:hideMark/>
          </w:tcPr>
          <w:p w14:paraId="616D8FF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3876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FFFFFF"/>
            <w:noWrap/>
            <w:tcMar>
              <w:top w:w="15" w:type="dxa"/>
              <w:left w:w="0" w:type="dxa"/>
              <w:bottom w:w="0" w:type="dxa"/>
              <w:right w:w="15" w:type="dxa"/>
            </w:tcMar>
            <w:vAlign w:val="bottom"/>
            <w:hideMark/>
          </w:tcPr>
          <w:p w14:paraId="682CDDE6" w14:textId="77777777" w:rsidR="00000000" w:rsidRDefault="00582324">
            <w:pPr>
              <w:pStyle w:val="a3"/>
              <w:spacing w:before="0" w:beforeAutospacing="0" w:after="0" w:afterAutospacing="0"/>
              <w:jc w:val="right"/>
              <w:rPr>
                <w:color w:val="000000"/>
                <w:sz w:val="18"/>
                <w:szCs w:val="18"/>
              </w:rPr>
            </w:pPr>
            <w:r>
              <w:rPr>
                <w:color w:val="000000"/>
                <w:sz w:val="18"/>
                <w:szCs w:val="18"/>
              </w:rPr>
              <w:t>18,381</w:t>
            </w:r>
          </w:p>
        </w:tc>
        <w:tc>
          <w:tcPr>
            <w:tcW w:w="50" w:type="pct"/>
            <w:shd w:val="clear" w:color="auto" w:fill="FFFFFF"/>
            <w:noWrap/>
            <w:tcMar>
              <w:top w:w="15" w:type="dxa"/>
              <w:left w:w="0" w:type="dxa"/>
              <w:bottom w:w="0" w:type="dxa"/>
              <w:right w:w="15" w:type="dxa"/>
            </w:tcMar>
            <w:vAlign w:val="bottom"/>
            <w:hideMark/>
          </w:tcPr>
          <w:p w14:paraId="1C49BCB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C2A617A" w14:textId="77777777">
        <w:trPr>
          <w:divId w:val="1970285489"/>
        </w:trPr>
        <w:tc>
          <w:tcPr>
            <w:tcW w:w="4015" w:type="pct"/>
            <w:shd w:val="clear" w:color="auto" w:fill="CFF0FC"/>
            <w:tcMar>
              <w:top w:w="15" w:type="dxa"/>
              <w:left w:w="0" w:type="dxa"/>
              <w:bottom w:w="0" w:type="dxa"/>
              <w:right w:w="15" w:type="dxa"/>
            </w:tcMar>
            <w:hideMark/>
          </w:tcPr>
          <w:p w14:paraId="56EFC919" w14:textId="77777777" w:rsidR="00000000" w:rsidRDefault="00582324">
            <w:pPr>
              <w:pStyle w:val="a3"/>
              <w:spacing w:before="0" w:beforeAutospacing="0" w:after="0" w:afterAutospacing="0"/>
              <w:rPr>
                <w:color w:val="000000"/>
                <w:sz w:val="18"/>
                <w:szCs w:val="18"/>
              </w:rPr>
            </w:pPr>
            <w:r>
              <w:rPr>
                <w:color w:val="000000"/>
                <w:sz w:val="18"/>
                <w:szCs w:val="18"/>
              </w:rPr>
              <w:t>2025</w:t>
            </w:r>
          </w:p>
        </w:tc>
        <w:tc>
          <w:tcPr>
            <w:tcW w:w="94" w:type="pct"/>
            <w:shd w:val="clear" w:color="auto" w:fill="CFF0FC"/>
            <w:tcMar>
              <w:top w:w="15" w:type="dxa"/>
              <w:left w:w="0" w:type="dxa"/>
              <w:bottom w:w="0" w:type="dxa"/>
              <w:right w:w="15" w:type="dxa"/>
            </w:tcMar>
            <w:vAlign w:val="bottom"/>
            <w:hideMark/>
          </w:tcPr>
          <w:p w14:paraId="4802A47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6B4D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CFF0FC"/>
            <w:noWrap/>
            <w:tcMar>
              <w:top w:w="15" w:type="dxa"/>
              <w:left w:w="0" w:type="dxa"/>
              <w:bottom w:w="0" w:type="dxa"/>
              <w:right w:w="15" w:type="dxa"/>
            </w:tcMar>
            <w:vAlign w:val="bottom"/>
            <w:hideMark/>
          </w:tcPr>
          <w:p w14:paraId="377BC3A9" w14:textId="77777777" w:rsidR="00000000" w:rsidRDefault="00582324">
            <w:pPr>
              <w:pStyle w:val="a3"/>
              <w:spacing w:before="0" w:beforeAutospacing="0" w:after="0" w:afterAutospacing="0"/>
              <w:jc w:val="right"/>
              <w:rPr>
                <w:color w:val="000000"/>
                <w:sz w:val="18"/>
                <w:szCs w:val="18"/>
              </w:rPr>
            </w:pPr>
            <w:r>
              <w:rPr>
                <w:color w:val="000000"/>
                <w:sz w:val="18"/>
                <w:szCs w:val="18"/>
              </w:rPr>
              <w:t>12,138</w:t>
            </w:r>
          </w:p>
        </w:tc>
        <w:tc>
          <w:tcPr>
            <w:tcW w:w="50" w:type="pct"/>
            <w:shd w:val="clear" w:color="auto" w:fill="CFF0FC"/>
            <w:noWrap/>
            <w:tcMar>
              <w:top w:w="15" w:type="dxa"/>
              <w:left w:w="0" w:type="dxa"/>
              <w:bottom w:w="0" w:type="dxa"/>
              <w:right w:w="15" w:type="dxa"/>
            </w:tcMar>
            <w:vAlign w:val="bottom"/>
            <w:hideMark/>
          </w:tcPr>
          <w:p w14:paraId="220DF2D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C30542B" w14:textId="77777777">
        <w:trPr>
          <w:divId w:val="1970285489"/>
        </w:trPr>
        <w:tc>
          <w:tcPr>
            <w:tcW w:w="4015" w:type="pct"/>
            <w:shd w:val="clear" w:color="auto" w:fill="FFFFFF"/>
            <w:tcMar>
              <w:top w:w="15" w:type="dxa"/>
              <w:left w:w="0" w:type="dxa"/>
              <w:bottom w:w="0" w:type="dxa"/>
              <w:right w:w="15" w:type="dxa"/>
            </w:tcMar>
            <w:hideMark/>
          </w:tcPr>
          <w:p w14:paraId="50EA3559" w14:textId="77777777" w:rsidR="00000000" w:rsidRDefault="00582324">
            <w:pPr>
              <w:pStyle w:val="a3"/>
              <w:spacing w:before="0" w:beforeAutospacing="0" w:after="0" w:afterAutospacing="0"/>
              <w:rPr>
                <w:color w:val="000000"/>
                <w:sz w:val="18"/>
                <w:szCs w:val="18"/>
              </w:rPr>
            </w:pPr>
            <w:r>
              <w:rPr>
                <w:color w:val="000000"/>
                <w:sz w:val="18"/>
                <w:szCs w:val="18"/>
              </w:rPr>
              <w:t>2026 and thereafter</w:t>
            </w:r>
          </w:p>
        </w:tc>
        <w:tc>
          <w:tcPr>
            <w:tcW w:w="94" w:type="pct"/>
            <w:shd w:val="clear" w:color="auto" w:fill="FFFFFF"/>
            <w:tcMar>
              <w:top w:w="15" w:type="dxa"/>
              <w:left w:w="0" w:type="dxa"/>
              <w:bottom w:w="0" w:type="dxa"/>
              <w:right w:w="15" w:type="dxa"/>
            </w:tcMar>
            <w:vAlign w:val="bottom"/>
            <w:hideMark/>
          </w:tcPr>
          <w:p w14:paraId="440D81B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36BA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tcBorders>
              <w:bottom w:val="single" w:sz="6" w:space="0" w:color="000000"/>
            </w:tcBorders>
            <w:shd w:val="clear" w:color="auto" w:fill="FFFFFF"/>
            <w:noWrap/>
            <w:tcMar>
              <w:top w:w="15" w:type="dxa"/>
              <w:left w:w="0" w:type="dxa"/>
              <w:bottom w:w="0" w:type="dxa"/>
              <w:right w:w="15" w:type="dxa"/>
            </w:tcMar>
            <w:vAlign w:val="bottom"/>
            <w:hideMark/>
          </w:tcPr>
          <w:p w14:paraId="2F8D4E42" w14:textId="77777777" w:rsidR="00000000" w:rsidRDefault="00582324">
            <w:pPr>
              <w:pStyle w:val="a3"/>
              <w:spacing w:before="0" w:beforeAutospacing="0" w:after="0" w:afterAutospacing="0"/>
              <w:jc w:val="right"/>
              <w:rPr>
                <w:color w:val="000000"/>
                <w:sz w:val="18"/>
                <w:szCs w:val="18"/>
              </w:rPr>
            </w:pPr>
            <w:r>
              <w:rPr>
                <w:color w:val="000000"/>
                <w:sz w:val="18"/>
                <w:szCs w:val="18"/>
              </w:rPr>
              <w:t>57,485</w:t>
            </w:r>
          </w:p>
        </w:tc>
        <w:tc>
          <w:tcPr>
            <w:tcW w:w="50" w:type="pct"/>
            <w:shd w:val="clear" w:color="auto" w:fill="FFFFFF"/>
            <w:noWrap/>
            <w:tcMar>
              <w:top w:w="15" w:type="dxa"/>
              <w:left w:w="0" w:type="dxa"/>
              <w:bottom w:w="0" w:type="dxa"/>
              <w:right w:w="15" w:type="dxa"/>
            </w:tcMar>
            <w:vAlign w:val="bottom"/>
            <w:hideMark/>
          </w:tcPr>
          <w:p w14:paraId="5B000E4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607503F" w14:textId="77777777">
        <w:trPr>
          <w:divId w:val="1970285489"/>
        </w:trPr>
        <w:tc>
          <w:tcPr>
            <w:tcW w:w="4015" w:type="pct"/>
            <w:shd w:val="clear" w:color="auto" w:fill="CFF0FC"/>
            <w:tcMar>
              <w:top w:w="15" w:type="dxa"/>
              <w:left w:w="0" w:type="dxa"/>
              <w:bottom w:w="0" w:type="dxa"/>
              <w:right w:w="15" w:type="dxa"/>
            </w:tcMar>
            <w:hideMark/>
          </w:tcPr>
          <w:p w14:paraId="5519CD10"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94" w:type="pct"/>
            <w:shd w:val="clear" w:color="auto" w:fill="CFF0FC"/>
            <w:tcMar>
              <w:top w:w="15" w:type="dxa"/>
              <w:left w:w="0" w:type="dxa"/>
              <w:bottom w:w="0" w:type="dxa"/>
              <w:right w:w="15" w:type="dxa"/>
            </w:tcMar>
            <w:vAlign w:val="bottom"/>
            <w:hideMark/>
          </w:tcPr>
          <w:p w14:paraId="59DCB7A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7F520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7A726B" w14:textId="77777777" w:rsidR="00000000" w:rsidRDefault="00582324">
            <w:pPr>
              <w:pStyle w:val="a3"/>
              <w:spacing w:before="0" w:beforeAutospacing="0" w:after="0" w:afterAutospacing="0"/>
              <w:jc w:val="right"/>
              <w:rPr>
                <w:color w:val="000000"/>
                <w:sz w:val="18"/>
                <w:szCs w:val="18"/>
              </w:rPr>
            </w:pPr>
            <w:r>
              <w:rPr>
                <w:color w:val="000000"/>
                <w:sz w:val="18"/>
                <w:szCs w:val="18"/>
              </w:rPr>
              <w:t>152,740</w:t>
            </w:r>
          </w:p>
        </w:tc>
        <w:tc>
          <w:tcPr>
            <w:tcW w:w="50" w:type="pct"/>
            <w:shd w:val="clear" w:color="auto" w:fill="CFF0FC"/>
            <w:noWrap/>
            <w:tcMar>
              <w:top w:w="15" w:type="dxa"/>
              <w:left w:w="0" w:type="dxa"/>
              <w:bottom w:w="0" w:type="dxa"/>
              <w:right w:w="15" w:type="dxa"/>
            </w:tcMar>
            <w:vAlign w:val="bottom"/>
            <w:hideMark/>
          </w:tcPr>
          <w:p w14:paraId="62843C39"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619E25D3" w14:textId="77777777" w:rsidR="00000000" w:rsidRDefault="00582324">
      <w:pPr>
        <w:pStyle w:val="a3"/>
        <w:spacing w:before="0" w:beforeAutospacing="0" w:after="0" w:afterAutospacing="0"/>
        <w:rPr>
          <w:sz w:val="20"/>
          <w:szCs w:val="20"/>
        </w:rPr>
      </w:pPr>
      <w:r>
        <w:rPr>
          <w:sz w:val="20"/>
          <w:szCs w:val="20"/>
        </w:rPr>
        <w:t> </w:t>
      </w:r>
    </w:p>
    <w:p w14:paraId="0B1DFE8D" w14:textId="77777777" w:rsidR="00000000" w:rsidRDefault="00582324">
      <w:pPr>
        <w:pStyle w:val="a3"/>
        <w:spacing w:before="240" w:beforeAutospacing="0" w:after="0" w:afterAutospacing="0"/>
        <w:jc w:val="center"/>
        <w:rPr>
          <w:sz w:val="20"/>
          <w:szCs w:val="20"/>
        </w:rPr>
      </w:pPr>
      <w:r>
        <w:rPr>
          <w:sz w:val="20"/>
          <w:szCs w:val="20"/>
        </w:rPr>
        <w:t>15</w:t>
      </w:r>
    </w:p>
    <w:p w14:paraId="18BB141C" w14:textId="77777777" w:rsidR="00000000" w:rsidRDefault="00582324">
      <w:pPr>
        <w:rPr>
          <w:rFonts w:eastAsia="Times New Roman"/>
        </w:rPr>
      </w:pPr>
      <w:r>
        <w:rPr>
          <w:rFonts w:eastAsia="Times New Roman"/>
        </w:rPr>
        <w:pict w14:anchorId="7399C391">
          <v:rect id="_x0000_i1041" style="width:0;height:1.5pt" o:hralign="center" o:hrstd="t" o:hr="t" fillcolor="#a0a0a0" stroked="f"/>
        </w:pict>
      </w:r>
    </w:p>
    <w:p w14:paraId="5BFF2214" w14:textId="77777777" w:rsidR="00000000" w:rsidRDefault="00582324">
      <w:pPr>
        <w:pStyle w:val="a3"/>
        <w:spacing w:before="0" w:beforeAutospacing="0" w:after="0" w:afterAutospacing="0"/>
        <w:rPr>
          <w:sz w:val="20"/>
          <w:szCs w:val="20"/>
        </w:rPr>
      </w:pPr>
      <w:r>
        <w:rPr>
          <w:sz w:val="20"/>
          <w:szCs w:val="20"/>
        </w:rPr>
        <w:t> </w:t>
      </w:r>
    </w:p>
    <w:p w14:paraId="65CB4409" w14:textId="77777777" w:rsidR="00000000" w:rsidRDefault="00582324">
      <w:pPr>
        <w:pStyle w:val="a3"/>
        <w:spacing w:before="0" w:beforeAutospacing="0" w:after="0" w:afterAutospacing="0"/>
        <w:rPr>
          <w:sz w:val="20"/>
          <w:szCs w:val="20"/>
        </w:rPr>
      </w:pPr>
      <w:r>
        <w:rPr>
          <w:sz w:val="20"/>
          <w:szCs w:val="20"/>
        </w:rPr>
        <w:t> </w:t>
      </w:r>
    </w:p>
    <w:p w14:paraId="41FE0741"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9. ACCOUNTS PAYABLE AND OTHER ACCRUED LIABILITIES</w:t>
      </w:r>
    </w:p>
    <w:p w14:paraId="4969175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Accounts payable and other accrued liabilities consisted of the following:</w:t>
      </w:r>
    </w:p>
    <w:p w14:paraId="5FB220F3"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16"/>
        <w:gridCol w:w="75"/>
        <w:gridCol w:w="106"/>
        <w:gridCol w:w="913"/>
        <w:gridCol w:w="60"/>
        <w:gridCol w:w="75"/>
        <w:gridCol w:w="106"/>
        <w:gridCol w:w="1003"/>
        <w:gridCol w:w="60"/>
      </w:tblGrid>
      <w:tr w:rsidR="00000000" w14:paraId="6471311A" w14:textId="77777777">
        <w:trPr>
          <w:divId w:val="1305234031"/>
        </w:trPr>
        <w:tc>
          <w:tcPr>
            <w:tcW w:w="2968" w:type="pct"/>
            <w:shd w:val="clear" w:color="auto" w:fill="FFFFFF"/>
            <w:tcMar>
              <w:top w:w="15" w:type="dxa"/>
              <w:left w:w="0" w:type="dxa"/>
              <w:bottom w:w="0" w:type="dxa"/>
              <w:right w:w="15" w:type="dxa"/>
            </w:tcMar>
            <w:vAlign w:val="bottom"/>
            <w:hideMark/>
          </w:tcPr>
          <w:p w14:paraId="4FA70622" w14:textId="77777777" w:rsidR="00000000" w:rsidRDefault="00582324">
            <w:pPr>
              <w:pStyle w:val="a3"/>
              <w:spacing w:before="0" w:beforeAutospacing="0" w:after="0" w:afterAutospacing="0"/>
              <w:jc w:val="center"/>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14:paraId="55A329D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67" w:type="pct"/>
            <w:gridSpan w:val="2"/>
            <w:shd w:val="clear" w:color="auto" w:fill="FFFFFF"/>
            <w:tcMar>
              <w:top w:w="15" w:type="dxa"/>
              <w:left w:w="0" w:type="dxa"/>
              <w:bottom w:w="0" w:type="dxa"/>
              <w:right w:w="15" w:type="dxa"/>
            </w:tcMar>
            <w:vAlign w:val="bottom"/>
            <w:hideMark/>
          </w:tcPr>
          <w:p w14:paraId="6F8998C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0CB75C3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7" w:type="pct"/>
            <w:shd w:val="clear" w:color="auto" w:fill="FFFFFF"/>
            <w:tcMar>
              <w:top w:w="15" w:type="dxa"/>
              <w:left w:w="0" w:type="dxa"/>
              <w:bottom w:w="0" w:type="dxa"/>
              <w:right w:w="15" w:type="dxa"/>
            </w:tcMar>
            <w:vAlign w:val="bottom"/>
            <w:hideMark/>
          </w:tcPr>
          <w:p w14:paraId="715A8ED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67" w:type="pct"/>
            <w:gridSpan w:val="2"/>
            <w:shd w:val="clear" w:color="auto" w:fill="FFFFFF"/>
            <w:tcMar>
              <w:top w:w="15" w:type="dxa"/>
              <w:left w:w="0" w:type="dxa"/>
              <w:bottom w:w="0" w:type="dxa"/>
              <w:right w:w="15" w:type="dxa"/>
            </w:tcMar>
            <w:vAlign w:val="bottom"/>
            <w:hideMark/>
          </w:tcPr>
          <w:p w14:paraId="3A27940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1B67493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CF5DDC4" w14:textId="77777777">
        <w:trPr>
          <w:divId w:val="1305234031"/>
        </w:trPr>
        <w:tc>
          <w:tcPr>
            <w:tcW w:w="2968" w:type="pct"/>
            <w:shd w:val="clear" w:color="auto" w:fill="FFFFFF"/>
            <w:tcMar>
              <w:top w:w="15" w:type="dxa"/>
              <w:left w:w="0" w:type="dxa"/>
              <w:bottom w:w="0" w:type="dxa"/>
              <w:right w:w="15" w:type="dxa"/>
            </w:tcMar>
            <w:vAlign w:val="bottom"/>
            <w:hideMark/>
          </w:tcPr>
          <w:p w14:paraId="6575960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97" w:type="pct"/>
            <w:shd w:val="clear" w:color="auto" w:fill="FFFFFF"/>
            <w:tcMar>
              <w:top w:w="15" w:type="dxa"/>
              <w:left w:w="0" w:type="dxa"/>
              <w:bottom w:w="0" w:type="dxa"/>
              <w:right w:w="15" w:type="dxa"/>
            </w:tcMar>
            <w:vAlign w:val="bottom"/>
            <w:hideMark/>
          </w:tcPr>
          <w:p w14:paraId="6B094D6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14:paraId="5EEA5CF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FFDBB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7" w:type="pct"/>
            <w:shd w:val="clear" w:color="auto" w:fill="FFFFFF"/>
            <w:tcMar>
              <w:top w:w="15" w:type="dxa"/>
              <w:left w:w="0" w:type="dxa"/>
              <w:bottom w:w="0" w:type="dxa"/>
              <w:right w:w="15" w:type="dxa"/>
            </w:tcMar>
            <w:vAlign w:val="bottom"/>
            <w:hideMark/>
          </w:tcPr>
          <w:p w14:paraId="240D732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14:paraId="3306D45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80BEFA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B4AAC83" w14:textId="77777777">
        <w:trPr>
          <w:divId w:val="1305234031"/>
        </w:trPr>
        <w:tc>
          <w:tcPr>
            <w:tcW w:w="2968" w:type="pct"/>
            <w:shd w:val="clear" w:color="auto" w:fill="CFF0FC"/>
            <w:tcMar>
              <w:top w:w="15" w:type="dxa"/>
              <w:left w:w="0" w:type="dxa"/>
              <w:bottom w:w="0" w:type="dxa"/>
              <w:right w:w="15" w:type="dxa"/>
            </w:tcMar>
            <w:hideMark/>
          </w:tcPr>
          <w:p w14:paraId="2F498AF6" w14:textId="77777777" w:rsidR="00000000" w:rsidRDefault="00582324">
            <w:pPr>
              <w:pStyle w:val="a3"/>
              <w:spacing w:before="0" w:beforeAutospacing="0" w:after="0" w:afterAutospacing="0"/>
              <w:rPr>
                <w:color w:val="000000"/>
                <w:sz w:val="18"/>
                <w:szCs w:val="18"/>
              </w:rPr>
            </w:pPr>
            <w:r>
              <w:rPr>
                <w:color w:val="000000"/>
                <w:sz w:val="18"/>
                <w:szCs w:val="18"/>
              </w:rPr>
              <w:t>Accounts payable</w:t>
            </w:r>
          </w:p>
        </w:tc>
        <w:tc>
          <w:tcPr>
            <w:tcW w:w="97" w:type="pct"/>
            <w:shd w:val="clear" w:color="auto" w:fill="CFF0FC"/>
            <w:tcMar>
              <w:top w:w="15" w:type="dxa"/>
              <w:left w:w="0" w:type="dxa"/>
              <w:bottom w:w="0" w:type="dxa"/>
              <w:right w:w="15" w:type="dxa"/>
            </w:tcMar>
            <w:vAlign w:val="bottom"/>
            <w:hideMark/>
          </w:tcPr>
          <w:p w14:paraId="3364C26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83BF3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7" w:type="pct"/>
            <w:tcBorders>
              <w:top w:val="single" w:sz="6" w:space="0" w:color="000000"/>
            </w:tcBorders>
            <w:shd w:val="clear" w:color="auto" w:fill="CFF0FC"/>
            <w:noWrap/>
            <w:tcMar>
              <w:top w:w="15" w:type="dxa"/>
              <w:left w:w="0" w:type="dxa"/>
              <w:bottom w:w="0" w:type="dxa"/>
              <w:right w:w="15" w:type="dxa"/>
            </w:tcMar>
            <w:vAlign w:val="bottom"/>
            <w:hideMark/>
          </w:tcPr>
          <w:p w14:paraId="484C79BA" w14:textId="77777777" w:rsidR="00000000" w:rsidRDefault="00582324">
            <w:pPr>
              <w:pStyle w:val="a3"/>
              <w:spacing w:before="0" w:beforeAutospacing="0" w:after="0" w:afterAutospacing="0"/>
              <w:jc w:val="right"/>
              <w:rPr>
                <w:color w:val="000000"/>
                <w:sz w:val="18"/>
                <w:szCs w:val="18"/>
              </w:rPr>
            </w:pPr>
            <w:r>
              <w:rPr>
                <w:color w:val="000000"/>
                <w:sz w:val="18"/>
                <w:szCs w:val="18"/>
              </w:rPr>
              <w:t>18,097</w:t>
            </w:r>
          </w:p>
        </w:tc>
        <w:tc>
          <w:tcPr>
            <w:tcW w:w="50" w:type="pct"/>
            <w:shd w:val="clear" w:color="auto" w:fill="CFF0FC"/>
            <w:noWrap/>
            <w:tcMar>
              <w:top w:w="15" w:type="dxa"/>
              <w:left w:w="0" w:type="dxa"/>
              <w:bottom w:w="0" w:type="dxa"/>
              <w:right w:w="15" w:type="dxa"/>
            </w:tcMar>
            <w:vAlign w:val="bottom"/>
            <w:hideMark/>
          </w:tcPr>
          <w:p w14:paraId="38E6A3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CFF0FC"/>
            <w:tcMar>
              <w:top w:w="15" w:type="dxa"/>
              <w:left w:w="0" w:type="dxa"/>
              <w:bottom w:w="0" w:type="dxa"/>
              <w:right w:w="15" w:type="dxa"/>
            </w:tcMar>
            <w:vAlign w:val="bottom"/>
            <w:hideMark/>
          </w:tcPr>
          <w:p w14:paraId="032E35C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D2838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7" w:type="pct"/>
            <w:tcBorders>
              <w:top w:val="single" w:sz="6" w:space="0" w:color="000000"/>
            </w:tcBorders>
            <w:shd w:val="clear" w:color="auto" w:fill="CFF0FC"/>
            <w:noWrap/>
            <w:tcMar>
              <w:top w:w="15" w:type="dxa"/>
              <w:left w:w="0" w:type="dxa"/>
              <w:bottom w:w="0" w:type="dxa"/>
              <w:right w:w="15" w:type="dxa"/>
            </w:tcMar>
            <w:vAlign w:val="bottom"/>
            <w:hideMark/>
          </w:tcPr>
          <w:p w14:paraId="0D0C1F79" w14:textId="77777777" w:rsidR="00000000" w:rsidRDefault="00582324">
            <w:pPr>
              <w:pStyle w:val="a3"/>
              <w:spacing w:before="0" w:beforeAutospacing="0" w:after="0" w:afterAutospacing="0"/>
              <w:jc w:val="right"/>
              <w:rPr>
                <w:color w:val="000000"/>
                <w:sz w:val="18"/>
                <w:szCs w:val="18"/>
              </w:rPr>
            </w:pPr>
            <w:r>
              <w:rPr>
                <w:color w:val="000000"/>
                <w:sz w:val="18"/>
                <w:szCs w:val="18"/>
              </w:rPr>
              <w:t>15,481</w:t>
            </w:r>
          </w:p>
        </w:tc>
        <w:tc>
          <w:tcPr>
            <w:tcW w:w="50" w:type="pct"/>
            <w:shd w:val="clear" w:color="auto" w:fill="CFF0FC"/>
            <w:noWrap/>
            <w:tcMar>
              <w:top w:w="15" w:type="dxa"/>
              <w:left w:w="0" w:type="dxa"/>
              <w:bottom w:w="0" w:type="dxa"/>
              <w:right w:w="15" w:type="dxa"/>
            </w:tcMar>
            <w:vAlign w:val="bottom"/>
            <w:hideMark/>
          </w:tcPr>
          <w:p w14:paraId="2520182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B3B3D8E" w14:textId="77777777">
        <w:trPr>
          <w:divId w:val="1305234031"/>
        </w:trPr>
        <w:tc>
          <w:tcPr>
            <w:tcW w:w="2968" w:type="pct"/>
            <w:shd w:val="clear" w:color="auto" w:fill="FFFFFF"/>
            <w:tcMar>
              <w:top w:w="15" w:type="dxa"/>
              <w:left w:w="0" w:type="dxa"/>
              <w:bottom w:w="0" w:type="dxa"/>
              <w:right w:w="15" w:type="dxa"/>
            </w:tcMar>
            <w:hideMark/>
          </w:tcPr>
          <w:p w14:paraId="5AC90776" w14:textId="77777777" w:rsidR="00000000" w:rsidRDefault="00582324">
            <w:pPr>
              <w:pStyle w:val="a3"/>
              <w:spacing w:before="0" w:beforeAutospacing="0" w:after="0" w:afterAutospacing="0"/>
              <w:rPr>
                <w:color w:val="000000"/>
                <w:sz w:val="18"/>
                <w:szCs w:val="18"/>
              </w:rPr>
            </w:pPr>
            <w:r>
              <w:rPr>
                <w:color w:val="000000"/>
                <w:sz w:val="18"/>
                <w:szCs w:val="18"/>
              </w:rPr>
              <w:t>Accrued expenses</w:t>
            </w:r>
          </w:p>
        </w:tc>
        <w:tc>
          <w:tcPr>
            <w:tcW w:w="97" w:type="pct"/>
            <w:shd w:val="clear" w:color="auto" w:fill="FFFFFF"/>
            <w:tcMar>
              <w:top w:w="15" w:type="dxa"/>
              <w:left w:w="0" w:type="dxa"/>
              <w:bottom w:w="0" w:type="dxa"/>
              <w:right w:w="15" w:type="dxa"/>
            </w:tcMar>
            <w:vAlign w:val="bottom"/>
            <w:hideMark/>
          </w:tcPr>
          <w:p w14:paraId="6D302CF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398C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FFFFFF"/>
            <w:noWrap/>
            <w:tcMar>
              <w:top w:w="15" w:type="dxa"/>
              <w:left w:w="0" w:type="dxa"/>
              <w:bottom w:w="0" w:type="dxa"/>
              <w:right w:w="15" w:type="dxa"/>
            </w:tcMar>
            <w:vAlign w:val="bottom"/>
            <w:hideMark/>
          </w:tcPr>
          <w:p w14:paraId="76DD0C36" w14:textId="77777777" w:rsidR="00000000" w:rsidRDefault="00582324">
            <w:pPr>
              <w:pStyle w:val="a3"/>
              <w:spacing w:before="0" w:beforeAutospacing="0" w:after="0" w:afterAutospacing="0"/>
              <w:jc w:val="right"/>
              <w:rPr>
                <w:color w:val="000000"/>
                <w:sz w:val="18"/>
                <w:szCs w:val="18"/>
              </w:rPr>
            </w:pPr>
            <w:r>
              <w:rPr>
                <w:color w:val="000000"/>
                <w:sz w:val="18"/>
                <w:szCs w:val="18"/>
              </w:rPr>
              <w:t>14,302</w:t>
            </w:r>
          </w:p>
        </w:tc>
        <w:tc>
          <w:tcPr>
            <w:tcW w:w="50" w:type="pct"/>
            <w:shd w:val="clear" w:color="auto" w:fill="FFFFFF"/>
            <w:noWrap/>
            <w:tcMar>
              <w:top w:w="15" w:type="dxa"/>
              <w:left w:w="0" w:type="dxa"/>
              <w:bottom w:w="0" w:type="dxa"/>
              <w:right w:w="15" w:type="dxa"/>
            </w:tcMar>
            <w:vAlign w:val="bottom"/>
            <w:hideMark/>
          </w:tcPr>
          <w:p w14:paraId="192A7A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FFFFFF"/>
            <w:tcMar>
              <w:top w:w="15" w:type="dxa"/>
              <w:left w:w="0" w:type="dxa"/>
              <w:bottom w:w="0" w:type="dxa"/>
              <w:right w:w="15" w:type="dxa"/>
            </w:tcMar>
            <w:vAlign w:val="bottom"/>
            <w:hideMark/>
          </w:tcPr>
          <w:p w14:paraId="0DA705A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90CD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FFFFFF"/>
            <w:noWrap/>
            <w:tcMar>
              <w:top w:w="15" w:type="dxa"/>
              <w:left w:w="0" w:type="dxa"/>
              <w:bottom w:w="0" w:type="dxa"/>
              <w:right w:w="15" w:type="dxa"/>
            </w:tcMar>
            <w:vAlign w:val="bottom"/>
            <w:hideMark/>
          </w:tcPr>
          <w:p w14:paraId="5D158A6F" w14:textId="77777777" w:rsidR="00000000" w:rsidRDefault="00582324">
            <w:pPr>
              <w:pStyle w:val="a3"/>
              <w:spacing w:before="0" w:beforeAutospacing="0" w:after="0" w:afterAutospacing="0"/>
              <w:jc w:val="right"/>
              <w:rPr>
                <w:color w:val="000000"/>
                <w:sz w:val="18"/>
                <w:szCs w:val="18"/>
              </w:rPr>
            </w:pPr>
            <w:r>
              <w:rPr>
                <w:color w:val="000000"/>
                <w:sz w:val="18"/>
                <w:szCs w:val="18"/>
              </w:rPr>
              <w:t>11,469</w:t>
            </w:r>
          </w:p>
        </w:tc>
        <w:tc>
          <w:tcPr>
            <w:tcW w:w="50" w:type="pct"/>
            <w:shd w:val="clear" w:color="auto" w:fill="FFFFFF"/>
            <w:noWrap/>
            <w:tcMar>
              <w:top w:w="15" w:type="dxa"/>
              <w:left w:w="0" w:type="dxa"/>
              <w:bottom w:w="0" w:type="dxa"/>
              <w:right w:w="15" w:type="dxa"/>
            </w:tcMar>
            <w:vAlign w:val="bottom"/>
            <w:hideMark/>
          </w:tcPr>
          <w:p w14:paraId="1E6CB3D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9E1A242" w14:textId="77777777">
        <w:trPr>
          <w:divId w:val="1305234031"/>
        </w:trPr>
        <w:tc>
          <w:tcPr>
            <w:tcW w:w="2968" w:type="pct"/>
            <w:shd w:val="clear" w:color="auto" w:fill="CFF0FC"/>
            <w:tcMar>
              <w:top w:w="15" w:type="dxa"/>
              <w:left w:w="0" w:type="dxa"/>
              <w:bottom w:w="0" w:type="dxa"/>
              <w:right w:w="15" w:type="dxa"/>
            </w:tcMar>
            <w:hideMark/>
          </w:tcPr>
          <w:p w14:paraId="3AB54841" w14:textId="77777777" w:rsidR="00000000" w:rsidRDefault="00582324">
            <w:pPr>
              <w:pStyle w:val="a3"/>
              <w:spacing w:before="0" w:beforeAutospacing="0" w:after="0" w:afterAutospacing="0"/>
              <w:rPr>
                <w:color w:val="000000"/>
                <w:sz w:val="18"/>
                <w:szCs w:val="18"/>
              </w:rPr>
            </w:pPr>
            <w:r>
              <w:rPr>
                <w:color w:val="000000"/>
                <w:sz w:val="18"/>
                <w:szCs w:val="18"/>
              </w:rPr>
              <w:t>Other business acquisitions purchase</w:t>
            </w:r>
          </w:p>
          <w:p w14:paraId="57A1AD05" w14:textId="77777777" w:rsidR="00000000" w:rsidRDefault="00582324">
            <w:pPr>
              <w:pStyle w:val="a3"/>
              <w:spacing w:before="0" w:beforeAutospacing="0" w:after="0" w:afterAutospacing="0"/>
              <w:rPr>
                <w:color w:val="000000"/>
                <w:sz w:val="18"/>
                <w:szCs w:val="18"/>
              </w:rPr>
            </w:pPr>
            <w:r>
              <w:rPr>
                <w:color w:val="000000"/>
                <w:sz w:val="18"/>
                <w:szCs w:val="18"/>
              </w:rPr>
              <w:t>   price obligations</w:t>
            </w:r>
          </w:p>
        </w:tc>
        <w:tc>
          <w:tcPr>
            <w:tcW w:w="97" w:type="pct"/>
            <w:shd w:val="clear" w:color="auto" w:fill="CFF0FC"/>
            <w:tcMar>
              <w:top w:w="15" w:type="dxa"/>
              <w:left w:w="0" w:type="dxa"/>
              <w:bottom w:w="0" w:type="dxa"/>
              <w:right w:w="15" w:type="dxa"/>
            </w:tcMar>
            <w:vAlign w:val="bottom"/>
            <w:hideMark/>
          </w:tcPr>
          <w:p w14:paraId="707776A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20EC1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CFF0FC"/>
            <w:noWrap/>
            <w:tcMar>
              <w:top w:w="15" w:type="dxa"/>
              <w:left w:w="0" w:type="dxa"/>
              <w:bottom w:w="0" w:type="dxa"/>
              <w:right w:w="15" w:type="dxa"/>
            </w:tcMar>
            <w:vAlign w:val="bottom"/>
            <w:hideMark/>
          </w:tcPr>
          <w:p w14:paraId="7B2F870F"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695D33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CFF0FC"/>
            <w:tcMar>
              <w:top w:w="15" w:type="dxa"/>
              <w:left w:w="0" w:type="dxa"/>
              <w:bottom w:w="0" w:type="dxa"/>
              <w:right w:w="15" w:type="dxa"/>
            </w:tcMar>
            <w:vAlign w:val="bottom"/>
            <w:hideMark/>
          </w:tcPr>
          <w:p w14:paraId="378D827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D264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CFF0FC"/>
            <w:noWrap/>
            <w:tcMar>
              <w:top w:w="15" w:type="dxa"/>
              <w:left w:w="0" w:type="dxa"/>
              <w:bottom w:w="0" w:type="dxa"/>
              <w:right w:w="15" w:type="dxa"/>
            </w:tcMar>
            <w:vAlign w:val="bottom"/>
            <w:hideMark/>
          </w:tcPr>
          <w:p w14:paraId="04672DFE"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055C1D6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B6B56F5" w14:textId="77777777">
        <w:trPr>
          <w:divId w:val="1305234031"/>
        </w:trPr>
        <w:tc>
          <w:tcPr>
            <w:tcW w:w="2968" w:type="pct"/>
            <w:shd w:val="clear" w:color="auto" w:fill="FFFFFF"/>
            <w:tcMar>
              <w:top w:w="15" w:type="dxa"/>
              <w:left w:w="0" w:type="dxa"/>
              <w:bottom w:w="0" w:type="dxa"/>
              <w:right w:w="15" w:type="dxa"/>
            </w:tcMar>
            <w:hideMark/>
          </w:tcPr>
          <w:p w14:paraId="201A98A4" w14:textId="77777777" w:rsidR="00000000" w:rsidRDefault="00582324">
            <w:pPr>
              <w:pStyle w:val="a3"/>
              <w:spacing w:before="0" w:beforeAutospacing="0" w:after="0" w:afterAutospacing="0"/>
              <w:rPr>
                <w:color w:val="000000"/>
                <w:sz w:val="18"/>
                <w:szCs w:val="18"/>
              </w:rPr>
            </w:pPr>
            <w:r>
              <w:rPr>
                <w:color w:val="000000"/>
                <w:sz w:val="18"/>
                <w:szCs w:val="18"/>
              </w:rPr>
              <w:t>Contract liabilities</w:t>
            </w:r>
          </w:p>
        </w:tc>
        <w:tc>
          <w:tcPr>
            <w:tcW w:w="97" w:type="pct"/>
            <w:shd w:val="clear" w:color="auto" w:fill="FFFFFF"/>
            <w:tcMar>
              <w:top w:w="15" w:type="dxa"/>
              <w:left w:w="0" w:type="dxa"/>
              <w:bottom w:w="0" w:type="dxa"/>
              <w:right w:w="15" w:type="dxa"/>
            </w:tcMar>
            <w:vAlign w:val="bottom"/>
            <w:hideMark/>
          </w:tcPr>
          <w:p w14:paraId="375E9D2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C099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FFFFFF"/>
            <w:noWrap/>
            <w:tcMar>
              <w:top w:w="15" w:type="dxa"/>
              <w:left w:w="0" w:type="dxa"/>
              <w:bottom w:w="0" w:type="dxa"/>
              <w:right w:w="15" w:type="dxa"/>
            </w:tcMar>
            <w:vAlign w:val="bottom"/>
            <w:hideMark/>
          </w:tcPr>
          <w:p w14:paraId="4ED7ECE9" w14:textId="77777777" w:rsidR="00000000" w:rsidRDefault="00582324">
            <w:pPr>
              <w:pStyle w:val="a3"/>
              <w:spacing w:before="0" w:beforeAutospacing="0" w:after="0" w:afterAutospacing="0"/>
              <w:jc w:val="right"/>
              <w:rPr>
                <w:color w:val="000000"/>
                <w:sz w:val="18"/>
                <w:szCs w:val="18"/>
              </w:rPr>
            </w:pPr>
            <w:r>
              <w:rPr>
                <w:color w:val="000000"/>
                <w:sz w:val="18"/>
                <w:szCs w:val="18"/>
              </w:rPr>
              <w:t>7,292</w:t>
            </w:r>
          </w:p>
        </w:tc>
        <w:tc>
          <w:tcPr>
            <w:tcW w:w="50" w:type="pct"/>
            <w:shd w:val="clear" w:color="auto" w:fill="FFFFFF"/>
            <w:noWrap/>
            <w:tcMar>
              <w:top w:w="15" w:type="dxa"/>
              <w:left w:w="0" w:type="dxa"/>
              <w:bottom w:w="0" w:type="dxa"/>
              <w:right w:w="15" w:type="dxa"/>
            </w:tcMar>
            <w:vAlign w:val="bottom"/>
            <w:hideMark/>
          </w:tcPr>
          <w:p w14:paraId="4CA898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FFFFFF"/>
            <w:tcMar>
              <w:top w:w="15" w:type="dxa"/>
              <w:left w:w="0" w:type="dxa"/>
              <w:bottom w:w="0" w:type="dxa"/>
              <w:right w:w="15" w:type="dxa"/>
            </w:tcMar>
            <w:vAlign w:val="bottom"/>
            <w:hideMark/>
          </w:tcPr>
          <w:p w14:paraId="7AEADD7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3EED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FFFFFF"/>
            <w:noWrap/>
            <w:tcMar>
              <w:top w:w="15" w:type="dxa"/>
              <w:left w:w="0" w:type="dxa"/>
              <w:bottom w:w="0" w:type="dxa"/>
              <w:right w:w="15" w:type="dxa"/>
            </w:tcMar>
            <w:vAlign w:val="bottom"/>
            <w:hideMark/>
          </w:tcPr>
          <w:p w14:paraId="4C248EB4" w14:textId="77777777" w:rsidR="00000000" w:rsidRDefault="00582324">
            <w:pPr>
              <w:pStyle w:val="a3"/>
              <w:spacing w:before="0" w:beforeAutospacing="0" w:after="0" w:afterAutospacing="0"/>
              <w:jc w:val="right"/>
              <w:rPr>
                <w:color w:val="000000"/>
                <w:sz w:val="18"/>
                <w:szCs w:val="18"/>
              </w:rPr>
            </w:pPr>
            <w:r>
              <w:rPr>
                <w:color w:val="000000"/>
                <w:sz w:val="18"/>
                <w:szCs w:val="18"/>
              </w:rPr>
              <w:t>6,114</w:t>
            </w:r>
          </w:p>
        </w:tc>
        <w:tc>
          <w:tcPr>
            <w:tcW w:w="50" w:type="pct"/>
            <w:shd w:val="clear" w:color="auto" w:fill="FFFFFF"/>
            <w:noWrap/>
            <w:tcMar>
              <w:top w:w="15" w:type="dxa"/>
              <w:left w:w="0" w:type="dxa"/>
              <w:bottom w:w="0" w:type="dxa"/>
              <w:right w:w="15" w:type="dxa"/>
            </w:tcMar>
            <w:vAlign w:val="bottom"/>
            <w:hideMark/>
          </w:tcPr>
          <w:p w14:paraId="318376A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8B70298" w14:textId="77777777">
        <w:trPr>
          <w:divId w:val="1305234031"/>
        </w:trPr>
        <w:tc>
          <w:tcPr>
            <w:tcW w:w="2968" w:type="pct"/>
            <w:shd w:val="clear" w:color="auto" w:fill="CFF0FC"/>
            <w:tcMar>
              <w:top w:w="15" w:type="dxa"/>
              <w:left w:w="0" w:type="dxa"/>
              <w:bottom w:w="0" w:type="dxa"/>
              <w:right w:w="15" w:type="dxa"/>
            </w:tcMar>
            <w:hideMark/>
          </w:tcPr>
          <w:p w14:paraId="7FF3C5A0" w14:textId="77777777" w:rsidR="00000000" w:rsidRDefault="00582324">
            <w:pPr>
              <w:pStyle w:val="a3"/>
              <w:spacing w:before="0" w:beforeAutospacing="0" w:after="0" w:afterAutospacing="0"/>
              <w:rPr>
                <w:color w:val="000000"/>
                <w:sz w:val="18"/>
                <w:szCs w:val="18"/>
              </w:rPr>
            </w:pPr>
            <w:r>
              <w:rPr>
                <w:color w:val="000000"/>
                <w:sz w:val="18"/>
                <w:szCs w:val="18"/>
              </w:rPr>
              <w:t>Other current liabilities</w:t>
            </w:r>
          </w:p>
        </w:tc>
        <w:tc>
          <w:tcPr>
            <w:tcW w:w="97" w:type="pct"/>
            <w:shd w:val="clear" w:color="auto" w:fill="CFF0FC"/>
            <w:tcMar>
              <w:top w:w="15" w:type="dxa"/>
              <w:left w:w="0" w:type="dxa"/>
              <w:bottom w:w="0" w:type="dxa"/>
              <w:right w:w="15" w:type="dxa"/>
            </w:tcMar>
            <w:vAlign w:val="bottom"/>
            <w:hideMark/>
          </w:tcPr>
          <w:p w14:paraId="45F1760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4A8B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CFF0FC"/>
            <w:noWrap/>
            <w:tcMar>
              <w:top w:w="15" w:type="dxa"/>
              <w:left w:w="0" w:type="dxa"/>
              <w:bottom w:w="0" w:type="dxa"/>
              <w:right w:w="15" w:type="dxa"/>
            </w:tcMar>
            <w:vAlign w:val="bottom"/>
            <w:hideMark/>
          </w:tcPr>
          <w:p w14:paraId="55E95CC0" w14:textId="77777777" w:rsidR="00000000" w:rsidRDefault="00582324">
            <w:pPr>
              <w:pStyle w:val="a3"/>
              <w:spacing w:before="0" w:beforeAutospacing="0" w:after="0" w:afterAutospacing="0"/>
              <w:jc w:val="right"/>
              <w:rPr>
                <w:color w:val="000000"/>
                <w:sz w:val="18"/>
                <w:szCs w:val="18"/>
              </w:rPr>
            </w:pPr>
            <w:r>
              <w:rPr>
                <w:color w:val="000000"/>
                <w:sz w:val="18"/>
                <w:szCs w:val="18"/>
              </w:rPr>
              <w:t>1,254</w:t>
            </w:r>
          </w:p>
        </w:tc>
        <w:tc>
          <w:tcPr>
            <w:tcW w:w="50" w:type="pct"/>
            <w:shd w:val="clear" w:color="auto" w:fill="CFF0FC"/>
            <w:noWrap/>
            <w:tcMar>
              <w:top w:w="15" w:type="dxa"/>
              <w:left w:w="0" w:type="dxa"/>
              <w:bottom w:w="0" w:type="dxa"/>
              <w:right w:w="15" w:type="dxa"/>
            </w:tcMar>
            <w:vAlign w:val="bottom"/>
            <w:hideMark/>
          </w:tcPr>
          <w:p w14:paraId="749804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CFF0FC"/>
            <w:tcMar>
              <w:top w:w="15" w:type="dxa"/>
              <w:left w:w="0" w:type="dxa"/>
              <w:bottom w:w="0" w:type="dxa"/>
              <w:right w:w="15" w:type="dxa"/>
            </w:tcMar>
            <w:vAlign w:val="bottom"/>
            <w:hideMark/>
          </w:tcPr>
          <w:p w14:paraId="06F33DB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923F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shd w:val="clear" w:color="auto" w:fill="CFF0FC"/>
            <w:noWrap/>
            <w:tcMar>
              <w:top w:w="15" w:type="dxa"/>
              <w:left w:w="0" w:type="dxa"/>
              <w:bottom w:w="0" w:type="dxa"/>
              <w:right w:w="15" w:type="dxa"/>
            </w:tcMar>
            <w:vAlign w:val="bottom"/>
            <w:hideMark/>
          </w:tcPr>
          <w:p w14:paraId="51A2FA7D" w14:textId="77777777" w:rsidR="00000000" w:rsidRDefault="00582324">
            <w:pPr>
              <w:pStyle w:val="a3"/>
              <w:spacing w:before="0" w:beforeAutospacing="0" w:after="0" w:afterAutospacing="0"/>
              <w:jc w:val="right"/>
              <w:rPr>
                <w:color w:val="000000"/>
                <w:sz w:val="18"/>
                <w:szCs w:val="18"/>
              </w:rPr>
            </w:pPr>
            <w:r>
              <w:rPr>
                <w:color w:val="000000"/>
                <w:sz w:val="18"/>
                <w:szCs w:val="18"/>
              </w:rPr>
              <w:t>1,507</w:t>
            </w:r>
          </w:p>
        </w:tc>
        <w:tc>
          <w:tcPr>
            <w:tcW w:w="50" w:type="pct"/>
            <w:shd w:val="clear" w:color="auto" w:fill="CFF0FC"/>
            <w:noWrap/>
            <w:tcMar>
              <w:top w:w="15" w:type="dxa"/>
              <w:left w:w="0" w:type="dxa"/>
              <w:bottom w:w="0" w:type="dxa"/>
              <w:right w:w="15" w:type="dxa"/>
            </w:tcMar>
            <w:vAlign w:val="bottom"/>
            <w:hideMark/>
          </w:tcPr>
          <w:p w14:paraId="7470714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2023086" w14:textId="77777777">
        <w:trPr>
          <w:divId w:val="1305234031"/>
        </w:trPr>
        <w:tc>
          <w:tcPr>
            <w:tcW w:w="2968" w:type="pct"/>
            <w:shd w:val="clear" w:color="auto" w:fill="FFFFFF"/>
            <w:tcMar>
              <w:top w:w="15" w:type="dxa"/>
              <w:left w:w="0" w:type="dxa"/>
              <w:bottom w:w="0" w:type="dxa"/>
              <w:right w:w="15" w:type="dxa"/>
            </w:tcMar>
            <w:hideMark/>
          </w:tcPr>
          <w:p w14:paraId="3FEB4B79" w14:textId="77777777" w:rsidR="00000000" w:rsidRDefault="00582324">
            <w:pPr>
              <w:pStyle w:val="a3"/>
              <w:spacing w:before="0" w:beforeAutospacing="0" w:after="0" w:afterAutospacing="0"/>
              <w:rPr>
                <w:color w:val="000000"/>
                <w:sz w:val="18"/>
                <w:szCs w:val="18"/>
              </w:rPr>
            </w:pPr>
            <w:r>
              <w:rPr>
                <w:color w:val="000000"/>
                <w:sz w:val="18"/>
                <w:szCs w:val="18"/>
              </w:rPr>
              <w:t>Income tax payable</w:t>
            </w:r>
          </w:p>
        </w:tc>
        <w:tc>
          <w:tcPr>
            <w:tcW w:w="97" w:type="pct"/>
            <w:shd w:val="clear" w:color="auto" w:fill="FFFFFF"/>
            <w:tcMar>
              <w:top w:w="15" w:type="dxa"/>
              <w:left w:w="0" w:type="dxa"/>
              <w:bottom w:w="0" w:type="dxa"/>
              <w:right w:w="15" w:type="dxa"/>
            </w:tcMar>
            <w:vAlign w:val="bottom"/>
            <w:hideMark/>
          </w:tcPr>
          <w:p w14:paraId="40BB3B0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D415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tcBorders>
              <w:bottom w:val="single" w:sz="6" w:space="0" w:color="000000"/>
            </w:tcBorders>
            <w:shd w:val="clear" w:color="auto" w:fill="FFFFFF"/>
            <w:noWrap/>
            <w:tcMar>
              <w:top w:w="15" w:type="dxa"/>
              <w:left w:w="0" w:type="dxa"/>
              <w:bottom w:w="0" w:type="dxa"/>
              <w:right w:w="15" w:type="dxa"/>
            </w:tcMar>
            <w:vAlign w:val="bottom"/>
            <w:hideMark/>
          </w:tcPr>
          <w:p w14:paraId="084590B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FCDB2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FFFFFF"/>
            <w:tcMar>
              <w:top w:w="15" w:type="dxa"/>
              <w:left w:w="0" w:type="dxa"/>
              <w:bottom w:w="0" w:type="dxa"/>
              <w:right w:w="15" w:type="dxa"/>
            </w:tcMar>
            <w:vAlign w:val="bottom"/>
            <w:hideMark/>
          </w:tcPr>
          <w:p w14:paraId="4139E95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B9FC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7" w:type="pct"/>
            <w:tcBorders>
              <w:bottom w:val="single" w:sz="6" w:space="0" w:color="000000"/>
            </w:tcBorders>
            <w:shd w:val="clear" w:color="auto" w:fill="FFFFFF"/>
            <w:noWrap/>
            <w:tcMar>
              <w:top w:w="15" w:type="dxa"/>
              <w:left w:w="0" w:type="dxa"/>
              <w:bottom w:w="0" w:type="dxa"/>
              <w:right w:w="15" w:type="dxa"/>
            </w:tcMar>
            <w:vAlign w:val="bottom"/>
            <w:hideMark/>
          </w:tcPr>
          <w:p w14:paraId="2B218660" w14:textId="77777777" w:rsidR="00000000" w:rsidRDefault="00582324">
            <w:pPr>
              <w:pStyle w:val="a3"/>
              <w:spacing w:before="0" w:beforeAutospacing="0" w:after="0" w:afterAutospacing="0"/>
              <w:jc w:val="right"/>
              <w:rPr>
                <w:color w:val="000000"/>
                <w:sz w:val="18"/>
                <w:szCs w:val="18"/>
              </w:rPr>
            </w:pPr>
            <w:r>
              <w:rPr>
                <w:color w:val="000000"/>
                <w:sz w:val="18"/>
                <w:szCs w:val="18"/>
              </w:rPr>
              <w:t>256</w:t>
            </w:r>
          </w:p>
        </w:tc>
        <w:tc>
          <w:tcPr>
            <w:tcW w:w="50" w:type="pct"/>
            <w:shd w:val="clear" w:color="auto" w:fill="FFFFFF"/>
            <w:noWrap/>
            <w:tcMar>
              <w:top w:w="15" w:type="dxa"/>
              <w:left w:w="0" w:type="dxa"/>
              <w:bottom w:w="0" w:type="dxa"/>
              <w:right w:w="15" w:type="dxa"/>
            </w:tcMar>
            <w:vAlign w:val="bottom"/>
            <w:hideMark/>
          </w:tcPr>
          <w:p w14:paraId="402CCEB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01E8AB2" w14:textId="77777777">
        <w:trPr>
          <w:divId w:val="1305234031"/>
        </w:trPr>
        <w:tc>
          <w:tcPr>
            <w:tcW w:w="2968" w:type="pct"/>
            <w:shd w:val="clear" w:color="auto" w:fill="CFF0FC"/>
            <w:tcMar>
              <w:top w:w="15" w:type="dxa"/>
              <w:left w:w="0" w:type="dxa"/>
              <w:bottom w:w="0" w:type="dxa"/>
              <w:right w:w="15" w:type="dxa"/>
            </w:tcMar>
            <w:hideMark/>
          </w:tcPr>
          <w:p w14:paraId="790C3E72" w14:textId="77777777" w:rsidR="00000000" w:rsidRDefault="00582324">
            <w:pPr>
              <w:pStyle w:val="a3"/>
              <w:spacing w:before="0" w:beforeAutospacing="0" w:after="0" w:afterAutospacing="0"/>
              <w:rPr>
                <w:color w:val="000000"/>
                <w:sz w:val="18"/>
                <w:szCs w:val="18"/>
              </w:rPr>
            </w:pPr>
            <w:r>
              <w:rPr>
                <w:color w:val="000000"/>
                <w:sz w:val="18"/>
                <w:szCs w:val="18"/>
              </w:rPr>
              <w:t>Total accounts payable and</w:t>
            </w:r>
          </w:p>
          <w:p w14:paraId="65C49D56" w14:textId="77777777" w:rsidR="00000000" w:rsidRDefault="00582324">
            <w:pPr>
              <w:pStyle w:val="a3"/>
              <w:spacing w:before="0" w:beforeAutospacing="0" w:after="0" w:afterAutospacing="0"/>
              <w:rPr>
                <w:color w:val="000000"/>
                <w:sz w:val="18"/>
                <w:szCs w:val="18"/>
              </w:rPr>
            </w:pPr>
            <w:r>
              <w:rPr>
                <w:color w:val="000000"/>
                <w:sz w:val="18"/>
                <w:szCs w:val="18"/>
              </w:rPr>
              <w:t>   other accrued liabilities</w:t>
            </w:r>
          </w:p>
        </w:tc>
        <w:tc>
          <w:tcPr>
            <w:tcW w:w="97" w:type="pct"/>
            <w:shd w:val="clear" w:color="auto" w:fill="CFF0FC"/>
            <w:tcMar>
              <w:top w:w="15" w:type="dxa"/>
              <w:left w:w="0" w:type="dxa"/>
              <w:bottom w:w="0" w:type="dxa"/>
              <w:right w:w="15" w:type="dxa"/>
            </w:tcMar>
            <w:vAlign w:val="bottom"/>
            <w:hideMark/>
          </w:tcPr>
          <w:p w14:paraId="42D4EB3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51A5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39BE22" w14:textId="77777777" w:rsidR="00000000" w:rsidRDefault="00582324">
            <w:pPr>
              <w:pStyle w:val="a3"/>
              <w:spacing w:before="0" w:beforeAutospacing="0" w:after="0" w:afterAutospacing="0"/>
              <w:jc w:val="right"/>
              <w:rPr>
                <w:color w:val="000000"/>
                <w:sz w:val="18"/>
                <w:szCs w:val="18"/>
              </w:rPr>
            </w:pPr>
            <w:r>
              <w:rPr>
                <w:color w:val="000000"/>
                <w:sz w:val="18"/>
                <w:szCs w:val="18"/>
              </w:rPr>
              <w:t>40,995</w:t>
            </w:r>
          </w:p>
        </w:tc>
        <w:tc>
          <w:tcPr>
            <w:tcW w:w="50" w:type="pct"/>
            <w:shd w:val="clear" w:color="auto" w:fill="CFF0FC"/>
            <w:noWrap/>
            <w:tcMar>
              <w:top w:w="15" w:type="dxa"/>
              <w:left w:w="0" w:type="dxa"/>
              <w:bottom w:w="0" w:type="dxa"/>
              <w:right w:w="15" w:type="dxa"/>
            </w:tcMar>
            <w:vAlign w:val="bottom"/>
            <w:hideMark/>
          </w:tcPr>
          <w:p w14:paraId="023FE6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7" w:type="pct"/>
            <w:shd w:val="clear" w:color="auto" w:fill="CFF0FC"/>
            <w:tcMar>
              <w:top w:w="15" w:type="dxa"/>
              <w:left w:w="0" w:type="dxa"/>
              <w:bottom w:w="0" w:type="dxa"/>
              <w:right w:w="15" w:type="dxa"/>
            </w:tcMar>
            <w:vAlign w:val="bottom"/>
            <w:hideMark/>
          </w:tcPr>
          <w:p w14:paraId="68809FB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7CCDE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F5241D" w14:textId="77777777" w:rsidR="00000000" w:rsidRDefault="00582324">
            <w:pPr>
              <w:pStyle w:val="a3"/>
              <w:spacing w:before="0" w:beforeAutospacing="0" w:after="0" w:afterAutospacing="0"/>
              <w:jc w:val="right"/>
              <w:rPr>
                <w:color w:val="000000"/>
                <w:sz w:val="18"/>
                <w:szCs w:val="18"/>
              </w:rPr>
            </w:pPr>
            <w:r>
              <w:rPr>
                <w:color w:val="000000"/>
                <w:sz w:val="18"/>
                <w:szCs w:val="18"/>
              </w:rPr>
              <w:t>34,877</w:t>
            </w:r>
          </w:p>
        </w:tc>
        <w:tc>
          <w:tcPr>
            <w:tcW w:w="50" w:type="pct"/>
            <w:shd w:val="clear" w:color="auto" w:fill="CFF0FC"/>
            <w:noWrap/>
            <w:tcMar>
              <w:top w:w="15" w:type="dxa"/>
              <w:left w:w="0" w:type="dxa"/>
              <w:bottom w:w="0" w:type="dxa"/>
              <w:right w:w="15" w:type="dxa"/>
            </w:tcMar>
            <w:vAlign w:val="bottom"/>
            <w:hideMark/>
          </w:tcPr>
          <w:p w14:paraId="5E7741A7"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EBB9F23"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ED4DEB4"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10. ACCRUED PAYROLL AND BENEFITS</w:t>
      </w:r>
    </w:p>
    <w:p w14:paraId="177062D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Accrued payroll and benefits consisted of the following:</w:t>
      </w:r>
    </w:p>
    <w:tbl>
      <w:tblPr>
        <w:tblW w:w="3500" w:type="pct"/>
        <w:tblCellMar>
          <w:left w:w="0" w:type="dxa"/>
          <w:right w:w="0" w:type="dxa"/>
        </w:tblCellMar>
        <w:tblLook w:val="04A0" w:firstRow="1" w:lastRow="0" w:firstColumn="1" w:lastColumn="0" w:noHBand="0" w:noVBand="1"/>
      </w:tblPr>
      <w:tblGrid>
        <w:gridCol w:w="3400"/>
        <w:gridCol w:w="82"/>
        <w:gridCol w:w="106"/>
        <w:gridCol w:w="914"/>
        <w:gridCol w:w="60"/>
        <w:gridCol w:w="83"/>
        <w:gridCol w:w="106"/>
        <w:gridCol w:w="1003"/>
        <w:gridCol w:w="60"/>
      </w:tblGrid>
      <w:tr w:rsidR="00000000" w14:paraId="681924B8" w14:textId="77777777">
        <w:trPr>
          <w:divId w:val="1907907910"/>
        </w:trPr>
        <w:tc>
          <w:tcPr>
            <w:tcW w:w="2956" w:type="pct"/>
            <w:shd w:val="clear" w:color="auto" w:fill="FFFFFF"/>
            <w:tcMar>
              <w:top w:w="15" w:type="dxa"/>
              <w:left w:w="0" w:type="dxa"/>
              <w:bottom w:w="0" w:type="dxa"/>
              <w:right w:w="15" w:type="dxa"/>
            </w:tcMar>
            <w:vAlign w:val="bottom"/>
            <w:hideMark/>
          </w:tcPr>
          <w:p w14:paraId="4D8C24C6" w14:textId="77777777" w:rsidR="00000000" w:rsidRDefault="00582324">
            <w:pPr>
              <w:pStyle w:val="a3"/>
              <w:spacing w:before="0" w:beforeAutospacing="0" w:after="0" w:afterAutospacing="0"/>
              <w:jc w:val="center"/>
              <w:rPr>
                <w:sz w:val="20"/>
                <w:szCs w:val="20"/>
              </w:rPr>
            </w:pPr>
            <w:r>
              <w:rPr>
                <w:sz w:val="20"/>
                <w:szCs w:val="20"/>
              </w:rPr>
              <w:t> </w:t>
            </w:r>
          </w:p>
        </w:tc>
        <w:tc>
          <w:tcPr>
            <w:tcW w:w="103" w:type="pct"/>
            <w:shd w:val="clear" w:color="auto" w:fill="FFFFFF"/>
            <w:tcMar>
              <w:top w:w="15" w:type="dxa"/>
              <w:left w:w="0" w:type="dxa"/>
              <w:bottom w:w="0" w:type="dxa"/>
              <w:right w:w="15" w:type="dxa"/>
            </w:tcMar>
            <w:vAlign w:val="bottom"/>
            <w:hideMark/>
          </w:tcPr>
          <w:p w14:paraId="146B9DE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8" w:type="pct"/>
            <w:gridSpan w:val="2"/>
            <w:shd w:val="clear" w:color="auto" w:fill="FFFFFF"/>
            <w:tcMar>
              <w:top w:w="15" w:type="dxa"/>
              <w:left w:w="0" w:type="dxa"/>
              <w:bottom w:w="0" w:type="dxa"/>
              <w:right w:w="15" w:type="dxa"/>
            </w:tcMar>
            <w:vAlign w:val="bottom"/>
            <w:hideMark/>
          </w:tcPr>
          <w:p w14:paraId="7F95051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12F279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3" w:type="pct"/>
            <w:shd w:val="clear" w:color="auto" w:fill="FFFFFF"/>
            <w:tcMar>
              <w:top w:w="15" w:type="dxa"/>
              <w:left w:w="0" w:type="dxa"/>
              <w:bottom w:w="0" w:type="dxa"/>
              <w:right w:w="15" w:type="dxa"/>
            </w:tcMar>
            <w:vAlign w:val="bottom"/>
            <w:hideMark/>
          </w:tcPr>
          <w:p w14:paraId="7B2D5F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8" w:type="pct"/>
            <w:gridSpan w:val="2"/>
            <w:shd w:val="clear" w:color="auto" w:fill="FFFFFF"/>
            <w:tcMar>
              <w:top w:w="15" w:type="dxa"/>
              <w:left w:w="0" w:type="dxa"/>
              <w:bottom w:w="0" w:type="dxa"/>
              <w:right w:w="15" w:type="dxa"/>
            </w:tcMar>
            <w:vAlign w:val="bottom"/>
            <w:hideMark/>
          </w:tcPr>
          <w:p w14:paraId="16B960D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60C45C6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35E4CCF" w14:textId="77777777">
        <w:trPr>
          <w:divId w:val="1907907910"/>
        </w:trPr>
        <w:tc>
          <w:tcPr>
            <w:tcW w:w="2956" w:type="pct"/>
            <w:shd w:val="clear" w:color="auto" w:fill="FFFFFF"/>
            <w:tcMar>
              <w:top w:w="15" w:type="dxa"/>
              <w:left w:w="0" w:type="dxa"/>
              <w:bottom w:w="0" w:type="dxa"/>
              <w:right w:w="15" w:type="dxa"/>
            </w:tcMar>
            <w:vAlign w:val="bottom"/>
            <w:hideMark/>
          </w:tcPr>
          <w:p w14:paraId="27A2901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03" w:type="pct"/>
            <w:shd w:val="clear" w:color="auto" w:fill="FFFFFF"/>
            <w:tcMar>
              <w:top w:w="15" w:type="dxa"/>
              <w:left w:w="0" w:type="dxa"/>
              <w:bottom w:w="0" w:type="dxa"/>
              <w:right w:w="15" w:type="dxa"/>
            </w:tcMar>
            <w:vAlign w:val="bottom"/>
            <w:hideMark/>
          </w:tcPr>
          <w:p w14:paraId="227FB09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14:paraId="17A6FEC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7C8800C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3" w:type="pct"/>
            <w:shd w:val="clear" w:color="auto" w:fill="FFFFFF"/>
            <w:tcMar>
              <w:top w:w="15" w:type="dxa"/>
              <w:left w:w="0" w:type="dxa"/>
              <w:bottom w:w="0" w:type="dxa"/>
              <w:right w:w="15" w:type="dxa"/>
            </w:tcMar>
            <w:vAlign w:val="bottom"/>
            <w:hideMark/>
          </w:tcPr>
          <w:p w14:paraId="0893149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14:paraId="0D8971D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6CE0490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0E113AB" w14:textId="77777777">
        <w:trPr>
          <w:divId w:val="1907907910"/>
        </w:trPr>
        <w:tc>
          <w:tcPr>
            <w:tcW w:w="2956" w:type="pct"/>
            <w:shd w:val="clear" w:color="auto" w:fill="CFF0FC"/>
            <w:tcMar>
              <w:top w:w="15" w:type="dxa"/>
              <w:left w:w="0" w:type="dxa"/>
              <w:bottom w:w="0" w:type="dxa"/>
              <w:right w:w="15" w:type="dxa"/>
            </w:tcMar>
            <w:hideMark/>
          </w:tcPr>
          <w:p w14:paraId="03B5951E" w14:textId="77777777" w:rsidR="00000000" w:rsidRDefault="00582324">
            <w:pPr>
              <w:pStyle w:val="a3"/>
              <w:spacing w:before="0" w:beforeAutospacing="0" w:after="0" w:afterAutospacing="0"/>
              <w:rPr>
                <w:color w:val="000000"/>
                <w:sz w:val="18"/>
                <w:szCs w:val="18"/>
              </w:rPr>
            </w:pPr>
            <w:r>
              <w:rPr>
                <w:color w:val="000000"/>
                <w:sz w:val="18"/>
                <w:szCs w:val="18"/>
              </w:rPr>
              <w:t>Accrued bonuses</w:t>
            </w:r>
          </w:p>
        </w:tc>
        <w:tc>
          <w:tcPr>
            <w:tcW w:w="103" w:type="pct"/>
            <w:shd w:val="clear" w:color="auto" w:fill="CFF0FC"/>
            <w:tcMar>
              <w:top w:w="15" w:type="dxa"/>
              <w:left w:w="0" w:type="dxa"/>
              <w:bottom w:w="0" w:type="dxa"/>
              <w:right w:w="15" w:type="dxa"/>
            </w:tcMar>
            <w:vAlign w:val="bottom"/>
            <w:hideMark/>
          </w:tcPr>
          <w:p w14:paraId="682653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595B8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14:paraId="7C19E33F" w14:textId="77777777" w:rsidR="00000000" w:rsidRDefault="00582324">
            <w:pPr>
              <w:pStyle w:val="a3"/>
              <w:spacing w:before="0" w:beforeAutospacing="0" w:after="0" w:afterAutospacing="0"/>
              <w:jc w:val="right"/>
              <w:rPr>
                <w:color w:val="000000"/>
                <w:sz w:val="18"/>
                <w:szCs w:val="18"/>
              </w:rPr>
            </w:pPr>
            <w:r>
              <w:rPr>
                <w:color w:val="000000"/>
                <w:sz w:val="18"/>
                <w:szCs w:val="18"/>
              </w:rPr>
              <w:t>4,768</w:t>
            </w:r>
          </w:p>
        </w:tc>
        <w:tc>
          <w:tcPr>
            <w:tcW w:w="50" w:type="pct"/>
            <w:shd w:val="clear" w:color="auto" w:fill="CFF0FC"/>
            <w:noWrap/>
            <w:tcMar>
              <w:top w:w="15" w:type="dxa"/>
              <w:left w:w="0" w:type="dxa"/>
              <w:bottom w:w="0" w:type="dxa"/>
              <w:right w:w="15" w:type="dxa"/>
            </w:tcMar>
            <w:vAlign w:val="bottom"/>
            <w:hideMark/>
          </w:tcPr>
          <w:p w14:paraId="082FDC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CFF0FC"/>
            <w:tcMar>
              <w:top w:w="15" w:type="dxa"/>
              <w:left w:w="0" w:type="dxa"/>
              <w:bottom w:w="0" w:type="dxa"/>
              <w:right w:w="15" w:type="dxa"/>
            </w:tcMar>
            <w:vAlign w:val="bottom"/>
            <w:hideMark/>
          </w:tcPr>
          <w:p w14:paraId="2F2A00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51A4E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14:paraId="4C2F2C9F" w14:textId="77777777" w:rsidR="00000000" w:rsidRDefault="00582324">
            <w:pPr>
              <w:pStyle w:val="a3"/>
              <w:spacing w:before="0" w:beforeAutospacing="0" w:after="0" w:afterAutospacing="0"/>
              <w:jc w:val="right"/>
              <w:rPr>
                <w:color w:val="000000"/>
                <w:sz w:val="18"/>
                <w:szCs w:val="18"/>
              </w:rPr>
            </w:pPr>
            <w:r>
              <w:rPr>
                <w:color w:val="000000"/>
                <w:sz w:val="18"/>
                <w:szCs w:val="18"/>
              </w:rPr>
              <w:t>5,416</w:t>
            </w:r>
          </w:p>
        </w:tc>
        <w:tc>
          <w:tcPr>
            <w:tcW w:w="50" w:type="pct"/>
            <w:shd w:val="clear" w:color="auto" w:fill="CFF0FC"/>
            <w:noWrap/>
            <w:tcMar>
              <w:top w:w="15" w:type="dxa"/>
              <w:left w:w="0" w:type="dxa"/>
              <w:bottom w:w="0" w:type="dxa"/>
              <w:right w:w="15" w:type="dxa"/>
            </w:tcMar>
            <w:vAlign w:val="bottom"/>
            <w:hideMark/>
          </w:tcPr>
          <w:p w14:paraId="48CFA45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8F96866" w14:textId="77777777">
        <w:trPr>
          <w:divId w:val="1907907910"/>
        </w:trPr>
        <w:tc>
          <w:tcPr>
            <w:tcW w:w="2956" w:type="pct"/>
            <w:shd w:val="clear" w:color="auto" w:fill="FFFFFF"/>
            <w:tcMar>
              <w:top w:w="15" w:type="dxa"/>
              <w:left w:w="0" w:type="dxa"/>
              <w:bottom w:w="0" w:type="dxa"/>
              <w:right w:w="15" w:type="dxa"/>
            </w:tcMar>
            <w:hideMark/>
          </w:tcPr>
          <w:p w14:paraId="35BC7471" w14:textId="77777777" w:rsidR="00000000" w:rsidRDefault="00582324">
            <w:pPr>
              <w:pStyle w:val="a3"/>
              <w:spacing w:before="0" w:beforeAutospacing="0" w:after="0" w:afterAutospacing="0"/>
              <w:rPr>
                <w:color w:val="000000"/>
                <w:sz w:val="18"/>
                <w:szCs w:val="18"/>
              </w:rPr>
            </w:pPr>
            <w:r>
              <w:rPr>
                <w:color w:val="000000"/>
                <w:sz w:val="18"/>
                <w:szCs w:val="18"/>
              </w:rPr>
              <w:t>Accrued paid time off</w:t>
            </w:r>
          </w:p>
        </w:tc>
        <w:tc>
          <w:tcPr>
            <w:tcW w:w="103" w:type="pct"/>
            <w:shd w:val="clear" w:color="auto" w:fill="FFFFFF"/>
            <w:tcMar>
              <w:top w:w="15" w:type="dxa"/>
              <w:left w:w="0" w:type="dxa"/>
              <w:bottom w:w="0" w:type="dxa"/>
              <w:right w:w="15" w:type="dxa"/>
            </w:tcMar>
            <w:vAlign w:val="bottom"/>
            <w:hideMark/>
          </w:tcPr>
          <w:p w14:paraId="19CBED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5FD7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shd w:val="clear" w:color="auto" w:fill="FFFFFF"/>
            <w:noWrap/>
            <w:tcMar>
              <w:top w:w="15" w:type="dxa"/>
              <w:left w:w="0" w:type="dxa"/>
              <w:bottom w:w="0" w:type="dxa"/>
              <w:right w:w="15" w:type="dxa"/>
            </w:tcMar>
            <w:vAlign w:val="bottom"/>
            <w:hideMark/>
          </w:tcPr>
          <w:p w14:paraId="5ADEC51F" w14:textId="77777777" w:rsidR="00000000" w:rsidRDefault="00582324">
            <w:pPr>
              <w:pStyle w:val="a3"/>
              <w:spacing w:before="0" w:beforeAutospacing="0" w:after="0" w:afterAutospacing="0"/>
              <w:jc w:val="right"/>
              <w:rPr>
                <w:color w:val="000000"/>
                <w:sz w:val="18"/>
                <w:szCs w:val="18"/>
              </w:rPr>
            </w:pPr>
            <w:r>
              <w:rPr>
                <w:color w:val="000000"/>
                <w:sz w:val="18"/>
                <w:szCs w:val="18"/>
              </w:rPr>
              <w:t>2,296</w:t>
            </w:r>
          </w:p>
        </w:tc>
        <w:tc>
          <w:tcPr>
            <w:tcW w:w="50" w:type="pct"/>
            <w:shd w:val="clear" w:color="auto" w:fill="FFFFFF"/>
            <w:noWrap/>
            <w:tcMar>
              <w:top w:w="15" w:type="dxa"/>
              <w:left w:w="0" w:type="dxa"/>
              <w:bottom w:w="0" w:type="dxa"/>
              <w:right w:w="15" w:type="dxa"/>
            </w:tcMar>
            <w:vAlign w:val="bottom"/>
            <w:hideMark/>
          </w:tcPr>
          <w:p w14:paraId="2F3D2D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FFFFFF"/>
            <w:tcMar>
              <w:top w:w="15" w:type="dxa"/>
              <w:left w:w="0" w:type="dxa"/>
              <w:bottom w:w="0" w:type="dxa"/>
              <w:right w:w="15" w:type="dxa"/>
            </w:tcMar>
            <w:vAlign w:val="bottom"/>
            <w:hideMark/>
          </w:tcPr>
          <w:p w14:paraId="590654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E188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shd w:val="clear" w:color="auto" w:fill="FFFFFF"/>
            <w:noWrap/>
            <w:tcMar>
              <w:top w:w="15" w:type="dxa"/>
              <w:left w:w="0" w:type="dxa"/>
              <w:bottom w:w="0" w:type="dxa"/>
              <w:right w:w="15" w:type="dxa"/>
            </w:tcMar>
            <w:vAlign w:val="bottom"/>
            <w:hideMark/>
          </w:tcPr>
          <w:p w14:paraId="013BAB99" w14:textId="77777777" w:rsidR="00000000" w:rsidRDefault="00582324">
            <w:pPr>
              <w:pStyle w:val="a3"/>
              <w:spacing w:before="0" w:beforeAutospacing="0" w:after="0" w:afterAutospacing="0"/>
              <w:jc w:val="right"/>
              <w:rPr>
                <w:color w:val="000000"/>
                <w:sz w:val="18"/>
                <w:szCs w:val="18"/>
              </w:rPr>
            </w:pPr>
            <w:r>
              <w:rPr>
                <w:color w:val="000000"/>
                <w:sz w:val="18"/>
                <w:szCs w:val="18"/>
              </w:rPr>
              <w:t>2,067</w:t>
            </w:r>
          </w:p>
        </w:tc>
        <w:tc>
          <w:tcPr>
            <w:tcW w:w="50" w:type="pct"/>
            <w:shd w:val="clear" w:color="auto" w:fill="FFFFFF"/>
            <w:noWrap/>
            <w:tcMar>
              <w:top w:w="15" w:type="dxa"/>
              <w:left w:w="0" w:type="dxa"/>
              <w:bottom w:w="0" w:type="dxa"/>
              <w:right w:w="15" w:type="dxa"/>
            </w:tcMar>
            <w:vAlign w:val="bottom"/>
            <w:hideMark/>
          </w:tcPr>
          <w:p w14:paraId="6932B29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4C52E50" w14:textId="77777777">
        <w:trPr>
          <w:divId w:val="1907907910"/>
        </w:trPr>
        <w:tc>
          <w:tcPr>
            <w:tcW w:w="2956" w:type="pct"/>
            <w:shd w:val="clear" w:color="auto" w:fill="CFF0FC"/>
            <w:tcMar>
              <w:top w:w="15" w:type="dxa"/>
              <w:left w:w="0" w:type="dxa"/>
              <w:bottom w:w="0" w:type="dxa"/>
              <w:right w:w="15" w:type="dxa"/>
            </w:tcMar>
            <w:hideMark/>
          </w:tcPr>
          <w:p w14:paraId="732702CB" w14:textId="77777777" w:rsidR="00000000" w:rsidRDefault="00582324">
            <w:pPr>
              <w:pStyle w:val="a3"/>
              <w:spacing w:before="0" w:beforeAutospacing="0" w:after="0" w:afterAutospacing="0"/>
              <w:rPr>
                <w:color w:val="000000"/>
                <w:sz w:val="18"/>
                <w:szCs w:val="18"/>
              </w:rPr>
            </w:pPr>
            <w:r>
              <w:rPr>
                <w:color w:val="000000"/>
                <w:sz w:val="18"/>
                <w:szCs w:val="18"/>
              </w:rPr>
              <w:t>Accrued payroll</w:t>
            </w:r>
          </w:p>
        </w:tc>
        <w:tc>
          <w:tcPr>
            <w:tcW w:w="103" w:type="pct"/>
            <w:shd w:val="clear" w:color="auto" w:fill="CFF0FC"/>
            <w:tcMar>
              <w:top w:w="15" w:type="dxa"/>
              <w:left w:w="0" w:type="dxa"/>
              <w:bottom w:w="0" w:type="dxa"/>
              <w:right w:w="15" w:type="dxa"/>
            </w:tcMar>
            <w:vAlign w:val="bottom"/>
            <w:hideMark/>
          </w:tcPr>
          <w:p w14:paraId="3AA31B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E66FE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shd w:val="clear" w:color="auto" w:fill="CFF0FC"/>
            <w:noWrap/>
            <w:tcMar>
              <w:top w:w="15" w:type="dxa"/>
              <w:left w:w="0" w:type="dxa"/>
              <w:bottom w:w="0" w:type="dxa"/>
              <w:right w:w="15" w:type="dxa"/>
            </w:tcMar>
            <w:vAlign w:val="bottom"/>
            <w:hideMark/>
          </w:tcPr>
          <w:p w14:paraId="704C8AA0" w14:textId="77777777" w:rsidR="00000000" w:rsidRDefault="00582324">
            <w:pPr>
              <w:pStyle w:val="a3"/>
              <w:spacing w:before="0" w:beforeAutospacing="0" w:after="0" w:afterAutospacing="0"/>
              <w:jc w:val="right"/>
              <w:rPr>
                <w:color w:val="000000"/>
                <w:sz w:val="18"/>
                <w:szCs w:val="18"/>
              </w:rPr>
            </w:pPr>
            <w:r>
              <w:rPr>
                <w:color w:val="000000"/>
                <w:sz w:val="18"/>
                <w:szCs w:val="18"/>
              </w:rPr>
              <w:t>7,307</w:t>
            </w:r>
          </w:p>
        </w:tc>
        <w:tc>
          <w:tcPr>
            <w:tcW w:w="50" w:type="pct"/>
            <w:shd w:val="clear" w:color="auto" w:fill="CFF0FC"/>
            <w:noWrap/>
            <w:tcMar>
              <w:top w:w="15" w:type="dxa"/>
              <w:left w:w="0" w:type="dxa"/>
              <w:bottom w:w="0" w:type="dxa"/>
              <w:right w:w="15" w:type="dxa"/>
            </w:tcMar>
            <w:vAlign w:val="bottom"/>
            <w:hideMark/>
          </w:tcPr>
          <w:p w14:paraId="436EFF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CFF0FC"/>
            <w:tcMar>
              <w:top w:w="15" w:type="dxa"/>
              <w:left w:w="0" w:type="dxa"/>
              <w:bottom w:w="0" w:type="dxa"/>
              <w:right w:w="15" w:type="dxa"/>
            </w:tcMar>
            <w:vAlign w:val="bottom"/>
            <w:hideMark/>
          </w:tcPr>
          <w:p w14:paraId="144346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3F231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shd w:val="clear" w:color="auto" w:fill="CFF0FC"/>
            <w:noWrap/>
            <w:tcMar>
              <w:top w:w="15" w:type="dxa"/>
              <w:left w:w="0" w:type="dxa"/>
              <w:bottom w:w="0" w:type="dxa"/>
              <w:right w:w="15" w:type="dxa"/>
            </w:tcMar>
            <w:vAlign w:val="bottom"/>
            <w:hideMark/>
          </w:tcPr>
          <w:p w14:paraId="2D534476" w14:textId="77777777" w:rsidR="00000000" w:rsidRDefault="00582324">
            <w:pPr>
              <w:pStyle w:val="a3"/>
              <w:spacing w:before="0" w:beforeAutospacing="0" w:after="0" w:afterAutospacing="0"/>
              <w:jc w:val="right"/>
              <w:rPr>
                <w:color w:val="000000"/>
                <w:sz w:val="18"/>
                <w:szCs w:val="18"/>
              </w:rPr>
            </w:pPr>
            <w:r>
              <w:rPr>
                <w:color w:val="000000"/>
                <w:sz w:val="18"/>
                <w:szCs w:val="18"/>
              </w:rPr>
              <w:t>9,133</w:t>
            </w:r>
          </w:p>
        </w:tc>
        <w:tc>
          <w:tcPr>
            <w:tcW w:w="50" w:type="pct"/>
            <w:shd w:val="clear" w:color="auto" w:fill="CFF0FC"/>
            <w:noWrap/>
            <w:tcMar>
              <w:top w:w="15" w:type="dxa"/>
              <w:left w:w="0" w:type="dxa"/>
              <w:bottom w:w="0" w:type="dxa"/>
              <w:right w:w="15" w:type="dxa"/>
            </w:tcMar>
            <w:vAlign w:val="bottom"/>
            <w:hideMark/>
          </w:tcPr>
          <w:p w14:paraId="6E76206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419DE0B" w14:textId="77777777">
        <w:trPr>
          <w:divId w:val="1907907910"/>
        </w:trPr>
        <w:tc>
          <w:tcPr>
            <w:tcW w:w="2956" w:type="pct"/>
            <w:shd w:val="clear" w:color="auto" w:fill="FFFFFF"/>
            <w:tcMar>
              <w:top w:w="15" w:type="dxa"/>
              <w:left w:w="0" w:type="dxa"/>
              <w:bottom w:w="0" w:type="dxa"/>
              <w:right w:w="15" w:type="dxa"/>
            </w:tcMar>
            <w:hideMark/>
          </w:tcPr>
          <w:p w14:paraId="5B8E7D51" w14:textId="77777777" w:rsidR="00000000" w:rsidRDefault="00582324">
            <w:pPr>
              <w:pStyle w:val="a3"/>
              <w:spacing w:before="0" w:beforeAutospacing="0" w:after="0" w:afterAutospacing="0"/>
              <w:rPr>
                <w:color w:val="000000"/>
                <w:sz w:val="18"/>
                <w:szCs w:val="18"/>
              </w:rPr>
            </w:pPr>
            <w:r>
              <w:rPr>
                <w:color w:val="000000"/>
                <w:sz w:val="18"/>
                <w:szCs w:val="18"/>
              </w:rPr>
              <w:t>Accrued other</w:t>
            </w:r>
          </w:p>
        </w:tc>
        <w:tc>
          <w:tcPr>
            <w:tcW w:w="103" w:type="pct"/>
            <w:shd w:val="clear" w:color="auto" w:fill="FFFFFF"/>
            <w:tcMar>
              <w:top w:w="15" w:type="dxa"/>
              <w:left w:w="0" w:type="dxa"/>
              <w:bottom w:w="0" w:type="dxa"/>
              <w:right w:w="15" w:type="dxa"/>
            </w:tcMar>
            <w:vAlign w:val="bottom"/>
            <w:hideMark/>
          </w:tcPr>
          <w:p w14:paraId="046A66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EAAF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14:paraId="466E49F0" w14:textId="77777777" w:rsidR="00000000" w:rsidRDefault="00582324">
            <w:pPr>
              <w:pStyle w:val="a3"/>
              <w:spacing w:before="0" w:beforeAutospacing="0" w:after="0" w:afterAutospacing="0"/>
              <w:jc w:val="right"/>
              <w:rPr>
                <w:color w:val="000000"/>
                <w:sz w:val="18"/>
                <w:szCs w:val="18"/>
              </w:rPr>
            </w:pPr>
            <w:r>
              <w:rPr>
                <w:color w:val="000000"/>
                <w:sz w:val="18"/>
                <w:szCs w:val="18"/>
              </w:rPr>
              <w:t>4,908</w:t>
            </w:r>
          </w:p>
        </w:tc>
        <w:tc>
          <w:tcPr>
            <w:tcW w:w="50" w:type="pct"/>
            <w:shd w:val="clear" w:color="auto" w:fill="FFFFFF"/>
            <w:noWrap/>
            <w:tcMar>
              <w:top w:w="15" w:type="dxa"/>
              <w:left w:w="0" w:type="dxa"/>
              <w:bottom w:w="0" w:type="dxa"/>
              <w:right w:w="15" w:type="dxa"/>
            </w:tcMar>
            <w:vAlign w:val="bottom"/>
            <w:hideMark/>
          </w:tcPr>
          <w:p w14:paraId="10174B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FFFFFF"/>
            <w:tcMar>
              <w:top w:w="15" w:type="dxa"/>
              <w:left w:w="0" w:type="dxa"/>
              <w:bottom w:w="0" w:type="dxa"/>
              <w:right w:w="15" w:type="dxa"/>
            </w:tcMar>
            <w:vAlign w:val="bottom"/>
            <w:hideMark/>
          </w:tcPr>
          <w:p w14:paraId="68B9B9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81926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14:paraId="37F5CE9F" w14:textId="77777777" w:rsidR="00000000" w:rsidRDefault="00582324">
            <w:pPr>
              <w:pStyle w:val="a3"/>
              <w:spacing w:before="0" w:beforeAutospacing="0" w:after="0" w:afterAutospacing="0"/>
              <w:jc w:val="right"/>
              <w:rPr>
                <w:color w:val="000000"/>
                <w:sz w:val="18"/>
                <w:szCs w:val="18"/>
              </w:rPr>
            </w:pPr>
            <w:r>
              <w:rPr>
                <w:color w:val="000000"/>
                <w:sz w:val="18"/>
                <w:szCs w:val="18"/>
              </w:rPr>
              <w:t>4,565</w:t>
            </w:r>
          </w:p>
        </w:tc>
        <w:tc>
          <w:tcPr>
            <w:tcW w:w="50" w:type="pct"/>
            <w:shd w:val="clear" w:color="auto" w:fill="FFFFFF"/>
            <w:noWrap/>
            <w:tcMar>
              <w:top w:w="15" w:type="dxa"/>
              <w:left w:w="0" w:type="dxa"/>
              <w:bottom w:w="0" w:type="dxa"/>
              <w:right w:w="15" w:type="dxa"/>
            </w:tcMar>
            <w:vAlign w:val="bottom"/>
            <w:hideMark/>
          </w:tcPr>
          <w:p w14:paraId="6C0482C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4031441" w14:textId="77777777">
        <w:trPr>
          <w:divId w:val="1907907910"/>
        </w:trPr>
        <w:tc>
          <w:tcPr>
            <w:tcW w:w="2956" w:type="pct"/>
            <w:shd w:val="clear" w:color="auto" w:fill="CFF0FC"/>
            <w:tcMar>
              <w:top w:w="15" w:type="dxa"/>
              <w:left w:w="0" w:type="dxa"/>
              <w:bottom w:w="0" w:type="dxa"/>
              <w:right w:w="15" w:type="dxa"/>
            </w:tcMar>
            <w:hideMark/>
          </w:tcPr>
          <w:p w14:paraId="6F680610" w14:textId="77777777" w:rsidR="00000000" w:rsidRDefault="00582324">
            <w:pPr>
              <w:pStyle w:val="a3"/>
              <w:spacing w:before="0" w:beforeAutospacing="0" w:after="0" w:afterAutospacing="0"/>
              <w:rPr>
                <w:color w:val="000000"/>
                <w:sz w:val="18"/>
                <w:szCs w:val="18"/>
              </w:rPr>
            </w:pPr>
            <w:r>
              <w:rPr>
                <w:color w:val="000000"/>
                <w:sz w:val="18"/>
                <w:szCs w:val="18"/>
              </w:rPr>
              <w:t>Total accrued payroll and benefits</w:t>
            </w:r>
          </w:p>
        </w:tc>
        <w:tc>
          <w:tcPr>
            <w:tcW w:w="103" w:type="pct"/>
            <w:shd w:val="clear" w:color="auto" w:fill="CFF0FC"/>
            <w:tcMar>
              <w:top w:w="15" w:type="dxa"/>
              <w:left w:w="0" w:type="dxa"/>
              <w:bottom w:w="0" w:type="dxa"/>
              <w:right w:w="15" w:type="dxa"/>
            </w:tcMar>
            <w:vAlign w:val="bottom"/>
            <w:hideMark/>
          </w:tcPr>
          <w:p w14:paraId="04BD8B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93DE6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C8128D" w14:textId="77777777" w:rsidR="00000000" w:rsidRDefault="00582324">
            <w:pPr>
              <w:pStyle w:val="a3"/>
              <w:spacing w:before="0" w:beforeAutospacing="0" w:after="0" w:afterAutospacing="0"/>
              <w:jc w:val="right"/>
              <w:rPr>
                <w:color w:val="000000"/>
                <w:sz w:val="18"/>
                <w:szCs w:val="18"/>
              </w:rPr>
            </w:pPr>
            <w:r>
              <w:rPr>
                <w:color w:val="000000"/>
                <w:sz w:val="18"/>
                <w:szCs w:val="18"/>
              </w:rPr>
              <w:t>19,279</w:t>
            </w:r>
          </w:p>
        </w:tc>
        <w:tc>
          <w:tcPr>
            <w:tcW w:w="50" w:type="pct"/>
            <w:shd w:val="clear" w:color="auto" w:fill="CFF0FC"/>
            <w:noWrap/>
            <w:tcMar>
              <w:top w:w="15" w:type="dxa"/>
              <w:left w:w="0" w:type="dxa"/>
              <w:bottom w:w="0" w:type="dxa"/>
              <w:right w:w="15" w:type="dxa"/>
            </w:tcMar>
            <w:vAlign w:val="bottom"/>
            <w:hideMark/>
          </w:tcPr>
          <w:p w14:paraId="137C6B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CFF0FC"/>
            <w:tcMar>
              <w:top w:w="15" w:type="dxa"/>
              <w:left w:w="0" w:type="dxa"/>
              <w:bottom w:w="0" w:type="dxa"/>
              <w:right w:w="15" w:type="dxa"/>
            </w:tcMar>
            <w:vAlign w:val="bottom"/>
            <w:hideMark/>
          </w:tcPr>
          <w:p w14:paraId="2743B3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5ADB2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9710C9" w14:textId="77777777" w:rsidR="00000000" w:rsidRDefault="00582324">
            <w:pPr>
              <w:pStyle w:val="a3"/>
              <w:spacing w:before="0" w:beforeAutospacing="0" w:after="0" w:afterAutospacing="0"/>
              <w:jc w:val="right"/>
              <w:rPr>
                <w:color w:val="000000"/>
                <w:sz w:val="18"/>
                <w:szCs w:val="18"/>
              </w:rPr>
            </w:pPr>
            <w:r>
              <w:rPr>
                <w:color w:val="000000"/>
                <w:sz w:val="18"/>
                <w:szCs w:val="18"/>
              </w:rPr>
              <w:t>21,181</w:t>
            </w:r>
          </w:p>
        </w:tc>
        <w:tc>
          <w:tcPr>
            <w:tcW w:w="50" w:type="pct"/>
            <w:shd w:val="clear" w:color="auto" w:fill="CFF0FC"/>
            <w:noWrap/>
            <w:tcMar>
              <w:top w:w="15" w:type="dxa"/>
              <w:left w:w="0" w:type="dxa"/>
              <w:bottom w:w="0" w:type="dxa"/>
              <w:right w:w="15" w:type="dxa"/>
            </w:tcMar>
            <w:vAlign w:val="bottom"/>
            <w:hideMark/>
          </w:tcPr>
          <w:p w14:paraId="196BB4C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BE8512E" w14:textId="77777777">
        <w:trPr>
          <w:divId w:val="1907907910"/>
        </w:trPr>
        <w:tc>
          <w:tcPr>
            <w:tcW w:w="2956" w:type="pct"/>
            <w:shd w:val="clear" w:color="auto" w:fill="FFFFFF"/>
            <w:tcMar>
              <w:top w:w="15" w:type="dxa"/>
              <w:left w:w="0" w:type="dxa"/>
              <w:bottom w:w="0" w:type="dxa"/>
              <w:right w:w="15" w:type="dxa"/>
            </w:tcMar>
            <w:vAlign w:val="bottom"/>
            <w:hideMark/>
          </w:tcPr>
          <w:p w14:paraId="152CD2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FFFFFF"/>
            <w:tcMar>
              <w:top w:w="15" w:type="dxa"/>
              <w:left w:w="0" w:type="dxa"/>
              <w:bottom w:w="0" w:type="dxa"/>
              <w:right w:w="15" w:type="dxa"/>
            </w:tcMar>
            <w:vAlign w:val="bottom"/>
            <w:hideMark/>
          </w:tcPr>
          <w:p w14:paraId="73A411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84257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tcBorders>
              <w:top w:val="double" w:sz="6" w:space="0" w:color="000000"/>
            </w:tcBorders>
            <w:shd w:val="clear" w:color="auto" w:fill="FFFFFF"/>
            <w:noWrap/>
            <w:tcMar>
              <w:top w:w="15" w:type="dxa"/>
              <w:left w:w="0" w:type="dxa"/>
              <w:bottom w:w="0" w:type="dxa"/>
              <w:right w:w="15" w:type="dxa"/>
            </w:tcMar>
            <w:vAlign w:val="bottom"/>
            <w:hideMark/>
          </w:tcPr>
          <w:p w14:paraId="24206D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221C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3" w:type="pct"/>
            <w:shd w:val="clear" w:color="auto" w:fill="FFFFFF"/>
            <w:tcMar>
              <w:top w:w="15" w:type="dxa"/>
              <w:left w:w="0" w:type="dxa"/>
              <w:bottom w:w="0" w:type="dxa"/>
              <w:right w:w="15" w:type="dxa"/>
            </w:tcMar>
            <w:vAlign w:val="bottom"/>
            <w:hideMark/>
          </w:tcPr>
          <w:p w14:paraId="36A3CD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51BDF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8" w:type="pct"/>
            <w:tcBorders>
              <w:top w:val="double" w:sz="6" w:space="0" w:color="000000"/>
            </w:tcBorders>
            <w:shd w:val="clear" w:color="auto" w:fill="FFFFFF"/>
            <w:noWrap/>
            <w:tcMar>
              <w:top w:w="15" w:type="dxa"/>
              <w:left w:w="0" w:type="dxa"/>
              <w:bottom w:w="0" w:type="dxa"/>
              <w:right w:w="15" w:type="dxa"/>
            </w:tcMar>
            <w:vAlign w:val="bottom"/>
            <w:hideMark/>
          </w:tcPr>
          <w:p w14:paraId="594920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676DB3"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A7F33CB"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p w14:paraId="6CF2C3AB"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11. INCOME TAXES</w:t>
      </w:r>
    </w:p>
    <w:p w14:paraId="3849578E" w14:textId="77777777" w:rsidR="00000000" w:rsidRDefault="00582324">
      <w:pPr>
        <w:pStyle w:val="a3"/>
        <w:shd w:val="clear" w:color="auto" w:fill="FFFFFF"/>
        <w:spacing w:before="120" w:beforeAutospacing="0" w:after="0" w:afterAutospacing="0"/>
        <w:ind w:firstLine="416"/>
        <w:rPr>
          <w:sz w:val="20"/>
          <w:szCs w:val="20"/>
        </w:rPr>
      </w:pPr>
      <w:r>
        <w:rPr>
          <w:sz w:val="20"/>
          <w:szCs w:val="20"/>
        </w:rPr>
        <w:t>The Company calculates its interim income tax provision in accordance with ASC Topic 270, Interim Reporting (“ASC 270”), and ASC 740. The Company’s effective tax rate (“ETR”) from continuing operations was 1.8% and 1.0% for the three and six months ended J</w:t>
      </w:r>
      <w:r>
        <w:rPr>
          <w:sz w:val="20"/>
          <w:szCs w:val="20"/>
        </w:rPr>
        <w:t>une 30, 2021, respectively, and (15.3%) and 14.9% for the three and six months ended June 30, 2020, respectively. Income tax expense recorded by the Company during the three and six months ended June 30, 2021 was not material. The Company recorded an incom</w:t>
      </w:r>
      <w:r>
        <w:rPr>
          <w:sz w:val="20"/>
          <w:szCs w:val="20"/>
        </w:rPr>
        <w:t>e tax benefit of $1.8 million and $4.9 million during the three and six months ended June 30, 2020, respectively. The difference between the ETR and federal statutory rate of 21.0% is primarily attributable to items recorded for U.S. GAAP but permanently d</w:t>
      </w:r>
      <w:r>
        <w:rPr>
          <w:sz w:val="20"/>
          <w:szCs w:val="20"/>
        </w:rPr>
        <w:t>isallowed for U.S. federal income tax purposes, recognition of a U.S. federal and state valuation allowance, state and foreign income tax provisions and Global Intangible Low Taxed Income (“GILTI”).</w:t>
      </w:r>
    </w:p>
    <w:p w14:paraId="70B0B3BB" w14:textId="77777777" w:rsidR="00000000" w:rsidRDefault="00582324">
      <w:pPr>
        <w:pStyle w:val="a3"/>
        <w:shd w:val="clear" w:color="auto" w:fill="FFFFFF"/>
        <w:spacing w:before="240" w:beforeAutospacing="0" w:after="0" w:afterAutospacing="0"/>
        <w:ind w:firstLine="416"/>
        <w:rPr>
          <w:sz w:val="20"/>
          <w:szCs w:val="20"/>
        </w:rPr>
      </w:pPr>
      <w:r>
        <w:rPr>
          <w:sz w:val="20"/>
          <w:szCs w:val="20"/>
        </w:rPr>
        <w:t>A valuation allowance is recorded when it is more-likely-</w:t>
      </w:r>
      <w:r>
        <w:rPr>
          <w:sz w:val="20"/>
          <w:szCs w:val="20"/>
        </w:rPr>
        <w:t>than-not some of the Company’s deferred tax assets may not be realized. Significant judgment is applied when assessing the need for a valuation allowance and the Company considers future taxable income, reversals of existing deferred tax assets and liabili</w:t>
      </w:r>
      <w:r>
        <w:rPr>
          <w:sz w:val="20"/>
          <w:szCs w:val="20"/>
        </w:rPr>
        <w:t>ties and ongoing prudent and feasible tax planning strategies, in making such assessment. As of June 30, 2021, the Company’s U.S. federal, state and various foreign net deferred tax assets are not more-likely-than-not to be realized and a full valuation al</w:t>
      </w:r>
      <w:r>
        <w:rPr>
          <w:sz w:val="20"/>
          <w:szCs w:val="20"/>
        </w:rPr>
        <w:t>lowance is maintained.</w:t>
      </w:r>
    </w:p>
    <w:p w14:paraId="45EC0245" w14:textId="77777777" w:rsidR="00000000" w:rsidRDefault="00582324">
      <w:pPr>
        <w:pStyle w:val="a3"/>
        <w:shd w:val="clear" w:color="auto" w:fill="FFFFFF"/>
        <w:spacing w:before="240" w:beforeAutospacing="0" w:after="0" w:afterAutospacing="0"/>
        <w:ind w:firstLine="416"/>
        <w:rPr>
          <w:sz w:val="20"/>
          <w:szCs w:val="20"/>
        </w:rPr>
      </w:pPr>
      <w:r>
        <w:rPr>
          <w:sz w:val="20"/>
          <w:szCs w:val="20"/>
        </w:rPr>
        <w:t xml:space="preserve">The Company records uncertain tax positions in accordance with ASC 740, on the basis of a two-step process in which (i) the Company determines whether it is more likely than not a tax position will be sustained on the basis of the technical merits of such </w:t>
      </w:r>
      <w:r>
        <w:rPr>
          <w:sz w:val="20"/>
          <w:szCs w:val="20"/>
        </w:rPr>
        <w:t>position and (ii) for those tax positions meeting the more-likely-than-not recognition threshold, the Company would recognize the largest amount of tax benefit that is more than 50.0% likely to be realized upon ultimate settlement with the related tax auth</w:t>
      </w:r>
      <w:r>
        <w:rPr>
          <w:sz w:val="20"/>
          <w:szCs w:val="20"/>
        </w:rPr>
        <w:t>ority. The Company has determined it has no uncertain tax positions as of June 30, 2021. The Company classifies interest and penalties recognized on uncertain tax positions as a component of income tax expense.</w:t>
      </w:r>
    </w:p>
    <w:p w14:paraId="0A1FFC4B"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12. WARRANT OPTIONS</w:t>
      </w:r>
    </w:p>
    <w:p w14:paraId="081E79F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 October 2018, in conne</w:t>
      </w:r>
      <w:r>
        <w:rPr>
          <w:color w:val="000000"/>
          <w:sz w:val="20"/>
          <w:szCs w:val="20"/>
        </w:rPr>
        <w:t>ction with the issuance of the Redeemable Series A-1 Preferred Stock, the Company issued a detachable warrant to acquire 534,240 shares of common stock at a price of $0.01 per share at any given time during a period of ten years beginning on the instrument</w:t>
      </w:r>
      <w:r>
        <w:rPr>
          <w:color w:val="000000"/>
          <w:sz w:val="20"/>
          <w:szCs w:val="20"/>
        </w:rPr>
        <w:t xml:space="preserve">’s issuance date. </w:t>
      </w:r>
    </w:p>
    <w:p w14:paraId="14393BAB" w14:textId="77777777" w:rsidR="00000000" w:rsidRDefault="00582324">
      <w:pPr>
        <w:pStyle w:val="a3"/>
        <w:spacing w:before="240" w:beforeAutospacing="0" w:after="0" w:afterAutospacing="0"/>
        <w:jc w:val="center"/>
        <w:rPr>
          <w:sz w:val="20"/>
          <w:szCs w:val="20"/>
        </w:rPr>
      </w:pPr>
      <w:r>
        <w:rPr>
          <w:sz w:val="20"/>
          <w:szCs w:val="20"/>
        </w:rPr>
        <w:t>16</w:t>
      </w:r>
    </w:p>
    <w:p w14:paraId="72B2C12C" w14:textId="77777777" w:rsidR="00000000" w:rsidRDefault="00582324">
      <w:pPr>
        <w:rPr>
          <w:rFonts w:eastAsia="Times New Roman"/>
        </w:rPr>
      </w:pPr>
      <w:r>
        <w:rPr>
          <w:rFonts w:eastAsia="Times New Roman"/>
        </w:rPr>
        <w:pict w14:anchorId="6CF09852">
          <v:rect id="_x0000_i1042" style="width:0;height:1.5pt" o:hralign="center" o:hrstd="t" o:hr="t" fillcolor="#a0a0a0" stroked="f"/>
        </w:pict>
      </w:r>
    </w:p>
    <w:p w14:paraId="4EA99BB6" w14:textId="77777777" w:rsidR="00000000" w:rsidRDefault="00582324">
      <w:pPr>
        <w:pStyle w:val="a3"/>
        <w:spacing w:before="0" w:beforeAutospacing="0" w:after="0" w:afterAutospacing="0"/>
        <w:rPr>
          <w:sz w:val="20"/>
          <w:szCs w:val="20"/>
        </w:rPr>
      </w:pPr>
      <w:r>
        <w:rPr>
          <w:sz w:val="20"/>
          <w:szCs w:val="20"/>
        </w:rPr>
        <w:t> </w:t>
      </w:r>
    </w:p>
    <w:p w14:paraId="5BC7702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For the three and six months ended June 30, 2020, fair value gains/(losses) recorded in other expense on the unaudited condensed consolidated statements of operations related to the Redeemable Ser</w:t>
      </w:r>
      <w:r>
        <w:rPr>
          <w:color w:val="000000"/>
          <w:sz w:val="20"/>
          <w:szCs w:val="20"/>
        </w:rPr>
        <w:t>ies A-1 warrant were not material.</w:t>
      </w:r>
    </w:p>
    <w:p w14:paraId="0D267C9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 April 2020, in connection with the issuance of the Convertible and Redeemable Series A-2 Preferred Stock, the Company issued a detachable warrant to acquire 1,351,960 shares of common stock at a price of $0.01 per shar</w:t>
      </w:r>
      <w:r>
        <w:rPr>
          <w:color w:val="000000"/>
          <w:sz w:val="20"/>
          <w:szCs w:val="20"/>
        </w:rPr>
        <w:t>e at any time following the occurrence of a qualifying IPO, a sale of the Company, or a redemption in full of the Series A-2 preferred stock (each, an “Adjustment Event”), with an expiration date of ten years from the instrument’s issuance date. The number</w:t>
      </w:r>
      <w:r>
        <w:rPr>
          <w:color w:val="000000"/>
          <w:sz w:val="20"/>
          <w:szCs w:val="20"/>
        </w:rPr>
        <w:t xml:space="preserve"> of shares underlying the warrant and issuable upon exercise was subject to adjustment based upon the price per share of common stock upon the occurrence of an Adjustment Event (Note 17) to reflect an aggregate value of $30.0 million. </w:t>
      </w:r>
    </w:p>
    <w:p w14:paraId="18872A7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As a result of the $</w:t>
      </w:r>
      <w:r>
        <w:rPr>
          <w:color w:val="000000"/>
          <w:sz w:val="20"/>
          <w:szCs w:val="20"/>
        </w:rPr>
        <w:t>15.00 per share public offering price in the IPO, the warrant issued in connection with the issuance of the Convertible and Redeemable Series A-2 Preferred Stock was adjusted pursuant to its terms and, upon closing of the IPO, represented a warrant to purc</w:t>
      </w:r>
      <w:r>
        <w:rPr>
          <w:color w:val="000000"/>
          <w:sz w:val="20"/>
          <w:szCs w:val="20"/>
        </w:rPr>
        <w:t>hase 1,999,999 shares of common stock (an increase of 648,039 shares).</w:t>
      </w:r>
    </w:p>
    <w:p w14:paraId="1475D1A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On July 30, 2020, the Redeemable Series A-1 Preferred Stock and the Convertible and Redeemable Series A-2 Preferred Stock warrants were exercised in full resulting in the issuance of an</w:t>
      </w:r>
      <w:r>
        <w:rPr>
          <w:color w:val="000000"/>
          <w:sz w:val="20"/>
          <w:szCs w:val="20"/>
        </w:rPr>
        <w:t xml:space="preserve"> aggregate of 2,534,239 shares of common stock to the holder for an exercise price of $0.01 per share.</w:t>
      </w:r>
      <w:r>
        <w:rPr>
          <w:color w:val="000000"/>
        </w:rPr>
        <w:t xml:space="preserve">   </w:t>
      </w:r>
    </w:p>
    <w:p w14:paraId="06F7EDA0"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13. DEBT</w:t>
      </w:r>
    </w:p>
    <w:p w14:paraId="7063C85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Debt consisted of the following:</w:t>
      </w:r>
    </w:p>
    <w:p w14:paraId="3F08F0A5"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51"/>
        <w:gridCol w:w="127"/>
        <w:gridCol w:w="105"/>
        <w:gridCol w:w="1273"/>
        <w:gridCol w:w="75"/>
        <w:gridCol w:w="128"/>
        <w:gridCol w:w="106"/>
        <w:gridCol w:w="1274"/>
        <w:gridCol w:w="75"/>
      </w:tblGrid>
      <w:tr w:rsidR="00000000" w14:paraId="16AEC9BB" w14:textId="77777777">
        <w:trPr>
          <w:divId w:val="1259633449"/>
        </w:trPr>
        <w:tc>
          <w:tcPr>
            <w:tcW w:w="2300" w:type="pct"/>
            <w:shd w:val="clear" w:color="auto" w:fill="FFFFFF"/>
            <w:tcMar>
              <w:top w:w="15" w:type="dxa"/>
              <w:left w:w="0" w:type="dxa"/>
              <w:bottom w:w="0" w:type="dxa"/>
              <w:right w:w="15" w:type="dxa"/>
            </w:tcMar>
            <w:hideMark/>
          </w:tcPr>
          <w:p w14:paraId="5504B159" w14:textId="77777777" w:rsidR="00000000" w:rsidRDefault="00582324">
            <w:pPr>
              <w:pStyle w:val="a3"/>
              <w:spacing w:before="0" w:beforeAutospacing="0" w:after="0" w:afterAutospacing="0"/>
              <w:rPr>
                <w:sz w:val="20"/>
                <w:szCs w:val="20"/>
              </w:rPr>
            </w:pPr>
            <w:r>
              <w:rPr>
                <w:sz w:val="20"/>
                <w:szCs w:val="20"/>
              </w:rPr>
              <w:t> </w:t>
            </w:r>
          </w:p>
        </w:tc>
        <w:tc>
          <w:tcPr>
            <w:tcW w:w="132" w:type="pct"/>
            <w:shd w:val="clear" w:color="auto" w:fill="FFFFFF"/>
            <w:tcMar>
              <w:top w:w="15" w:type="dxa"/>
              <w:left w:w="0" w:type="dxa"/>
              <w:bottom w:w="0" w:type="dxa"/>
              <w:right w:w="15" w:type="dxa"/>
            </w:tcMar>
            <w:vAlign w:val="bottom"/>
            <w:hideMark/>
          </w:tcPr>
          <w:p w14:paraId="3014812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66" w:type="pct"/>
            <w:gridSpan w:val="2"/>
            <w:shd w:val="clear" w:color="auto" w:fill="FFFFFF"/>
            <w:tcMar>
              <w:top w:w="15" w:type="dxa"/>
              <w:left w:w="0" w:type="dxa"/>
              <w:bottom w:w="0" w:type="dxa"/>
              <w:right w:w="15" w:type="dxa"/>
            </w:tcMar>
            <w:vAlign w:val="bottom"/>
            <w:hideMark/>
          </w:tcPr>
          <w:p w14:paraId="1DAB2BC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4ABC3CA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326EA83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66" w:type="pct"/>
            <w:gridSpan w:val="2"/>
            <w:shd w:val="clear" w:color="auto" w:fill="FFFFFF"/>
            <w:tcMar>
              <w:top w:w="15" w:type="dxa"/>
              <w:left w:w="0" w:type="dxa"/>
              <w:bottom w:w="0" w:type="dxa"/>
              <w:right w:w="15" w:type="dxa"/>
            </w:tcMar>
            <w:vAlign w:val="bottom"/>
            <w:hideMark/>
          </w:tcPr>
          <w:p w14:paraId="5A37CA2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December 31,</w:t>
            </w:r>
          </w:p>
        </w:tc>
        <w:tc>
          <w:tcPr>
            <w:tcW w:w="50" w:type="pct"/>
            <w:shd w:val="clear" w:color="auto" w:fill="FFFFFF"/>
            <w:noWrap/>
            <w:tcMar>
              <w:top w:w="15" w:type="dxa"/>
              <w:left w:w="0" w:type="dxa"/>
              <w:bottom w:w="0" w:type="dxa"/>
              <w:right w:w="15" w:type="dxa"/>
            </w:tcMar>
            <w:vAlign w:val="bottom"/>
            <w:hideMark/>
          </w:tcPr>
          <w:p w14:paraId="295400C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E9391B7" w14:textId="77777777">
        <w:trPr>
          <w:divId w:val="1259633449"/>
        </w:trPr>
        <w:tc>
          <w:tcPr>
            <w:tcW w:w="2300" w:type="pct"/>
            <w:shd w:val="clear" w:color="auto" w:fill="FFFFFF"/>
            <w:tcMar>
              <w:top w:w="15" w:type="dxa"/>
              <w:left w:w="0" w:type="dxa"/>
              <w:bottom w:w="0" w:type="dxa"/>
              <w:right w:w="15" w:type="dxa"/>
            </w:tcMar>
            <w:hideMark/>
          </w:tcPr>
          <w:p w14:paraId="4A7DD2F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5812306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66" w:type="pct"/>
            <w:gridSpan w:val="2"/>
            <w:tcBorders>
              <w:bottom w:val="single" w:sz="6" w:space="0" w:color="000000"/>
            </w:tcBorders>
            <w:shd w:val="clear" w:color="auto" w:fill="FFFFFF"/>
            <w:tcMar>
              <w:top w:w="15" w:type="dxa"/>
              <w:left w:w="0" w:type="dxa"/>
              <w:bottom w:w="0" w:type="dxa"/>
              <w:right w:w="15" w:type="dxa"/>
            </w:tcMar>
            <w:vAlign w:val="bottom"/>
            <w:hideMark/>
          </w:tcPr>
          <w:p w14:paraId="4CD6E8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6B9CD33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2" w:type="pct"/>
            <w:shd w:val="clear" w:color="auto" w:fill="FFFFFF"/>
            <w:tcMar>
              <w:top w:w="15" w:type="dxa"/>
              <w:left w:w="0" w:type="dxa"/>
              <w:bottom w:w="0" w:type="dxa"/>
              <w:right w:w="15" w:type="dxa"/>
            </w:tcMar>
            <w:vAlign w:val="bottom"/>
            <w:hideMark/>
          </w:tcPr>
          <w:p w14:paraId="7A5F848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66" w:type="pct"/>
            <w:gridSpan w:val="2"/>
            <w:tcBorders>
              <w:bottom w:val="single" w:sz="6" w:space="0" w:color="000000"/>
            </w:tcBorders>
            <w:shd w:val="clear" w:color="auto" w:fill="FFFFFF"/>
            <w:tcMar>
              <w:top w:w="15" w:type="dxa"/>
              <w:left w:w="0" w:type="dxa"/>
              <w:bottom w:w="0" w:type="dxa"/>
              <w:right w:w="15" w:type="dxa"/>
            </w:tcMar>
            <w:vAlign w:val="bottom"/>
            <w:hideMark/>
          </w:tcPr>
          <w:p w14:paraId="3D6BF4A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71957AC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71A77ED" w14:textId="77777777">
        <w:trPr>
          <w:divId w:val="1259633449"/>
        </w:trPr>
        <w:tc>
          <w:tcPr>
            <w:tcW w:w="2300" w:type="pct"/>
            <w:shd w:val="clear" w:color="auto" w:fill="CFF0FC"/>
            <w:tcMar>
              <w:top w:w="15" w:type="dxa"/>
              <w:left w:w="0" w:type="dxa"/>
              <w:bottom w:w="0" w:type="dxa"/>
              <w:right w:w="15" w:type="dxa"/>
            </w:tcMar>
            <w:hideMark/>
          </w:tcPr>
          <w:p w14:paraId="4E49CB28" w14:textId="77777777" w:rsidR="00000000" w:rsidRDefault="00582324">
            <w:pPr>
              <w:pStyle w:val="a3"/>
              <w:spacing w:before="0" w:beforeAutospacing="0" w:after="0" w:afterAutospacing="0"/>
              <w:rPr>
                <w:color w:val="000000"/>
                <w:sz w:val="18"/>
                <w:szCs w:val="18"/>
              </w:rPr>
            </w:pPr>
            <w:r>
              <w:rPr>
                <w:color w:val="000000"/>
                <w:sz w:val="18"/>
                <w:szCs w:val="18"/>
              </w:rPr>
              <w:t>Term loan facility</w:t>
            </w:r>
          </w:p>
        </w:tc>
        <w:tc>
          <w:tcPr>
            <w:tcW w:w="132" w:type="pct"/>
            <w:shd w:val="clear" w:color="auto" w:fill="CFF0FC"/>
            <w:tcMar>
              <w:top w:w="15" w:type="dxa"/>
              <w:left w:w="0" w:type="dxa"/>
              <w:bottom w:w="0" w:type="dxa"/>
              <w:right w:w="15" w:type="dxa"/>
            </w:tcMar>
            <w:vAlign w:val="bottom"/>
            <w:hideMark/>
          </w:tcPr>
          <w:p w14:paraId="0003A7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486CD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16" w:type="pct"/>
            <w:tcBorders>
              <w:top w:val="single" w:sz="6" w:space="0" w:color="000000"/>
            </w:tcBorders>
            <w:shd w:val="clear" w:color="auto" w:fill="CFF0FC"/>
            <w:noWrap/>
            <w:tcMar>
              <w:top w:w="15" w:type="dxa"/>
              <w:left w:w="0" w:type="dxa"/>
              <w:bottom w:w="0" w:type="dxa"/>
              <w:right w:w="15" w:type="dxa"/>
            </w:tcMar>
            <w:vAlign w:val="bottom"/>
            <w:hideMark/>
          </w:tcPr>
          <w:p w14:paraId="20851F86" w14:textId="77777777" w:rsidR="00000000" w:rsidRDefault="00582324">
            <w:pPr>
              <w:pStyle w:val="a3"/>
              <w:spacing w:before="0" w:beforeAutospacing="0" w:after="0" w:afterAutospacing="0"/>
              <w:jc w:val="right"/>
              <w:rPr>
                <w:color w:val="000000"/>
                <w:sz w:val="18"/>
                <w:szCs w:val="18"/>
              </w:rPr>
            </w:pPr>
            <w:r>
              <w:rPr>
                <w:color w:val="000000"/>
                <w:sz w:val="18"/>
                <w:szCs w:val="18"/>
              </w:rPr>
              <w:t>175,000</w:t>
            </w:r>
          </w:p>
        </w:tc>
        <w:tc>
          <w:tcPr>
            <w:tcW w:w="50" w:type="pct"/>
            <w:shd w:val="clear" w:color="auto" w:fill="CFF0FC"/>
            <w:noWrap/>
            <w:tcMar>
              <w:top w:w="15" w:type="dxa"/>
              <w:left w:w="0" w:type="dxa"/>
              <w:bottom w:w="0" w:type="dxa"/>
              <w:right w:w="15" w:type="dxa"/>
            </w:tcMar>
            <w:vAlign w:val="bottom"/>
            <w:hideMark/>
          </w:tcPr>
          <w:p w14:paraId="2E1712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4634B2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A5694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16" w:type="pct"/>
            <w:tcBorders>
              <w:top w:val="single" w:sz="6" w:space="0" w:color="000000"/>
            </w:tcBorders>
            <w:shd w:val="clear" w:color="auto" w:fill="CFF0FC"/>
            <w:noWrap/>
            <w:tcMar>
              <w:top w:w="15" w:type="dxa"/>
              <w:left w:w="0" w:type="dxa"/>
              <w:bottom w:w="0" w:type="dxa"/>
              <w:right w:w="15" w:type="dxa"/>
            </w:tcMar>
            <w:vAlign w:val="bottom"/>
            <w:hideMark/>
          </w:tcPr>
          <w:p w14:paraId="5AC52FB8" w14:textId="77777777" w:rsidR="00000000" w:rsidRDefault="00582324">
            <w:pPr>
              <w:pStyle w:val="a3"/>
              <w:spacing w:before="0" w:beforeAutospacing="0" w:after="0" w:afterAutospacing="0"/>
              <w:jc w:val="right"/>
              <w:rPr>
                <w:color w:val="000000"/>
                <w:sz w:val="18"/>
                <w:szCs w:val="18"/>
              </w:rPr>
            </w:pPr>
            <w:r>
              <w:rPr>
                <w:color w:val="000000"/>
                <w:sz w:val="18"/>
                <w:szCs w:val="18"/>
              </w:rPr>
              <w:t>173,906</w:t>
            </w:r>
          </w:p>
        </w:tc>
        <w:tc>
          <w:tcPr>
            <w:tcW w:w="50" w:type="pct"/>
            <w:shd w:val="clear" w:color="auto" w:fill="CFF0FC"/>
            <w:noWrap/>
            <w:tcMar>
              <w:top w:w="15" w:type="dxa"/>
              <w:left w:w="0" w:type="dxa"/>
              <w:bottom w:w="0" w:type="dxa"/>
              <w:right w:w="15" w:type="dxa"/>
            </w:tcMar>
            <w:vAlign w:val="bottom"/>
            <w:hideMark/>
          </w:tcPr>
          <w:p w14:paraId="59C49F2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EA57E0E" w14:textId="77777777">
        <w:trPr>
          <w:divId w:val="1259633449"/>
        </w:trPr>
        <w:tc>
          <w:tcPr>
            <w:tcW w:w="2300" w:type="pct"/>
            <w:shd w:val="clear" w:color="auto" w:fill="FFFFFF"/>
            <w:tcMar>
              <w:top w:w="15" w:type="dxa"/>
              <w:left w:w="0" w:type="dxa"/>
              <w:bottom w:w="0" w:type="dxa"/>
              <w:right w:w="15" w:type="dxa"/>
            </w:tcMar>
            <w:hideMark/>
          </w:tcPr>
          <w:p w14:paraId="7D77BA5A" w14:textId="77777777" w:rsidR="00000000" w:rsidRDefault="00582324">
            <w:pPr>
              <w:pStyle w:val="a3"/>
              <w:spacing w:before="0" w:beforeAutospacing="0" w:after="0" w:afterAutospacing="0"/>
              <w:rPr>
                <w:color w:val="000000"/>
                <w:sz w:val="18"/>
                <w:szCs w:val="18"/>
              </w:rPr>
            </w:pPr>
            <w:r>
              <w:rPr>
                <w:color w:val="000000"/>
                <w:sz w:val="18"/>
                <w:szCs w:val="18"/>
              </w:rPr>
              <w:t>Revolving Line of Credit</w:t>
            </w:r>
          </w:p>
        </w:tc>
        <w:tc>
          <w:tcPr>
            <w:tcW w:w="132" w:type="pct"/>
            <w:shd w:val="clear" w:color="auto" w:fill="FFFFFF"/>
            <w:tcMar>
              <w:top w:w="15" w:type="dxa"/>
              <w:left w:w="0" w:type="dxa"/>
              <w:bottom w:w="0" w:type="dxa"/>
              <w:right w:w="15" w:type="dxa"/>
            </w:tcMar>
            <w:vAlign w:val="bottom"/>
            <w:hideMark/>
          </w:tcPr>
          <w:p w14:paraId="753507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614C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FFFFFF"/>
            <w:noWrap/>
            <w:tcMar>
              <w:top w:w="15" w:type="dxa"/>
              <w:left w:w="0" w:type="dxa"/>
              <w:bottom w:w="0" w:type="dxa"/>
              <w:right w:w="15" w:type="dxa"/>
            </w:tcMar>
            <w:vAlign w:val="bottom"/>
            <w:hideMark/>
          </w:tcPr>
          <w:p w14:paraId="45C272CC" w14:textId="77777777" w:rsidR="00000000" w:rsidRDefault="00582324">
            <w:pPr>
              <w:pStyle w:val="a3"/>
              <w:spacing w:before="0" w:beforeAutospacing="0" w:after="0" w:afterAutospacing="0"/>
              <w:jc w:val="right"/>
              <w:rPr>
                <w:color w:val="000000"/>
                <w:sz w:val="18"/>
                <w:szCs w:val="18"/>
              </w:rPr>
            </w:pPr>
            <w:r>
              <w:rPr>
                <w:color w:val="000000"/>
                <w:sz w:val="18"/>
                <w:szCs w:val="18"/>
              </w:rPr>
              <w:t>65,000</w:t>
            </w:r>
          </w:p>
        </w:tc>
        <w:tc>
          <w:tcPr>
            <w:tcW w:w="50" w:type="pct"/>
            <w:shd w:val="clear" w:color="auto" w:fill="FFFFFF"/>
            <w:noWrap/>
            <w:tcMar>
              <w:top w:w="15" w:type="dxa"/>
              <w:left w:w="0" w:type="dxa"/>
              <w:bottom w:w="0" w:type="dxa"/>
              <w:right w:w="15" w:type="dxa"/>
            </w:tcMar>
            <w:vAlign w:val="bottom"/>
            <w:hideMark/>
          </w:tcPr>
          <w:p w14:paraId="4FBAD1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FFFFFF"/>
            <w:tcMar>
              <w:top w:w="15" w:type="dxa"/>
              <w:left w:w="0" w:type="dxa"/>
              <w:bottom w:w="0" w:type="dxa"/>
              <w:right w:w="15" w:type="dxa"/>
            </w:tcMar>
            <w:vAlign w:val="bottom"/>
            <w:hideMark/>
          </w:tcPr>
          <w:p w14:paraId="4CF3C5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E70C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FFFFFF"/>
            <w:noWrap/>
            <w:tcMar>
              <w:top w:w="15" w:type="dxa"/>
              <w:left w:w="0" w:type="dxa"/>
              <w:bottom w:w="0" w:type="dxa"/>
              <w:right w:w="15" w:type="dxa"/>
            </w:tcMar>
            <w:vAlign w:val="bottom"/>
            <w:hideMark/>
          </w:tcPr>
          <w:p w14:paraId="40E1E42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4FB101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FC3635E" w14:textId="77777777">
        <w:trPr>
          <w:divId w:val="1259633449"/>
        </w:trPr>
        <w:tc>
          <w:tcPr>
            <w:tcW w:w="2300" w:type="pct"/>
            <w:shd w:val="clear" w:color="auto" w:fill="FFFFFF"/>
            <w:tcMar>
              <w:top w:w="15" w:type="dxa"/>
              <w:left w:w="0" w:type="dxa"/>
              <w:bottom w:w="0" w:type="dxa"/>
              <w:right w:w="15" w:type="dxa"/>
            </w:tcMar>
            <w:hideMark/>
          </w:tcPr>
          <w:p w14:paraId="4DE192F0" w14:textId="77777777" w:rsidR="00000000" w:rsidRDefault="00582324">
            <w:pPr>
              <w:pStyle w:val="a3"/>
              <w:spacing w:before="0" w:beforeAutospacing="0" w:after="0" w:afterAutospacing="0"/>
              <w:rPr>
                <w:color w:val="000000"/>
                <w:sz w:val="18"/>
                <w:szCs w:val="18"/>
              </w:rPr>
            </w:pPr>
            <w:r>
              <w:rPr>
                <w:color w:val="000000"/>
                <w:sz w:val="18"/>
                <w:szCs w:val="18"/>
              </w:rPr>
              <w:t>Capital leases</w:t>
            </w:r>
          </w:p>
        </w:tc>
        <w:tc>
          <w:tcPr>
            <w:tcW w:w="132" w:type="pct"/>
            <w:shd w:val="clear" w:color="auto" w:fill="FFFFFF"/>
            <w:tcMar>
              <w:top w:w="15" w:type="dxa"/>
              <w:left w:w="0" w:type="dxa"/>
              <w:bottom w:w="0" w:type="dxa"/>
              <w:right w:w="15" w:type="dxa"/>
            </w:tcMar>
            <w:vAlign w:val="bottom"/>
            <w:hideMark/>
          </w:tcPr>
          <w:p w14:paraId="61CECF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F501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FFFFFF"/>
            <w:noWrap/>
            <w:tcMar>
              <w:top w:w="15" w:type="dxa"/>
              <w:left w:w="0" w:type="dxa"/>
              <w:bottom w:w="0" w:type="dxa"/>
              <w:right w:w="15" w:type="dxa"/>
            </w:tcMar>
            <w:vAlign w:val="bottom"/>
            <w:hideMark/>
          </w:tcPr>
          <w:p w14:paraId="3343296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2991B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FFFFFF"/>
            <w:tcMar>
              <w:top w:w="15" w:type="dxa"/>
              <w:left w:w="0" w:type="dxa"/>
              <w:bottom w:w="0" w:type="dxa"/>
              <w:right w:w="15" w:type="dxa"/>
            </w:tcMar>
            <w:vAlign w:val="bottom"/>
            <w:hideMark/>
          </w:tcPr>
          <w:p w14:paraId="36B1B2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2719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FFFFFF"/>
            <w:noWrap/>
            <w:tcMar>
              <w:top w:w="15" w:type="dxa"/>
              <w:left w:w="0" w:type="dxa"/>
              <w:bottom w:w="0" w:type="dxa"/>
              <w:right w:w="15" w:type="dxa"/>
            </w:tcMar>
            <w:vAlign w:val="bottom"/>
            <w:hideMark/>
          </w:tcPr>
          <w:p w14:paraId="28FA03D6" w14:textId="77777777" w:rsidR="00000000" w:rsidRDefault="00582324">
            <w:pPr>
              <w:pStyle w:val="a3"/>
              <w:spacing w:before="0" w:beforeAutospacing="0" w:after="0" w:afterAutospacing="0"/>
              <w:jc w:val="right"/>
              <w:rPr>
                <w:color w:val="000000"/>
                <w:sz w:val="18"/>
                <w:szCs w:val="18"/>
              </w:rPr>
            </w:pPr>
            <w:r>
              <w:rPr>
                <w:color w:val="000000"/>
                <w:sz w:val="18"/>
                <w:szCs w:val="18"/>
              </w:rPr>
              <w:t>3,088</w:t>
            </w:r>
          </w:p>
        </w:tc>
        <w:tc>
          <w:tcPr>
            <w:tcW w:w="50" w:type="pct"/>
            <w:shd w:val="clear" w:color="auto" w:fill="FFFFFF"/>
            <w:noWrap/>
            <w:tcMar>
              <w:top w:w="15" w:type="dxa"/>
              <w:left w:w="0" w:type="dxa"/>
              <w:bottom w:w="0" w:type="dxa"/>
              <w:right w:w="15" w:type="dxa"/>
            </w:tcMar>
            <w:vAlign w:val="bottom"/>
            <w:hideMark/>
          </w:tcPr>
          <w:p w14:paraId="1A71EDF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F93D7CA" w14:textId="77777777">
        <w:trPr>
          <w:divId w:val="1259633449"/>
        </w:trPr>
        <w:tc>
          <w:tcPr>
            <w:tcW w:w="2300" w:type="pct"/>
            <w:shd w:val="clear" w:color="auto" w:fill="CFF0FC"/>
            <w:tcMar>
              <w:top w:w="15" w:type="dxa"/>
              <w:left w:w="0" w:type="dxa"/>
              <w:bottom w:w="0" w:type="dxa"/>
              <w:right w:w="15" w:type="dxa"/>
            </w:tcMar>
            <w:hideMark/>
          </w:tcPr>
          <w:p w14:paraId="25C7D4EF" w14:textId="77777777" w:rsidR="00000000" w:rsidRDefault="00582324">
            <w:pPr>
              <w:pStyle w:val="a3"/>
              <w:spacing w:before="0" w:beforeAutospacing="0" w:after="0" w:afterAutospacing="0"/>
              <w:rPr>
                <w:color w:val="000000"/>
                <w:sz w:val="18"/>
                <w:szCs w:val="18"/>
              </w:rPr>
            </w:pPr>
            <w:r>
              <w:rPr>
                <w:color w:val="000000"/>
                <w:sz w:val="18"/>
                <w:szCs w:val="18"/>
              </w:rPr>
              <w:t>Equipment line of credit</w:t>
            </w:r>
          </w:p>
        </w:tc>
        <w:tc>
          <w:tcPr>
            <w:tcW w:w="132" w:type="pct"/>
            <w:shd w:val="clear" w:color="auto" w:fill="CFF0FC"/>
            <w:tcMar>
              <w:top w:w="15" w:type="dxa"/>
              <w:left w:w="0" w:type="dxa"/>
              <w:bottom w:w="0" w:type="dxa"/>
              <w:right w:w="15" w:type="dxa"/>
            </w:tcMar>
            <w:vAlign w:val="bottom"/>
            <w:hideMark/>
          </w:tcPr>
          <w:p w14:paraId="7E4088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CB02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CFF0FC"/>
            <w:noWrap/>
            <w:tcMar>
              <w:top w:w="15" w:type="dxa"/>
              <w:left w:w="0" w:type="dxa"/>
              <w:bottom w:w="0" w:type="dxa"/>
              <w:right w:w="15" w:type="dxa"/>
            </w:tcMar>
            <w:vAlign w:val="bottom"/>
            <w:hideMark/>
          </w:tcPr>
          <w:p w14:paraId="6339E5A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F2CEE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39BF9C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EE41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shd w:val="clear" w:color="auto" w:fill="CFF0FC"/>
            <w:noWrap/>
            <w:tcMar>
              <w:top w:w="15" w:type="dxa"/>
              <w:left w:w="0" w:type="dxa"/>
              <w:bottom w:w="0" w:type="dxa"/>
              <w:right w:w="15" w:type="dxa"/>
            </w:tcMar>
            <w:vAlign w:val="bottom"/>
            <w:hideMark/>
          </w:tcPr>
          <w:p w14:paraId="7D5C68B0" w14:textId="77777777" w:rsidR="00000000" w:rsidRDefault="00582324">
            <w:pPr>
              <w:pStyle w:val="a3"/>
              <w:spacing w:before="0" w:beforeAutospacing="0" w:after="0" w:afterAutospacing="0"/>
              <w:jc w:val="right"/>
              <w:rPr>
                <w:color w:val="000000"/>
                <w:sz w:val="18"/>
                <w:szCs w:val="18"/>
              </w:rPr>
            </w:pPr>
            <w:r>
              <w:rPr>
                <w:color w:val="000000"/>
                <w:sz w:val="18"/>
                <w:szCs w:val="18"/>
              </w:rPr>
              <w:t>3,018</w:t>
            </w:r>
          </w:p>
        </w:tc>
        <w:tc>
          <w:tcPr>
            <w:tcW w:w="50" w:type="pct"/>
            <w:shd w:val="clear" w:color="auto" w:fill="CFF0FC"/>
            <w:noWrap/>
            <w:tcMar>
              <w:top w:w="15" w:type="dxa"/>
              <w:left w:w="0" w:type="dxa"/>
              <w:bottom w:w="0" w:type="dxa"/>
              <w:right w:w="15" w:type="dxa"/>
            </w:tcMar>
            <w:vAlign w:val="bottom"/>
            <w:hideMark/>
          </w:tcPr>
          <w:p w14:paraId="5D292C4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4EEF703" w14:textId="77777777">
        <w:trPr>
          <w:divId w:val="1259633449"/>
        </w:trPr>
        <w:tc>
          <w:tcPr>
            <w:tcW w:w="2300" w:type="pct"/>
            <w:shd w:val="clear" w:color="auto" w:fill="FFFFFF"/>
            <w:tcMar>
              <w:top w:w="15" w:type="dxa"/>
              <w:left w:w="0" w:type="dxa"/>
              <w:bottom w:w="0" w:type="dxa"/>
              <w:right w:w="15" w:type="dxa"/>
            </w:tcMar>
            <w:hideMark/>
          </w:tcPr>
          <w:p w14:paraId="35CA24DE" w14:textId="77777777" w:rsidR="00000000" w:rsidRDefault="00582324">
            <w:pPr>
              <w:pStyle w:val="a3"/>
              <w:spacing w:before="0" w:beforeAutospacing="0" w:after="0" w:afterAutospacing="0"/>
              <w:rPr>
                <w:color w:val="000000"/>
                <w:sz w:val="18"/>
                <w:szCs w:val="18"/>
              </w:rPr>
            </w:pPr>
            <w:r>
              <w:rPr>
                <w:color w:val="000000"/>
                <w:sz w:val="18"/>
                <w:szCs w:val="18"/>
              </w:rPr>
              <w:t>Less deferred debt issuance costs</w:t>
            </w:r>
          </w:p>
        </w:tc>
        <w:tc>
          <w:tcPr>
            <w:tcW w:w="132" w:type="pct"/>
            <w:shd w:val="clear" w:color="auto" w:fill="FFFFFF"/>
            <w:tcMar>
              <w:top w:w="15" w:type="dxa"/>
              <w:left w:w="0" w:type="dxa"/>
              <w:bottom w:w="0" w:type="dxa"/>
              <w:right w:w="15" w:type="dxa"/>
            </w:tcMar>
            <w:vAlign w:val="bottom"/>
            <w:hideMark/>
          </w:tcPr>
          <w:p w14:paraId="26F533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7BB75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bottom w:val="single" w:sz="6" w:space="0" w:color="000000"/>
            </w:tcBorders>
            <w:shd w:val="clear" w:color="auto" w:fill="FFFFFF"/>
            <w:noWrap/>
            <w:tcMar>
              <w:top w:w="15" w:type="dxa"/>
              <w:left w:w="0" w:type="dxa"/>
              <w:bottom w:w="0" w:type="dxa"/>
              <w:right w:w="15" w:type="dxa"/>
            </w:tcMar>
            <w:vAlign w:val="bottom"/>
            <w:hideMark/>
          </w:tcPr>
          <w:p w14:paraId="5DA29CEC" w14:textId="77777777" w:rsidR="00000000" w:rsidRDefault="00582324">
            <w:pPr>
              <w:pStyle w:val="a3"/>
              <w:spacing w:before="0" w:beforeAutospacing="0" w:after="0" w:afterAutospacing="0"/>
              <w:jc w:val="right"/>
              <w:rPr>
                <w:color w:val="000000"/>
                <w:sz w:val="18"/>
                <w:szCs w:val="18"/>
              </w:rPr>
            </w:pPr>
            <w:r>
              <w:rPr>
                <w:color w:val="000000"/>
                <w:sz w:val="18"/>
                <w:szCs w:val="18"/>
              </w:rPr>
              <w:t>(2,503</w:t>
            </w:r>
          </w:p>
        </w:tc>
        <w:tc>
          <w:tcPr>
            <w:tcW w:w="50" w:type="pct"/>
            <w:shd w:val="clear" w:color="auto" w:fill="FFFFFF"/>
            <w:noWrap/>
            <w:tcMar>
              <w:top w:w="15" w:type="dxa"/>
              <w:left w:w="0" w:type="dxa"/>
              <w:bottom w:w="0" w:type="dxa"/>
              <w:right w:w="15" w:type="dxa"/>
            </w:tcMar>
            <w:vAlign w:val="bottom"/>
            <w:hideMark/>
          </w:tcPr>
          <w:p w14:paraId="426B021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32" w:type="pct"/>
            <w:shd w:val="clear" w:color="auto" w:fill="FFFFFF"/>
            <w:tcMar>
              <w:top w:w="15" w:type="dxa"/>
              <w:left w:w="0" w:type="dxa"/>
              <w:bottom w:w="0" w:type="dxa"/>
              <w:right w:w="15" w:type="dxa"/>
            </w:tcMar>
            <w:vAlign w:val="bottom"/>
            <w:hideMark/>
          </w:tcPr>
          <w:p w14:paraId="1E3B3B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641B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bottom w:val="single" w:sz="6" w:space="0" w:color="000000"/>
            </w:tcBorders>
            <w:shd w:val="clear" w:color="auto" w:fill="FFFFFF"/>
            <w:noWrap/>
            <w:tcMar>
              <w:top w:w="15" w:type="dxa"/>
              <w:left w:w="0" w:type="dxa"/>
              <w:bottom w:w="0" w:type="dxa"/>
              <w:right w:w="15" w:type="dxa"/>
            </w:tcMar>
            <w:vAlign w:val="bottom"/>
            <w:hideMark/>
          </w:tcPr>
          <w:p w14:paraId="588B07FF" w14:textId="77777777" w:rsidR="00000000" w:rsidRDefault="00582324">
            <w:pPr>
              <w:pStyle w:val="a3"/>
              <w:spacing w:before="0" w:beforeAutospacing="0" w:after="0" w:afterAutospacing="0"/>
              <w:jc w:val="right"/>
              <w:rPr>
                <w:color w:val="000000"/>
                <w:sz w:val="18"/>
                <w:szCs w:val="18"/>
              </w:rPr>
            </w:pPr>
            <w:r>
              <w:rPr>
                <w:color w:val="000000"/>
                <w:sz w:val="18"/>
                <w:szCs w:val="18"/>
              </w:rPr>
              <w:t>(4,108</w:t>
            </w:r>
          </w:p>
        </w:tc>
        <w:tc>
          <w:tcPr>
            <w:tcW w:w="50" w:type="pct"/>
            <w:shd w:val="clear" w:color="auto" w:fill="FFFFFF"/>
            <w:noWrap/>
            <w:tcMar>
              <w:top w:w="15" w:type="dxa"/>
              <w:left w:w="0" w:type="dxa"/>
              <w:bottom w:w="0" w:type="dxa"/>
              <w:right w:w="15" w:type="dxa"/>
            </w:tcMar>
            <w:vAlign w:val="bottom"/>
            <w:hideMark/>
          </w:tcPr>
          <w:p w14:paraId="68BEA5E3"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825218A" w14:textId="77777777">
        <w:trPr>
          <w:divId w:val="1259633449"/>
        </w:trPr>
        <w:tc>
          <w:tcPr>
            <w:tcW w:w="2300" w:type="pct"/>
            <w:shd w:val="clear" w:color="auto" w:fill="CFF0FC"/>
            <w:tcMar>
              <w:top w:w="15" w:type="dxa"/>
              <w:left w:w="0" w:type="dxa"/>
              <w:bottom w:w="0" w:type="dxa"/>
              <w:right w:w="15" w:type="dxa"/>
            </w:tcMar>
            <w:hideMark/>
          </w:tcPr>
          <w:p w14:paraId="0E873078" w14:textId="77777777" w:rsidR="00000000" w:rsidRDefault="00582324">
            <w:pPr>
              <w:pStyle w:val="a3"/>
              <w:spacing w:before="0" w:beforeAutospacing="0" w:after="0" w:afterAutospacing="0"/>
              <w:ind w:left="274"/>
              <w:rPr>
                <w:color w:val="000000"/>
                <w:sz w:val="18"/>
                <w:szCs w:val="18"/>
              </w:rPr>
            </w:pPr>
            <w:r>
              <w:rPr>
                <w:color w:val="000000"/>
                <w:sz w:val="18"/>
                <w:szCs w:val="18"/>
              </w:rPr>
              <w:t>Total debt</w:t>
            </w:r>
          </w:p>
        </w:tc>
        <w:tc>
          <w:tcPr>
            <w:tcW w:w="132" w:type="pct"/>
            <w:shd w:val="clear" w:color="auto" w:fill="CFF0FC"/>
            <w:tcMar>
              <w:top w:w="15" w:type="dxa"/>
              <w:left w:w="0" w:type="dxa"/>
              <w:bottom w:w="0" w:type="dxa"/>
              <w:right w:w="15" w:type="dxa"/>
            </w:tcMar>
            <w:vAlign w:val="bottom"/>
            <w:hideMark/>
          </w:tcPr>
          <w:p w14:paraId="735B21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1443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top w:val="single" w:sz="6" w:space="0" w:color="000000"/>
            </w:tcBorders>
            <w:shd w:val="clear" w:color="auto" w:fill="CFF0FC"/>
            <w:noWrap/>
            <w:tcMar>
              <w:top w:w="15" w:type="dxa"/>
              <w:left w:w="0" w:type="dxa"/>
              <w:bottom w:w="0" w:type="dxa"/>
              <w:right w:w="15" w:type="dxa"/>
            </w:tcMar>
            <w:vAlign w:val="bottom"/>
            <w:hideMark/>
          </w:tcPr>
          <w:p w14:paraId="4671D118" w14:textId="77777777" w:rsidR="00000000" w:rsidRDefault="00582324">
            <w:pPr>
              <w:pStyle w:val="a3"/>
              <w:spacing w:before="0" w:beforeAutospacing="0" w:after="0" w:afterAutospacing="0"/>
              <w:jc w:val="right"/>
              <w:rPr>
                <w:color w:val="000000"/>
                <w:sz w:val="18"/>
                <w:szCs w:val="18"/>
              </w:rPr>
            </w:pPr>
            <w:r>
              <w:rPr>
                <w:color w:val="000000"/>
                <w:sz w:val="18"/>
                <w:szCs w:val="18"/>
              </w:rPr>
              <w:t>237,497</w:t>
            </w:r>
          </w:p>
        </w:tc>
        <w:tc>
          <w:tcPr>
            <w:tcW w:w="50" w:type="pct"/>
            <w:shd w:val="clear" w:color="auto" w:fill="CFF0FC"/>
            <w:noWrap/>
            <w:tcMar>
              <w:top w:w="15" w:type="dxa"/>
              <w:left w:w="0" w:type="dxa"/>
              <w:bottom w:w="0" w:type="dxa"/>
              <w:right w:w="15" w:type="dxa"/>
            </w:tcMar>
            <w:vAlign w:val="bottom"/>
            <w:hideMark/>
          </w:tcPr>
          <w:p w14:paraId="176F6C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289D4C8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8CE2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top w:val="single" w:sz="6" w:space="0" w:color="000000"/>
            </w:tcBorders>
            <w:shd w:val="clear" w:color="auto" w:fill="CFF0FC"/>
            <w:noWrap/>
            <w:tcMar>
              <w:top w:w="15" w:type="dxa"/>
              <w:left w:w="0" w:type="dxa"/>
              <w:bottom w:w="0" w:type="dxa"/>
              <w:right w:w="15" w:type="dxa"/>
            </w:tcMar>
            <w:vAlign w:val="bottom"/>
            <w:hideMark/>
          </w:tcPr>
          <w:p w14:paraId="78D86410" w14:textId="77777777" w:rsidR="00000000" w:rsidRDefault="00582324">
            <w:pPr>
              <w:pStyle w:val="a3"/>
              <w:spacing w:before="0" w:beforeAutospacing="0" w:after="0" w:afterAutospacing="0"/>
              <w:jc w:val="right"/>
              <w:rPr>
                <w:color w:val="000000"/>
                <w:sz w:val="18"/>
                <w:szCs w:val="18"/>
              </w:rPr>
            </w:pPr>
            <w:r>
              <w:rPr>
                <w:color w:val="000000"/>
                <w:sz w:val="18"/>
                <w:szCs w:val="18"/>
              </w:rPr>
              <w:t>175,904</w:t>
            </w:r>
          </w:p>
        </w:tc>
        <w:tc>
          <w:tcPr>
            <w:tcW w:w="50" w:type="pct"/>
            <w:shd w:val="clear" w:color="auto" w:fill="CFF0FC"/>
            <w:noWrap/>
            <w:tcMar>
              <w:top w:w="15" w:type="dxa"/>
              <w:left w:w="0" w:type="dxa"/>
              <w:bottom w:w="0" w:type="dxa"/>
              <w:right w:w="15" w:type="dxa"/>
            </w:tcMar>
            <w:vAlign w:val="bottom"/>
            <w:hideMark/>
          </w:tcPr>
          <w:p w14:paraId="2083B78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B71C6F8" w14:textId="77777777">
        <w:trPr>
          <w:divId w:val="1259633449"/>
        </w:trPr>
        <w:tc>
          <w:tcPr>
            <w:tcW w:w="2300" w:type="pct"/>
            <w:shd w:val="clear" w:color="auto" w:fill="FFFFFF"/>
            <w:tcMar>
              <w:top w:w="15" w:type="dxa"/>
              <w:left w:w="0" w:type="dxa"/>
              <w:bottom w:w="0" w:type="dxa"/>
              <w:right w:w="15" w:type="dxa"/>
            </w:tcMar>
            <w:hideMark/>
          </w:tcPr>
          <w:p w14:paraId="4384A75D" w14:textId="77777777" w:rsidR="00000000" w:rsidRDefault="00582324">
            <w:pPr>
              <w:pStyle w:val="a3"/>
              <w:spacing w:before="0" w:beforeAutospacing="0" w:after="0" w:afterAutospacing="0"/>
              <w:rPr>
                <w:color w:val="000000"/>
                <w:sz w:val="18"/>
                <w:szCs w:val="18"/>
              </w:rPr>
            </w:pPr>
            <w:r>
              <w:rPr>
                <w:color w:val="000000"/>
                <w:sz w:val="18"/>
                <w:szCs w:val="18"/>
              </w:rPr>
              <w:t>Less current portion of long-term debt</w:t>
            </w:r>
          </w:p>
        </w:tc>
        <w:tc>
          <w:tcPr>
            <w:tcW w:w="132" w:type="pct"/>
            <w:shd w:val="clear" w:color="auto" w:fill="FFFFFF"/>
            <w:tcMar>
              <w:top w:w="15" w:type="dxa"/>
              <w:left w:w="0" w:type="dxa"/>
              <w:bottom w:w="0" w:type="dxa"/>
              <w:right w:w="15" w:type="dxa"/>
            </w:tcMar>
            <w:vAlign w:val="bottom"/>
            <w:hideMark/>
          </w:tcPr>
          <w:p w14:paraId="53157A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1964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bottom w:val="single" w:sz="6" w:space="0" w:color="000000"/>
            </w:tcBorders>
            <w:shd w:val="clear" w:color="auto" w:fill="FFFFFF"/>
            <w:noWrap/>
            <w:tcMar>
              <w:top w:w="15" w:type="dxa"/>
              <w:left w:w="0" w:type="dxa"/>
              <w:bottom w:w="0" w:type="dxa"/>
              <w:right w:w="15" w:type="dxa"/>
            </w:tcMar>
            <w:vAlign w:val="bottom"/>
            <w:hideMark/>
          </w:tcPr>
          <w:p w14:paraId="3B41FD51" w14:textId="77777777" w:rsidR="00000000" w:rsidRDefault="00582324">
            <w:pPr>
              <w:pStyle w:val="a3"/>
              <w:spacing w:before="0" w:beforeAutospacing="0" w:after="0" w:afterAutospacing="0"/>
              <w:jc w:val="right"/>
              <w:rPr>
                <w:color w:val="000000"/>
                <w:sz w:val="18"/>
                <w:szCs w:val="18"/>
              </w:rPr>
            </w:pPr>
            <w:r>
              <w:rPr>
                <w:color w:val="000000"/>
                <w:sz w:val="18"/>
                <w:szCs w:val="18"/>
              </w:rPr>
              <w:t>(6,563</w:t>
            </w:r>
          </w:p>
        </w:tc>
        <w:tc>
          <w:tcPr>
            <w:tcW w:w="50" w:type="pct"/>
            <w:shd w:val="clear" w:color="auto" w:fill="FFFFFF"/>
            <w:noWrap/>
            <w:tcMar>
              <w:top w:w="15" w:type="dxa"/>
              <w:left w:w="0" w:type="dxa"/>
              <w:bottom w:w="0" w:type="dxa"/>
              <w:right w:w="15" w:type="dxa"/>
            </w:tcMar>
            <w:vAlign w:val="bottom"/>
            <w:hideMark/>
          </w:tcPr>
          <w:p w14:paraId="6D9FD3D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32" w:type="pct"/>
            <w:shd w:val="clear" w:color="auto" w:fill="FFFFFF"/>
            <w:tcMar>
              <w:top w:w="15" w:type="dxa"/>
              <w:left w:w="0" w:type="dxa"/>
              <w:bottom w:w="0" w:type="dxa"/>
              <w:right w:w="15" w:type="dxa"/>
            </w:tcMar>
            <w:vAlign w:val="bottom"/>
            <w:hideMark/>
          </w:tcPr>
          <w:p w14:paraId="278E70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72CB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6" w:type="pct"/>
            <w:tcBorders>
              <w:bottom w:val="single" w:sz="6" w:space="0" w:color="000000"/>
            </w:tcBorders>
            <w:shd w:val="clear" w:color="auto" w:fill="FFFFFF"/>
            <w:noWrap/>
            <w:tcMar>
              <w:top w:w="15" w:type="dxa"/>
              <w:left w:w="0" w:type="dxa"/>
              <w:bottom w:w="0" w:type="dxa"/>
              <w:right w:w="15" w:type="dxa"/>
            </w:tcMar>
            <w:vAlign w:val="bottom"/>
            <w:hideMark/>
          </w:tcPr>
          <w:p w14:paraId="34E8C90C" w14:textId="77777777" w:rsidR="00000000" w:rsidRDefault="00582324">
            <w:pPr>
              <w:pStyle w:val="a3"/>
              <w:spacing w:before="0" w:beforeAutospacing="0" w:after="0" w:afterAutospacing="0"/>
              <w:jc w:val="right"/>
              <w:rPr>
                <w:color w:val="000000"/>
                <w:sz w:val="18"/>
                <w:szCs w:val="18"/>
              </w:rPr>
            </w:pPr>
            <w:r>
              <w:rPr>
                <w:color w:val="000000"/>
                <w:sz w:val="18"/>
                <w:szCs w:val="18"/>
              </w:rPr>
              <w:t>(5,583</w:t>
            </w:r>
          </w:p>
        </w:tc>
        <w:tc>
          <w:tcPr>
            <w:tcW w:w="50" w:type="pct"/>
            <w:shd w:val="clear" w:color="auto" w:fill="FFFFFF"/>
            <w:noWrap/>
            <w:tcMar>
              <w:top w:w="15" w:type="dxa"/>
              <w:left w:w="0" w:type="dxa"/>
              <w:bottom w:w="0" w:type="dxa"/>
              <w:right w:w="15" w:type="dxa"/>
            </w:tcMar>
            <w:vAlign w:val="bottom"/>
            <w:hideMark/>
          </w:tcPr>
          <w:p w14:paraId="6175B370"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5188614A" w14:textId="77777777">
        <w:trPr>
          <w:divId w:val="1259633449"/>
        </w:trPr>
        <w:tc>
          <w:tcPr>
            <w:tcW w:w="2300" w:type="pct"/>
            <w:shd w:val="clear" w:color="auto" w:fill="CFF0FC"/>
            <w:tcMar>
              <w:top w:w="15" w:type="dxa"/>
              <w:left w:w="0" w:type="dxa"/>
              <w:bottom w:w="0" w:type="dxa"/>
              <w:right w:w="15" w:type="dxa"/>
            </w:tcMar>
            <w:hideMark/>
          </w:tcPr>
          <w:p w14:paraId="56EB1EE4" w14:textId="77777777" w:rsidR="00000000" w:rsidRDefault="00582324">
            <w:pPr>
              <w:pStyle w:val="a3"/>
              <w:spacing w:before="0" w:beforeAutospacing="0" w:after="0" w:afterAutospacing="0"/>
              <w:rPr>
                <w:color w:val="000000"/>
                <w:sz w:val="18"/>
                <w:szCs w:val="18"/>
              </w:rPr>
            </w:pPr>
            <w:r>
              <w:rPr>
                <w:color w:val="000000"/>
                <w:sz w:val="18"/>
                <w:szCs w:val="18"/>
              </w:rPr>
              <w:t>Long-term debt, less current portion</w:t>
            </w:r>
          </w:p>
        </w:tc>
        <w:tc>
          <w:tcPr>
            <w:tcW w:w="132" w:type="pct"/>
            <w:shd w:val="clear" w:color="auto" w:fill="CFF0FC"/>
            <w:tcMar>
              <w:top w:w="15" w:type="dxa"/>
              <w:left w:w="0" w:type="dxa"/>
              <w:bottom w:w="0" w:type="dxa"/>
              <w:right w:w="15" w:type="dxa"/>
            </w:tcMar>
            <w:vAlign w:val="bottom"/>
            <w:hideMark/>
          </w:tcPr>
          <w:p w14:paraId="150CE1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4602C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E610D1" w14:textId="77777777" w:rsidR="00000000" w:rsidRDefault="00582324">
            <w:pPr>
              <w:pStyle w:val="a3"/>
              <w:spacing w:before="0" w:beforeAutospacing="0" w:after="0" w:afterAutospacing="0"/>
              <w:jc w:val="right"/>
              <w:rPr>
                <w:color w:val="000000"/>
                <w:sz w:val="18"/>
                <w:szCs w:val="18"/>
              </w:rPr>
            </w:pPr>
            <w:r>
              <w:rPr>
                <w:color w:val="000000"/>
                <w:sz w:val="18"/>
                <w:szCs w:val="18"/>
              </w:rPr>
              <w:t>230,934</w:t>
            </w:r>
          </w:p>
        </w:tc>
        <w:tc>
          <w:tcPr>
            <w:tcW w:w="50" w:type="pct"/>
            <w:shd w:val="clear" w:color="auto" w:fill="CFF0FC"/>
            <w:noWrap/>
            <w:tcMar>
              <w:top w:w="15" w:type="dxa"/>
              <w:left w:w="0" w:type="dxa"/>
              <w:bottom w:w="0" w:type="dxa"/>
              <w:right w:w="15" w:type="dxa"/>
            </w:tcMar>
            <w:vAlign w:val="bottom"/>
            <w:hideMark/>
          </w:tcPr>
          <w:p w14:paraId="472011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2" w:type="pct"/>
            <w:shd w:val="clear" w:color="auto" w:fill="CFF0FC"/>
            <w:tcMar>
              <w:top w:w="15" w:type="dxa"/>
              <w:left w:w="0" w:type="dxa"/>
              <w:bottom w:w="0" w:type="dxa"/>
              <w:right w:w="15" w:type="dxa"/>
            </w:tcMar>
            <w:vAlign w:val="bottom"/>
            <w:hideMark/>
          </w:tcPr>
          <w:p w14:paraId="34491A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8A782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1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30D108" w14:textId="77777777" w:rsidR="00000000" w:rsidRDefault="00582324">
            <w:pPr>
              <w:pStyle w:val="a3"/>
              <w:spacing w:before="0" w:beforeAutospacing="0" w:after="0" w:afterAutospacing="0"/>
              <w:jc w:val="right"/>
              <w:rPr>
                <w:color w:val="000000"/>
                <w:sz w:val="18"/>
                <w:szCs w:val="18"/>
              </w:rPr>
            </w:pPr>
            <w:r>
              <w:rPr>
                <w:color w:val="000000"/>
                <w:sz w:val="18"/>
                <w:szCs w:val="18"/>
              </w:rPr>
              <w:t>170,321</w:t>
            </w:r>
          </w:p>
        </w:tc>
        <w:tc>
          <w:tcPr>
            <w:tcW w:w="50" w:type="pct"/>
            <w:shd w:val="clear" w:color="auto" w:fill="CFF0FC"/>
            <w:noWrap/>
            <w:tcMar>
              <w:top w:w="15" w:type="dxa"/>
              <w:left w:w="0" w:type="dxa"/>
              <w:bottom w:w="0" w:type="dxa"/>
              <w:right w:w="15" w:type="dxa"/>
            </w:tcMar>
            <w:vAlign w:val="bottom"/>
            <w:hideMark/>
          </w:tcPr>
          <w:p w14:paraId="45CFD76E"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780934E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43FD777" w14:textId="77777777" w:rsidR="00000000" w:rsidRDefault="00582324">
      <w:pPr>
        <w:pStyle w:val="a3"/>
        <w:shd w:val="clear" w:color="auto" w:fill="FFFFFF"/>
        <w:spacing w:before="40" w:beforeAutospacing="0" w:after="0" w:afterAutospacing="0"/>
        <w:ind w:firstLine="416"/>
        <w:rPr>
          <w:b/>
          <w:bCs/>
          <w:color w:val="000000"/>
          <w:sz w:val="20"/>
          <w:szCs w:val="20"/>
        </w:rPr>
      </w:pPr>
      <w:r>
        <w:rPr>
          <w:b/>
          <w:bCs/>
          <w:color w:val="000000"/>
          <w:sz w:val="20"/>
          <w:szCs w:val="20"/>
        </w:rPr>
        <w:t>Deferred Financing Costs</w:t>
      </w:r>
      <w:r>
        <w:rPr>
          <w:color w:val="000000"/>
          <w:sz w:val="20"/>
          <w:szCs w:val="20"/>
        </w:rPr>
        <w:t>—</w:t>
      </w:r>
      <w:r>
        <w:rPr>
          <w:color w:val="000000"/>
          <w:sz w:val="20"/>
          <w:szCs w:val="20"/>
        </w:rPr>
        <w:t>Costs relating to debt issuance have been deferred and are presented as discounted against the underlying debt instrument. These costs are amortized to interest expense over the terms of the underlying debt instruments.</w:t>
      </w:r>
    </w:p>
    <w:p w14:paraId="7039BDC7" w14:textId="77777777" w:rsidR="00000000" w:rsidRDefault="00582324">
      <w:pPr>
        <w:pStyle w:val="a3"/>
        <w:spacing w:before="240" w:beforeAutospacing="0" w:after="0" w:afterAutospacing="0"/>
        <w:ind w:firstLine="416"/>
        <w:rPr>
          <w:b/>
          <w:bCs/>
          <w:color w:val="000000"/>
          <w:sz w:val="20"/>
          <w:szCs w:val="20"/>
        </w:rPr>
      </w:pPr>
      <w:r>
        <w:rPr>
          <w:b/>
          <w:bCs/>
          <w:color w:val="000000"/>
          <w:sz w:val="20"/>
          <w:szCs w:val="20"/>
        </w:rPr>
        <w:t>2021 Credit Facility</w:t>
      </w:r>
      <w:r>
        <w:rPr>
          <w:color w:val="000000"/>
          <w:sz w:val="20"/>
          <w:szCs w:val="20"/>
        </w:rPr>
        <w:t>—</w:t>
      </w:r>
      <w:r>
        <w:rPr>
          <w:color w:val="000000"/>
          <w:sz w:val="20"/>
          <w:szCs w:val="20"/>
          <w:shd w:val="clear" w:color="auto" w:fill="FFFFFF"/>
        </w:rPr>
        <w:t>On April 27, 20</w:t>
      </w:r>
      <w:r>
        <w:rPr>
          <w:color w:val="000000"/>
          <w:sz w:val="20"/>
          <w:szCs w:val="20"/>
          <w:shd w:val="clear" w:color="auto" w:fill="FFFFFF"/>
        </w:rPr>
        <w:t>21</w:t>
      </w:r>
      <w:r>
        <w:rPr>
          <w:color w:val="000000"/>
          <w:sz w:val="20"/>
          <w:szCs w:val="20"/>
        </w:rPr>
        <w:t xml:space="preserve">, the Company entered into a new Senior Secured Credit Agreement providing for a new $300.0 million credit facility comprised of a $175.0 million term loan and a $125.0 million revolving line of credit (the “2021 Credit Facility”), and used a portion of </w:t>
      </w:r>
      <w:r>
        <w:rPr>
          <w:color w:val="000000"/>
          <w:sz w:val="20"/>
          <w:szCs w:val="20"/>
        </w:rPr>
        <w:t>the proceeds from the 2021 Credit Facility to repay all amounts outstanding under the 2020 Credit Facility (as defined below). The 2021 revolving credit facility includes a $20.0 million sublimit for the issuance of letters of credit. Subject to certain ex</w:t>
      </w:r>
      <w:r>
        <w:rPr>
          <w:color w:val="000000"/>
          <w:sz w:val="20"/>
          <w:szCs w:val="20"/>
        </w:rPr>
        <w:t>ceptions, all amounts under the 2021 Credit Facility will become due on April 27, 2026. The Company has the option to borrow incremental term loans or request an increase in the aggregate commitments under the revolving credit facility up to an aggregate a</w:t>
      </w:r>
      <w:r>
        <w:rPr>
          <w:color w:val="000000"/>
          <w:sz w:val="20"/>
          <w:szCs w:val="20"/>
        </w:rPr>
        <w:t xml:space="preserve">mount of $150.0 million subject to the satisfaction of certain conditions. </w:t>
      </w:r>
    </w:p>
    <w:p w14:paraId="72327B6B" w14:textId="77777777" w:rsidR="00000000" w:rsidRDefault="00582324">
      <w:pPr>
        <w:pStyle w:val="a3"/>
        <w:spacing w:before="240" w:beforeAutospacing="0" w:after="0" w:afterAutospacing="0"/>
        <w:ind w:firstLine="416"/>
        <w:rPr>
          <w:sz w:val="20"/>
          <w:szCs w:val="20"/>
        </w:rPr>
      </w:pPr>
      <w:r>
        <w:rPr>
          <w:sz w:val="20"/>
          <w:szCs w:val="20"/>
        </w:rPr>
        <w:t xml:space="preserve">The 2021 Credit Facility term loan </w:t>
      </w:r>
      <w:r>
        <w:rPr>
          <w:color w:val="000000"/>
          <w:sz w:val="20"/>
          <w:szCs w:val="20"/>
          <w:shd w:val="clear" w:color="auto" w:fill="FFFFFF"/>
        </w:rPr>
        <w:t>must be repaid in quarterly installments and</w:t>
      </w:r>
      <w:r>
        <w:rPr>
          <w:sz w:val="20"/>
          <w:szCs w:val="20"/>
        </w:rPr>
        <w:t xml:space="preserve"> shall amortize at the following annualized rates beginning with the quarter ended December 31, 2021 </w:t>
      </w:r>
      <w:r>
        <w:rPr>
          <w:sz w:val="20"/>
          <w:szCs w:val="20"/>
        </w:rPr>
        <w:t>with the remaining balance due and payable in full on April 27, 2026:</w:t>
      </w:r>
    </w:p>
    <w:p w14:paraId="15B5A917" w14:textId="77777777" w:rsidR="00000000" w:rsidRDefault="00582324">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099"/>
        <w:gridCol w:w="75"/>
        <w:gridCol w:w="870"/>
        <w:gridCol w:w="75"/>
        <w:gridCol w:w="254"/>
        <w:gridCol w:w="75"/>
        <w:gridCol w:w="870"/>
        <w:gridCol w:w="75"/>
        <w:gridCol w:w="254"/>
        <w:gridCol w:w="75"/>
        <w:gridCol w:w="870"/>
        <w:gridCol w:w="75"/>
        <w:gridCol w:w="254"/>
        <w:gridCol w:w="75"/>
        <w:gridCol w:w="870"/>
        <w:gridCol w:w="75"/>
        <w:gridCol w:w="254"/>
        <w:gridCol w:w="75"/>
        <w:gridCol w:w="870"/>
        <w:gridCol w:w="75"/>
        <w:gridCol w:w="260"/>
      </w:tblGrid>
      <w:tr w:rsidR="00000000" w14:paraId="582EBD29" w14:textId="77777777">
        <w:trPr>
          <w:divId w:val="1013796921"/>
        </w:trPr>
        <w:tc>
          <w:tcPr>
            <w:tcW w:w="735" w:type="pct"/>
            <w:shd w:val="clear" w:color="auto" w:fill="FFFFFF"/>
            <w:tcMar>
              <w:top w:w="15" w:type="dxa"/>
              <w:left w:w="0" w:type="dxa"/>
              <w:bottom w:w="0" w:type="dxa"/>
              <w:right w:w="15" w:type="dxa"/>
            </w:tcMar>
            <w:vAlign w:val="bottom"/>
            <w:hideMark/>
          </w:tcPr>
          <w:p w14:paraId="75249C83" w14:textId="77777777" w:rsidR="00000000" w:rsidRDefault="00582324">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189540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shd w:val="clear" w:color="auto" w:fill="FFFFFF"/>
            <w:noWrap/>
            <w:tcMar>
              <w:top w:w="15" w:type="dxa"/>
              <w:left w:w="0" w:type="dxa"/>
              <w:bottom w:w="0" w:type="dxa"/>
              <w:right w:w="15" w:type="dxa"/>
            </w:tcMar>
            <w:vAlign w:val="bottom"/>
            <w:hideMark/>
          </w:tcPr>
          <w:p w14:paraId="30D96D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4909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FFFFFF"/>
            <w:tcMar>
              <w:top w:w="15" w:type="dxa"/>
              <w:left w:w="0" w:type="dxa"/>
              <w:bottom w:w="0" w:type="dxa"/>
              <w:right w:w="15" w:type="dxa"/>
            </w:tcMar>
            <w:vAlign w:val="bottom"/>
            <w:hideMark/>
          </w:tcPr>
          <w:p w14:paraId="2CF8B8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C936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shd w:val="clear" w:color="auto" w:fill="FFFFFF"/>
            <w:noWrap/>
            <w:tcMar>
              <w:top w:w="15" w:type="dxa"/>
              <w:left w:w="0" w:type="dxa"/>
              <w:bottom w:w="0" w:type="dxa"/>
              <w:right w:w="15" w:type="dxa"/>
            </w:tcMar>
            <w:vAlign w:val="bottom"/>
            <w:hideMark/>
          </w:tcPr>
          <w:p w14:paraId="2E3D7A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7873B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FFFFFF"/>
            <w:tcMar>
              <w:top w:w="15" w:type="dxa"/>
              <w:left w:w="0" w:type="dxa"/>
              <w:bottom w:w="0" w:type="dxa"/>
              <w:right w:w="15" w:type="dxa"/>
            </w:tcMar>
            <w:vAlign w:val="bottom"/>
            <w:hideMark/>
          </w:tcPr>
          <w:p w14:paraId="6A0424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0B70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shd w:val="clear" w:color="auto" w:fill="FFFFFF"/>
            <w:noWrap/>
            <w:tcMar>
              <w:top w:w="15" w:type="dxa"/>
              <w:left w:w="0" w:type="dxa"/>
              <w:bottom w:w="0" w:type="dxa"/>
              <w:right w:w="15" w:type="dxa"/>
            </w:tcMar>
            <w:vAlign w:val="bottom"/>
            <w:hideMark/>
          </w:tcPr>
          <w:p w14:paraId="1DF044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76F2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FFFFFF"/>
            <w:tcMar>
              <w:top w:w="15" w:type="dxa"/>
              <w:left w:w="0" w:type="dxa"/>
              <w:bottom w:w="0" w:type="dxa"/>
              <w:right w:w="15" w:type="dxa"/>
            </w:tcMar>
            <w:vAlign w:val="bottom"/>
            <w:hideMark/>
          </w:tcPr>
          <w:p w14:paraId="5F53AB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E8EE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shd w:val="clear" w:color="auto" w:fill="FFFFFF"/>
            <w:noWrap/>
            <w:tcMar>
              <w:top w:w="15" w:type="dxa"/>
              <w:left w:w="0" w:type="dxa"/>
              <w:bottom w:w="0" w:type="dxa"/>
              <w:right w:w="15" w:type="dxa"/>
            </w:tcMar>
            <w:vAlign w:val="bottom"/>
            <w:hideMark/>
          </w:tcPr>
          <w:p w14:paraId="2E0255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9305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FFFFFF"/>
            <w:tcMar>
              <w:top w:w="15" w:type="dxa"/>
              <w:left w:w="0" w:type="dxa"/>
              <w:bottom w:w="0" w:type="dxa"/>
              <w:right w:w="15" w:type="dxa"/>
            </w:tcMar>
            <w:vAlign w:val="bottom"/>
            <w:hideMark/>
          </w:tcPr>
          <w:p w14:paraId="654B56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5130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shd w:val="clear" w:color="auto" w:fill="FFFFFF"/>
            <w:noWrap/>
            <w:tcMar>
              <w:top w:w="15" w:type="dxa"/>
              <w:left w:w="0" w:type="dxa"/>
              <w:bottom w:w="0" w:type="dxa"/>
              <w:right w:w="15" w:type="dxa"/>
            </w:tcMar>
            <w:vAlign w:val="bottom"/>
            <w:hideMark/>
          </w:tcPr>
          <w:p w14:paraId="43B16B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7EF9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FFFFFF"/>
            <w:tcMar>
              <w:top w:w="15" w:type="dxa"/>
              <w:left w:w="0" w:type="dxa"/>
              <w:bottom w:w="0" w:type="dxa"/>
              <w:right w:w="15" w:type="dxa"/>
            </w:tcMar>
            <w:vAlign w:val="bottom"/>
            <w:hideMark/>
          </w:tcPr>
          <w:p w14:paraId="0A28BED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E8D926E" w14:textId="77777777">
        <w:trPr>
          <w:divId w:val="1013796921"/>
        </w:trPr>
        <w:tc>
          <w:tcPr>
            <w:tcW w:w="735" w:type="pct"/>
            <w:shd w:val="clear" w:color="auto" w:fill="FFFFFF"/>
            <w:tcMar>
              <w:top w:w="15" w:type="dxa"/>
              <w:left w:w="0" w:type="dxa"/>
              <w:bottom w:w="0" w:type="dxa"/>
              <w:right w:w="15" w:type="dxa"/>
            </w:tcMar>
            <w:vAlign w:val="bottom"/>
            <w:hideMark/>
          </w:tcPr>
          <w:p w14:paraId="141BB3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264" w:type="pct"/>
            <w:gridSpan w:val="20"/>
            <w:tcBorders>
              <w:bottom w:val="single" w:sz="6" w:space="0" w:color="000000"/>
            </w:tcBorders>
            <w:shd w:val="clear" w:color="auto" w:fill="FFFFFF"/>
            <w:tcMar>
              <w:top w:w="15" w:type="dxa"/>
              <w:left w:w="0" w:type="dxa"/>
              <w:bottom w:w="0" w:type="dxa"/>
              <w:right w:w="15" w:type="dxa"/>
            </w:tcMar>
            <w:vAlign w:val="bottom"/>
            <w:hideMark/>
          </w:tcPr>
          <w:p w14:paraId="05BF14C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Amortization Table</w:t>
            </w:r>
          </w:p>
        </w:tc>
      </w:tr>
      <w:tr w:rsidR="00000000" w14:paraId="21FA71CE" w14:textId="77777777">
        <w:trPr>
          <w:divId w:val="1013796921"/>
        </w:trPr>
        <w:tc>
          <w:tcPr>
            <w:tcW w:w="735" w:type="pct"/>
            <w:shd w:val="clear" w:color="auto" w:fill="FFFFFF"/>
            <w:tcMar>
              <w:top w:w="15" w:type="dxa"/>
              <w:left w:w="0" w:type="dxa"/>
              <w:bottom w:w="0" w:type="dxa"/>
              <w:right w:w="15" w:type="dxa"/>
            </w:tcMar>
            <w:vAlign w:val="bottom"/>
            <w:hideMark/>
          </w:tcPr>
          <w:p w14:paraId="683741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E820B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1</w:t>
            </w:r>
          </w:p>
        </w:tc>
        <w:tc>
          <w:tcPr>
            <w:tcW w:w="50" w:type="pct"/>
            <w:shd w:val="clear" w:color="auto" w:fill="FFFFFF"/>
            <w:noWrap/>
            <w:tcMar>
              <w:top w:w="15" w:type="dxa"/>
              <w:left w:w="0" w:type="dxa"/>
              <w:bottom w:w="0" w:type="dxa"/>
              <w:right w:w="15" w:type="dxa"/>
            </w:tcMar>
            <w:vAlign w:val="bottom"/>
            <w:hideMark/>
          </w:tcPr>
          <w:p w14:paraId="263D13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70" w:type="pct"/>
            <w:tcBorders>
              <w:top w:val="single" w:sz="6" w:space="0" w:color="000000"/>
            </w:tcBorders>
            <w:shd w:val="clear" w:color="auto" w:fill="FFFFFF"/>
            <w:tcMar>
              <w:top w:w="15" w:type="dxa"/>
              <w:left w:w="0" w:type="dxa"/>
              <w:bottom w:w="0" w:type="dxa"/>
              <w:right w:w="15" w:type="dxa"/>
            </w:tcMar>
            <w:vAlign w:val="bottom"/>
            <w:hideMark/>
          </w:tcPr>
          <w:p w14:paraId="102041B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8553D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2</w:t>
            </w:r>
          </w:p>
        </w:tc>
        <w:tc>
          <w:tcPr>
            <w:tcW w:w="50" w:type="pct"/>
            <w:shd w:val="clear" w:color="auto" w:fill="FFFFFF"/>
            <w:noWrap/>
            <w:tcMar>
              <w:top w:w="15" w:type="dxa"/>
              <w:left w:w="0" w:type="dxa"/>
              <w:bottom w:w="0" w:type="dxa"/>
              <w:right w:w="15" w:type="dxa"/>
            </w:tcMar>
            <w:vAlign w:val="bottom"/>
            <w:hideMark/>
          </w:tcPr>
          <w:p w14:paraId="55EDEA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70" w:type="pct"/>
            <w:tcBorders>
              <w:top w:val="single" w:sz="6" w:space="0" w:color="000000"/>
            </w:tcBorders>
            <w:shd w:val="clear" w:color="auto" w:fill="FFFFFF"/>
            <w:tcMar>
              <w:top w:w="15" w:type="dxa"/>
              <w:left w:w="0" w:type="dxa"/>
              <w:bottom w:w="0" w:type="dxa"/>
              <w:right w:w="15" w:type="dxa"/>
            </w:tcMar>
            <w:vAlign w:val="bottom"/>
            <w:hideMark/>
          </w:tcPr>
          <w:p w14:paraId="233B75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1CC7E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3</w:t>
            </w:r>
          </w:p>
        </w:tc>
        <w:tc>
          <w:tcPr>
            <w:tcW w:w="50" w:type="pct"/>
            <w:shd w:val="clear" w:color="auto" w:fill="FFFFFF"/>
            <w:noWrap/>
            <w:tcMar>
              <w:top w:w="15" w:type="dxa"/>
              <w:left w:w="0" w:type="dxa"/>
              <w:bottom w:w="0" w:type="dxa"/>
              <w:right w:w="15" w:type="dxa"/>
            </w:tcMar>
            <w:vAlign w:val="bottom"/>
            <w:hideMark/>
          </w:tcPr>
          <w:p w14:paraId="5A2DD30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70" w:type="pct"/>
            <w:tcBorders>
              <w:top w:val="single" w:sz="6" w:space="0" w:color="000000"/>
            </w:tcBorders>
            <w:shd w:val="clear" w:color="auto" w:fill="FFFFFF"/>
            <w:tcMar>
              <w:top w:w="15" w:type="dxa"/>
              <w:left w:w="0" w:type="dxa"/>
              <w:bottom w:w="0" w:type="dxa"/>
              <w:right w:w="15" w:type="dxa"/>
            </w:tcMar>
            <w:vAlign w:val="bottom"/>
            <w:hideMark/>
          </w:tcPr>
          <w:p w14:paraId="2B0522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F9737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4</w:t>
            </w:r>
          </w:p>
        </w:tc>
        <w:tc>
          <w:tcPr>
            <w:tcW w:w="50" w:type="pct"/>
            <w:shd w:val="clear" w:color="auto" w:fill="FFFFFF"/>
            <w:noWrap/>
            <w:tcMar>
              <w:top w:w="15" w:type="dxa"/>
              <w:left w:w="0" w:type="dxa"/>
              <w:bottom w:w="0" w:type="dxa"/>
              <w:right w:w="15" w:type="dxa"/>
            </w:tcMar>
            <w:vAlign w:val="bottom"/>
            <w:hideMark/>
          </w:tcPr>
          <w:p w14:paraId="42CF956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70" w:type="pct"/>
            <w:tcBorders>
              <w:top w:val="single" w:sz="6" w:space="0" w:color="000000"/>
            </w:tcBorders>
            <w:shd w:val="clear" w:color="auto" w:fill="FFFFFF"/>
            <w:tcMar>
              <w:top w:w="15" w:type="dxa"/>
              <w:left w:w="0" w:type="dxa"/>
              <w:bottom w:w="0" w:type="dxa"/>
              <w:right w:w="15" w:type="dxa"/>
            </w:tcMar>
            <w:vAlign w:val="bottom"/>
            <w:hideMark/>
          </w:tcPr>
          <w:p w14:paraId="30A2EC3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4D512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5</w:t>
            </w:r>
          </w:p>
        </w:tc>
        <w:tc>
          <w:tcPr>
            <w:tcW w:w="50" w:type="pct"/>
            <w:shd w:val="clear" w:color="auto" w:fill="FFFFFF"/>
            <w:noWrap/>
            <w:tcMar>
              <w:top w:w="15" w:type="dxa"/>
              <w:left w:w="0" w:type="dxa"/>
              <w:bottom w:w="0" w:type="dxa"/>
              <w:right w:w="15" w:type="dxa"/>
            </w:tcMar>
            <w:vAlign w:val="bottom"/>
            <w:hideMark/>
          </w:tcPr>
          <w:p w14:paraId="322FF89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70" w:type="pct"/>
            <w:tcBorders>
              <w:top w:val="single" w:sz="6" w:space="0" w:color="000000"/>
            </w:tcBorders>
            <w:shd w:val="clear" w:color="auto" w:fill="FFFFFF"/>
            <w:tcMar>
              <w:top w:w="15" w:type="dxa"/>
              <w:left w:w="0" w:type="dxa"/>
              <w:bottom w:w="0" w:type="dxa"/>
              <w:right w:w="15" w:type="dxa"/>
            </w:tcMar>
            <w:vAlign w:val="bottom"/>
            <w:hideMark/>
          </w:tcPr>
          <w:p w14:paraId="7560E9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BA99962" w14:textId="77777777">
        <w:trPr>
          <w:divId w:val="1013796921"/>
        </w:trPr>
        <w:tc>
          <w:tcPr>
            <w:tcW w:w="735" w:type="pct"/>
            <w:shd w:val="clear" w:color="auto" w:fill="CFF0FC"/>
            <w:tcMar>
              <w:top w:w="15" w:type="dxa"/>
              <w:left w:w="0" w:type="dxa"/>
              <w:bottom w:w="0" w:type="dxa"/>
              <w:right w:w="15" w:type="dxa"/>
            </w:tcMar>
            <w:vAlign w:val="bottom"/>
            <w:hideMark/>
          </w:tcPr>
          <w:p w14:paraId="1FEC9D84" w14:textId="77777777" w:rsidR="00000000" w:rsidRDefault="00582324">
            <w:pPr>
              <w:pStyle w:val="a3"/>
              <w:spacing w:before="0" w:beforeAutospacing="0" w:after="0" w:afterAutospacing="0"/>
              <w:rPr>
                <w:b/>
                <w:bCs/>
                <w:color w:val="000000"/>
                <w:sz w:val="18"/>
                <w:szCs w:val="18"/>
              </w:rPr>
            </w:pPr>
            <w:r>
              <w:rPr>
                <w:b/>
                <w:bCs/>
                <w:color w:val="000000"/>
                <w:sz w:val="18"/>
                <w:szCs w:val="18"/>
              </w:rPr>
              <w:t>Term Loan</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6394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tcBorders>
              <w:top w:val="single" w:sz="6" w:space="0" w:color="000000"/>
            </w:tcBorders>
            <w:shd w:val="clear" w:color="auto" w:fill="CFF0FC"/>
            <w:noWrap/>
            <w:tcMar>
              <w:top w:w="15" w:type="dxa"/>
              <w:left w:w="0" w:type="dxa"/>
              <w:bottom w:w="0" w:type="dxa"/>
              <w:right w:w="15" w:type="dxa"/>
            </w:tcMar>
            <w:vAlign w:val="bottom"/>
            <w:hideMark/>
          </w:tcPr>
          <w:p w14:paraId="2E51C550"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120B53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CFF0FC"/>
            <w:tcMar>
              <w:top w:w="15" w:type="dxa"/>
              <w:left w:w="0" w:type="dxa"/>
              <w:bottom w:w="0" w:type="dxa"/>
              <w:right w:w="15" w:type="dxa"/>
            </w:tcMar>
            <w:vAlign w:val="bottom"/>
            <w:hideMark/>
          </w:tcPr>
          <w:p w14:paraId="57875E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33EC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tcBorders>
              <w:top w:val="single" w:sz="6" w:space="0" w:color="000000"/>
            </w:tcBorders>
            <w:shd w:val="clear" w:color="auto" w:fill="CFF0FC"/>
            <w:noWrap/>
            <w:tcMar>
              <w:top w:w="15" w:type="dxa"/>
              <w:left w:w="0" w:type="dxa"/>
              <w:bottom w:w="0" w:type="dxa"/>
              <w:right w:w="15" w:type="dxa"/>
            </w:tcMar>
            <w:vAlign w:val="bottom"/>
            <w:hideMark/>
          </w:tcPr>
          <w:p w14:paraId="05FD935B"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6C0AB8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CFF0FC"/>
            <w:tcMar>
              <w:top w:w="15" w:type="dxa"/>
              <w:left w:w="0" w:type="dxa"/>
              <w:bottom w:w="0" w:type="dxa"/>
              <w:right w:w="15" w:type="dxa"/>
            </w:tcMar>
            <w:vAlign w:val="bottom"/>
            <w:hideMark/>
          </w:tcPr>
          <w:p w14:paraId="7263CA7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5ADD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tcBorders>
              <w:top w:val="single" w:sz="6" w:space="0" w:color="000000"/>
            </w:tcBorders>
            <w:shd w:val="clear" w:color="auto" w:fill="CFF0FC"/>
            <w:noWrap/>
            <w:tcMar>
              <w:top w:w="15" w:type="dxa"/>
              <w:left w:w="0" w:type="dxa"/>
              <w:bottom w:w="0" w:type="dxa"/>
              <w:right w:w="15" w:type="dxa"/>
            </w:tcMar>
            <w:vAlign w:val="bottom"/>
            <w:hideMark/>
          </w:tcPr>
          <w:p w14:paraId="2DE58AC8" w14:textId="77777777" w:rsidR="00000000" w:rsidRDefault="00582324">
            <w:pPr>
              <w:pStyle w:val="a3"/>
              <w:spacing w:before="0" w:beforeAutospacing="0" w:after="0" w:afterAutospacing="0"/>
              <w:jc w:val="right"/>
              <w:rPr>
                <w:color w:val="000000"/>
                <w:sz w:val="18"/>
                <w:szCs w:val="18"/>
              </w:rPr>
            </w:pPr>
            <w:r>
              <w:rPr>
                <w:color w:val="000000"/>
                <w:sz w:val="18"/>
                <w:szCs w:val="18"/>
              </w:rPr>
              <w:t>7.5</w:t>
            </w:r>
          </w:p>
        </w:tc>
        <w:tc>
          <w:tcPr>
            <w:tcW w:w="50" w:type="pct"/>
            <w:shd w:val="clear" w:color="auto" w:fill="CFF0FC"/>
            <w:noWrap/>
            <w:tcMar>
              <w:top w:w="15" w:type="dxa"/>
              <w:left w:w="0" w:type="dxa"/>
              <w:bottom w:w="0" w:type="dxa"/>
              <w:right w:w="15" w:type="dxa"/>
            </w:tcMar>
            <w:vAlign w:val="bottom"/>
            <w:hideMark/>
          </w:tcPr>
          <w:p w14:paraId="5A09E1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CFF0FC"/>
            <w:tcMar>
              <w:top w:w="15" w:type="dxa"/>
              <w:left w:w="0" w:type="dxa"/>
              <w:bottom w:w="0" w:type="dxa"/>
              <w:right w:w="15" w:type="dxa"/>
            </w:tcMar>
            <w:vAlign w:val="bottom"/>
            <w:hideMark/>
          </w:tcPr>
          <w:p w14:paraId="48211E6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980B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tcBorders>
              <w:top w:val="single" w:sz="6" w:space="0" w:color="000000"/>
            </w:tcBorders>
            <w:shd w:val="clear" w:color="auto" w:fill="CFF0FC"/>
            <w:noWrap/>
            <w:tcMar>
              <w:top w:w="15" w:type="dxa"/>
              <w:left w:w="0" w:type="dxa"/>
              <w:bottom w:w="0" w:type="dxa"/>
              <w:right w:w="15" w:type="dxa"/>
            </w:tcMar>
            <w:vAlign w:val="bottom"/>
            <w:hideMark/>
          </w:tcPr>
          <w:p w14:paraId="18F046FC" w14:textId="77777777" w:rsidR="00000000" w:rsidRDefault="00582324">
            <w:pPr>
              <w:pStyle w:val="a3"/>
              <w:spacing w:before="0" w:beforeAutospacing="0" w:after="0" w:afterAutospacing="0"/>
              <w:jc w:val="right"/>
              <w:rPr>
                <w:color w:val="000000"/>
                <w:sz w:val="18"/>
                <w:szCs w:val="18"/>
              </w:rPr>
            </w:pPr>
            <w:r>
              <w:rPr>
                <w:color w:val="000000"/>
                <w:sz w:val="18"/>
                <w:szCs w:val="18"/>
              </w:rPr>
              <w:t>7.5</w:t>
            </w:r>
          </w:p>
        </w:tc>
        <w:tc>
          <w:tcPr>
            <w:tcW w:w="50" w:type="pct"/>
            <w:shd w:val="clear" w:color="auto" w:fill="CFF0FC"/>
            <w:noWrap/>
            <w:tcMar>
              <w:top w:w="15" w:type="dxa"/>
              <w:left w:w="0" w:type="dxa"/>
              <w:bottom w:w="0" w:type="dxa"/>
              <w:right w:w="15" w:type="dxa"/>
            </w:tcMar>
            <w:vAlign w:val="bottom"/>
            <w:hideMark/>
          </w:tcPr>
          <w:p w14:paraId="54E002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CFF0FC"/>
            <w:tcMar>
              <w:top w:w="15" w:type="dxa"/>
              <w:left w:w="0" w:type="dxa"/>
              <w:bottom w:w="0" w:type="dxa"/>
              <w:right w:w="15" w:type="dxa"/>
            </w:tcMar>
            <w:vAlign w:val="bottom"/>
            <w:hideMark/>
          </w:tcPr>
          <w:p w14:paraId="30C8B62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00F1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2" w:type="pct"/>
            <w:tcBorders>
              <w:top w:val="single" w:sz="6" w:space="0" w:color="000000"/>
            </w:tcBorders>
            <w:shd w:val="clear" w:color="auto" w:fill="CFF0FC"/>
            <w:noWrap/>
            <w:tcMar>
              <w:top w:w="15" w:type="dxa"/>
              <w:left w:w="0" w:type="dxa"/>
              <w:bottom w:w="0" w:type="dxa"/>
              <w:right w:w="15" w:type="dxa"/>
            </w:tcMar>
            <w:vAlign w:val="bottom"/>
            <w:hideMark/>
          </w:tcPr>
          <w:p w14:paraId="02463435" w14:textId="77777777" w:rsidR="00000000" w:rsidRDefault="00582324">
            <w:pPr>
              <w:pStyle w:val="a3"/>
              <w:spacing w:before="0" w:beforeAutospacing="0" w:after="0" w:afterAutospacing="0"/>
              <w:jc w:val="right"/>
              <w:rPr>
                <w:color w:val="000000"/>
                <w:sz w:val="18"/>
                <w:szCs w:val="18"/>
              </w:rPr>
            </w:pPr>
            <w:r>
              <w:rPr>
                <w:color w:val="000000"/>
                <w:sz w:val="18"/>
                <w:szCs w:val="18"/>
              </w:rPr>
              <w:t>10.0</w:t>
            </w:r>
          </w:p>
        </w:tc>
        <w:tc>
          <w:tcPr>
            <w:tcW w:w="50" w:type="pct"/>
            <w:shd w:val="clear" w:color="auto" w:fill="CFF0FC"/>
            <w:noWrap/>
            <w:tcMar>
              <w:top w:w="15" w:type="dxa"/>
              <w:left w:w="0" w:type="dxa"/>
              <w:bottom w:w="0" w:type="dxa"/>
              <w:right w:w="15" w:type="dxa"/>
            </w:tcMar>
            <w:vAlign w:val="bottom"/>
            <w:hideMark/>
          </w:tcPr>
          <w:p w14:paraId="5A4D7B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70" w:type="pct"/>
            <w:shd w:val="clear" w:color="auto" w:fill="CFF0FC"/>
            <w:tcMar>
              <w:top w:w="15" w:type="dxa"/>
              <w:left w:w="0" w:type="dxa"/>
              <w:bottom w:w="0" w:type="dxa"/>
              <w:right w:w="15" w:type="dxa"/>
            </w:tcMar>
            <w:vAlign w:val="bottom"/>
            <w:hideMark/>
          </w:tcPr>
          <w:p w14:paraId="697DD6E2"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546E130D" w14:textId="77777777" w:rsidR="00000000" w:rsidRDefault="00582324">
      <w:pPr>
        <w:pStyle w:val="a3"/>
        <w:spacing w:before="0" w:beforeAutospacing="0" w:after="0" w:afterAutospacing="0"/>
        <w:rPr>
          <w:sz w:val="20"/>
          <w:szCs w:val="20"/>
        </w:rPr>
      </w:pPr>
      <w:r>
        <w:rPr>
          <w:sz w:val="20"/>
          <w:szCs w:val="20"/>
        </w:rPr>
        <w:t> </w:t>
      </w:r>
    </w:p>
    <w:p w14:paraId="1DDDBA62" w14:textId="77777777" w:rsidR="00000000" w:rsidRDefault="00582324">
      <w:pPr>
        <w:pStyle w:val="a3"/>
        <w:spacing w:before="240" w:beforeAutospacing="0" w:after="0" w:afterAutospacing="0"/>
        <w:jc w:val="center"/>
        <w:rPr>
          <w:sz w:val="20"/>
          <w:szCs w:val="20"/>
        </w:rPr>
      </w:pPr>
      <w:r>
        <w:rPr>
          <w:sz w:val="20"/>
          <w:szCs w:val="20"/>
        </w:rPr>
        <w:t>17</w:t>
      </w:r>
    </w:p>
    <w:p w14:paraId="5E440137" w14:textId="77777777" w:rsidR="00000000" w:rsidRDefault="00582324">
      <w:pPr>
        <w:rPr>
          <w:rFonts w:eastAsia="Times New Roman"/>
        </w:rPr>
      </w:pPr>
      <w:r>
        <w:rPr>
          <w:rFonts w:eastAsia="Times New Roman"/>
        </w:rPr>
        <w:pict w14:anchorId="65106B5C">
          <v:rect id="_x0000_i1043" style="width:0;height:1.5pt" o:hralign="center" o:hrstd="t" o:hr="t" fillcolor="#a0a0a0" stroked="f"/>
        </w:pict>
      </w:r>
    </w:p>
    <w:p w14:paraId="71EF7CFC" w14:textId="77777777" w:rsidR="00000000" w:rsidRDefault="00582324">
      <w:pPr>
        <w:pStyle w:val="a3"/>
        <w:spacing w:before="0" w:beforeAutospacing="0" w:after="0" w:afterAutospacing="0"/>
        <w:rPr>
          <w:sz w:val="20"/>
          <w:szCs w:val="20"/>
        </w:rPr>
      </w:pPr>
      <w:r>
        <w:rPr>
          <w:sz w:val="20"/>
          <w:szCs w:val="20"/>
        </w:rPr>
        <w:t> </w:t>
      </w:r>
    </w:p>
    <w:p w14:paraId="0B9ABFDE" w14:textId="77777777" w:rsidR="00000000" w:rsidRDefault="00582324">
      <w:pPr>
        <w:pStyle w:val="a3"/>
        <w:spacing w:before="0" w:beforeAutospacing="0" w:after="0" w:afterAutospacing="0"/>
        <w:rPr>
          <w:sz w:val="20"/>
          <w:szCs w:val="20"/>
        </w:rPr>
      </w:pPr>
      <w:r>
        <w:rPr>
          <w:sz w:val="20"/>
          <w:szCs w:val="20"/>
        </w:rPr>
        <w:t> </w:t>
      </w:r>
    </w:p>
    <w:p w14:paraId="4ABF65EA" w14:textId="77777777" w:rsidR="00000000" w:rsidRDefault="00582324">
      <w:pPr>
        <w:pStyle w:val="a3"/>
        <w:spacing w:before="40" w:beforeAutospacing="0" w:after="0" w:afterAutospacing="0"/>
        <w:ind w:firstLine="416"/>
        <w:rPr>
          <w:sz w:val="20"/>
          <w:szCs w:val="20"/>
        </w:rPr>
      </w:pPr>
      <w:r>
        <w:rPr>
          <w:sz w:val="20"/>
          <w:szCs w:val="20"/>
        </w:rPr>
        <w:t>The 2021 Credit Facility term loan and the revolver bear interest subject to the Company’s leverage ratio and LIBOR as follows:</w:t>
      </w:r>
    </w:p>
    <w:p w14:paraId="2BB599AD" w14:textId="77777777" w:rsidR="00000000" w:rsidRDefault="00582324">
      <w:pPr>
        <w:pStyle w:val="a3"/>
        <w:spacing w:before="0" w:beforeAutospacing="0" w:after="0" w:afterAutospacing="0"/>
        <w:ind w:firstLine="41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727"/>
        <w:gridCol w:w="177"/>
        <w:gridCol w:w="2294"/>
        <w:gridCol w:w="177"/>
        <w:gridCol w:w="62"/>
        <w:gridCol w:w="661"/>
        <w:gridCol w:w="62"/>
        <w:gridCol w:w="177"/>
        <w:gridCol w:w="62"/>
        <w:gridCol w:w="663"/>
        <w:gridCol w:w="62"/>
        <w:gridCol w:w="177"/>
        <w:gridCol w:w="1035"/>
        <w:gridCol w:w="177"/>
        <w:gridCol w:w="62"/>
        <w:gridCol w:w="661"/>
        <w:gridCol w:w="62"/>
        <w:gridCol w:w="177"/>
      </w:tblGrid>
      <w:tr w:rsidR="00000000" w14:paraId="08C593AA" w14:textId="77777777">
        <w:trPr>
          <w:divId w:val="913470251"/>
        </w:trPr>
        <w:tc>
          <w:tcPr>
            <w:tcW w:w="495" w:type="pct"/>
            <w:tcBorders>
              <w:bottom w:val="single" w:sz="6" w:space="0" w:color="000000"/>
            </w:tcBorders>
            <w:shd w:val="clear" w:color="auto" w:fill="FFFFFF"/>
            <w:tcMar>
              <w:top w:w="15" w:type="dxa"/>
              <w:left w:w="0" w:type="dxa"/>
              <w:bottom w:w="0" w:type="dxa"/>
              <w:right w:w="15" w:type="dxa"/>
            </w:tcMar>
            <w:vAlign w:val="center"/>
            <w:hideMark/>
          </w:tcPr>
          <w:p w14:paraId="70D5494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Pricing Tier</w:t>
            </w:r>
          </w:p>
        </w:tc>
        <w:tc>
          <w:tcPr>
            <w:tcW w:w="127" w:type="pct"/>
            <w:shd w:val="clear" w:color="auto" w:fill="FFFFFF"/>
            <w:tcMar>
              <w:top w:w="15" w:type="dxa"/>
              <w:left w:w="0" w:type="dxa"/>
              <w:bottom w:w="0" w:type="dxa"/>
              <w:right w:w="15" w:type="dxa"/>
            </w:tcMar>
            <w:vAlign w:val="center"/>
            <w:hideMark/>
          </w:tcPr>
          <w:p w14:paraId="416820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541" w:type="pct"/>
            <w:tcBorders>
              <w:bottom w:val="single" w:sz="6" w:space="0" w:color="000000"/>
            </w:tcBorders>
            <w:shd w:val="clear" w:color="auto" w:fill="FFFFFF"/>
            <w:tcMar>
              <w:top w:w="15" w:type="dxa"/>
              <w:left w:w="0" w:type="dxa"/>
              <w:bottom w:w="0" w:type="dxa"/>
              <w:right w:w="15" w:type="dxa"/>
            </w:tcMar>
            <w:vAlign w:val="center"/>
            <w:hideMark/>
          </w:tcPr>
          <w:p w14:paraId="52B0B8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Net Leverage Ratio</w:t>
            </w:r>
          </w:p>
        </w:tc>
        <w:tc>
          <w:tcPr>
            <w:tcW w:w="127" w:type="pct"/>
            <w:shd w:val="clear" w:color="auto" w:fill="FFFFFF"/>
            <w:tcMar>
              <w:top w:w="15" w:type="dxa"/>
              <w:left w:w="0" w:type="dxa"/>
              <w:bottom w:w="0" w:type="dxa"/>
              <w:right w:w="15" w:type="dxa"/>
            </w:tcMar>
            <w:vAlign w:val="center"/>
            <w:hideMark/>
          </w:tcPr>
          <w:p w14:paraId="60B4742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180" w:type="pct"/>
            <w:gridSpan w:val="6"/>
            <w:tcBorders>
              <w:bottom w:val="single" w:sz="6" w:space="0" w:color="000000"/>
            </w:tcBorders>
            <w:shd w:val="clear" w:color="auto" w:fill="FFFFFF"/>
            <w:tcMar>
              <w:top w:w="15" w:type="dxa"/>
              <w:left w:w="0" w:type="dxa"/>
              <w:bottom w:w="0" w:type="dxa"/>
              <w:right w:w="15" w:type="dxa"/>
            </w:tcMar>
            <w:vAlign w:val="center"/>
            <w:hideMark/>
          </w:tcPr>
          <w:p w14:paraId="05D9049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 Credit Facility</w:t>
            </w:r>
          </w:p>
        </w:tc>
        <w:tc>
          <w:tcPr>
            <w:tcW w:w="50" w:type="pct"/>
            <w:shd w:val="clear" w:color="auto" w:fill="FFFFFF"/>
            <w:noWrap/>
            <w:tcMar>
              <w:top w:w="15" w:type="dxa"/>
              <w:left w:w="0" w:type="dxa"/>
              <w:bottom w:w="0" w:type="dxa"/>
              <w:right w:w="15" w:type="dxa"/>
            </w:tcMar>
            <w:vAlign w:val="center"/>
            <w:hideMark/>
          </w:tcPr>
          <w:p w14:paraId="7192CBF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7" w:type="pct"/>
            <w:shd w:val="clear" w:color="auto" w:fill="FFFFFF"/>
            <w:tcMar>
              <w:top w:w="15" w:type="dxa"/>
              <w:left w:w="0" w:type="dxa"/>
              <w:bottom w:w="0" w:type="dxa"/>
              <w:right w:w="15" w:type="dxa"/>
            </w:tcMar>
            <w:vAlign w:val="center"/>
            <w:hideMark/>
          </w:tcPr>
          <w:p w14:paraId="27A7567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3" w:type="pct"/>
            <w:tcBorders>
              <w:bottom w:val="single" w:sz="6" w:space="0" w:color="000000"/>
            </w:tcBorders>
            <w:shd w:val="clear" w:color="auto" w:fill="FFFFFF"/>
            <w:tcMar>
              <w:top w:w="15" w:type="dxa"/>
              <w:left w:w="0" w:type="dxa"/>
              <w:bottom w:w="0" w:type="dxa"/>
              <w:right w:w="15" w:type="dxa"/>
            </w:tcMar>
            <w:vAlign w:val="center"/>
            <w:hideMark/>
          </w:tcPr>
          <w:p w14:paraId="59ABD7D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Commitment</w:t>
            </w:r>
          </w:p>
          <w:p w14:paraId="3083FBB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Fee</w:t>
            </w:r>
          </w:p>
        </w:tc>
        <w:tc>
          <w:tcPr>
            <w:tcW w:w="127" w:type="pct"/>
            <w:shd w:val="clear" w:color="auto" w:fill="FFFFFF"/>
            <w:tcMar>
              <w:top w:w="15" w:type="dxa"/>
              <w:left w:w="0" w:type="dxa"/>
              <w:bottom w:w="0" w:type="dxa"/>
              <w:right w:w="15" w:type="dxa"/>
            </w:tcMar>
            <w:vAlign w:val="center"/>
            <w:hideMark/>
          </w:tcPr>
          <w:p w14:paraId="525C86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1" w:type="pct"/>
            <w:gridSpan w:val="2"/>
            <w:tcBorders>
              <w:bottom w:val="single" w:sz="6" w:space="0" w:color="000000"/>
            </w:tcBorders>
            <w:shd w:val="clear" w:color="auto" w:fill="FFFFFF"/>
            <w:tcMar>
              <w:top w:w="15" w:type="dxa"/>
              <w:left w:w="0" w:type="dxa"/>
              <w:bottom w:w="0" w:type="dxa"/>
              <w:right w:w="15" w:type="dxa"/>
            </w:tcMar>
            <w:vAlign w:val="center"/>
            <w:hideMark/>
          </w:tcPr>
          <w:p w14:paraId="42A2BEB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Letter of Credit Fee</w:t>
            </w:r>
          </w:p>
        </w:tc>
        <w:tc>
          <w:tcPr>
            <w:tcW w:w="50" w:type="pct"/>
            <w:shd w:val="clear" w:color="auto" w:fill="FFFFFF"/>
            <w:noWrap/>
            <w:tcMar>
              <w:top w:w="15" w:type="dxa"/>
              <w:left w:w="0" w:type="dxa"/>
              <w:bottom w:w="0" w:type="dxa"/>
              <w:right w:w="15" w:type="dxa"/>
            </w:tcMar>
            <w:vAlign w:val="center"/>
            <w:hideMark/>
          </w:tcPr>
          <w:p w14:paraId="787B571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7" w:type="pct"/>
            <w:shd w:val="clear" w:color="auto" w:fill="FFFFFF"/>
            <w:tcMar>
              <w:top w:w="15" w:type="dxa"/>
              <w:left w:w="0" w:type="dxa"/>
              <w:bottom w:w="0" w:type="dxa"/>
              <w:right w:w="15" w:type="dxa"/>
            </w:tcMar>
            <w:vAlign w:val="center"/>
            <w:hideMark/>
          </w:tcPr>
          <w:p w14:paraId="2EC9A4D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521237D" w14:textId="77777777">
        <w:trPr>
          <w:divId w:val="913470251"/>
        </w:trPr>
        <w:tc>
          <w:tcPr>
            <w:tcW w:w="495" w:type="pct"/>
            <w:tcBorders>
              <w:top w:val="single" w:sz="6" w:space="0" w:color="000000"/>
            </w:tcBorders>
            <w:shd w:val="clear" w:color="auto" w:fill="FFFFFF"/>
            <w:tcMar>
              <w:top w:w="15" w:type="dxa"/>
              <w:left w:w="0" w:type="dxa"/>
              <w:bottom w:w="0" w:type="dxa"/>
              <w:right w:w="15" w:type="dxa"/>
            </w:tcMar>
            <w:vAlign w:val="center"/>
            <w:hideMark/>
          </w:tcPr>
          <w:p w14:paraId="1EBEA6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27" w:type="pct"/>
            <w:shd w:val="clear" w:color="auto" w:fill="FFFFFF"/>
            <w:tcMar>
              <w:top w:w="15" w:type="dxa"/>
              <w:left w:w="0" w:type="dxa"/>
              <w:bottom w:w="0" w:type="dxa"/>
              <w:right w:w="15" w:type="dxa"/>
            </w:tcMar>
            <w:vAlign w:val="center"/>
            <w:hideMark/>
          </w:tcPr>
          <w:p w14:paraId="12F8949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541" w:type="pct"/>
            <w:tcBorders>
              <w:top w:val="single" w:sz="6" w:space="0" w:color="000000"/>
            </w:tcBorders>
            <w:shd w:val="clear" w:color="auto" w:fill="FFFFFF"/>
            <w:tcMar>
              <w:top w:w="15" w:type="dxa"/>
              <w:left w:w="0" w:type="dxa"/>
              <w:bottom w:w="0" w:type="dxa"/>
              <w:right w:w="15" w:type="dxa"/>
            </w:tcMar>
            <w:vAlign w:val="center"/>
            <w:hideMark/>
          </w:tcPr>
          <w:p w14:paraId="656817D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27" w:type="pct"/>
            <w:shd w:val="clear" w:color="auto" w:fill="FFFFFF"/>
            <w:tcMar>
              <w:top w:w="15" w:type="dxa"/>
              <w:left w:w="0" w:type="dxa"/>
              <w:bottom w:w="0" w:type="dxa"/>
              <w:right w:w="15" w:type="dxa"/>
            </w:tcMar>
            <w:vAlign w:val="center"/>
            <w:hideMark/>
          </w:tcPr>
          <w:p w14:paraId="6567E13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D3888D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LIBOR</w:t>
            </w:r>
          </w:p>
        </w:tc>
        <w:tc>
          <w:tcPr>
            <w:tcW w:w="50" w:type="pct"/>
            <w:shd w:val="clear" w:color="auto" w:fill="FFFFFF"/>
            <w:noWrap/>
            <w:tcMar>
              <w:top w:w="15" w:type="dxa"/>
              <w:left w:w="0" w:type="dxa"/>
              <w:bottom w:w="0" w:type="dxa"/>
              <w:right w:w="15" w:type="dxa"/>
            </w:tcMar>
            <w:vAlign w:val="center"/>
            <w:hideMark/>
          </w:tcPr>
          <w:p w14:paraId="5CE7B73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7" w:type="pct"/>
            <w:tcBorders>
              <w:top w:val="single" w:sz="6" w:space="0" w:color="000000"/>
            </w:tcBorders>
            <w:shd w:val="clear" w:color="auto" w:fill="FFFFFF"/>
            <w:tcMar>
              <w:top w:w="15" w:type="dxa"/>
              <w:left w:w="0" w:type="dxa"/>
              <w:bottom w:w="0" w:type="dxa"/>
              <w:right w:w="15" w:type="dxa"/>
            </w:tcMar>
            <w:vAlign w:val="center"/>
            <w:hideMark/>
          </w:tcPr>
          <w:p w14:paraId="406BA70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7CF34AF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Base Rate</w:t>
            </w:r>
          </w:p>
        </w:tc>
        <w:tc>
          <w:tcPr>
            <w:tcW w:w="50" w:type="pct"/>
            <w:shd w:val="clear" w:color="auto" w:fill="FFFFFF"/>
            <w:noWrap/>
            <w:tcMar>
              <w:top w:w="15" w:type="dxa"/>
              <w:left w:w="0" w:type="dxa"/>
              <w:bottom w:w="0" w:type="dxa"/>
              <w:right w:w="15" w:type="dxa"/>
            </w:tcMar>
            <w:vAlign w:val="center"/>
            <w:hideMark/>
          </w:tcPr>
          <w:p w14:paraId="1C8F27D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7" w:type="pct"/>
            <w:shd w:val="clear" w:color="auto" w:fill="FFFFFF"/>
            <w:tcMar>
              <w:top w:w="15" w:type="dxa"/>
              <w:left w:w="0" w:type="dxa"/>
              <w:bottom w:w="0" w:type="dxa"/>
              <w:right w:w="15" w:type="dxa"/>
            </w:tcMar>
            <w:vAlign w:val="center"/>
            <w:hideMark/>
          </w:tcPr>
          <w:p w14:paraId="3AF83BB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43" w:type="pct"/>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018E3A7"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35E272A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4B547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14:paraId="02B5F85E"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1A05EA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7003996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286AF366" w14:textId="77777777">
        <w:trPr>
          <w:divId w:val="913470251"/>
        </w:trPr>
        <w:tc>
          <w:tcPr>
            <w:tcW w:w="495" w:type="pct"/>
            <w:shd w:val="clear" w:color="auto" w:fill="CFF0FC"/>
            <w:tcMar>
              <w:top w:w="15" w:type="dxa"/>
              <w:left w:w="0" w:type="dxa"/>
              <w:bottom w:w="0" w:type="dxa"/>
              <w:right w:w="15" w:type="dxa"/>
            </w:tcMar>
            <w:vAlign w:val="center"/>
            <w:hideMark/>
          </w:tcPr>
          <w:p w14:paraId="735B6439" w14:textId="77777777" w:rsidR="00000000" w:rsidRDefault="00582324">
            <w:pPr>
              <w:pStyle w:val="a3"/>
              <w:spacing w:before="0" w:beforeAutospacing="0" w:after="0" w:afterAutospacing="0"/>
              <w:jc w:val="center"/>
              <w:rPr>
                <w:color w:val="000000"/>
                <w:sz w:val="18"/>
                <w:szCs w:val="18"/>
              </w:rPr>
            </w:pPr>
            <w:r>
              <w:rPr>
                <w:color w:val="000000"/>
                <w:sz w:val="18"/>
                <w:szCs w:val="18"/>
              </w:rPr>
              <w:t>1</w:t>
            </w:r>
          </w:p>
        </w:tc>
        <w:tc>
          <w:tcPr>
            <w:tcW w:w="127" w:type="pct"/>
            <w:shd w:val="clear" w:color="auto" w:fill="CFF0FC"/>
            <w:tcMar>
              <w:top w:w="15" w:type="dxa"/>
              <w:left w:w="0" w:type="dxa"/>
              <w:bottom w:w="0" w:type="dxa"/>
              <w:right w:w="15" w:type="dxa"/>
            </w:tcMar>
            <w:vAlign w:val="center"/>
            <w:hideMark/>
          </w:tcPr>
          <w:p w14:paraId="1420DB8A"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541" w:type="pct"/>
            <w:shd w:val="clear" w:color="auto" w:fill="CFF0FC"/>
            <w:tcMar>
              <w:top w:w="15" w:type="dxa"/>
              <w:left w:w="0" w:type="dxa"/>
              <w:bottom w:w="0" w:type="dxa"/>
              <w:right w:w="15" w:type="dxa"/>
            </w:tcMar>
            <w:vAlign w:val="center"/>
            <w:hideMark/>
          </w:tcPr>
          <w:p w14:paraId="4B930849" w14:textId="77777777" w:rsidR="00000000" w:rsidRDefault="00582324">
            <w:pPr>
              <w:pStyle w:val="a3"/>
              <w:spacing w:before="0" w:beforeAutospacing="0" w:after="0" w:afterAutospacing="0"/>
              <w:jc w:val="center"/>
              <w:rPr>
                <w:color w:val="000000"/>
                <w:sz w:val="18"/>
                <w:szCs w:val="18"/>
              </w:rPr>
            </w:pPr>
            <w:r>
              <w:rPr>
                <w:color w:val="000000"/>
                <w:sz w:val="18"/>
                <w:szCs w:val="18"/>
              </w:rPr>
              <w:t>≥</w:t>
            </w:r>
            <w:r>
              <w:rPr>
                <w:color w:val="000000"/>
                <w:sz w:val="18"/>
                <w:szCs w:val="18"/>
              </w:rPr>
              <w:t xml:space="preserve"> 3.75x to 1.0</w:t>
            </w:r>
          </w:p>
        </w:tc>
        <w:tc>
          <w:tcPr>
            <w:tcW w:w="127" w:type="pct"/>
            <w:shd w:val="clear" w:color="auto" w:fill="CFF0FC"/>
            <w:tcMar>
              <w:top w:w="15" w:type="dxa"/>
              <w:left w:w="0" w:type="dxa"/>
              <w:bottom w:w="0" w:type="dxa"/>
              <w:right w:w="15" w:type="dxa"/>
            </w:tcMar>
            <w:vAlign w:val="center"/>
            <w:hideMark/>
          </w:tcPr>
          <w:p w14:paraId="62B1B97A"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572558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CFF0FC"/>
            <w:noWrap/>
            <w:tcMar>
              <w:top w:w="15" w:type="dxa"/>
              <w:left w:w="0" w:type="dxa"/>
              <w:bottom w:w="0" w:type="dxa"/>
              <w:right w:w="15" w:type="dxa"/>
            </w:tcMar>
            <w:vAlign w:val="center"/>
            <w:hideMark/>
          </w:tcPr>
          <w:p w14:paraId="4ECCCEB8" w14:textId="77777777" w:rsidR="00000000" w:rsidRDefault="00582324">
            <w:pPr>
              <w:pStyle w:val="a3"/>
              <w:spacing w:before="0" w:beforeAutospacing="0" w:after="0" w:afterAutospacing="0"/>
              <w:jc w:val="center"/>
              <w:rPr>
                <w:color w:val="000000"/>
                <w:sz w:val="18"/>
                <w:szCs w:val="18"/>
              </w:rPr>
            </w:pPr>
            <w:r>
              <w:rPr>
                <w:color w:val="000000"/>
                <w:sz w:val="18"/>
                <w:szCs w:val="18"/>
              </w:rPr>
              <w:t>2.50</w:t>
            </w:r>
          </w:p>
        </w:tc>
        <w:tc>
          <w:tcPr>
            <w:tcW w:w="50" w:type="pct"/>
            <w:shd w:val="clear" w:color="auto" w:fill="CFF0FC"/>
            <w:noWrap/>
            <w:tcMar>
              <w:top w:w="15" w:type="dxa"/>
              <w:left w:w="0" w:type="dxa"/>
              <w:bottom w:w="0" w:type="dxa"/>
              <w:right w:w="15" w:type="dxa"/>
            </w:tcMar>
            <w:vAlign w:val="center"/>
            <w:hideMark/>
          </w:tcPr>
          <w:p w14:paraId="22235A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4159DBDD"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2F5478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CFF0FC"/>
            <w:noWrap/>
            <w:tcMar>
              <w:top w:w="15" w:type="dxa"/>
              <w:left w:w="0" w:type="dxa"/>
              <w:bottom w:w="0" w:type="dxa"/>
              <w:right w:w="15" w:type="dxa"/>
            </w:tcMar>
            <w:vAlign w:val="center"/>
            <w:hideMark/>
          </w:tcPr>
          <w:p w14:paraId="569781E7" w14:textId="77777777" w:rsidR="00000000" w:rsidRDefault="00582324">
            <w:pPr>
              <w:pStyle w:val="a3"/>
              <w:spacing w:before="0" w:beforeAutospacing="0" w:after="0" w:afterAutospacing="0"/>
              <w:jc w:val="center"/>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center"/>
            <w:hideMark/>
          </w:tcPr>
          <w:p w14:paraId="0D5F5E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1EBED714"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43" w:type="pct"/>
            <w:tcBorders>
              <w:top w:val="single" w:sz="6" w:space="0" w:color="000000"/>
            </w:tcBorders>
            <w:shd w:val="clear" w:color="auto" w:fill="CFF0FC"/>
            <w:tcMar>
              <w:top w:w="15" w:type="dxa"/>
              <w:left w:w="0" w:type="dxa"/>
              <w:bottom w:w="0" w:type="dxa"/>
              <w:right w:w="15" w:type="dxa"/>
            </w:tcMar>
            <w:vAlign w:val="center"/>
            <w:hideMark/>
          </w:tcPr>
          <w:p w14:paraId="1A4DECC4" w14:textId="77777777" w:rsidR="00000000" w:rsidRDefault="00582324">
            <w:pPr>
              <w:pStyle w:val="a3"/>
              <w:spacing w:before="0" w:beforeAutospacing="0" w:after="0" w:afterAutospacing="0"/>
              <w:jc w:val="center"/>
              <w:rPr>
                <w:color w:val="000000"/>
                <w:sz w:val="18"/>
                <w:szCs w:val="18"/>
              </w:rPr>
            </w:pPr>
            <w:r>
              <w:rPr>
                <w:color w:val="000000"/>
                <w:sz w:val="18"/>
                <w:szCs w:val="18"/>
              </w:rPr>
              <w:t>0.25</w:t>
            </w:r>
          </w:p>
        </w:tc>
        <w:tc>
          <w:tcPr>
            <w:tcW w:w="127" w:type="pct"/>
            <w:shd w:val="clear" w:color="auto" w:fill="CFF0FC"/>
            <w:tcMar>
              <w:top w:w="15" w:type="dxa"/>
              <w:left w:w="0" w:type="dxa"/>
              <w:bottom w:w="0" w:type="dxa"/>
              <w:right w:w="15" w:type="dxa"/>
            </w:tcMar>
            <w:vAlign w:val="center"/>
            <w:hideMark/>
          </w:tcPr>
          <w:p w14:paraId="3A80CE28"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7A719B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CFF0FC"/>
            <w:noWrap/>
            <w:tcMar>
              <w:top w:w="15" w:type="dxa"/>
              <w:left w:w="0" w:type="dxa"/>
              <w:bottom w:w="0" w:type="dxa"/>
              <w:right w:w="15" w:type="dxa"/>
            </w:tcMar>
            <w:vAlign w:val="center"/>
            <w:hideMark/>
          </w:tcPr>
          <w:p w14:paraId="73726441" w14:textId="77777777" w:rsidR="00000000" w:rsidRDefault="00582324">
            <w:pPr>
              <w:pStyle w:val="a3"/>
              <w:spacing w:before="0" w:beforeAutospacing="0" w:after="0" w:afterAutospacing="0"/>
              <w:jc w:val="center"/>
              <w:rPr>
                <w:color w:val="000000"/>
                <w:sz w:val="18"/>
                <w:szCs w:val="18"/>
              </w:rPr>
            </w:pPr>
            <w:r>
              <w:rPr>
                <w:color w:val="000000"/>
                <w:sz w:val="18"/>
                <w:szCs w:val="18"/>
              </w:rPr>
              <w:t>2.50</w:t>
            </w:r>
          </w:p>
        </w:tc>
        <w:tc>
          <w:tcPr>
            <w:tcW w:w="50" w:type="pct"/>
            <w:shd w:val="clear" w:color="auto" w:fill="CFF0FC"/>
            <w:noWrap/>
            <w:tcMar>
              <w:top w:w="15" w:type="dxa"/>
              <w:left w:w="0" w:type="dxa"/>
              <w:bottom w:w="0" w:type="dxa"/>
              <w:right w:w="15" w:type="dxa"/>
            </w:tcMar>
            <w:vAlign w:val="center"/>
            <w:hideMark/>
          </w:tcPr>
          <w:p w14:paraId="067D03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0504E8FD"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r>
      <w:tr w:rsidR="00000000" w14:paraId="60013F72" w14:textId="77777777">
        <w:trPr>
          <w:divId w:val="913470251"/>
        </w:trPr>
        <w:tc>
          <w:tcPr>
            <w:tcW w:w="495" w:type="pct"/>
            <w:shd w:val="clear" w:color="auto" w:fill="FFFFFF"/>
            <w:tcMar>
              <w:top w:w="15" w:type="dxa"/>
              <w:left w:w="0" w:type="dxa"/>
              <w:bottom w:w="0" w:type="dxa"/>
              <w:right w:w="15" w:type="dxa"/>
            </w:tcMar>
            <w:vAlign w:val="center"/>
            <w:hideMark/>
          </w:tcPr>
          <w:p w14:paraId="2A086074" w14:textId="77777777" w:rsidR="00000000" w:rsidRDefault="00582324">
            <w:pPr>
              <w:pStyle w:val="a3"/>
              <w:spacing w:before="0" w:beforeAutospacing="0" w:after="0" w:afterAutospacing="0"/>
              <w:jc w:val="center"/>
              <w:rPr>
                <w:color w:val="000000"/>
                <w:sz w:val="18"/>
                <w:szCs w:val="18"/>
              </w:rPr>
            </w:pPr>
            <w:r>
              <w:rPr>
                <w:color w:val="000000"/>
                <w:sz w:val="18"/>
                <w:szCs w:val="18"/>
              </w:rPr>
              <w:t>2</w:t>
            </w:r>
          </w:p>
        </w:tc>
        <w:tc>
          <w:tcPr>
            <w:tcW w:w="127" w:type="pct"/>
            <w:shd w:val="clear" w:color="auto" w:fill="FFFFFF"/>
            <w:tcMar>
              <w:top w:w="15" w:type="dxa"/>
              <w:left w:w="0" w:type="dxa"/>
              <w:bottom w:w="0" w:type="dxa"/>
              <w:right w:w="15" w:type="dxa"/>
            </w:tcMar>
            <w:vAlign w:val="center"/>
            <w:hideMark/>
          </w:tcPr>
          <w:p w14:paraId="1E691829"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541" w:type="pct"/>
            <w:shd w:val="clear" w:color="auto" w:fill="FFFFFF"/>
            <w:tcMar>
              <w:top w:w="15" w:type="dxa"/>
              <w:left w:w="0" w:type="dxa"/>
              <w:bottom w:w="0" w:type="dxa"/>
              <w:right w:w="15" w:type="dxa"/>
            </w:tcMar>
            <w:vAlign w:val="center"/>
            <w:hideMark/>
          </w:tcPr>
          <w:p w14:paraId="40D0A474"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&lt;3.75x to 1.0 but </w:t>
            </w:r>
            <w:r>
              <w:rPr>
                <w:color w:val="000000"/>
                <w:sz w:val="18"/>
                <w:szCs w:val="18"/>
              </w:rPr>
              <w:t>≥</w:t>
            </w:r>
            <w:r>
              <w:rPr>
                <w:color w:val="000000"/>
                <w:sz w:val="18"/>
                <w:szCs w:val="18"/>
              </w:rPr>
              <w:t xml:space="preserve"> 3.25 to 1.</w:t>
            </w:r>
            <w:r>
              <w:rPr>
                <w:color w:val="000000"/>
                <w:sz w:val="18"/>
                <w:szCs w:val="18"/>
              </w:rPr>
              <w:t>0</w:t>
            </w:r>
          </w:p>
        </w:tc>
        <w:tc>
          <w:tcPr>
            <w:tcW w:w="127" w:type="pct"/>
            <w:shd w:val="clear" w:color="auto" w:fill="FFFFFF"/>
            <w:tcMar>
              <w:top w:w="15" w:type="dxa"/>
              <w:left w:w="0" w:type="dxa"/>
              <w:bottom w:w="0" w:type="dxa"/>
              <w:right w:w="15" w:type="dxa"/>
            </w:tcMar>
            <w:vAlign w:val="center"/>
            <w:hideMark/>
          </w:tcPr>
          <w:p w14:paraId="1F41BB87"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37C3E5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713B3BCB" w14:textId="77777777" w:rsidR="00000000" w:rsidRDefault="00582324">
            <w:pPr>
              <w:pStyle w:val="a3"/>
              <w:spacing w:before="0" w:beforeAutospacing="0" w:after="0" w:afterAutospacing="0"/>
              <w:jc w:val="center"/>
              <w:rPr>
                <w:color w:val="000000"/>
                <w:sz w:val="18"/>
                <w:szCs w:val="18"/>
              </w:rPr>
            </w:pPr>
            <w:r>
              <w:rPr>
                <w:color w:val="000000"/>
                <w:sz w:val="18"/>
                <w:szCs w:val="18"/>
              </w:rPr>
              <w:t>2.25</w:t>
            </w:r>
          </w:p>
        </w:tc>
        <w:tc>
          <w:tcPr>
            <w:tcW w:w="50" w:type="pct"/>
            <w:shd w:val="clear" w:color="auto" w:fill="FFFFFF"/>
            <w:noWrap/>
            <w:tcMar>
              <w:top w:w="15" w:type="dxa"/>
              <w:left w:w="0" w:type="dxa"/>
              <w:bottom w:w="0" w:type="dxa"/>
              <w:right w:w="15" w:type="dxa"/>
            </w:tcMar>
            <w:vAlign w:val="center"/>
            <w:hideMark/>
          </w:tcPr>
          <w:p w14:paraId="0871DC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13176BF5"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04955A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70C8C77A" w14:textId="77777777" w:rsidR="00000000" w:rsidRDefault="00582324">
            <w:pPr>
              <w:pStyle w:val="a3"/>
              <w:spacing w:before="0" w:beforeAutospacing="0" w:after="0" w:afterAutospacing="0"/>
              <w:jc w:val="center"/>
              <w:rPr>
                <w:color w:val="000000"/>
                <w:sz w:val="18"/>
                <w:szCs w:val="18"/>
              </w:rPr>
            </w:pPr>
            <w:r>
              <w:rPr>
                <w:color w:val="000000"/>
                <w:sz w:val="18"/>
                <w:szCs w:val="18"/>
              </w:rPr>
              <w:t>1.25</w:t>
            </w:r>
          </w:p>
        </w:tc>
        <w:tc>
          <w:tcPr>
            <w:tcW w:w="50" w:type="pct"/>
            <w:shd w:val="clear" w:color="auto" w:fill="FFFFFF"/>
            <w:noWrap/>
            <w:tcMar>
              <w:top w:w="15" w:type="dxa"/>
              <w:left w:w="0" w:type="dxa"/>
              <w:bottom w:w="0" w:type="dxa"/>
              <w:right w:w="15" w:type="dxa"/>
            </w:tcMar>
            <w:vAlign w:val="center"/>
            <w:hideMark/>
          </w:tcPr>
          <w:p w14:paraId="61999A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5CBD21D7"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43" w:type="pct"/>
            <w:shd w:val="clear" w:color="auto" w:fill="FFFFFF"/>
            <w:tcMar>
              <w:top w:w="15" w:type="dxa"/>
              <w:left w:w="0" w:type="dxa"/>
              <w:bottom w:w="0" w:type="dxa"/>
              <w:right w:w="15" w:type="dxa"/>
            </w:tcMar>
            <w:vAlign w:val="center"/>
            <w:hideMark/>
          </w:tcPr>
          <w:p w14:paraId="5EC81F5A" w14:textId="77777777" w:rsidR="00000000" w:rsidRDefault="00582324">
            <w:pPr>
              <w:pStyle w:val="a3"/>
              <w:spacing w:before="0" w:beforeAutospacing="0" w:after="0" w:afterAutospacing="0"/>
              <w:jc w:val="center"/>
              <w:rPr>
                <w:color w:val="000000"/>
                <w:sz w:val="18"/>
                <w:szCs w:val="18"/>
              </w:rPr>
            </w:pPr>
            <w:r>
              <w:rPr>
                <w:color w:val="000000"/>
                <w:sz w:val="18"/>
                <w:szCs w:val="18"/>
              </w:rPr>
              <w:t>0.23</w:t>
            </w:r>
          </w:p>
        </w:tc>
        <w:tc>
          <w:tcPr>
            <w:tcW w:w="127" w:type="pct"/>
            <w:shd w:val="clear" w:color="auto" w:fill="FFFFFF"/>
            <w:tcMar>
              <w:top w:w="15" w:type="dxa"/>
              <w:left w:w="0" w:type="dxa"/>
              <w:bottom w:w="0" w:type="dxa"/>
              <w:right w:w="15" w:type="dxa"/>
            </w:tcMar>
            <w:vAlign w:val="center"/>
            <w:hideMark/>
          </w:tcPr>
          <w:p w14:paraId="3E67AF44"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2ABB88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778132BB" w14:textId="77777777" w:rsidR="00000000" w:rsidRDefault="00582324">
            <w:pPr>
              <w:pStyle w:val="a3"/>
              <w:spacing w:before="0" w:beforeAutospacing="0" w:after="0" w:afterAutospacing="0"/>
              <w:jc w:val="center"/>
              <w:rPr>
                <w:color w:val="000000"/>
                <w:sz w:val="18"/>
                <w:szCs w:val="18"/>
              </w:rPr>
            </w:pPr>
            <w:r>
              <w:rPr>
                <w:color w:val="000000"/>
                <w:sz w:val="18"/>
                <w:szCs w:val="18"/>
              </w:rPr>
              <w:t>2.25</w:t>
            </w:r>
          </w:p>
        </w:tc>
        <w:tc>
          <w:tcPr>
            <w:tcW w:w="50" w:type="pct"/>
            <w:shd w:val="clear" w:color="auto" w:fill="FFFFFF"/>
            <w:noWrap/>
            <w:tcMar>
              <w:top w:w="15" w:type="dxa"/>
              <w:left w:w="0" w:type="dxa"/>
              <w:bottom w:w="0" w:type="dxa"/>
              <w:right w:w="15" w:type="dxa"/>
            </w:tcMar>
            <w:vAlign w:val="center"/>
            <w:hideMark/>
          </w:tcPr>
          <w:p w14:paraId="32841E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1182BFB5"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r>
      <w:tr w:rsidR="00000000" w14:paraId="546EF2C0" w14:textId="77777777">
        <w:trPr>
          <w:divId w:val="913470251"/>
        </w:trPr>
        <w:tc>
          <w:tcPr>
            <w:tcW w:w="495" w:type="pct"/>
            <w:shd w:val="clear" w:color="auto" w:fill="CFF0FC"/>
            <w:tcMar>
              <w:top w:w="15" w:type="dxa"/>
              <w:left w:w="0" w:type="dxa"/>
              <w:bottom w:w="0" w:type="dxa"/>
              <w:right w:w="15" w:type="dxa"/>
            </w:tcMar>
            <w:vAlign w:val="center"/>
            <w:hideMark/>
          </w:tcPr>
          <w:p w14:paraId="2AEBD733" w14:textId="77777777" w:rsidR="00000000" w:rsidRDefault="00582324">
            <w:pPr>
              <w:pStyle w:val="a3"/>
              <w:spacing w:before="0" w:beforeAutospacing="0" w:after="0" w:afterAutospacing="0"/>
              <w:jc w:val="center"/>
              <w:rPr>
                <w:color w:val="000000"/>
                <w:sz w:val="18"/>
                <w:szCs w:val="18"/>
              </w:rPr>
            </w:pPr>
            <w:r>
              <w:rPr>
                <w:color w:val="000000"/>
                <w:sz w:val="18"/>
                <w:szCs w:val="18"/>
              </w:rPr>
              <w:t>3</w:t>
            </w:r>
          </w:p>
        </w:tc>
        <w:tc>
          <w:tcPr>
            <w:tcW w:w="127" w:type="pct"/>
            <w:shd w:val="clear" w:color="auto" w:fill="CFF0FC"/>
            <w:tcMar>
              <w:top w:w="15" w:type="dxa"/>
              <w:left w:w="0" w:type="dxa"/>
              <w:bottom w:w="0" w:type="dxa"/>
              <w:right w:w="15" w:type="dxa"/>
            </w:tcMar>
            <w:vAlign w:val="center"/>
            <w:hideMark/>
          </w:tcPr>
          <w:p w14:paraId="34AB90C0"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541" w:type="pct"/>
            <w:shd w:val="clear" w:color="auto" w:fill="CFF0FC"/>
            <w:tcMar>
              <w:top w:w="15" w:type="dxa"/>
              <w:left w:w="0" w:type="dxa"/>
              <w:bottom w:w="0" w:type="dxa"/>
              <w:right w:w="15" w:type="dxa"/>
            </w:tcMar>
            <w:vAlign w:val="center"/>
            <w:hideMark/>
          </w:tcPr>
          <w:p w14:paraId="34DCEBB2"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&lt;3.25 to 1.0 but </w:t>
            </w:r>
            <w:r>
              <w:rPr>
                <w:color w:val="000000"/>
                <w:sz w:val="18"/>
                <w:szCs w:val="18"/>
              </w:rPr>
              <w:t>≥</w:t>
            </w:r>
            <w:r>
              <w:rPr>
                <w:color w:val="000000"/>
                <w:sz w:val="18"/>
                <w:szCs w:val="18"/>
              </w:rPr>
              <w:t xml:space="preserve"> 2.50 to 1.</w:t>
            </w:r>
            <w:r>
              <w:rPr>
                <w:color w:val="000000"/>
                <w:sz w:val="18"/>
                <w:szCs w:val="18"/>
              </w:rPr>
              <w:t>0</w:t>
            </w:r>
          </w:p>
        </w:tc>
        <w:tc>
          <w:tcPr>
            <w:tcW w:w="127" w:type="pct"/>
            <w:shd w:val="clear" w:color="auto" w:fill="CFF0FC"/>
            <w:tcMar>
              <w:top w:w="15" w:type="dxa"/>
              <w:left w:w="0" w:type="dxa"/>
              <w:bottom w:w="0" w:type="dxa"/>
              <w:right w:w="15" w:type="dxa"/>
            </w:tcMar>
            <w:vAlign w:val="center"/>
            <w:hideMark/>
          </w:tcPr>
          <w:p w14:paraId="1A4ACC41"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428AA3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5BA09701" w14:textId="77777777" w:rsidR="00000000" w:rsidRDefault="00582324">
            <w:pPr>
              <w:pStyle w:val="a3"/>
              <w:spacing w:before="0" w:beforeAutospacing="0" w:after="0" w:afterAutospacing="0"/>
              <w:jc w:val="center"/>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center"/>
            <w:hideMark/>
          </w:tcPr>
          <w:p w14:paraId="3ACDEA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08B510AB"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254D15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19504DCB" w14:textId="77777777" w:rsidR="00000000" w:rsidRDefault="00582324">
            <w:pPr>
              <w:pStyle w:val="a3"/>
              <w:spacing w:before="0" w:beforeAutospacing="0" w:after="0" w:afterAutospacing="0"/>
              <w:jc w:val="center"/>
              <w:rPr>
                <w:color w:val="000000"/>
                <w:sz w:val="18"/>
                <w:szCs w:val="18"/>
              </w:rPr>
            </w:pPr>
            <w:r>
              <w:rPr>
                <w:color w:val="000000"/>
                <w:sz w:val="18"/>
                <w:szCs w:val="18"/>
              </w:rPr>
              <w:t>1.00</w:t>
            </w:r>
          </w:p>
        </w:tc>
        <w:tc>
          <w:tcPr>
            <w:tcW w:w="50" w:type="pct"/>
            <w:shd w:val="clear" w:color="auto" w:fill="CFF0FC"/>
            <w:noWrap/>
            <w:tcMar>
              <w:top w:w="15" w:type="dxa"/>
              <w:left w:w="0" w:type="dxa"/>
              <w:bottom w:w="0" w:type="dxa"/>
              <w:right w:w="15" w:type="dxa"/>
            </w:tcMar>
            <w:vAlign w:val="center"/>
            <w:hideMark/>
          </w:tcPr>
          <w:p w14:paraId="38C52C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7F5870AE"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43" w:type="pct"/>
            <w:shd w:val="clear" w:color="auto" w:fill="CFF0FC"/>
            <w:tcMar>
              <w:top w:w="15" w:type="dxa"/>
              <w:left w:w="0" w:type="dxa"/>
              <w:bottom w:w="0" w:type="dxa"/>
              <w:right w:w="15" w:type="dxa"/>
            </w:tcMar>
            <w:vAlign w:val="center"/>
            <w:hideMark/>
          </w:tcPr>
          <w:p w14:paraId="7EE7D072" w14:textId="77777777" w:rsidR="00000000" w:rsidRDefault="00582324">
            <w:pPr>
              <w:pStyle w:val="a3"/>
              <w:spacing w:before="0" w:beforeAutospacing="0" w:after="0" w:afterAutospacing="0"/>
              <w:jc w:val="center"/>
              <w:rPr>
                <w:color w:val="000000"/>
                <w:sz w:val="18"/>
                <w:szCs w:val="18"/>
              </w:rPr>
            </w:pPr>
            <w:r>
              <w:rPr>
                <w:color w:val="000000"/>
                <w:sz w:val="18"/>
                <w:szCs w:val="18"/>
              </w:rPr>
              <w:t>0.20</w:t>
            </w:r>
          </w:p>
        </w:tc>
        <w:tc>
          <w:tcPr>
            <w:tcW w:w="127" w:type="pct"/>
            <w:shd w:val="clear" w:color="auto" w:fill="CFF0FC"/>
            <w:tcMar>
              <w:top w:w="15" w:type="dxa"/>
              <w:left w:w="0" w:type="dxa"/>
              <w:bottom w:w="0" w:type="dxa"/>
              <w:right w:w="15" w:type="dxa"/>
            </w:tcMar>
            <w:vAlign w:val="center"/>
            <w:hideMark/>
          </w:tcPr>
          <w:p w14:paraId="1E34B4C1"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670716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15E4A9B7" w14:textId="77777777" w:rsidR="00000000" w:rsidRDefault="00582324">
            <w:pPr>
              <w:pStyle w:val="a3"/>
              <w:spacing w:before="0" w:beforeAutospacing="0" w:after="0" w:afterAutospacing="0"/>
              <w:jc w:val="center"/>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center"/>
            <w:hideMark/>
          </w:tcPr>
          <w:p w14:paraId="004F9A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08E8576F"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r>
      <w:tr w:rsidR="00000000" w14:paraId="525F855D" w14:textId="77777777">
        <w:trPr>
          <w:divId w:val="913470251"/>
        </w:trPr>
        <w:tc>
          <w:tcPr>
            <w:tcW w:w="495" w:type="pct"/>
            <w:shd w:val="clear" w:color="auto" w:fill="FFFFFF"/>
            <w:tcMar>
              <w:top w:w="15" w:type="dxa"/>
              <w:left w:w="0" w:type="dxa"/>
              <w:bottom w:w="0" w:type="dxa"/>
              <w:right w:w="15" w:type="dxa"/>
            </w:tcMar>
            <w:vAlign w:val="center"/>
            <w:hideMark/>
          </w:tcPr>
          <w:p w14:paraId="3F638529" w14:textId="77777777" w:rsidR="00000000" w:rsidRDefault="00582324">
            <w:pPr>
              <w:pStyle w:val="a3"/>
              <w:spacing w:before="0" w:beforeAutospacing="0" w:after="0" w:afterAutospacing="0"/>
              <w:jc w:val="center"/>
              <w:rPr>
                <w:color w:val="000000"/>
                <w:sz w:val="18"/>
                <w:szCs w:val="18"/>
              </w:rPr>
            </w:pPr>
            <w:r>
              <w:rPr>
                <w:color w:val="000000"/>
                <w:sz w:val="18"/>
                <w:szCs w:val="18"/>
              </w:rPr>
              <w:t>4</w:t>
            </w:r>
          </w:p>
        </w:tc>
        <w:tc>
          <w:tcPr>
            <w:tcW w:w="127" w:type="pct"/>
            <w:shd w:val="clear" w:color="auto" w:fill="FFFFFF"/>
            <w:tcMar>
              <w:top w:w="15" w:type="dxa"/>
              <w:left w:w="0" w:type="dxa"/>
              <w:bottom w:w="0" w:type="dxa"/>
              <w:right w:w="15" w:type="dxa"/>
            </w:tcMar>
            <w:vAlign w:val="center"/>
            <w:hideMark/>
          </w:tcPr>
          <w:p w14:paraId="67F84325"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541" w:type="pct"/>
            <w:shd w:val="clear" w:color="auto" w:fill="FFFFFF"/>
            <w:tcMar>
              <w:top w:w="15" w:type="dxa"/>
              <w:left w:w="0" w:type="dxa"/>
              <w:bottom w:w="0" w:type="dxa"/>
              <w:right w:w="15" w:type="dxa"/>
            </w:tcMar>
            <w:vAlign w:val="center"/>
            <w:hideMark/>
          </w:tcPr>
          <w:p w14:paraId="3A34C6B2"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&lt;2.50 to 1.0 but </w:t>
            </w:r>
            <w:r>
              <w:rPr>
                <w:color w:val="000000"/>
                <w:sz w:val="18"/>
                <w:szCs w:val="18"/>
              </w:rPr>
              <w:t>≥</w:t>
            </w:r>
            <w:r>
              <w:rPr>
                <w:color w:val="000000"/>
                <w:sz w:val="18"/>
                <w:szCs w:val="18"/>
              </w:rPr>
              <w:t xml:space="preserve"> 1.75 to 1.</w:t>
            </w:r>
            <w:r>
              <w:rPr>
                <w:color w:val="000000"/>
                <w:sz w:val="18"/>
                <w:szCs w:val="18"/>
              </w:rPr>
              <w:t>0</w:t>
            </w:r>
          </w:p>
        </w:tc>
        <w:tc>
          <w:tcPr>
            <w:tcW w:w="127" w:type="pct"/>
            <w:shd w:val="clear" w:color="auto" w:fill="FFFFFF"/>
            <w:tcMar>
              <w:top w:w="15" w:type="dxa"/>
              <w:left w:w="0" w:type="dxa"/>
              <w:bottom w:w="0" w:type="dxa"/>
              <w:right w:w="15" w:type="dxa"/>
            </w:tcMar>
            <w:vAlign w:val="center"/>
            <w:hideMark/>
          </w:tcPr>
          <w:p w14:paraId="15B775DB"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3A3108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0614B532" w14:textId="77777777" w:rsidR="00000000" w:rsidRDefault="00582324">
            <w:pPr>
              <w:pStyle w:val="a3"/>
              <w:spacing w:before="0" w:beforeAutospacing="0" w:after="0" w:afterAutospacing="0"/>
              <w:jc w:val="center"/>
              <w:rPr>
                <w:color w:val="000000"/>
                <w:sz w:val="18"/>
                <w:szCs w:val="18"/>
              </w:rPr>
            </w:pPr>
            <w:r>
              <w:rPr>
                <w:color w:val="000000"/>
                <w:sz w:val="18"/>
                <w:szCs w:val="18"/>
              </w:rPr>
              <w:t>1.75</w:t>
            </w:r>
          </w:p>
        </w:tc>
        <w:tc>
          <w:tcPr>
            <w:tcW w:w="50" w:type="pct"/>
            <w:shd w:val="clear" w:color="auto" w:fill="FFFFFF"/>
            <w:noWrap/>
            <w:tcMar>
              <w:top w:w="15" w:type="dxa"/>
              <w:left w:w="0" w:type="dxa"/>
              <w:bottom w:w="0" w:type="dxa"/>
              <w:right w:w="15" w:type="dxa"/>
            </w:tcMar>
            <w:vAlign w:val="center"/>
            <w:hideMark/>
          </w:tcPr>
          <w:p w14:paraId="6377ED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0AE977A9"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39A040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53E0BB9F" w14:textId="77777777" w:rsidR="00000000" w:rsidRDefault="00582324">
            <w:pPr>
              <w:pStyle w:val="a3"/>
              <w:spacing w:before="0" w:beforeAutospacing="0" w:after="0" w:afterAutospacing="0"/>
              <w:jc w:val="center"/>
              <w:rPr>
                <w:color w:val="000000"/>
                <w:sz w:val="18"/>
                <w:szCs w:val="18"/>
              </w:rPr>
            </w:pPr>
            <w:r>
              <w:rPr>
                <w:color w:val="000000"/>
                <w:sz w:val="18"/>
                <w:szCs w:val="18"/>
              </w:rPr>
              <w:t>0.75</w:t>
            </w:r>
          </w:p>
        </w:tc>
        <w:tc>
          <w:tcPr>
            <w:tcW w:w="50" w:type="pct"/>
            <w:shd w:val="clear" w:color="auto" w:fill="FFFFFF"/>
            <w:noWrap/>
            <w:tcMar>
              <w:top w:w="15" w:type="dxa"/>
              <w:left w:w="0" w:type="dxa"/>
              <w:bottom w:w="0" w:type="dxa"/>
              <w:right w:w="15" w:type="dxa"/>
            </w:tcMar>
            <w:vAlign w:val="center"/>
            <w:hideMark/>
          </w:tcPr>
          <w:p w14:paraId="6F8AB3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371909EA"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43" w:type="pct"/>
            <w:shd w:val="clear" w:color="auto" w:fill="FFFFFF"/>
            <w:tcMar>
              <w:top w:w="15" w:type="dxa"/>
              <w:left w:w="0" w:type="dxa"/>
              <w:bottom w:w="0" w:type="dxa"/>
              <w:right w:w="15" w:type="dxa"/>
            </w:tcMar>
            <w:vAlign w:val="center"/>
            <w:hideMark/>
          </w:tcPr>
          <w:p w14:paraId="569E304C" w14:textId="77777777" w:rsidR="00000000" w:rsidRDefault="00582324">
            <w:pPr>
              <w:pStyle w:val="a3"/>
              <w:spacing w:before="0" w:beforeAutospacing="0" w:after="0" w:afterAutospacing="0"/>
              <w:jc w:val="center"/>
              <w:rPr>
                <w:color w:val="000000"/>
                <w:sz w:val="18"/>
                <w:szCs w:val="18"/>
              </w:rPr>
            </w:pPr>
            <w:r>
              <w:rPr>
                <w:color w:val="000000"/>
                <w:sz w:val="18"/>
                <w:szCs w:val="18"/>
              </w:rPr>
              <w:t>0.15</w:t>
            </w:r>
          </w:p>
        </w:tc>
        <w:tc>
          <w:tcPr>
            <w:tcW w:w="127" w:type="pct"/>
            <w:shd w:val="clear" w:color="auto" w:fill="FFFFFF"/>
            <w:tcMar>
              <w:top w:w="15" w:type="dxa"/>
              <w:left w:w="0" w:type="dxa"/>
              <w:bottom w:w="0" w:type="dxa"/>
              <w:right w:w="15" w:type="dxa"/>
            </w:tcMar>
            <w:vAlign w:val="center"/>
            <w:hideMark/>
          </w:tcPr>
          <w:p w14:paraId="0DAFA8BB"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26E8CE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center"/>
            <w:hideMark/>
          </w:tcPr>
          <w:p w14:paraId="4C4A940E" w14:textId="77777777" w:rsidR="00000000" w:rsidRDefault="00582324">
            <w:pPr>
              <w:pStyle w:val="a3"/>
              <w:spacing w:before="0" w:beforeAutospacing="0" w:after="0" w:afterAutospacing="0"/>
              <w:jc w:val="center"/>
              <w:rPr>
                <w:color w:val="000000"/>
                <w:sz w:val="18"/>
                <w:szCs w:val="18"/>
              </w:rPr>
            </w:pPr>
            <w:r>
              <w:rPr>
                <w:color w:val="000000"/>
                <w:sz w:val="18"/>
                <w:szCs w:val="18"/>
              </w:rPr>
              <w:t>1.75</w:t>
            </w:r>
          </w:p>
        </w:tc>
        <w:tc>
          <w:tcPr>
            <w:tcW w:w="50" w:type="pct"/>
            <w:shd w:val="clear" w:color="auto" w:fill="FFFFFF"/>
            <w:noWrap/>
            <w:tcMar>
              <w:top w:w="15" w:type="dxa"/>
              <w:left w:w="0" w:type="dxa"/>
              <w:bottom w:w="0" w:type="dxa"/>
              <w:right w:w="15" w:type="dxa"/>
            </w:tcMar>
            <w:vAlign w:val="center"/>
            <w:hideMark/>
          </w:tcPr>
          <w:p w14:paraId="641EBA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FFFFFF"/>
            <w:tcMar>
              <w:top w:w="15" w:type="dxa"/>
              <w:left w:w="0" w:type="dxa"/>
              <w:bottom w:w="0" w:type="dxa"/>
              <w:right w:w="15" w:type="dxa"/>
            </w:tcMar>
            <w:vAlign w:val="center"/>
            <w:hideMark/>
          </w:tcPr>
          <w:p w14:paraId="09D52E57"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r>
      <w:tr w:rsidR="00000000" w14:paraId="0CDF3A6E" w14:textId="77777777">
        <w:trPr>
          <w:divId w:val="913470251"/>
        </w:trPr>
        <w:tc>
          <w:tcPr>
            <w:tcW w:w="495" w:type="pct"/>
            <w:shd w:val="clear" w:color="auto" w:fill="CFF0FC"/>
            <w:tcMar>
              <w:top w:w="15" w:type="dxa"/>
              <w:left w:w="0" w:type="dxa"/>
              <w:bottom w:w="0" w:type="dxa"/>
              <w:right w:w="15" w:type="dxa"/>
            </w:tcMar>
            <w:vAlign w:val="center"/>
            <w:hideMark/>
          </w:tcPr>
          <w:p w14:paraId="358C1EBF" w14:textId="77777777" w:rsidR="00000000" w:rsidRDefault="00582324">
            <w:pPr>
              <w:pStyle w:val="a3"/>
              <w:spacing w:before="0" w:beforeAutospacing="0" w:after="0" w:afterAutospacing="0"/>
              <w:jc w:val="center"/>
              <w:rPr>
                <w:color w:val="000000"/>
                <w:sz w:val="18"/>
                <w:szCs w:val="18"/>
              </w:rPr>
            </w:pPr>
            <w:r>
              <w:rPr>
                <w:color w:val="000000"/>
                <w:sz w:val="18"/>
                <w:szCs w:val="18"/>
              </w:rPr>
              <w:t>5</w:t>
            </w:r>
          </w:p>
        </w:tc>
        <w:tc>
          <w:tcPr>
            <w:tcW w:w="127" w:type="pct"/>
            <w:shd w:val="clear" w:color="auto" w:fill="CFF0FC"/>
            <w:tcMar>
              <w:top w:w="15" w:type="dxa"/>
              <w:left w:w="0" w:type="dxa"/>
              <w:bottom w:w="0" w:type="dxa"/>
              <w:right w:w="15" w:type="dxa"/>
            </w:tcMar>
            <w:vAlign w:val="center"/>
            <w:hideMark/>
          </w:tcPr>
          <w:p w14:paraId="5B8456AF"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1541" w:type="pct"/>
            <w:shd w:val="clear" w:color="auto" w:fill="CFF0FC"/>
            <w:tcMar>
              <w:top w:w="15" w:type="dxa"/>
              <w:left w:w="0" w:type="dxa"/>
              <w:bottom w:w="0" w:type="dxa"/>
              <w:right w:w="15" w:type="dxa"/>
            </w:tcMar>
            <w:vAlign w:val="center"/>
            <w:hideMark/>
          </w:tcPr>
          <w:p w14:paraId="7EFE547B" w14:textId="77777777" w:rsidR="00000000" w:rsidRDefault="00582324">
            <w:pPr>
              <w:pStyle w:val="a3"/>
              <w:spacing w:before="0" w:beforeAutospacing="0" w:after="0" w:afterAutospacing="0"/>
              <w:jc w:val="center"/>
              <w:rPr>
                <w:color w:val="000000"/>
                <w:sz w:val="18"/>
                <w:szCs w:val="18"/>
              </w:rPr>
            </w:pPr>
            <w:r>
              <w:rPr>
                <w:color w:val="000000"/>
                <w:sz w:val="18"/>
                <w:szCs w:val="18"/>
              </w:rPr>
              <w:t>&lt;1.75 to 1.</w:t>
            </w:r>
            <w:r>
              <w:rPr>
                <w:color w:val="000000"/>
                <w:sz w:val="18"/>
                <w:szCs w:val="18"/>
              </w:rPr>
              <w:t>0</w:t>
            </w:r>
          </w:p>
        </w:tc>
        <w:tc>
          <w:tcPr>
            <w:tcW w:w="127" w:type="pct"/>
            <w:shd w:val="clear" w:color="auto" w:fill="CFF0FC"/>
            <w:tcMar>
              <w:top w:w="15" w:type="dxa"/>
              <w:left w:w="0" w:type="dxa"/>
              <w:bottom w:w="0" w:type="dxa"/>
              <w:right w:w="15" w:type="dxa"/>
            </w:tcMar>
            <w:vAlign w:val="center"/>
            <w:hideMark/>
          </w:tcPr>
          <w:p w14:paraId="7DFBFBE0"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46FAB0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1A595AEF" w14:textId="77777777" w:rsidR="00000000" w:rsidRDefault="00582324">
            <w:pPr>
              <w:pStyle w:val="a3"/>
              <w:spacing w:before="0" w:beforeAutospacing="0" w:after="0" w:afterAutospacing="0"/>
              <w:jc w:val="center"/>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center"/>
            <w:hideMark/>
          </w:tcPr>
          <w:p w14:paraId="710234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7C969D64"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392109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43793D2B" w14:textId="77777777" w:rsidR="00000000" w:rsidRDefault="00582324">
            <w:pPr>
              <w:pStyle w:val="a3"/>
              <w:spacing w:before="0" w:beforeAutospacing="0" w:after="0" w:afterAutospacing="0"/>
              <w:jc w:val="center"/>
              <w:rPr>
                <w:color w:val="000000"/>
                <w:sz w:val="18"/>
                <w:szCs w:val="18"/>
              </w:rPr>
            </w:pPr>
            <w:r>
              <w:rPr>
                <w:color w:val="000000"/>
                <w:sz w:val="18"/>
                <w:szCs w:val="18"/>
              </w:rPr>
              <w:t>0.50</w:t>
            </w:r>
          </w:p>
        </w:tc>
        <w:tc>
          <w:tcPr>
            <w:tcW w:w="50" w:type="pct"/>
            <w:shd w:val="clear" w:color="auto" w:fill="CFF0FC"/>
            <w:noWrap/>
            <w:tcMar>
              <w:top w:w="15" w:type="dxa"/>
              <w:left w:w="0" w:type="dxa"/>
              <w:bottom w:w="0" w:type="dxa"/>
              <w:right w:w="15" w:type="dxa"/>
            </w:tcMar>
            <w:vAlign w:val="center"/>
            <w:hideMark/>
          </w:tcPr>
          <w:p w14:paraId="1D2C82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4F9BEC19"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43" w:type="pct"/>
            <w:shd w:val="clear" w:color="auto" w:fill="CFF0FC"/>
            <w:tcMar>
              <w:top w:w="15" w:type="dxa"/>
              <w:left w:w="0" w:type="dxa"/>
              <w:bottom w:w="0" w:type="dxa"/>
              <w:right w:w="15" w:type="dxa"/>
            </w:tcMar>
            <w:vAlign w:val="center"/>
            <w:hideMark/>
          </w:tcPr>
          <w:p w14:paraId="2BBD48DC" w14:textId="77777777" w:rsidR="00000000" w:rsidRDefault="00582324">
            <w:pPr>
              <w:pStyle w:val="a3"/>
              <w:spacing w:before="0" w:beforeAutospacing="0" w:after="0" w:afterAutospacing="0"/>
              <w:jc w:val="center"/>
              <w:rPr>
                <w:color w:val="000000"/>
                <w:sz w:val="18"/>
                <w:szCs w:val="18"/>
              </w:rPr>
            </w:pPr>
            <w:r>
              <w:rPr>
                <w:color w:val="000000"/>
                <w:sz w:val="18"/>
                <w:szCs w:val="18"/>
              </w:rPr>
              <w:t>0.15</w:t>
            </w:r>
          </w:p>
        </w:tc>
        <w:tc>
          <w:tcPr>
            <w:tcW w:w="127" w:type="pct"/>
            <w:shd w:val="clear" w:color="auto" w:fill="CFF0FC"/>
            <w:tcMar>
              <w:top w:w="15" w:type="dxa"/>
              <w:left w:w="0" w:type="dxa"/>
              <w:bottom w:w="0" w:type="dxa"/>
              <w:right w:w="15" w:type="dxa"/>
            </w:tcMar>
            <w:vAlign w:val="center"/>
            <w:hideMark/>
          </w:tcPr>
          <w:p w14:paraId="17A0E83B"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12F9DD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CFF0FC"/>
            <w:noWrap/>
            <w:tcMar>
              <w:top w:w="15" w:type="dxa"/>
              <w:left w:w="0" w:type="dxa"/>
              <w:bottom w:w="0" w:type="dxa"/>
              <w:right w:w="15" w:type="dxa"/>
            </w:tcMar>
            <w:vAlign w:val="center"/>
            <w:hideMark/>
          </w:tcPr>
          <w:p w14:paraId="16BDD391" w14:textId="77777777" w:rsidR="00000000" w:rsidRDefault="00582324">
            <w:pPr>
              <w:pStyle w:val="a3"/>
              <w:spacing w:before="0" w:beforeAutospacing="0" w:after="0" w:afterAutospacing="0"/>
              <w:jc w:val="center"/>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center"/>
            <w:hideMark/>
          </w:tcPr>
          <w:p w14:paraId="0B6A24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27" w:type="pct"/>
            <w:shd w:val="clear" w:color="auto" w:fill="CFF0FC"/>
            <w:tcMar>
              <w:top w:w="15" w:type="dxa"/>
              <w:left w:w="0" w:type="dxa"/>
              <w:bottom w:w="0" w:type="dxa"/>
              <w:right w:w="15" w:type="dxa"/>
            </w:tcMar>
            <w:vAlign w:val="center"/>
            <w:hideMark/>
          </w:tcPr>
          <w:p w14:paraId="0218CF8E" w14:textId="77777777" w:rsidR="00000000" w:rsidRDefault="00582324">
            <w:pPr>
              <w:pStyle w:val="a3"/>
              <w:spacing w:before="0" w:beforeAutospacing="0" w:after="0" w:afterAutospacing="0"/>
              <w:jc w:val="center"/>
              <w:rPr>
                <w:color w:val="000000"/>
                <w:sz w:val="2"/>
                <w:szCs w:val="2"/>
              </w:rPr>
            </w:pPr>
            <w:r>
              <w:rPr>
                <w:color w:val="000000"/>
                <w:sz w:val="2"/>
                <w:szCs w:val="2"/>
              </w:rPr>
              <w:t> </w:t>
            </w:r>
          </w:p>
        </w:tc>
      </w:tr>
    </w:tbl>
    <w:p w14:paraId="6AD13825" w14:textId="77777777" w:rsidR="00000000" w:rsidRDefault="00582324">
      <w:pPr>
        <w:pStyle w:val="a3"/>
        <w:spacing w:before="120" w:beforeAutospacing="0" w:after="0" w:afterAutospacing="0"/>
        <w:ind w:firstLine="416"/>
        <w:rPr>
          <w:color w:val="000000"/>
          <w:sz w:val="20"/>
          <w:szCs w:val="20"/>
        </w:rPr>
      </w:pPr>
      <w:r>
        <w:rPr>
          <w:color w:val="000000"/>
          <w:sz w:val="20"/>
          <w:szCs w:val="20"/>
        </w:rPr>
        <w:t>Additionally, the Company may receive an interest rate adjustment of up to 0.05% under the 2021 Credit Facility based on the Company’s performance against certain defined sustainability and environmental, social and govern</w:t>
      </w:r>
      <w:r>
        <w:rPr>
          <w:color w:val="000000"/>
          <w:sz w:val="20"/>
          <w:szCs w:val="20"/>
        </w:rPr>
        <w:t xml:space="preserve">ance related objectives. </w:t>
      </w:r>
    </w:p>
    <w:p w14:paraId="7763DE63" w14:textId="77777777" w:rsidR="00000000" w:rsidRDefault="00582324">
      <w:pPr>
        <w:pStyle w:val="a3"/>
        <w:spacing w:before="240" w:beforeAutospacing="0" w:after="0" w:afterAutospacing="0"/>
        <w:ind w:firstLine="416"/>
        <w:rPr>
          <w:color w:val="000000"/>
          <w:sz w:val="20"/>
          <w:szCs w:val="20"/>
        </w:rPr>
      </w:pPr>
      <w:r>
        <w:rPr>
          <w:color w:val="000000"/>
          <w:sz w:val="20"/>
          <w:szCs w:val="20"/>
          <w:shd w:val="clear" w:color="auto" w:fill="FFFFFF"/>
        </w:rPr>
        <w:t xml:space="preserve">The </w:t>
      </w:r>
      <w:r>
        <w:rPr>
          <w:color w:val="000000"/>
          <w:sz w:val="20"/>
          <w:szCs w:val="20"/>
        </w:rPr>
        <w:t>2021 Credit Facility</w:t>
      </w:r>
      <w:r>
        <w:rPr>
          <w:color w:val="000000"/>
          <w:sz w:val="20"/>
          <w:szCs w:val="20"/>
          <w:shd w:val="clear" w:color="auto" w:fill="FFFFFF"/>
        </w:rPr>
        <w:t xml:space="preserve"> includes a number of covenants imposing certain restrictions on the Company’s business, including, among other things, </w:t>
      </w:r>
      <w:r>
        <w:rPr>
          <w:color w:val="000000"/>
          <w:sz w:val="20"/>
          <w:szCs w:val="20"/>
        </w:rPr>
        <w:t>restrictions on the Company’</w:t>
      </w:r>
      <w:r>
        <w:rPr>
          <w:color w:val="000000"/>
          <w:sz w:val="20"/>
          <w:szCs w:val="20"/>
        </w:rPr>
        <w:t>s ability, subject to certain exceptions and baskets, to incur indebtedness, incur liens on its assets, agree to any additional negative pledges, pay dividends or repurchase stock, limit the ability of its subsidiaries to pay dividends or distribute assets</w:t>
      </w:r>
      <w:r>
        <w:rPr>
          <w:color w:val="000000"/>
          <w:sz w:val="20"/>
          <w:szCs w:val="20"/>
        </w:rPr>
        <w:t xml:space="preserve">, make investments, enter into any transaction of merger or consolidation, liquidate, wind-up or dissolve, or convey any part of its business, assets or property, or acquire the business, property or assets of another person, enter into sale and leaseback </w:t>
      </w:r>
      <w:r>
        <w:rPr>
          <w:color w:val="000000"/>
          <w:sz w:val="20"/>
          <w:szCs w:val="20"/>
        </w:rPr>
        <w:t>transactions, enter into certain transactions with affiliates, engage in any material line of business substantially different from those engaged on the closing date, modify the terms of indebtedness subordinated to the loans incurred under the 2021 Credit</w:t>
      </w:r>
      <w:r>
        <w:rPr>
          <w:color w:val="000000"/>
          <w:sz w:val="20"/>
          <w:szCs w:val="20"/>
        </w:rPr>
        <w:t xml:space="preserve"> Facility and modify the terms of its organizational documents. The 2021 Credit Facility also includes</w:t>
      </w:r>
      <w:r>
        <w:rPr>
          <w:color w:val="000000"/>
          <w:sz w:val="20"/>
          <w:szCs w:val="20"/>
          <w:shd w:val="clear" w:color="auto" w:fill="FFFFFF"/>
        </w:rPr>
        <w:t xml:space="preserve"> financial covenants requiring the Company to remain below a maximum total net leverage ratio of 4.25 times, which steps down to 4.00 times beginning with</w:t>
      </w:r>
      <w:r>
        <w:rPr>
          <w:color w:val="000000"/>
          <w:sz w:val="20"/>
          <w:szCs w:val="20"/>
          <w:shd w:val="clear" w:color="auto" w:fill="FFFFFF"/>
        </w:rPr>
        <w:t xml:space="preserve"> the fiscal quarter ending December 31, 2022 through and including the fiscal quarter ending September 30, 2023 and then to 3.75 times beginning with the fiscal quarter ending December 31, 2023, and a minimum fixed charge coverage ratio of 1.25 times. As o</w:t>
      </w:r>
      <w:r>
        <w:rPr>
          <w:color w:val="000000"/>
          <w:sz w:val="20"/>
          <w:szCs w:val="20"/>
          <w:shd w:val="clear" w:color="auto" w:fill="FFFFFF"/>
        </w:rPr>
        <w:t>f June 30, 2021, the Company’s consolidated total leverage ratio (as defined in the 2021 Credit Facility) was 3.1 times.</w:t>
      </w:r>
    </w:p>
    <w:p w14:paraId="4D576FBB" w14:textId="77777777" w:rsidR="00000000" w:rsidRDefault="00582324">
      <w:pPr>
        <w:pStyle w:val="a3"/>
        <w:spacing w:before="240" w:beforeAutospacing="0" w:after="0" w:afterAutospacing="0"/>
        <w:ind w:firstLine="416"/>
        <w:rPr>
          <w:color w:val="000000"/>
          <w:sz w:val="20"/>
          <w:szCs w:val="20"/>
        </w:rPr>
      </w:pPr>
      <w:r>
        <w:rPr>
          <w:color w:val="000000"/>
          <w:sz w:val="20"/>
          <w:szCs w:val="20"/>
          <w:shd w:val="clear" w:color="auto" w:fill="FFFFFF"/>
        </w:rPr>
        <w:t>The 2021 Credit Facility requires customary mandatory prepayments of the term loan and revolver and cash collateralization of letters o</w:t>
      </w:r>
      <w:r>
        <w:rPr>
          <w:color w:val="000000"/>
          <w:sz w:val="20"/>
          <w:szCs w:val="20"/>
          <w:shd w:val="clear" w:color="auto" w:fill="FFFFFF"/>
        </w:rPr>
        <w:t xml:space="preserve">f credit, subject to customary exceptions, including 100% of the proceeds of debt not permitted by the 2021 Credit Facility, 100% of the proceeds of certain dispositions, subject to customary reinvestment rights, where applicable, and 100% of insurance or </w:t>
      </w:r>
      <w:r>
        <w:rPr>
          <w:color w:val="000000"/>
          <w:sz w:val="20"/>
          <w:szCs w:val="20"/>
          <w:shd w:val="clear" w:color="auto" w:fill="FFFFFF"/>
        </w:rPr>
        <w:t>condemnation proceeds, subject to customary reinvestment rights, where applicable. The 2021 Credit Facility also includes customary events of default and related acceleration and termination rights.</w:t>
      </w:r>
    </w:p>
    <w:p w14:paraId="2E6624D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weighted average interest rate on the 2021 Credit Fac</w:t>
      </w:r>
      <w:r>
        <w:rPr>
          <w:color w:val="000000"/>
          <w:sz w:val="20"/>
          <w:szCs w:val="20"/>
        </w:rPr>
        <w:t>ility as of June 30, 2021 was 2.1%.</w:t>
      </w:r>
    </w:p>
    <w:p w14:paraId="1F9FFFA9"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Company’s obligations under the 2021 Credit Facility are guaranteed by certain of the Company’s existing and future direct and indirect subsidiaries, and such obligations are secured by substantially all of the Compa</w:t>
      </w:r>
      <w:r>
        <w:rPr>
          <w:color w:val="000000"/>
          <w:sz w:val="20"/>
          <w:szCs w:val="20"/>
        </w:rPr>
        <w:t>ny’s assets, including the capital stock or other equity interests in those subsidiaries.</w:t>
      </w:r>
    </w:p>
    <w:p w14:paraId="581FA8AC"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2020 Credit Facility</w:t>
      </w:r>
      <w:r>
        <w:rPr>
          <w:color w:val="000000"/>
          <w:sz w:val="20"/>
          <w:szCs w:val="20"/>
        </w:rPr>
        <w:t>—</w:t>
      </w:r>
      <w:r>
        <w:rPr>
          <w:color w:val="000000"/>
          <w:sz w:val="20"/>
          <w:szCs w:val="20"/>
          <w:shd w:val="clear" w:color="auto" w:fill="FFFFFF"/>
        </w:rPr>
        <w:t>On April 13, 2020, the Company entered into a Unitranche Credit Agreement (the “2020 Credit Facility”)</w:t>
      </w:r>
      <w:r>
        <w:rPr>
          <w:color w:val="000000"/>
          <w:sz w:val="20"/>
          <w:szCs w:val="20"/>
        </w:rPr>
        <w:t xml:space="preserve">, which was paid in full in April 2021 via </w:t>
      </w:r>
      <w:r>
        <w:rPr>
          <w:color w:val="000000"/>
          <w:sz w:val="20"/>
          <w:szCs w:val="20"/>
        </w:rPr>
        <w:t>proceeds from the issuance of the 2021 Credit Facility,</w:t>
      </w:r>
      <w:r>
        <w:rPr>
          <w:color w:val="000000"/>
          <w:sz w:val="20"/>
          <w:szCs w:val="20"/>
          <w:shd w:val="clear" w:color="auto" w:fill="FFFFFF"/>
        </w:rPr>
        <w:t xml:space="preserve"> which consisted of a $225.0 million credit facility comprised of a $175.0 million term loan and a $50.0 million revolving credit facility. T</w:t>
      </w:r>
      <w:r>
        <w:rPr>
          <w:color w:val="000000"/>
          <w:sz w:val="20"/>
          <w:szCs w:val="20"/>
        </w:rPr>
        <w:t>he 2020 Credit Facility maturity date was April 2025. Up unt</w:t>
      </w:r>
      <w:r>
        <w:rPr>
          <w:color w:val="000000"/>
          <w:sz w:val="20"/>
          <w:szCs w:val="20"/>
        </w:rPr>
        <w:t>il October 6, 2020, the term loan and the revolver bore interest at LIBOR plus 5.0% with a 1.0% LIBOR floor or the base rate plus 4.0% and LIBOR plus 3.5% </w:t>
      </w:r>
      <w:r>
        <w:rPr>
          <w:color w:val="000000"/>
          <w:sz w:val="20"/>
          <w:szCs w:val="20"/>
          <w:shd w:val="clear" w:color="auto" w:fill="FFFFFF"/>
        </w:rPr>
        <w:t>or the base rate plus 2.5%</w:t>
      </w:r>
      <w:r>
        <w:rPr>
          <w:color w:val="000000"/>
          <w:sz w:val="20"/>
          <w:szCs w:val="20"/>
        </w:rPr>
        <w:t>, respectively. Effective October 6, 2020, the Company amended the 2020 Cre</w:t>
      </w:r>
      <w:r>
        <w:rPr>
          <w:color w:val="000000"/>
          <w:sz w:val="20"/>
          <w:szCs w:val="20"/>
        </w:rPr>
        <w:t xml:space="preserve">dit Facility to provide for a reduction on the applicable interest rate on the term loan from LIBOR plus 5.0% with a 1.0% LIBOR floor to LIBOR plus 4.5% with a 1.0% LIBOR floor. The revolver interest rate remained unchanged. </w:t>
      </w:r>
      <w:r>
        <w:rPr>
          <w:color w:val="000000"/>
          <w:sz w:val="20"/>
          <w:szCs w:val="20"/>
          <w:shd w:val="clear" w:color="auto" w:fill="FFFFFF"/>
        </w:rPr>
        <w:t>The revolver was also subject t</w:t>
      </w:r>
      <w:r>
        <w:rPr>
          <w:color w:val="000000"/>
          <w:sz w:val="20"/>
          <w:szCs w:val="20"/>
          <w:shd w:val="clear" w:color="auto" w:fill="FFFFFF"/>
        </w:rPr>
        <w:t>o an unused commitment fee of 0.35%. The Term Loan had quarterly repayments that started on September 30, 2020 of $0.5 million, increasing to $1.1 million on September 30, 2021 and further increasing to $1.6 million on September 30, 2022, with the remainin</w:t>
      </w:r>
      <w:r>
        <w:rPr>
          <w:color w:val="000000"/>
          <w:sz w:val="20"/>
          <w:szCs w:val="20"/>
          <w:shd w:val="clear" w:color="auto" w:fill="FFFFFF"/>
        </w:rPr>
        <w:t>g outstanding principal amount due on the maturity date.</w:t>
      </w:r>
      <w:r>
        <w:rPr>
          <w:color w:val="000000"/>
        </w:rPr>
        <w:t xml:space="preserve">   </w:t>
      </w:r>
    </w:p>
    <w:p w14:paraId="5196A3C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 xml:space="preserve">The 2020 Credit Facility contained financial covenants requiring the Company to remain below a maximum consolidated total leverage ratio of 4.25 times, which would have stepped down to 4.00 times </w:t>
      </w:r>
      <w:r>
        <w:rPr>
          <w:color w:val="000000"/>
          <w:sz w:val="20"/>
          <w:szCs w:val="20"/>
          <w:shd w:val="clear" w:color="auto" w:fill="FFFFFF"/>
        </w:rPr>
        <w:t xml:space="preserve">beginning December 31, 2021 and then to 3.75 times beginning December 31, </w:t>
      </w:r>
      <w:r>
        <w:rPr>
          <w:color w:val="000000"/>
          <w:sz w:val="20"/>
          <w:szCs w:val="20"/>
        </w:rPr>
        <w:t>2022</w:t>
      </w:r>
      <w:r>
        <w:rPr>
          <w:color w:val="000000"/>
          <w:sz w:val="20"/>
          <w:szCs w:val="20"/>
          <w:shd w:val="clear" w:color="auto" w:fill="FFFFFF"/>
        </w:rPr>
        <w:t>, and a minimum consolidated fixed charge coverage ratio of 1.25 times. As of December 31, 2020, the Company’s consolidated total leverage ratio (as defined in the 2020 Credit Fa</w:t>
      </w:r>
      <w:r>
        <w:rPr>
          <w:color w:val="000000"/>
          <w:sz w:val="20"/>
          <w:szCs w:val="20"/>
          <w:shd w:val="clear" w:color="auto" w:fill="FFFFFF"/>
        </w:rPr>
        <w:t xml:space="preserve">cility) was 2.7 times. </w:t>
      </w:r>
    </w:p>
    <w:p w14:paraId="1B14F1B7"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The resulting loss on extinguishment upon repayment of the 2020 Credit Facility amounted to $4.1 million, of which $1.0 million was related to fees paid and $3.1 related to unamortized debt issuance costs. Total loss on extinguishme</w:t>
      </w:r>
      <w:r>
        <w:rPr>
          <w:color w:val="000000"/>
          <w:sz w:val="20"/>
          <w:szCs w:val="20"/>
          <w:shd w:val="clear" w:color="auto" w:fill="FFFFFF"/>
        </w:rPr>
        <w:t>nt is recorded in interest expense-net within the condensed consolidated statement of operations for the three and six months ended June 30, 2021.</w:t>
      </w:r>
    </w:p>
    <w:p w14:paraId="0D89C1B7" w14:textId="77777777" w:rsidR="00000000" w:rsidRDefault="00582324">
      <w:pPr>
        <w:pStyle w:val="a3"/>
        <w:spacing w:before="240" w:beforeAutospacing="0" w:after="0" w:afterAutospacing="0"/>
        <w:jc w:val="center"/>
        <w:rPr>
          <w:sz w:val="20"/>
          <w:szCs w:val="20"/>
        </w:rPr>
      </w:pPr>
      <w:r>
        <w:rPr>
          <w:sz w:val="20"/>
          <w:szCs w:val="20"/>
        </w:rPr>
        <w:t>18</w:t>
      </w:r>
    </w:p>
    <w:p w14:paraId="78D940D9" w14:textId="77777777" w:rsidR="00000000" w:rsidRDefault="00582324">
      <w:pPr>
        <w:rPr>
          <w:rFonts w:eastAsia="Times New Roman"/>
        </w:rPr>
      </w:pPr>
      <w:r>
        <w:rPr>
          <w:rFonts w:eastAsia="Times New Roman"/>
        </w:rPr>
        <w:pict w14:anchorId="41F3A614">
          <v:rect id="_x0000_i1044" style="width:0;height:1.5pt" o:hralign="center" o:hrstd="t" o:hr="t" fillcolor="#a0a0a0" stroked="f"/>
        </w:pict>
      </w:r>
    </w:p>
    <w:p w14:paraId="4199CDF3" w14:textId="77777777" w:rsidR="00000000" w:rsidRDefault="00582324">
      <w:pPr>
        <w:pStyle w:val="a3"/>
        <w:spacing w:before="0" w:beforeAutospacing="0" w:after="0" w:afterAutospacing="0"/>
        <w:rPr>
          <w:sz w:val="20"/>
          <w:szCs w:val="20"/>
        </w:rPr>
      </w:pPr>
      <w:r>
        <w:rPr>
          <w:sz w:val="20"/>
          <w:szCs w:val="20"/>
        </w:rPr>
        <w:t> </w:t>
      </w:r>
    </w:p>
    <w:p w14:paraId="447ECCB4"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Prior Senior Secured Credit Facility</w:t>
      </w:r>
      <w:r>
        <w:rPr>
          <w:color w:val="000000"/>
          <w:sz w:val="20"/>
          <w:szCs w:val="20"/>
        </w:rPr>
        <w:t>—The Company’</w:t>
      </w:r>
      <w:r>
        <w:rPr>
          <w:color w:val="000000"/>
          <w:sz w:val="20"/>
          <w:szCs w:val="20"/>
        </w:rPr>
        <w:t>s Senior Secured Credit Facility prior to the 2020 Credit Facility (the “Prior Senior Credit Facility”), which was paid in full in April 2020 via proceeds from the issuance of the 2020 Credit Facility, consisted of a $50.0 million term loan and a $130.0 mi</w:t>
      </w:r>
      <w:r>
        <w:rPr>
          <w:color w:val="000000"/>
          <w:sz w:val="20"/>
          <w:szCs w:val="20"/>
        </w:rPr>
        <w:t xml:space="preserve">llion revolving credit facility. </w:t>
      </w:r>
    </w:p>
    <w:p w14:paraId="4F7FDEA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Borrowings under the Prior Senior Credit Facility bore interest at either (i) LIBOR plus the applicable margin or (ii) a base rate (equal to the highest of (a) the federal funds rate plus 0.5%, (b) Lender A’s prime rate an</w:t>
      </w:r>
      <w:r>
        <w:rPr>
          <w:color w:val="000000"/>
          <w:sz w:val="20"/>
          <w:szCs w:val="20"/>
        </w:rPr>
        <w:t>d (c) Eurodollar Rate, which is based on LIBOR, (using a one-month period plus 1.0%), plus the applicable margin, as the Company elects. The applicable margin means a percentage per annum determined in accordance with the following table:</w:t>
      </w:r>
    </w:p>
    <w:p w14:paraId="778E38AF"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25"/>
        <w:gridCol w:w="73"/>
        <w:gridCol w:w="1821"/>
        <w:gridCol w:w="73"/>
        <w:gridCol w:w="89"/>
        <w:gridCol w:w="833"/>
        <w:gridCol w:w="165"/>
        <w:gridCol w:w="73"/>
        <w:gridCol w:w="75"/>
        <w:gridCol w:w="729"/>
        <w:gridCol w:w="165"/>
        <w:gridCol w:w="73"/>
        <w:gridCol w:w="61"/>
        <w:gridCol w:w="743"/>
        <w:gridCol w:w="165"/>
        <w:gridCol w:w="73"/>
        <w:gridCol w:w="61"/>
        <w:gridCol w:w="744"/>
        <w:gridCol w:w="165"/>
      </w:tblGrid>
      <w:tr w:rsidR="00000000" w14:paraId="74472477" w14:textId="77777777">
        <w:trPr>
          <w:divId w:val="792485657"/>
        </w:trPr>
        <w:tc>
          <w:tcPr>
            <w:tcW w:w="1295" w:type="pct"/>
            <w:tcBorders>
              <w:bottom w:val="single" w:sz="6" w:space="0" w:color="000000"/>
            </w:tcBorders>
            <w:shd w:val="clear" w:color="auto" w:fill="FFFFFF"/>
            <w:tcMar>
              <w:top w:w="15" w:type="dxa"/>
              <w:left w:w="0" w:type="dxa"/>
              <w:bottom w:w="0" w:type="dxa"/>
              <w:right w:w="15" w:type="dxa"/>
            </w:tcMar>
            <w:vAlign w:val="bottom"/>
            <w:hideMark/>
          </w:tcPr>
          <w:p w14:paraId="2621875D"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Pricing Tier</w:t>
            </w:r>
          </w:p>
        </w:tc>
        <w:tc>
          <w:tcPr>
            <w:tcW w:w="62" w:type="pct"/>
            <w:shd w:val="clear" w:color="auto" w:fill="FFFFFF"/>
            <w:tcMar>
              <w:top w:w="15" w:type="dxa"/>
              <w:left w:w="0" w:type="dxa"/>
              <w:bottom w:w="0" w:type="dxa"/>
              <w:right w:w="15" w:type="dxa"/>
            </w:tcMar>
            <w:vAlign w:val="bottom"/>
            <w:hideMark/>
          </w:tcPr>
          <w:p w14:paraId="6F52C2F0" w14:textId="77777777" w:rsidR="00000000" w:rsidRDefault="00582324">
            <w:pPr>
              <w:pStyle w:val="a3"/>
              <w:spacing w:before="0" w:beforeAutospacing="0" w:after="0" w:afterAutospacing="0"/>
              <w:jc w:val="right"/>
              <w:rPr>
                <w:b/>
                <w:bCs/>
                <w:color w:val="000000"/>
                <w:sz w:val="16"/>
                <w:szCs w:val="16"/>
              </w:rPr>
            </w:pPr>
            <w:r>
              <w:rPr>
                <w:b/>
                <w:bCs/>
                <w:color w:val="000000"/>
                <w:sz w:val="16"/>
                <w:szCs w:val="16"/>
              </w:rPr>
              <w:t> </w:t>
            </w:r>
          </w:p>
        </w:tc>
        <w:tc>
          <w:tcPr>
            <w:tcW w:w="1113" w:type="pct"/>
            <w:tcBorders>
              <w:bottom w:val="single" w:sz="6" w:space="0" w:color="000000"/>
            </w:tcBorders>
            <w:shd w:val="clear" w:color="auto" w:fill="FFFFFF"/>
            <w:tcMar>
              <w:top w:w="15" w:type="dxa"/>
              <w:left w:w="0" w:type="dxa"/>
              <w:bottom w:w="0" w:type="dxa"/>
              <w:right w:w="15" w:type="dxa"/>
            </w:tcMar>
            <w:vAlign w:val="bottom"/>
            <w:hideMark/>
          </w:tcPr>
          <w:p w14:paraId="550D6E51"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Consolidated</w:t>
            </w:r>
          </w:p>
          <w:p w14:paraId="7F4E0073"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Leverage Ratio</w:t>
            </w:r>
          </w:p>
        </w:tc>
        <w:tc>
          <w:tcPr>
            <w:tcW w:w="62" w:type="pct"/>
            <w:shd w:val="clear" w:color="auto" w:fill="FFFFFF"/>
            <w:tcMar>
              <w:top w:w="15" w:type="dxa"/>
              <w:left w:w="0" w:type="dxa"/>
              <w:bottom w:w="0" w:type="dxa"/>
              <w:right w:w="15" w:type="dxa"/>
            </w:tcMar>
            <w:vAlign w:val="bottom"/>
            <w:hideMark/>
          </w:tcPr>
          <w:p w14:paraId="6E74329C" w14:textId="77777777" w:rsidR="00000000" w:rsidRDefault="00582324">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7AC68E2B"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Commitment</w:t>
            </w:r>
          </w:p>
          <w:p w14:paraId="2E48FF6F"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Fee</w:t>
            </w:r>
          </w:p>
        </w:tc>
        <w:tc>
          <w:tcPr>
            <w:tcW w:w="50" w:type="pct"/>
            <w:shd w:val="clear" w:color="auto" w:fill="FFFFFF"/>
            <w:noWrap/>
            <w:tcMar>
              <w:top w:w="15" w:type="dxa"/>
              <w:left w:w="0" w:type="dxa"/>
              <w:bottom w:w="0" w:type="dxa"/>
              <w:right w:w="15" w:type="dxa"/>
            </w:tcMar>
            <w:vAlign w:val="bottom"/>
            <w:hideMark/>
          </w:tcPr>
          <w:p w14:paraId="417C09E2"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4E9404A8" w14:textId="77777777" w:rsidR="00000000" w:rsidRDefault="00582324">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1F838DE8"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Eurodollar</w:t>
            </w:r>
          </w:p>
          <w:p w14:paraId="14E7ADD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Rate Loans</w:t>
            </w:r>
          </w:p>
          <w:p w14:paraId="1704B93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and LIBOR</w:t>
            </w:r>
          </w:p>
          <w:p w14:paraId="2B416D7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Letter of</w:t>
            </w:r>
          </w:p>
          <w:p w14:paraId="0811077C"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Credit Fee</w:t>
            </w:r>
          </w:p>
        </w:tc>
        <w:tc>
          <w:tcPr>
            <w:tcW w:w="50" w:type="pct"/>
            <w:shd w:val="clear" w:color="auto" w:fill="FFFFFF"/>
            <w:noWrap/>
            <w:tcMar>
              <w:top w:w="15" w:type="dxa"/>
              <w:left w:w="0" w:type="dxa"/>
              <w:bottom w:w="0" w:type="dxa"/>
              <w:right w:w="15" w:type="dxa"/>
            </w:tcMar>
            <w:vAlign w:val="bottom"/>
            <w:hideMark/>
          </w:tcPr>
          <w:p w14:paraId="1058DBB1"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3BF0DF41" w14:textId="77777777" w:rsidR="00000000" w:rsidRDefault="00582324">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22B1A52B"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Daily</w:t>
            </w:r>
          </w:p>
          <w:p w14:paraId="141A335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Floating</w:t>
            </w:r>
          </w:p>
          <w:p w14:paraId="4C2F9C51"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Rate Loans</w:t>
            </w:r>
          </w:p>
        </w:tc>
        <w:tc>
          <w:tcPr>
            <w:tcW w:w="50" w:type="pct"/>
            <w:shd w:val="clear" w:color="auto" w:fill="FFFFFF"/>
            <w:noWrap/>
            <w:tcMar>
              <w:top w:w="15" w:type="dxa"/>
              <w:left w:w="0" w:type="dxa"/>
              <w:bottom w:w="0" w:type="dxa"/>
              <w:right w:w="15" w:type="dxa"/>
            </w:tcMar>
            <w:vAlign w:val="bottom"/>
            <w:hideMark/>
          </w:tcPr>
          <w:p w14:paraId="598CACDC"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04D0612C" w14:textId="77777777" w:rsidR="00000000" w:rsidRDefault="00582324">
            <w:pPr>
              <w:pStyle w:val="a3"/>
              <w:spacing w:before="0" w:beforeAutospacing="0" w:after="0" w:afterAutospacing="0"/>
              <w:jc w:val="right"/>
              <w:rPr>
                <w:b/>
                <w:bCs/>
                <w:color w:val="000000"/>
                <w:sz w:val="16"/>
                <w:szCs w:val="16"/>
              </w:rPr>
            </w:pPr>
            <w:r>
              <w:rPr>
                <w:b/>
                <w:bCs/>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14:paraId="492C8204"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Rate</w:t>
            </w:r>
          </w:p>
          <w:p w14:paraId="4B84B3A9"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Loans</w:t>
            </w:r>
          </w:p>
        </w:tc>
        <w:tc>
          <w:tcPr>
            <w:tcW w:w="50" w:type="pct"/>
            <w:shd w:val="clear" w:color="auto" w:fill="FFFFFF"/>
            <w:noWrap/>
            <w:tcMar>
              <w:top w:w="15" w:type="dxa"/>
              <w:left w:w="0" w:type="dxa"/>
              <w:bottom w:w="0" w:type="dxa"/>
              <w:right w:w="15" w:type="dxa"/>
            </w:tcMar>
            <w:vAlign w:val="bottom"/>
            <w:hideMark/>
          </w:tcPr>
          <w:p w14:paraId="3CED3CED"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37BC6282" w14:textId="77777777">
        <w:trPr>
          <w:divId w:val="792485657"/>
        </w:trPr>
        <w:tc>
          <w:tcPr>
            <w:tcW w:w="1295" w:type="pct"/>
            <w:tcBorders>
              <w:top w:val="single" w:sz="6" w:space="0" w:color="000000"/>
            </w:tcBorders>
            <w:shd w:val="clear" w:color="auto" w:fill="CFF0FC"/>
            <w:tcMar>
              <w:top w:w="15" w:type="dxa"/>
              <w:left w:w="0" w:type="dxa"/>
              <w:bottom w:w="0" w:type="dxa"/>
              <w:right w:w="15" w:type="dxa"/>
            </w:tcMar>
            <w:hideMark/>
          </w:tcPr>
          <w:p w14:paraId="684ED74C" w14:textId="77777777" w:rsidR="00000000" w:rsidRDefault="00582324">
            <w:pPr>
              <w:pStyle w:val="a3"/>
              <w:spacing w:before="0" w:beforeAutospacing="0" w:after="0" w:afterAutospacing="0"/>
              <w:jc w:val="center"/>
              <w:rPr>
                <w:color w:val="000000"/>
                <w:sz w:val="18"/>
                <w:szCs w:val="18"/>
              </w:rPr>
            </w:pPr>
            <w:r>
              <w:rPr>
                <w:color w:val="000000"/>
                <w:sz w:val="18"/>
                <w:szCs w:val="18"/>
              </w:rPr>
              <w:t>1</w:t>
            </w:r>
          </w:p>
        </w:tc>
        <w:tc>
          <w:tcPr>
            <w:tcW w:w="62" w:type="pct"/>
            <w:shd w:val="clear" w:color="auto" w:fill="CFF0FC"/>
            <w:tcMar>
              <w:top w:w="15" w:type="dxa"/>
              <w:left w:w="0" w:type="dxa"/>
              <w:bottom w:w="0" w:type="dxa"/>
              <w:right w:w="15" w:type="dxa"/>
            </w:tcMar>
            <w:vAlign w:val="bottom"/>
            <w:hideMark/>
          </w:tcPr>
          <w:p w14:paraId="33A6785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3" w:type="pct"/>
            <w:tcBorders>
              <w:top w:val="single" w:sz="6" w:space="0" w:color="000000"/>
            </w:tcBorders>
            <w:shd w:val="clear" w:color="auto" w:fill="CFF0FC"/>
            <w:tcMar>
              <w:top w:w="15" w:type="dxa"/>
              <w:left w:w="0" w:type="dxa"/>
              <w:bottom w:w="0" w:type="dxa"/>
              <w:right w:w="15" w:type="dxa"/>
            </w:tcMar>
            <w:vAlign w:val="bottom"/>
            <w:hideMark/>
          </w:tcPr>
          <w:p w14:paraId="14648E5C" w14:textId="77777777" w:rsidR="00000000" w:rsidRDefault="00582324">
            <w:pPr>
              <w:pStyle w:val="a3"/>
              <w:spacing w:before="0" w:beforeAutospacing="0" w:after="0" w:afterAutospacing="0"/>
              <w:jc w:val="center"/>
              <w:rPr>
                <w:color w:val="000000"/>
                <w:sz w:val="18"/>
                <w:szCs w:val="18"/>
              </w:rPr>
            </w:pPr>
            <w:r>
              <w:rPr>
                <w:color w:val="000000"/>
                <w:sz w:val="18"/>
                <w:szCs w:val="18"/>
              </w:rPr>
              <w:t>&gt; 3.75 to 1.0</w:t>
            </w:r>
          </w:p>
        </w:tc>
        <w:tc>
          <w:tcPr>
            <w:tcW w:w="62" w:type="pct"/>
            <w:shd w:val="clear" w:color="auto" w:fill="CFF0FC"/>
            <w:tcMar>
              <w:top w:w="15" w:type="dxa"/>
              <w:left w:w="0" w:type="dxa"/>
              <w:bottom w:w="0" w:type="dxa"/>
              <w:right w:w="15" w:type="dxa"/>
            </w:tcMar>
            <w:vAlign w:val="bottom"/>
            <w:hideMark/>
          </w:tcPr>
          <w:p w14:paraId="70B61B9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4D44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503F2CED" w14:textId="77777777" w:rsidR="00000000" w:rsidRDefault="00582324">
            <w:pPr>
              <w:pStyle w:val="a3"/>
              <w:spacing w:before="0" w:beforeAutospacing="0" w:after="0" w:afterAutospacing="0"/>
              <w:jc w:val="right"/>
              <w:rPr>
                <w:color w:val="000000"/>
                <w:sz w:val="18"/>
                <w:szCs w:val="18"/>
              </w:rPr>
            </w:pPr>
            <w:r>
              <w:rPr>
                <w:color w:val="000000"/>
                <w:sz w:val="18"/>
                <w:szCs w:val="18"/>
              </w:rPr>
              <w:t>0.50</w:t>
            </w:r>
          </w:p>
        </w:tc>
        <w:tc>
          <w:tcPr>
            <w:tcW w:w="50" w:type="pct"/>
            <w:shd w:val="clear" w:color="auto" w:fill="CFF0FC"/>
            <w:noWrap/>
            <w:tcMar>
              <w:top w:w="15" w:type="dxa"/>
              <w:left w:w="0" w:type="dxa"/>
              <w:bottom w:w="0" w:type="dxa"/>
              <w:right w:w="15" w:type="dxa"/>
            </w:tcMar>
            <w:vAlign w:val="bottom"/>
            <w:hideMark/>
          </w:tcPr>
          <w:p w14:paraId="22AB615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2" w:type="pct"/>
            <w:shd w:val="clear" w:color="auto" w:fill="CFF0FC"/>
            <w:tcMar>
              <w:top w:w="15" w:type="dxa"/>
              <w:left w:w="0" w:type="dxa"/>
              <w:bottom w:w="0" w:type="dxa"/>
              <w:right w:w="15" w:type="dxa"/>
            </w:tcMar>
            <w:vAlign w:val="bottom"/>
            <w:hideMark/>
          </w:tcPr>
          <w:p w14:paraId="23C2B10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0F4D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91C815D" w14:textId="77777777" w:rsidR="00000000" w:rsidRDefault="00582324">
            <w:pPr>
              <w:pStyle w:val="a3"/>
              <w:spacing w:before="0" w:beforeAutospacing="0" w:after="0" w:afterAutospacing="0"/>
              <w:jc w:val="right"/>
              <w:rPr>
                <w:color w:val="000000"/>
                <w:sz w:val="18"/>
                <w:szCs w:val="18"/>
              </w:rPr>
            </w:pPr>
            <w:r>
              <w:rPr>
                <w:color w:val="000000"/>
                <w:sz w:val="18"/>
                <w:szCs w:val="18"/>
              </w:rPr>
              <w:t>4.00</w:t>
            </w:r>
          </w:p>
        </w:tc>
        <w:tc>
          <w:tcPr>
            <w:tcW w:w="50" w:type="pct"/>
            <w:shd w:val="clear" w:color="auto" w:fill="CFF0FC"/>
            <w:noWrap/>
            <w:tcMar>
              <w:top w:w="15" w:type="dxa"/>
              <w:left w:w="0" w:type="dxa"/>
              <w:bottom w:w="0" w:type="dxa"/>
              <w:right w:w="15" w:type="dxa"/>
            </w:tcMar>
            <w:vAlign w:val="bottom"/>
            <w:hideMark/>
          </w:tcPr>
          <w:p w14:paraId="259B953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2" w:type="pct"/>
            <w:shd w:val="clear" w:color="auto" w:fill="CFF0FC"/>
            <w:tcMar>
              <w:top w:w="15" w:type="dxa"/>
              <w:left w:w="0" w:type="dxa"/>
              <w:bottom w:w="0" w:type="dxa"/>
              <w:right w:w="15" w:type="dxa"/>
            </w:tcMar>
            <w:vAlign w:val="bottom"/>
            <w:hideMark/>
          </w:tcPr>
          <w:p w14:paraId="5CB937C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9E89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51BCDB0" w14:textId="77777777" w:rsidR="00000000" w:rsidRDefault="00582324">
            <w:pPr>
              <w:pStyle w:val="a3"/>
              <w:spacing w:before="0" w:beforeAutospacing="0" w:after="0" w:afterAutospacing="0"/>
              <w:jc w:val="right"/>
              <w:rPr>
                <w:color w:val="000000"/>
                <w:sz w:val="18"/>
                <w:szCs w:val="18"/>
              </w:rPr>
            </w:pPr>
            <w:r>
              <w:rPr>
                <w:color w:val="000000"/>
                <w:sz w:val="18"/>
                <w:szCs w:val="18"/>
              </w:rPr>
              <w:t>4.00</w:t>
            </w:r>
          </w:p>
        </w:tc>
        <w:tc>
          <w:tcPr>
            <w:tcW w:w="50" w:type="pct"/>
            <w:shd w:val="clear" w:color="auto" w:fill="CFF0FC"/>
            <w:noWrap/>
            <w:tcMar>
              <w:top w:w="15" w:type="dxa"/>
              <w:left w:w="0" w:type="dxa"/>
              <w:bottom w:w="0" w:type="dxa"/>
              <w:right w:w="15" w:type="dxa"/>
            </w:tcMar>
            <w:vAlign w:val="bottom"/>
            <w:hideMark/>
          </w:tcPr>
          <w:p w14:paraId="16AE89B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2" w:type="pct"/>
            <w:shd w:val="clear" w:color="auto" w:fill="CFF0FC"/>
            <w:tcMar>
              <w:top w:w="15" w:type="dxa"/>
              <w:left w:w="0" w:type="dxa"/>
              <w:bottom w:w="0" w:type="dxa"/>
              <w:right w:w="15" w:type="dxa"/>
            </w:tcMar>
            <w:vAlign w:val="bottom"/>
            <w:hideMark/>
          </w:tcPr>
          <w:p w14:paraId="40E614D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BA2A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61EB825E"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22F54DF5"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05C62B49" w14:textId="77777777">
        <w:trPr>
          <w:divId w:val="792485657"/>
        </w:trPr>
        <w:tc>
          <w:tcPr>
            <w:tcW w:w="1295" w:type="pct"/>
            <w:shd w:val="clear" w:color="auto" w:fill="FFFFFF"/>
            <w:tcMar>
              <w:top w:w="15" w:type="dxa"/>
              <w:left w:w="0" w:type="dxa"/>
              <w:bottom w:w="0" w:type="dxa"/>
              <w:right w:w="15" w:type="dxa"/>
            </w:tcMar>
            <w:hideMark/>
          </w:tcPr>
          <w:p w14:paraId="511BD909" w14:textId="77777777" w:rsidR="00000000" w:rsidRDefault="00582324">
            <w:pPr>
              <w:pStyle w:val="a3"/>
              <w:spacing w:before="0" w:beforeAutospacing="0" w:after="0" w:afterAutospacing="0"/>
              <w:jc w:val="center"/>
              <w:rPr>
                <w:color w:val="000000"/>
                <w:sz w:val="18"/>
                <w:szCs w:val="18"/>
              </w:rPr>
            </w:pPr>
            <w:r>
              <w:rPr>
                <w:color w:val="000000"/>
                <w:sz w:val="18"/>
                <w:szCs w:val="18"/>
              </w:rPr>
              <w:t>2</w:t>
            </w:r>
          </w:p>
        </w:tc>
        <w:tc>
          <w:tcPr>
            <w:tcW w:w="62" w:type="pct"/>
            <w:shd w:val="clear" w:color="auto" w:fill="FFFFFF"/>
            <w:tcMar>
              <w:top w:w="15" w:type="dxa"/>
              <w:left w:w="0" w:type="dxa"/>
              <w:bottom w:w="0" w:type="dxa"/>
              <w:right w:w="15" w:type="dxa"/>
            </w:tcMar>
            <w:vAlign w:val="bottom"/>
            <w:hideMark/>
          </w:tcPr>
          <w:p w14:paraId="346216D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3" w:type="pct"/>
            <w:shd w:val="clear" w:color="auto" w:fill="FFFFFF"/>
            <w:tcMar>
              <w:top w:w="15" w:type="dxa"/>
              <w:left w:w="0" w:type="dxa"/>
              <w:bottom w:w="0" w:type="dxa"/>
              <w:right w:w="15" w:type="dxa"/>
            </w:tcMar>
            <w:vAlign w:val="bottom"/>
            <w:hideMark/>
          </w:tcPr>
          <w:p w14:paraId="3214325E" w14:textId="77777777" w:rsidR="00000000" w:rsidRDefault="00582324">
            <w:pPr>
              <w:pStyle w:val="a3"/>
              <w:spacing w:before="0" w:beforeAutospacing="0" w:after="0" w:afterAutospacing="0"/>
              <w:jc w:val="center"/>
              <w:rPr>
                <w:rFonts w:ascii="Calibri" w:hAnsi="Calibri" w:cs="Calibri"/>
                <w:color w:val="000000"/>
                <w:sz w:val="18"/>
                <w:szCs w:val="18"/>
              </w:rPr>
            </w:pPr>
            <w:r>
              <w:rPr>
                <w:rFonts w:ascii="Calibri" w:hAnsi="Calibri" w:cs="Calibri"/>
                <w:color w:val="000000"/>
                <w:sz w:val="18"/>
                <w:szCs w:val="18"/>
              </w:rPr>
              <w:t>≤</w:t>
            </w:r>
            <w:r>
              <w:rPr>
                <w:rFonts w:ascii="Calibri" w:hAnsi="Calibri" w:cs="Calibri"/>
                <w:color w:val="000000"/>
                <w:sz w:val="18"/>
                <w:szCs w:val="18"/>
              </w:rPr>
              <w:t xml:space="preserve"> </w:t>
            </w:r>
            <w:r>
              <w:rPr>
                <w:color w:val="000000"/>
                <w:sz w:val="18"/>
                <w:szCs w:val="18"/>
              </w:rPr>
              <w:t xml:space="preserve">3.75 to 1.0 but &gt; </w:t>
            </w:r>
            <w:r>
              <w:rPr>
                <w:color w:val="000000"/>
                <w:sz w:val="18"/>
                <w:szCs w:val="18"/>
              </w:rPr>
              <w:t>3.00 to 1.0</w:t>
            </w:r>
          </w:p>
        </w:tc>
        <w:tc>
          <w:tcPr>
            <w:tcW w:w="62" w:type="pct"/>
            <w:shd w:val="clear" w:color="auto" w:fill="FFFFFF"/>
            <w:tcMar>
              <w:top w:w="15" w:type="dxa"/>
              <w:left w:w="0" w:type="dxa"/>
              <w:bottom w:w="0" w:type="dxa"/>
              <w:right w:w="15" w:type="dxa"/>
            </w:tcMar>
            <w:vAlign w:val="bottom"/>
            <w:hideMark/>
          </w:tcPr>
          <w:p w14:paraId="4BDD135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3AFC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20E5ED40" w14:textId="77777777" w:rsidR="00000000" w:rsidRDefault="00582324">
            <w:pPr>
              <w:pStyle w:val="a3"/>
              <w:spacing w:before="0" w:beforeAutospacing="0" w:after="0" w:afterAutospacing="0"/>
              <w:jc w:val="right"/>
              <w:rPr>
                <w:color w:val="000000"/>
                <w:sz w:val="18"/>
                <w:szCs w:val="18"/>
              </w:rPr>
            </w:pPr>
            <w:r>
              <w:rPr>
                <w:color w:val="000000"/>
                <w:sz w:val="18"/>
                <w:szCs w:val="18"/>
              </w:rPr>
              <w:t>0.50</w:t>
            </w:r>
          </w:p>
        </w:tc>
        <w:tc>
          <w:tcPr>
            <w:tcW w:w="50" w:type="pct"/>
            <w:shd w:val="clear" w:color="auto" w:fill="FFFFFF"/>
            <w:noWrap/>
            <w:tcMar>
              <w:top w:w="15" w:type="dxa"/>
              <w:left w:w="0" w:type="dxa"/>
              <w:bottom w:w="0" w:type="dxa"/>
              <w:right w:w="15" w:type="dxa"/>
            </w:tcMar>
            <w:vAlign w:val="bottom"/>
            <w:hideMark/>
          </w:tcPr>
          <w:p w14:paraId="2FCB83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2D80716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8B8D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BC25436" w14:textId="77777777" w:rsidR="00000000" w:rsidRDefault="00582324">
            <w:pPr>
              <w:pStyle w:val="a3"/>
              <w:spacing w:before="0" w:beforeAutospacing="0" w:after="0" w:afterAutospacing="0"/>
              <w:jc w:val="right"/>
              <w:rPr>
                <w:color w:val="000000"/>
                <w:sz w:val="18"/>
                <w:szCs w:val="18"/>
              </w:rPr>
            </w:pPr>
            <w:r>
              <w:rPr>
                <w:color w:val="000000"/>
                <w:sz w:val="18"/>
                <w:szCs w:val="18"/>
              </w:rPr>
              <w:t>3.50</w:t>
            </w:r>
          </w:p>
        </w:tc>
        <w:tc>
          <w:tcPr>
            <w:tcW w:w="50" w:type="pct"/>
            <w:shd w:val="clear" w:color="auto" w:fill="FFFFFF"/>
            <w:noWrap/>
            <w:tcMar>
              <w:top w:w="15" w:type="dxa"/>
              <w:left w:w="0" w:type="dxa"/>
              <w:bottom w:w="0" w:type="dxa"/>
              <w:right w:w="15" w:type="dxa"/>
            </w:tcMar>
            <w:vAlign w:val="bottom"/>
            <w:hideMark/>
          </w:tcPr>
          <w:p w14:paraId="392544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65AEB08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B726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25C2910" w14:textId="77777777" w:rsidR="00000000" w:rsidRDefault="00582324">
            <w:pPr>
              <w:pStyle w:val="a3"/>
              <w:spacing w:before="0" w:beforeAutospacing="0" w:after="0" w:afterAutospacing="0"/>
              <w:jc w:val="right"/>
              <w:rPr>
                <w:color w:val="000000"/>
                <w:sz w:val="18"/>
                <w:szCs w:val="18"/>
              </w:rPr>
            </w:pPr>
            <w:r>
              <w:rPr>
                <w:color w:val="000000"/>
                <w:sz w:val="18"/>
                <w:szCs w:val="18"/>
              </w:rPr>
              <w:t>3.50</w:t>
            </w:r>
          </w:p>
        </w:tc>
        <w:tc>
          <w:tcPr>
            <w:tcW w:w="50" w:type="pct"/>
            <w:shd w:val="clear" w:color="auto" w:fill="FFFFFF"/>
            <w:noWrap/>
            <w:tcMar>
              <w:top w:w="15" w:type="dxa"/>
              <w:left w:w="0" w:type="dxa"/>
              <w:bottom w:w="0" w:type="dxa"/>
              <w:right w:w="15" w:type="dxa"/>
            </w:tcMar>
            <w:vAlign w:val="bottom"/>
            <w:hideMark/>
          </w:tcPr>
          <w:p w14:paraId="24A006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2A2D201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3441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FCA920E"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6951E4D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A91F60C" w14:textId="77777777">
        <w:trPr>
          <w:divId w:val="792485657"/>
        </w:trPr>
        <w:tc>
          <w:tcPr>
            <w:tcW w:w="1295" w:type="pct"/>
            <w:shd w:val="clear" w:color="auto" w:fill="CFF0FC"/>
            <w:tcMar>
              <w:top w:w="15" w:type="dxa"/>
              <w:left w:w="0" w:type="dxa"/>
              <w:bottom w:w="0" w:type="dxa"/>
              <w:right w:w="15" w:type="dxa"/>
            </w:tcMar>
            <w:hideMark/>
          </w:tcPr>
          <w:p w14:paraId="1E77550E" w14:textId="77777777" w:rsidR="00000000" w:rsidRDefault="00582324">
            <w:pPr>
              <w:pStyle w:val="a3"/>
              <w:spacing w:before="0" w:beforeAutospacing="0" w:after="0" w:afterAutospacing="0"/>
              <w:jc w:val="center"/>
              <w:rPr>
                <w:color w:val="000000"/>
                <w:sz w:val="18"/>
                <w:szCs w:val="18"/>
              </w:rPr>
            </w:pPr>
            <w:r>
              <w:rPr>
                <w:color w:val="000000"/>
                <w:sz w:val="18"/>
                <w:szCs w:val="18"/>
              </w:rPr>
              <w:t>3</w:t>
            </w:r>
          </w:p>
        </w:tc>
        <w:tc>
          <w:tcPr>
            <w:tcW w:w="62" w:type="pct"/>
            <w:shd w:val="clear" w:color="auto" w:fill="CFF0FC"/>
            <w:tcMar>
              <w:top w:w="15" w:type="dxa"/>
              <w:left w:w="0" w:type="dxa"/>
              <w:bottom w:w="0" w:type="dxa"/>
              <w:right w:w="15" w:type="dxa"/>
            </w:tcMar>
            <w:vAlign w:val="bottom"/>
            <w:hideMark/>
          </w:tcPr>
          <w:p w14:paraId="6306C32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3" w:type="pct"/>
            <w:shd w:val="clear" w:color="auto" w:fill="CFF0FC"/>
            <w:tcMar>
              <w:top w:w="15" w:type="dxa"/>
              <w:left w:w="0" w:type="dxa"/>
              <w:bottom w:w="0" w:type="dxa"/>
              <w:right w:w="15" w:type="dxa"/>
            </w:tcMar>
            <w:vAlign w:val="bottom"/>
            <w:hideMark/>
          </w:tcPr>
          <w:p w14:paraId="157919BE" w14:textId="77777777" w:rsidR="00000000" w:rsidRDefault="00582324">
            <w:pPr>
              <w:pStyle w:val="a3"/>
              <w:spacing w:before="0" w:beforeAutospacing="0" w:after="0" w:afterAutospacing="0"/>
              <w:jc w:val="center"/>
              <w:rPr>
                <w:color w:val="000000"/>
                <w:sz w:val="18"/>
                <w:szCs w:val="18"/>
              </w:rPr>
            </w:pPr>
            <w:r>
              <w:rPr>
                <w:color w:val="000000"/>
                <w:sz w:val="18"/>
                <w:szCs w:val="18"/>
              </w:rPr>
              <w:t>≤</w:t>
            </w:r>
            <w:r>
              <w:rPr>
                <w:color w:val="000000"/>
                <w:sz w:val="18"/>
                <w:szCs w:val="18"/>
              </w:rPr>
              <w:t xml:space="preserve"> 3.00 to 1.0 but &gt; 2.25 to 1.</w:t>
            </w:r>
            <w:r>
              <w:rPr>
                <w:color w:val="000000"/>
                <w:sz w:val="18"/>
                <w:szCs w:val="18"/>
              </w:rPr>
              <w:t>0</w:t>
            </w:r>
          </w:p>
        </w:tc>
        <w:tc>
          <w:tcPr>
            <w:tcW w:w="62" w:type="pct"/>
            <w:shd w:val="clear" w:color="auto" w:fill="CFF0FC"/>
            <w:tcMar>
              <w:top w:w="15" w:type="dxa"/>
              <w:left w:w="0" w:type="dxa"/>
              <w:bottom w:w="0" w:type="dxa"/>
              <w:right w:w="15" w:type="dxa"/>
            </w:tcMar>
            <w:vAlign w:val="bottom"/>
            <w:hideMark/>
          </w:tcPr>
          <w:p w14:paraId="61DD437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7159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178F3B89" w14:textId="77777777" w:rsidR="00000000" w:rsidRDefault="00582324">
            <w:pPr>
              <w:pStyle w:val="a3"/>
              <w:spacing w:before="0" w:beforeAutospacing="0" w:after="0" w:afterAutospacing="0"/>
              <w:jc w:val="right"/>
              <w:rPr>
                <w:color w:val="000000"/>
                <w:sz w:val="18"/>
                <w:szCs w:val="18"/>
              </w:rPr>
            </w:pPr>
            <w:r>
              <w:rPr>
                <w:color w:val="000000"/>
                <w:sz w:val="18"/>
                <w:szCs w:val="18"/>
              </w:rPr>
              <w:t>0.40</w:t>
            </w:r>
          </w:p>
        </w:tc>
        <w:tc>
          <w:tcPr>
            <w:tcW w:w="50" w:type="pct"/>
            <w:shd w:val="clear" w:color="auto" w:fill="CFF0FC"/>
            <w:noWrap/>
            <w:tcMar>
              <w:top w:w="15" w:type="dxa"/>
              <w:left w:w="0" w:type="dxa"/>
              <w:bottom w:w="0" w:type="dxa"/>
              <w:right w:w="15" w:type="dxa"/>
            </w:tcMar>
            <w:vAlign w:val="bottom"/>
            <w:hideMark/>
          </w:tcPr>
          <w:p w14:paraId="6CEBA8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CFF0FC"/>
            <w:tcMar>
              <w:top w:w="15" w:type="dxa"/>
              <w:left w:w="0" w:type="dxa"/>
              <w:bottom w:w="0" w:type="dxa"/>
              <w:right w:w="15" w:type="dxa"/>
            </w:tcMar>
            <w:vAlign w:val="bottom"/>
            <w:hideMark/>
          </w:tcPr>
          <w:p w14:paraId="27A7334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67A0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267EBFC9"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679052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CFF0FC"/>
            <w:tcMar>
              <w:top w:w="15" w:type="dxa"/>
              <w:left w:w="0" w:type="dxa"/>
              <w:bottom w:w="0" w:type="dxa"/>
              <w:right w:w="15" w:type="dxa"/>
            </w:tcMar>
            <w:vAlign w:val="bottom"/>
            <w:hideMark/>
          </w:tcPr>
          <w:p w14:paraId="26C7E81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2075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1E514E91"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303FDD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CFF0FC"/>
            <w:tcMar>
              <w:top w:w="15" w:type="dxa"/>
              <w:left w:w="0" w:type="dxa"/>
              <w:bottom w:w="0" w:type="dxa"/>
              <w:right w:w="15" w:type="dxa"/>
            </w:tcMar>
            <w:vAlign w:val="bottom"/>
            <w:hideMark/>
          </w:tcPr>
          <w:p w14:paraId="1D0F32E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20AE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5FC78BAE" w14:textId="77777777" w:rsidR="00000000" w:rsidRDefault="00582324">
            <w:pPr>
              <w:pStyle w:val="a3"/>
              <w:spacing w:before="0" w:beforeAutospacing="0" w:after="0" w:afterAutospacing="0"/>
              <w:jc w:val="right"/>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bottom"/>
            <w:hideMark/>
          </w:tcPr>
          <w:p w14:paraId="0546720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EBDBE9E" w14:textId="77777777">
        <w:trPr>
          <w:divId w:val="792485657"/>
        </w:trPr>
        <w:tc>
          <w:tcPr>
            <w:tcW w:w="1295" w:type="pct"/>
            <w:shd w:val="clear" w:color="auto" w:fill="FFFFFF"/>
            <w:tcMar>
              <w:top w:w="15" w:type="dxa"/>
              <w:left w:w="0" w:type="dxa"/>
              <w:bottom w:w="0" w:type="dxa"/>
              <w:right w:w="15" w:type="dxa"/>
            </w:tcMar>
            <w:hideMark/>
          </w:tcPr>
          <w:p w14:paraId="4C991355" w14:textId="77777777" w:rsidR="00000000" w:rsidRDefault="00582324">
            <w:pPr>
              <w:pStyle w:val="a3"/>
              <w:spacing w:before="0" w:beforeAutospacing="0" w:after="0" w:afterAutospacing="0"/>
              <w:jc w:val="center"/>
              <w:rPr>
                <w:color w:val="000000"/>
                <w:sz w:val="18"/>
                <w:szCs w:val="18"/>
              </w:rPr>
            </w:pPr>
            <w:r>
              <w:rPr>
                <w:color w:val="000000"/>
                <w:sz w:val="18"/>
                <w:szCs w:val="18"/>
              </w:rPr>
              <w:t>4</w:t>
            </w:r>
          </w:p>
        </w:tc>
        <w:tc>
          <w:tcPr>
            <w:tcW w:w="62" w:type="pct"/>
            <w:shd w:val="clear" w:color="auto" w:fill="FFFFFF"/>
            <w:tcMar>
              <w:top w:w="15" w:type="dxa"/>
              <w:left w:w="0" w:type="dxa"/>
              <w:bottom w:w="0" w:type="dxa"/>
              <w:right w:w="15" w:type="dxa"/>
            </w:tcMar>
            <w:vAlign w:val="bottom"/>
            <w:hideMark/>
          </w:tcPr>
          <w:p w14:paraId="2787902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3" w:type="pct"/>
            <w:shd w:val="clear" w:color="auto" w:fill="FFFFFF"/>
            <w:tcMar>
              <w:top w:w="15" w:type="dxa"/>
              <w:left w:w="0" w:type="dxa"/>
              <w:bottom w:w="0" w:type="dxa"/>
              <w:right w:w="15" w:type="dxa"/>
            </w:tcMar>
            <w:vAlign w:val="bottom"/>
            <w:hideMark/>
          </w:tcPr>
          <w:p w14:paraId="16B1EDB4" w14:textId="77777777" w:rsidR="00000000" w:rsidRDefault="00582324">
            <w:pPr>
              <w:pStyle w:val="a3"/>
              <w:spacing w:before="0" w:beforeAutospacing="0" w:after="0" w:afterAutospacing="0"/>
              <w:jc w:val="center"/>
              <w:rPr>
                <w:color w:val="000000"/>
                <w:sz w:val="18"/>
                <w:szCs w:val="18"/>
              </w:rPr>
            </w:pPr>
            <w:r>
              <w:rPr>
                <w:color w:val="000000"/>
                <w:sz w:val="18"/>
                <w:szCs w:val="18"/>
              </w:rPr>
              <w:t>&lt; 2.25 to 1.</w:t>
            </w:r>
            <w:r>
              <w:rPr>
                <w:color w:val="000000"/>
                <w:sz w:val="18"/>
                <w:szCs w:val="18"/>
              </w:rPr>
              <w:t>0</w:t>
            </w:r>
          </w:p>
        </w:tc>
        <w:tc>
          <w:tcPr>
            <w:tcW w:w="62" w:type="pct"/>
            <w:shd w:val="clear" w:color="auto" w:fill="FFFFFF"/>
            <w:tcMar>
              <w:top w:w="15" w:type="dxa"/>
              <w:left w:w="0" w:type="dxa"/>
              <w:bottom w:w="0" w:type="dxa"/>
              <w:right w:w="15" w:type="dxa"/>
            </w:tcMar>
            <w:vAlign w:val="bottom"/>
            <w:hideMark/>
          </w:tcPr>
          <w:p w14:paraId="42F8DB7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0782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1B15EEB1" w14:textId="77777777" w:rsidR="00000000" w:rsidRDefault="00582324">
            <w:pPr>
              <w:pStyle w:val="a3"/>
              <w:spacing w:before="0" w:beforeAutospacing="0" w:after="0" w:afterAutospacing="0"/>
              <w:jc w:val="right"/>
              <w:rPr>
                <w:color w:val="000000"/>
                <w:sz w:val="18"/>
                <w:szCs w:val="18"/>
              </w:rPr>
            </w:pPr>
            <w:r>
              <w:rPr>
                <w:color w:val="000000"/>
                <w:sz w:val="18"/>
                <w:szCs w:val="18"/>
              </w:rPr>
              <w:t>0.30</w:t>
            </w:r>
          </w:p>
        </w:tc>
        <w:tc>
          <w:tcPr>
            <w:tcW w:w="50" w:type="pct"/>
            <w:shd w:val="clear" w:color="auto" w:fill="FFFFFF"/>
            <w:noWrap/>
            <w:tcMar>
              <w:top w:w="15" w:type="dxa"/>
              <w:left w:w="0" w:type="dxa"/>
              <w:bottom w:w="0" w:type="dxa"/>
              <w:right w:w="15" w:type="dxa"/>
            </w:tcMar>
            <w:vAlign w:val="bottom"/>
            <w:hideMark/>
          </w:tcPr>
          <w:p w14:paraId="3372C3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54BC753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E970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290E76A"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0C0A74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08230AD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62E1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43846AF9"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4A08B1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2" w:type="pct"/>
            <w:shd w:val="clear" w:color="auto" w:fill="FFFFFF"/>
            <w:tcMar>
              <w:top w:w="15" w:type="dxa"/>
              <w:left w:w="0" w:type="dxa"/>
              <w:bottom w:w="0" w:type="dxa"/>
              <w:right w:w="15" w:type="dxa"/>
            </w:tcMar>
            <w:vAlign w:val="bottom"/>
            <w:hideMark/>
          </w:tcPr>
          <w:p w14:paraId="4A7BC92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DFFF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15FB5DB" w14:textId="77777777" w:rsidR="00000000" w:rsidRDefault="00582324">
            <w:pPr>
              <w:pStyle w:val="a3"/>
              <w:spacing w:before="0" w:beforeAutospacing="0" w:after="0" w:afterAutospacing="0"/>
              <w:jc w:val="right"/>
              <w:rPr>
                <w:color w:val="000000"/>
                <w:sz w:val="18"/>
                <w:szCs w:val="18"/>
              </w:rPr>
            </w:pPr>
            <w:r>
              <w:rPr>
                <w:color w:val="000000"/>
                <w:sz w:val="18"/>
                <w:szCs w:val="18"/>
              </w:rPr>
              <w:t>1.50</w:t>
            </w:r>
          </w:p>
        </w:tc>
        <w:tc>
          <w:tcPr>
            <w:tcW w:w="50" w:type="pct"/>
            <w:shd w:val="clear" w:color="auto" w:fill="FFFFFF"/>
            <w:noWrap/>
            <w:tcMar>
              <w:top w:w="15" w:type="dxa"/>
              <w:left w:w="0" w:type="dxa"/>
              <w:bottom w:w="0" w:type="dxa"/>
              <w:right w:w="15" w:type="dxa"/>
            </w:tcMar>
            <w:vAlign w:val="bottom"/>
            <w:hideMark/>
          </w:tcPr>
          <w:p w14:paraId="7FD08CFD" w14:textId="77777777" w:rsidR="00000000" w:rsidRDefault="00582324">
            <w:pPr>
              <w:pStyle w:val="a3"/>
              <w:spacing w:before="0" w:beforeAutospacing="0" w:after="0" w:afterAutospacing="0"/>
              <w:rPr>
                <w:color w:val="000000"/>
                <w:sz w:val="18"/>
                <w:szCs w:val="18"/>
              </w:rPr>
            </w:pPr>
            <w:r>
              <w:rPr>
                <w:color w:val="000000"/>
                <w:sz w:val="18"/>
                <w:szCs w:val="18"/>
              </w:rPr>
              <w:t> </w:t>
            </w:r>
          </w:p>
        </w:tc>
      </w:tr>
    </w:tbl>
    <w:p w14:paraId="5046A537" w14:textId="77777777" w:rsidR="00000000" w:rsidRDefault="00582324">
      <w:pPr>
        <w:pStyle w:val="a3"/>
        <w:shd w:val="clear" w:color="auto" w:fill="FFFFFF"/>
        <w:spacing w:before="0" w:beforeAutospacing="0" w:after="0" w:afterAutospacing="0"/>
        <w:ind w:firstLine="416"/>
      </w:pPr>
      <w:r>
        <w:t> </w:t>
      </w:r>
    </w:p>
    <w:p w14:paraId="413D0586" w14:textId="77777777" w:rsidR="00000000" w:rsidRDefault="00582324">
      <w:pPr>
        <w:pStyle w:val="a3"/>
        <w:shd w:val="clear" w:color="auto" w:fill="FFFFFF"/>
        <w:spacing w:before="120" w:beforeAutospacing="0" w:after="0" w:afterAutospacing="0"/>
        <w:ind w:firstLine="416"/>
        <w:rPr>
          <w:b/>
          <w:bCs/>
          <w:color w:val="000000"/>
          <w:sz w:val="20"/>
          <w:szCs w:val="20"/>
        </w:rPr>
      </w:pPr>
      <w:r>
        <w:rPr>
          <w:b/>
          <w:bCs/>
          <w:color w:val="000000"/>
          <w:sz w:val="20"/>
          <w:szCs w:val="20"/>
        </w:rPr>
        <w:t>Equipment Line of Credit</w:t>
      </w:r>
      <w:r>
        <w:rPr>
          <w:color w:val="000000"/>
          <w:sz w:val="20"/>
          <w:szCs w:val="20"/>
        </w:rPr>
        <w:t>—On March </w:t>
      </w:r>
      <w:r>
        <w:rPr>
          <w:color w:val="000000"/>
          <w:sz w:val="20"/>
          <w:szCs w:val="20"/>
        </w:rPr>
        <w:t>12, 2019, the Company increased its equipment line of credit facility for the purchase of equipment and related freight, installation costs and taxes paid for an additional amount not to exceed $2.0 million. On May 16, 2019, the Company entered into a Cana</w:t>
      </w:r>
      <w:r>
        <w:rPr>
          <w:color w:val="000000"/>
          <w:sz w:val="20"/>
          <w:szCs w:val="20"/>
        </w:rPr>
        <w:t>dian equipment line of credit facility for an amount not to exceed $1.0 million Canadian dollars. Interest on the line of credit is determined based on a three-year swap rate at the time of funding.</w:t>
      </w:r>
    </w:p>
    <w:p w14:paraId="5D09B7A6"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p w14:paraId="58D7509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The following is a schedule of the aggregate annual mat</w:t>
      </w:r>
      <w:r>
        <w:rPr>
          <w:color w:val="000000"/>
          <w:sz w:val="20"/>
          <w:szCs w:val="20"/>
          <w:shd w:val="clear" w:color="auto" w:fill="FFFFFF"/>
        </w:rPr>
        <w:t>urities of long-term debt presented on the unaudited condensed consolidated statement of financial position, based on the terms of the 2021 Credit Facility and equipment line of credit:</w:t>
      </w:r>
    </w:p>
    <w:tbl>
      <w:tblPr>
        <w:tblW w:w="4000" w:type="pct"/>
        <w:tblCellMar>
          <w:left w:w="0" w:type="dxa"/>
          <w:right w:w="0" w:type="dxa"/>
        </w:tblCellMar>
        <w:tblLook w:val="04A0" w:firstRow="1" w:lastRow="0" w:firstColumn="1" w:lastColumn="0" w:noHBand="0" w:noVBand="1"/>
      </w:tblPr>
      <w:tblGrid>
        <w:gridCol w:w="5326"/>
        <w:gridCol w:w="114"/>
        <w:gridCol w:w="105"/>
        <w:gridCol w:w="1040"/>
        <w:gridCol w:w="60"/>
      </w:tblGrid>
      <w:tr w:rsidR="00000000" w14:paraId="45A68D58" w14:textId="77777777">
        <w:trPr>
          <w:divId w:val="901330865"/>
        </w:trPr>
        <w:tc>
          <w:tcPr>
            <w:tcW w:w="4015" w:type="pct"/>
            <w:tcBorders>
              <w:bottom w:val="single" w:sz="6" w:space="0" w:color="000000"/>
            </w:tcBorders>
            <w:shd w:val="clear" w:color="auto" w:fill="FFFFFF"/>
            <w:tcMar>
              <w:top w:w="15" w:type="dxa"/>
              <w:left w:w="0" w:type="dxa"/>
              <w:bottom w:w="0" w:type="dxa"/>
              <w:right w:w="15" w:type="dxa"/>
            </w:tcMar>
            <w:vAlign w:val="bottom"/>
            <w:hideMark/>
          </w:tcPr>
          <w:p w14:paraId="573AAEC7" w14:textId="77777777" w:rsidR="00000000" w:rsidRDefault="00582324">
            <w:pPr>
              <w:pStyle w:val="a3"/>
              <w:spacing w:before="0" w:beforeAutospacing="0" w:after="0" w:afterAutospacing="0"/>
              <w:rPr>
                <w:b/>
                <w:bCs/>
                <w:color w:val="000000"/>
                <w:sz w:val="18"/>
                <w:szCs w:val="18"/>
              </w:rPr>
            </w:pPr>
            <w:r>
              <w:rPr>
                <w:b/>
                <w:bCs/>
                <w:color w:val="000000"/>
                <w:sz w:val="18"/>
                <w:szCs w:val="18"/>
              </w:rPr>
              <w:t>June 30,</w:t>
            </w:r>
          </w:p>
        </w:tc>
        <w:tc>
          <w:tcPr>
            <w:tcW w:w="94" w:type="pct"/>
            <w:tcBorders>
              <w:bottom w:val="single" w:sz="6" w:space="0" w:color="000000"/>
            </w:tcBorders>
            <w:shd w:val="clear" w:color="auto" w:fill="FFFFFF"/>
            <w:tcMar>
              <w:top w:w="15" w:type="dxa"/>
              <w:left w:w="0" w:type="dxa"/>
              <w:bottom w:w="0" w:type="dxa"/>
              <w:right w:w="15" w:type="dxa"/>
            </w:tcMar>
            <w:vAlign w:val="bottom"/>
            <w:hideMark/>
          </w:tcPr>
          <w:p w14:paraId="014FFBE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7FD78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0" w:type="pct"/>
            <w:tcBorders>
              <w:bottom w:val="single" w:sz="6" w:space="0" w:color="000000"/>
            </w:tcBorders>
            <w:shd w:val="clear" w:color="auto" w:fill="FFFFFF"/>
            <w:noWrap/>
            <w:tcMar>
              <w:top w:w="15" w:type="dxa"/>
              <w:left w:w="0" w:type="dxa"/>
              <w:bottom w:w="0" w:type="dxa"/>
              <w:right w:w="15" w:type="dxa"/>
            </w:tcMar>
            <w:vAlign w:val="bottom"/>
            <w:hideMark/>
          </w:tcPr>
          <w:p w14:paraId="677C7D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F907A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BC05DCA" w14:textId="77777777">
        <w:trPr>
          <w:divId w:val="901330865"/>
        </w:trPr>
        <w:tc>
          <w:tcPr>
            <w:tcW w:w="4015" w:type="pct"/>
            <w:tcBorders>
              <w:top w:val="single" w:sz="6" w:space="0" w:color="000000"/>
            </w:tcBorders>
            <w:shd w:val="clear" w:color="auto" w:fill="CFF0FC"/>
            <w:tcMar>
              <w:top w:w="15" w:type="dxa"/>
              <w:left w:w="0" w:type="dxa"/>
              <w:bottom w:w="0" w:type="dxa"/>
              <w:right w:w="15" w:type="dxa"/>
            </w:tcMar>
            <w:hideMark/>
          </w:tcPr>
          <w:p w14:paraId="21894B5A" w14:textId="77777777" w:rsidR="00000000" w:rsidRDefault="00582324">
            <w:pPr>
              <w:pStyle w:val="a3"/>
              <w:spacing w:before="0" w:beforeAutospacing="0" w:after="0" w:afterAutospacing="0"/>
              <w:rPr>
                <w:color w:val="000000"/>
                <w:sz w:val="18"/>
                <w:szCs w:val="18"/>
              </w:rPr>
            </w:pPr>
            <w:r>
              <w:rPr>
                <w:color w:val="000000"/>
                <w:sz w:val="18"/>
                <w:szCs w:val="18"/>
              </w:rPr>
              <w:t>2022</w:t>
            </w:r>
          </w:p>
        </w:tc>
        <w:tc>
          <w:tcPr>
            <w:tcW w:w="94" w:type="pct"/>
            <w:tcBorders>
              <w:top w:val="single" w:sz="6" w:space="0" w:color="000000"/>
            </w:tcBorders>
            <w:shd w:val="clear" w:color="auto" w:fill="CFF0FC"/>
            <w:tcMar>
              <w:top w:w="15" w:type="dxa"/>
              <w:left w:w="0" w:type="dxa"/>
              <w:bottom w:w="0" w:type="dxa"/>
              <w:right w:w="15" w:type="dxa"/>
            </w:tcMar>
            <w:vAlign w:val="bottom"/>
            <w:hideMark/>
          </w:tcPr>
          <w:p w14:paraId="2B1C82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B8FBE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0" w:type="pct"/>
            <w:tcBorders>
              <w:top w:val="single" w:sz="6" w:space="0" w:color="000000"/>
            </w:tcBorders>
            <w:shd w:val="clear" w:color="auto" w:fill="CFF0FC"/>
            <w:noWrap/>
            <w:tcMar>
              <w:top w:w="15" w:type="dxa"/>
              <w:left w:w="0" w:type="dxa"/>
              <w:bottom w:w="0" w:type="dxa"/>
              <w:right w:w="15" w:type="dxa"/>
            </w:tcMar>
            <w:vAlign w:val="bottom"/>
            <w:hideMark/>
          </w:tcPr>
          <w:p w14:paraId="76A5F8C1" w14:textId="77777777" w:rsidR="00000000" w:rsidRDefault="00582324">
            <w:pPr>
              <w:pStyle w:val="a3"/>
              <w:spacing w:before="0" w:beforeAutospacing="0" w:after="0" w:afterAutospacing="0"/>
              <w:jc w:val="right"/>
              <w:rPr>
                <w:color w:val="000000"/>
                <w:sz w:val="18"/>
                <w:szCs w:val="18"/>
              </w:rPr>
            </w:pPr>
            <w:r>
              <w:rPr>
                <w:color w:val="000000"/>
                <w:sz w:val="18"/>
                <w:szCs w:val="18"/>
              </w:rPr>
              <w:t>71,563</w:t>
            </w:r>
          </w:p>
        </w:tc>
        <w:tc>
          <w:tcPr>
            <w:tcW w:w="50" w:type="pct"/>
            <w:shd w:val="clear" w:color="auto" w:fill="CFF0FC"/>
            <w:noWrap/>
            <w:tcMar>
              <w:top w:w="15" w:type="dxa"/>
              <w:left w:w="0" w:type="dxa"/>
              <w:bottom w:w="0" w:type="dxa"/>
              <w:right w:w="15" w:type="dxa"/>
            </w:tcMar>
            <w:vAlign w:val="bottom"/>
            <w:hideMark/>
          </w:tcPr>
          <w:p w14:paraId="58450AE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B28672D" w14:textId="77777777">
        <w:trPr>
          <w:divId w:val="901330865"/>
        </w:trPr>
        <w:tc>
          <w:tcPr>
            <w:tcW w:w="4015" w:type="pct"/>
            <w:shd w:val="clear" w:color="auto" w:fill="FFFFFF"/>
            <w:tcMar>
              <w:top w:w="15" w:type="dxa"/>
              <w:left w:w="0" w:type="dxa"/>
              <w:bottom w:w="0" w:type="dxa"/>
              <w:right w:w="15" w:type="dxa"/>
            </w:tcMar>
            <w:hideMark/>
          </w:tcPr>
          <w:p w14:paraId="4DDB03B8" w14:textId="77777777" w:rsidR="00000000" w:rsidRDefault="00582324">
            <w:pPr>
              <w:pStyle w:val="a3"/>
              <w:spacing w:before="0" w:beforeAutospacing="0" w:after="0" w:afterAutospacing="0"/>
              <w:rPr>
                <w:color w:val="000000"/>
                <w:sz w:val="18"/>
                <w:szCs w:val="18"/>
              </w:rPr>
            </w:pPr>
            <w:r>
              <w:rPr>
                <w:color w:val="000000"/>
                <w:sz w:val="18"/>
                <w:szCs w:val="18"/>
              </w:rPr>
              <w:t>2023</w:t>
            </w:r>
          </w:p>
        </w:tc>
        <w:tc>
          <w:tcPr>
            <w:tcW w:w="94" w:type="pct"/>
            <w:shd w:val="clear" w:color="auto" w:fill="FFFFFF"/>
            <w:tcMar>
              <w:top w:w="15" w:type="dxa"/>
              <w:left w:w="0" w:type="dxa"/>
              <w:bottom w:w="0" w:type="dxa"/>
              <w:right w:w="15" w:type="dxa"/>
            </w:tcMar>
            <w:vAlign w:val="bottom"/>
            <w:hideMark/>
          </w:tcPr>
          <w:p w14:paraId="662A95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A584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FFFFFF"/>
            <w:noWrap/>
            <w:tcMar>
              <w:top w:w="15" w:type="dxa"/>
              <w:left w:w="0" w:type="dxa"/>
              <w:bottom w:w="0" w:type="dxa"/>
              <w:right w:w="15" w:type="dxa"/>
            </w:tcMar>
            <w:vAlign w:val="bottom"/>
            <w:hideMark/>
          </w:tcPr>
          <w:p w14:paraId="0ACF1AEA" w14:textId="77777777" w:rsidR="00000000" w:rsidRDefault="00582324">
            <w:pPr>
              <w:pStyle w:val="a3"/>
              <w:spacing w:before="0" w:beforeAutospacing="0" w:after="0" w:afterAutospacing="0"/>
              <w:jc w:val="right"/>
              <w:rPr>
                <w:color w:val="000000"/>
                <w:sz w:val="18"/>
                <w:szCs w:val="18"/>
              </w:rPr>
            </w:pPr>
            <w:r>
              <w:rPr>
                <w:color w:val="000000"/>
                <w:sz w:val="18"/>
                <w:szCs w:val="18"/>
              </w:rPr>
              <w:t>9,844</w:t>
            </w:r>
          </w:p>
        </w:tc>
        <w:tc>
          <w:tcPr>
            <w:tcW w:w="50" w:type="pct"/>
            <w:shd w:val="clear" w:color="auto" w:fill="FFFFFF"/>
            <w:noWrap/>
            <w:tcMar>
              <w:top w:w="15" w:type="dxa"/>
              <w:left w:w="0" w:type="dxa"/>
              <w:bottom w:w="0" w:type="dxa"/>
              <w:right w:w="15" w:type="dxa"/>
            </w:tcMar>
            <w:vAlign w:val="bottom"/>
            <w:hideMark/>
          </w:tcPr>
          <w:p w14:paraId="4648350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E831409" w14:textId="77777777">
        <w:trPr>
          <w:divId w:val="901330865"/>
        </w:trPr>
        <w:tc>
          <w:tcPr>
            <w:tcW w:w="4015" w:type="pct"/>
            <w:shd w:val="clear" w:color="auto" w:fill="CFF0FC"/>
            <w:tcMar>
              <w:top w:w="15" w:type="dxa"/>
              <w:left w:w="0" w:type="dxa"/>
              <w:bottom w:w="0" w:type="dxa"/>
              <w:right w:w="15" w:type="dxa"/>
            </w:tcMar>
            <w:hideMark/>
          </w:tcPr>
          <w:p w14:paraId="380B0450" w14:textId="77777777" w:rsidR="00000000" w:rsidRDefault="00582324">
            <w:pPr>
              <w:pStyle w:val="a3"/>
              <w:spacing w:before="0" w:beforeAutospacing="0" w:after="0" w:afterAutospacing="0"/>
              <w:rPr>
                <w:color w:val="000000"/>
                <w:sz w:val="18"/>
                <w:szCs w:val="18"/>
              </w:rPr>
            </w:pPr>
            <w:r>
              <w:rPr>
                <w:color w:val="000000"/>
                <w:sz w:val="18"/>
                <w:szCs w:val="18"/>
              </w:rPr>
              <w:t>2024</w:t>
            </w:r>
          </w:p>
        </w:tc>
        <w:tc>
          <w:tcPr>
            <w:tcW w:w="94" w:type="pct"/>
            <w:shd w:val="clear" w:color="auto" w:fill="CFF0FC"/>
            <w:tcMar>
              <w:top w:w="15" w:type="dxa"/>
              <w:left w:w="0" w:type="dxa"/>
              <w:bottom w:w="0" w:type="dxa"/>
              <w:right w:w="15" w:type="dxa"/>
            </w:tcMar>
            <w:vAlign w:val="bottom"/>
            <w:hideMark/>
          </w:tcPr>
          <w:p w14:paraId="19B138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C4B1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CFF0FC"/>
            <w:noWrap/>
            <w:tcMar>
              <w:top w:w="15" w:type="dxa"/>
              <w:left w:w="0" w:type="dxa"/>
              <w:bottom w:w="0" w:type="dxa"/>
              <w:right w:w="15" w:type="dxa"/>
            </w:tcMar>
            <w:vAlign w:val="bottom"/>
            <w:hideMark/>
          </w:tcPr>
          <w:p w14:paraId="1AEA7E95" w14:textId="77777777" w:rsidR="00000000" w:rsidRDefault="00582324">
            <w:pPr>
              <w:pStyle w:val="a3"/>
              <w:spacing w:before="0" w:beforeAutospacing="0" w:after="0" w:afterAutospacing="0"/>
              <w:jc w:val="right"/>
              <w:rPr>
                <w:color w:val="000000"/>
                <w:sz w:val="18"/>
                <w:szCs w:val="18"/>
              </w:rPr>
            </w:pPr>
            <w:r>
              <w:rPr>
                <w:color w:val="000000"/>
                <w:sz w:val="18"/>
                <w:szCs w:val="18"/>
              </w:rPr>
              <w:t>13,125</w:t>
            </w:r>
          </w:p>
        </w:tc>
        <w:tc>
          <w:tcPr>
            <w:tcW w:w="50" w:type="pct"/>
            <w:shd w:val="clear" w:color="auto" w:fill="CFF0FC"/>
            <w:noWrap/>
            <w:tcMar>
              <w:top w:w="15" w:type="dxa"/>
              <w:left w:w="0" w:type="dxa"/>
              <w:bottom w:w="0" w:type="dxa"/>
              <w:right w:w="15" w:type="dxa"/>
            </w:tcMar>
            <w:vAlign w:val="bottom"/>
            <w:hideMark/>
          </w:tcPr>
          <w:p w14:paraId="3106D76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2775D0D" w14:textId="77777777">
        <w:trPr>
          <w:divId w:val="901330865"/>
        </w:trPr>
        <w:tc>
          <w:tcPr>
            <w:tcW w:w="4015" w:type="pct"/>
            <w:shd w:val="clear" w:color="auto" w:fill="FFFFFF"/>
            <w:tcMar>
              <w:top w:w="15" w:type="dxa"/>
              <w:left w:w="0" w:type="dxa"/>
              <w:bottom w:w="0" w:type="dxa"/>
              <w:right w:w="15" w:type="dxa"/>
            </w:tcMar>
            <w:hideMark/>
          </w:tcPr>
          <w:p w14:paraId="35A49A40" w14:textId="77777777" w:rsidR="00000000" w:rsidRDefault="00582324">
            <w:pPr>
              <w:pStyle w:val="a3"/>
              <w:spacing w:before="0" w:beforeAutospacing="0" w:after="0" w:afterAutospacing="0"/>
              <w:rPr>
                <w:color w:val="000000"/>
                <w:sz w:val="18"/>
                <w:szCs w:val="18"/>
              </w:rPr>
            </w:pPr>
            <w:r>
              <w:rPr>
                <w:color w:val="000000"/>
                <w:sz w:val="18"/>
                <w:szCs w:val="18"/>
              </w:rPr>
              <w:t>2025</w:t>
            </w:r>
          </w:p>
        </w:tc>
        <w:tc>
          <w:tcPr>
            <w:tcW w:w="94" w:type="pct"/>
            <w:shd w:val="clear" w:color="auto" w:fill="FFFFFF"/>
            <w:tcMar>
              <w:top w:w="15" w:type="dxa"/>
              <w:left w:w="0" w:type="dxa"/>
              <w:bottom w:w="0" w:type="dxa"/>
              <w:right w:w="15" w:type="dxa"/>
            </w:tcMar>
            <w:vAlign w:val="bottom"/>
            <w:hideMark/>
          </w:tcPr>
          <w:p w14:paraId="06BE62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C9BC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shd w:val="clear" w:color="auto" w:fill="FFFFFF"/>
            <w:noWrap/>
            <w:tcMar>
              <w:top w:w="15" w:type="dxa"/>
              <w:left w:w="0" w:type="dxa"/>
              <w:bottom w:w="0" w:type="dxa"/>
              <w:right w:w="15" w:type="dxa"/>
            </w:tcMar>
            <w:vAlign w:val="bottom"/>
            <w:hideMark/>
          </w:tcPr>
          <w:p w14:paraId="66545E3E" w14:textId="77777777" w:rsidR="00000000" w:rsidRDefault="00582324">
            <w:pPr>
              <w:pStyle w:val="a3"/>
              <w:spacing w:before="0" w:beforeAutospacing="0" w:after="0" w:afterAutospacing="0"/>
              <w:jc w:val="right"/>
              <w:rPr>
                <w:color w:val="000000"/>
                <w:sz w:val="18"/>
                <w:szCs w:val="18"/>
              </w:rPr>
            </w:pPr>
            <w:r>
              <w:rPr>
                <w:color w:val="000000"/>
                <w:sz w:val="18"/>
                <w:szCs w:val="18"/>
              </w:rPr>
              <w:t>14,219</w:t>
            </w:r>
          </w:p>
        </w:tc>
        <w:tc>
          <w:tcPr>
            <w:tcW w:w="50" w:type="pct"/>
            <w:shd w:val="clear" w:color="auto" w:fill="FFFFFF"/>
            <w:noWrap/>
            <w:tcMar>
              <w:top w:w="15" w:type="dxa"/>
              <w:left w:w="0" w:type="dxa"/>
              <w:bottom w:w="0" w:type="dxa"/>
              <w:right w:w="15" w:type="dxa"/>
            </w:tcMar>
            <w:vAlign w:val="bottom"/>
            <w:hideMark/>
          </w:tcPr>
          <w:p w14:paraId="4DB0609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D8CC672" w14:textId="77777777">
        <w:trPr>
          <w:divId w:val="901330865"/>
        </w:trPr>
        <w:tc>
          <w:tcPr>
            <w:tcW w:w="4015" w:type="pct"/>
            <w:shd w:val="clear" w:color="auto" w:fill="CFF0FC"/>
            <w:tcMar>
              <w:top w:w="15" w:type="dxa"/>
              <w:left w:w="0" w:type="dxa"/>
              <w:bottom w:w="0" w:type="dxa"/>
              <w:right w:w="15" w:type="dxa"/>
            </w:tcMar>
            <w:hideMark/>
          </w:tcPr>
          <w:p w14:paraId="3839726C" w14:textId="77777777" w:rsidR="00000000" w:rsidRDefault="00582324">
            <w:pPr>
              <w:pStyle w:val="a3"/>
              <w:spacing w:before="0" w:beforeAutospacing="0" w:after="0" w:afterAutospacing="0"/>
              <w:rPr>
                <w:color w:val="000000"/>
                <w:sz w:val="18"/>
                <w:szCs w:val="18"/>
              </w:rPr>
            </w:pPr>
            <w:r>
              <w:rPr>
                <w:color w:val="000000"/>
                <w:sz w:val="18"/>
                <w:szCs w:val="18"/>
              </w:rPr>
              <w:t>2026</w:t>
            </w:r>
          </w:p>
        </w:tc>
        <w:tc>
          <w:tcPr>
            <w:tcW w:w="94" w:type="pct"/>
            <w:shd w:val="clear" w:color="auto" w:fill="CFF0FC"/>
            <w:tcMar>
              <w:top w:w="15" w:type="dxa"/>
              <w:left w:w="0" w:type="dxa"/>
              <w:bottom w:w="0" w:type="dxa"/>
              <w:right w:w="15" w:type="dxa"/>
            </w:tcMar>
            <w:vAlign w:val="bottom"/>
            <w:hideMark/>
          </w:tcPr>
          <w:p w14:paraId="0EE763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E663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6A79309C" w14:textId="77777777" w:rsidR="00000000" w:rsidRDefault="00582324">
            <w:pPr>
              <w:pStyle w:val="a3"/>
              <w:spacing w:before="0" w:beforeAutospacing="0" w:after="0" w:afterAutospacing="0"/>
              <w:jc w:val="right"/>
              <w:rPr>
                <w:color w:val="000000"/>
                <w:sz w:val="18"/>
                <w:szCs w:val="18"/>
              </w:rPr>
            </w:pPr>
            <w:r>
              <w:rPr>
                <w:color w:val="000000"/>
                <w:sz w:val="18"/>
                <w:szCs w:val="18"/>
              </w:rPr>
              <w:t>131,249</w:t>
            </w:r>
          </w:p>
        </w:tc>
        <w:tc>
          <w:tcPr>
            <w:tcW w:w="50" w:type="pct"/>
            <w:shd w:val="clear" w:color="auto" w:fill="CFF0FC"/>
            <w:noWrap/>
            <w:tcMar>
              <w:top w:w="15" w:type="dxa"/>
              <w:left w:w="0" w:type="dxa"/>
              <w:bottom w:w="0" w:type="dxa"/>
              <w:right w:w="15" w:type="dxa"/>
            </w:tcMar>
            <w:vAlign w:val="bottom"/>
            <w:hideMark/>
          </w:tcPr>
          <w:p w14:paraId="464AC5A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591D52" w14:textId="77777777">
        <w:trPr>
          <w:divId w:val="901330865"/>
        </w:trPr>
        <w:tc>
          <w:tcPr>
            <w:tcW w:w="4015" w:type="pct"/>
            <w:shd w:val="clear" w:color="auto" w:fill="FFFFFF"/>
            <w:tcMar>
              <w:top w:w="15" w:type="dxa"/>
              <w:left w:w="0" w:type="dxa"/>
              <w:bottom w:w="0" w:type="dxa"/>
              <w:right w:w="15" w:type="dxa"/>
            </w:tcMar>
            <w:hideMark/>
          </w:tcPr>
          <w:p w14:paraId="5CA5E126"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94" w:type="pct"/>
            <w:shd w:val="clear" w:color="auto" w:fill="FFFFFF"/>
            <w:tcMar>
              <w:top w:w="15" w:type="dxa"/>
              <w:left w:w="0" w:type="dxa"/>
              <w:bottom w:w="0" w:type="dxa"/>
              <w:right w:w="15" w:type="dxa"/>
            </w:tcMar>
            <w:vAlign w:val="bottom"/>
            <w:hideMark/>
          </w:tcPr>
          <w:p w14:paraId="62BB51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34C43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58A06A" w14:textId="77777777" w:rsidR="00000000" w:rsidRDefault="00582324">
            <w:pPr>
              <w:pStyle w:val="a3"/>
              <w:spacing w:before="0" w:beforeAutospacing="0" w:after="0" w:afterAutospacing="0"/>
              <w:jc w:val="right"/>
              <w:rPr>
                <w:color w:val="000000"/>
                <w:sz w:val="18"/>
                <w:szCs w:val="18"/>
              </w:rPr>
            </w:pPr>
            <w:r>
              <w:rPr>
                <w:color w:val="000000"/>
                <w:sz w:val="18"/>
                <w:szCs w:val="18"/>
              </w:rPr>
              <w:t>240,000</w:t>
            </w:r>
          </w:p>
        </w:tc>
        <w:tc>
          <w:tcPr>
            <w:tcW w:w="50" w:type="pct"/>
            <w:shd w:val="clear" w:color="auto" w:fill="FFFFFF"/>
            <w:noWrap/>
            <w:tcMar>
              <w:top w:w="15" w:type="dxa"/>
              <w:left w:w="0" w:type="dxa"/>
              <w:bottom w:w="0" w:type="dxa"/>
              <w:right w:w="15" w:type="dxa"/>
            </w:tcMar>
            <w:vAlign w:val="bottom"/>
            <w:hideMark/>
          </w:tcPr>
          <w:p w14:paraId="390ED6F4"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AC67BA0" w14:textId="77777777" w:rsidR="00000000" w:rsidRDefault="00582324">
      <w:pPr>
        <w:pStyle w:val="a3"/>
        <w:shd w:val="clear" w:color="auto" w:fill="FFFFFF"/>
        <w:spacing w:before="240" w:beforeAutospacing="0" w:after="0" w:afterAutospacing="0"/>
        <w:ind w:firstLine="416"/>
        <w:rPr>
          <w:sz w:val="20"/>
          <w:szCs w:val="20"/>
        </w:rPr>
      </w:pPr>
      <w:r>
        <w:rPr>
          <w:sz w:val="20"/>
          <w:szCs w:val="20"/>
        </w:rPr>
        <w:t> </w:t>
      </w:r>
    </w:p>
    <w:p w14:paraId="6B8182BD" w14:textId="77777777" w:rsidR="00000000" w:rsidRDefault="00582324">
      <w:pPr>
        <w:pStyle w:val="a3"/>
        <w:spacing w:before="0" w:beforeAutospacing="0" w:after="0" w:afterAutospacing="0"/>
        <w:rPr>
          <w:sz w:val="20"/>
          <w:szCs w:val="20"/>
        </w:rPr>
      </w:pPr>
      <w:r>
        <w:rPr>
          <w:sz w:val="20"/>
          <w:szCs w:val="20"/>
        </w:rPr>
        <w:t> </w:t>
      </w:r>
    </w:p>
    <w:p w14:paraId="62816FCA"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14. FAIR VALUE OF FINANCIAL INSTRUMENTS</w:t>
      </w:r>
    </w:p>
    <w:p w14:paraId="1AAA7E3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following financial liabilities are measured at fair value on a recurring basis using significant unobservable inputs (Level 3):</w:t>
      </w:r>
    </w:p>
    <w:p w14:paraId="19B8B1B0"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09"/>
        <w:gridCol w:w="101"/>
        <w:gridCol w:w="106"/>
        <w:gridCol w:w="982"/>
        <w:gridCol w:w="60"/>
        <w:gridCol w:w="102"/>
        <w:gridCol w:w="106"/>
        <w:gridCol w:w="983"/>
        <w:gridCol w:w="65"/>
      </w:tblGrid>
      <w:tr w:rsidR="00000000" w14:paraId="14BCBE94" w14:textId="77777777">
        <w:trPr>
          <w:divId w:val="1013922126"/>
        </w:trPr>
        <w:tc>
          <w:tcPr>
            <w:tcW w:w="2863" w:type="pct"/>
            <w:shd w:val="clear" w:color="auto" w:fill="FFFFFF"/>
            <w:tcMar>
              <w:top w:w="15" w:type="dxa"/>
              <w:left w:w="0" w:type="dxa"/>
              <w:bottom w:w="0" w:type="dxa"/>
              <w:right w:w="15" w:type="dxa"/>
            </w:tcMar>
            <w:vAlign w:val="bottom"/>
            <w:hideMark/>
          </w:tcPr>
          <w:p w14:paraId="5D857F22" w14:textId="77777777" w:rsidR="00000000" w:rsidRDefault="00582324">
            <w:pPr>
              <w:pStyle w:val="a3"/>
              <w:spacing w:before="0" w:beforeAutospacing="0" w:after="0" w:afterAutospacing="0"/>
              <w:jc w:val="center"/>
              <w:rPr>
                <w:sz w:val="20"/>
                <w:szCs w:val="20"/>
              </w:rPr>
            </w:pPr>
            <w:r>
              <w:rPr>
                <w:sz w:val="20"/>
                <w:szCs w:val="20"/>
              </w:rPr>
              <w:t> </w:t>
            </w:r>
          </w:p>
        </w:tc>
        <w:tc>
          <w:tcPr>
            <w:tcW w:w="105" w:type="pct"/>
            <w:shd w:val="clear" w:color="auto" w:fill="FFFFFF"/>
            <w:tcMar>
              <w:top w:w="15" w:type="dxa"/>
              <w:left w:w="0" w:type="dxa"/>
              <w:bottom w:w="0" w:type="dxa"/>
              <w:right w:w="15" w:type="dxa"/>
            </w:tcMar>
            <w:vAlign w:val="bottom"/>
            <w:hideMark/>
          </w:tcPr>
          <w:p w14:paraId="656B1F27"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913" w:type="pct"/>
            <w:gridSpan w:val="2"/>
            <w:shd w:val="clear" w:color="auto" w:fill="FFFFFF"/>
            <w:tcMar>
              <w:top w:w="15" w:type="dxa"/>
              <w:left w:w="0" w:type="dxa"/>
              <w:bottom w:w="0" w:type="dxa"/>
              <w:right w:w="15" w:type="dxa"/>
            </w:tcMar>
            <w:vAlign w:val="bottom"/>
            <w:hideMark/>
          </w:tcPr>
          <w:p w14:paraId="5997194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14B160C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5" w:type="pct"/>
            <w:shd w:val="clear" w:color="auto" w:fill="FFFFFF"/>
            <w:tcMar>
              <w:top w:w="15" w:type="dxa"/>
              <w:left w:w="0" w:type="dxa"/>
              <w:bottom w:w="0" w:type="dxa"/>
              <w:right w:w="15" w:type="dxa"/>
            </w:tcMar>
            <w:vAlign w:val="bottom"/>
            <w:hideMark/>
          </w:tcPr>
          <w:p w14:paraId="73DB988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913" w:type="pct"/>
            <w:gridSpan w:val="2"/>
            <w:shd w:val="clear" w:color="auto" w:fill="FFFFFF"/>
            <w:tcMar>
              <w:top w:w="15" w:type="dxa"/>
              <w:left w:w="0" w:type="dxa"/>
              <w:bottom w:w="0" w:type="dxa"/>
              <w:right w:w="15" w:type="dxa"/>
            </w:tcMar>
            <w:vAlign w:val="bottom"/>
            <w:hideMark/>
          </w:tcPr>
          <w:p w14:paraId="4A7736C7"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5A7D51EC"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2D90C8CC" w14:textId="77777777">
        <w:trPr>
          <w:divId w:val="1013922126"/>
        </w:trPr>
        <w:tc>
          <w:tcPr>
            <w:tcW w:w="2863" w:type="pct"/>
            <w:shd w:val="clear" w:color="auto" w:fill="FFFFFF"/>
            <w:tcMar>
              <w:top w:w="15" w:type="dxa"/>
              <w:left w:w="0" w:type="dxa"/>
              <w:bottom w:w="0" w:type="dxa"/>
              <w:right w:w="15" w:type="dxa"/>
            </w:tcMar>
            <w:vAlign w:val="bottom"/>
            <w:hideMark/>
          </w:tcPr>
          <w:p w14:paraId="27E7E03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05" w:type="pct"/>
            <w:shd w:val="clear" w:color="auto" w:fill="FFFFFF"/>
            <w:tcMar>
              <w:top w:w="15" w:type="dxa"/>
              <w:left w:w="0" w:type="dxa"/>
              <w:bottom w:w="0" w:type="dxa"/>
              <w:right w:w="15" w:type="dxa"/>
            </w:tcMar>
            <w:vAlign w:val="bottom"/>
            <w:hideMark/>
          </w:tcPr>
          <w:p w14:paraId="0590D35B"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913" w:type="pct"/>
            <w:gridSpan w:val="2"/>
            <w:tcBorders>
              <w:bottom w:val="single" w:sz="6" w:space="0" w:color="000000"/>
            </w:tcBorders>
            <w:shd w:val="clear" w:color="auto" w:fill="FFFFFF"/>
            <w:tcMar>
              <w:top w:w="15" w:type="dxa"/>
              <w:left w:w="0" w:type="dxa"/>
              <w:bottom w:w="0" w:type="dxa"/>
              <w:right w:w="15" w:type="dxa"/>
            </w:tcMar>
            <w:vAlign w:val="bottom"/>
            <w:hideMark/>
          </w:tcPr>
          <w:p w14:paraId="200900D5"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1471BCC1"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05" w:type="pct"/>
            <w:shd w:val="clear" w:color="auto" w:fill="FFFFFF"/>
            <w:tcMar>
              <w:top w:w="15" w:type="dxa"/>
              <w:left w:w="0" w:type="dxa"/>
              <w:bottom w:w="0" w:type="dxa"/>
              <w:right w:w="15" w:type="dxa"/>
            </w:tcMar>
            <w:vAlign w:val="bottom"/>
            <w:hideMark/>
          </w:tcPr>
          <w:p w14:paraId="6A62F5A1"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913" w:type="pct"/>
            <w:gridSpan w:val="2"/>
            <w:tcBorders>
              <w:bottom w:val="single" w:sz="6" w:space="0" w:color="000000"/>
            </w:tcBorders>
            <w:shd w:val="clear" w:color="auto" w:fill="FFFFFF"/>
            <w:tcMar>
              <w:top w:w="15" w:type="dxa"/>
              <w:left w:w="0" w:type="dxa"/>
              <w:bottom w:w="0" w:type="dxa"/>
              <w:right w:w="15" w:type="dxa"/>
            </w:tcMar>
            <w:vAlign w:val="bottom"/>
            <w:hideMark/>
          </w:tcPr>
          <w:p w14:paraId="7176003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6F26EC8"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r>
      <w:tr w:rsidR="00000000" w14:paraId="3D858FFA" w14:textId="77777777">
        <w:trPr>
          <w:divId w:val="1013922126"/>
        </w:trPr>
        <w:tc>
          <w:tcPr>
            <w:tcW w:w="2863" w:type="pct"/>
            <w:shd w:val="clear" w:color="auto" w:fill="CFF0FC"/>
            <w:tcMar>
              <w:top w:w="15" w:type="dxa"/>
              <w:left w:w="0" w:type="dxa"/>
              <w:bottom w:w="0" w:type="dxa"/>
              <w:right w:w="15" w:type="dxa"/>
            </w:tcMar>
            <w:hideMark/>
          </w:tcPr>
          <w:p w14:paraId="2674014B" w14:textId="77777777" w:rsidR="00000000" w:rsidRDefault="00582324">
            <w:pPr>
              <w:pStyle w:val="a3"/>
              <w:spacing w:before="0" w:beforeAutospacing="0" w:after="0" w:afterAutospacing="0"/>
              <w:rPr>
                <w:color w:val="000000"/>
                <w:sz w:val="18"/>
                <w:szCs w:val="18"/>
              </w:rPr>
            </w:pPr>
            <w:r>
              <w:rPr>
                <w:color w:val="000000"/>
                <w:sz w:val="18"/>
                <w:szCs w:val="18"/>
              </w:rPr>
              <w:t>Business acquisitions contingent consideration,</w:t>
            </w:r>
          </w:p>
          <w:p w14:paraId="4B626327" w14:textId="77777777" w:rsidR="00000000" w:rsidRDefault="00582324">
            <w:pPr>
              <w:pStyle w:val="a3"/>
              <w:spacing w:before="0" w:beforeAutospacing="0" w:after="0" w:afterAutospacing="0"/>
              <w:rPr>
                <w:color w:val="000000"/>
                <w:sz w:val="18"/>
                <w:szCs w:val="18"/>
              </w:rPr>
            </w:pPr>
            <w:r>
              <w:rPr>
                <w:color w:val="000000"/>
                <w:sz w:val="18"/>
                <w:szCs w:val="18"/>
              </w:rPr>
              <w:t>   current</w:t>
            </w:r>
          </w:p>
        </w:tc>
        <w:tc>
          <w:tcPr>
            <w:tcW w:w="105" w:type="pct"/>
            <w:shd w:val="clear" w:color="auto" w:fill="CFF0FC"/>
            <w:tcMar>
              <w:top w:w="15" w:type="dxa"/>
              <w:left w:w="0" w:type="dxa"/>
              <w:bottom w:w="0" w:type="dxa"/>
              <w:right w:w="15" w:type="dxa"/>
            </w:tcMar>
            <w:vAlign w:val="bottom"/>
            <w:hideMark/>
          </w:tcPr>
          <w:p w14:paraId="18829E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1674D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63" w:type="pct"/>
            <w:tcBorders>
              <w:top w:val="single" w:sz="6" w:space="0" w:color="000000"/>
            </w:tcBorders>
            <w:shd w:val="clear" w:color="auto" w:fill="CFF0FC"/>
            <w:noWrap/>
            <w:tcMar>
              <w:top w:w="15" w:type="dxa"/>
              <w:left w:w="0" w:type="dxa"/>
              <w:bottom w:w="0" w:type="dxa"/>
              <w:right w:w="15" w:type="dxa"/>
            </w:tcMar>
            <w:vAlign w:val="bottom"/>
            <w:hideMark/>
          </w:tcPr>
          <w:p w14:paraId="068DE235" w14:textId="77777777" w:rsidR="00000000" w:rsidRDefault="00582324">
            <w:pPr>
              <w:pStyle w:val="a3"/>
              <w:spacing w:before="0" w:beforeAutospacing="0" w:after="0" w:afterAutospacing="0"/>
              <w:jc w:val="right"/>
              <w:rPr>
                <w:color w:val="000000"/>
                <w:sz w:val="18"/>
                <w:szCs w:val="18"/>
              </w:rPr>
            </w:pPr>
            <w:r>
              <w:rPr>
                <w:color w:val="000000"/>
                <w:sz w:val="18"/>
                <w:szCs w:val="18"/>
              </w:rPr>
              <w:t>30,152</w:t>
            </w:r>
          </w:p>
        </w:tc>
        <w:tc>
          <w:tcPr>
            <w:tcW w:w="50" w:type="pct"/>
            <w:shd w:val="clear" w:color="auto" w:fill="CFF0FC"/>
            <w:noWrap/>
            <w:tcMar>
              <w:top w:w="15" w:type="dxa"/>
              <w:left w:w="0" w:type="dxa"/>
              <w:bottom w:w="0" w:type="dxa"/>
              <w:right w:w="15" w:type="dxa"/>
            </w:tcMar>
            <w:vAlign w:val="bottom"/>
            <w:hideMark/>
          </w:tcPr>
          <w:p w14:paraId="0C2BCD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CFF0FC"/>
            <w:tcMar>
              <w:top w:w="15" w:type="dxa"/>
              <w:left w:w="0" w:type="dxa"/>
              <w:bottom w:w="0" w:type="dxa"/>
              <w:right w:w="15" w:type="dxa"/>
            </w:tcMar>
            <w:vAlign w:val="bottom"/>
            <w:hideMark/>
          </w:tcPr>
          <w:p w14:paraId="076E84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DE9B7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63" w:type="pct"/>
            <w:tcBorders>
              <w:top w:val="single" w:sz="6" w:space="0" w:color="000000"/>
            </w:tcBorders>
            <w:shd w:val="clear" w:color="auto" w:fill="CFF0FC"/>
            <w:noWrap/>
            <w:tcMar>
              <w:top w:w="15" w:type="dxa"/>
              <w:left w:w="0" w:type="dxa"/>
              <w:bottom w:w="0" w:type="dxa"/>
              <w:right w:w="15" w:type="dxa"/>
            </w:tcMar>
            <w:vAlign w:val="bottom"/>
            <w:hideMark/>
          </w:tcPr>
          <w:p w14:paraId="37FFD497" w14:textId="77777777" w:rsidR="00000000" w:rsidRDefault="00582324">
            <w:pPr>
              <w:pStyle w:val="a3"/>
              <w:spacing w:before="0" w:beforeAutospacing="0" w:after="0" w:afterAutospacing="0"/>
              <w:jc w:val="right"/>
              <w:rPr>
                <w:color w:val="000000"/>
                <w:sz w:val="18"/>
                <w:szCs w:val="18"/>
              </w:rPr>
            </w:pPr>
            <w:r>
              <w:rPr>
                <w:color w:val="000000"/>
                <w:sz w:val="18"/>
                <w:szCs w:val="18"/>
              </w:rPr>
              <w:t>49,902</w:t>
            </w:r>
          </w:p>
        </w:tc>
        <w:tc>
          <w:tcPr>
            <w:tcW w:w="50" w:type="pct"/>
            <w:shd w:val="clear" w:color="auto" w:fill="CFF0FC"/>
            <w:noWrap/>
            <w:tcMar>
              <w:top w:w="15" w:type="dxa"/>
              <w:left w:w="0" w:type="dxa"/>
              <w:bottom w:w="0" w:type="dxa"/>
              <w:right w:w="15" w:type="dxa"/>
            </w:tcMar>
            <w:vAlign w:val="bottom"/>
            <w:hideMark/>
          </w:tcPr>
          <w:p w14:paraId="6C8B77F3"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50C17DEE" w14:textId="77777777">
        <w:trPr>
          <w:divId w:val="1013922126"/>
        </w:trPr>
        <w:tc>
          <w:tcPr>
            <w:tcW w:w="2863" w:type="pct"/>
            <w:shd w:val="clear" w:color="auto" w:fill="FFFFFF"/>
            <w:tcMar>
              <w:top w:w="15" w:type="dxa"/>
              <w:left w:w="0" w:type="dxa"/>
              <w:bottom w:w="0" w:type="dxa"/>
              <w:right w:w="15" w:type="dxa"/>
            </w:tcMar>
            <w:hideMark/>
          </w:tcPr>
          <w:p w14:paraId="47F13679" w14:textId="77777777" w:rsidR="00000000" w:rsidRDefault="00582324">
            <w:pPr>
              <w:pStyle w:val="a3"/>
              <w:spacing w:before="0" w:beforeAutospacing="0" w:after="0" w:afterAutospacing="0"/>
              <w:rPr>
                <w:color w:val="000000"/>
                <w:sz w:val="18"/>
                <w:szCs w:val="18"/>
              </w:rPr>
            </w:pPr>
            <w:r>
              <w:rPr>
                <w:color w:val="000000"/>
                <w:sz w:val="18"/>
                <w:szCs w:val="18"/>
              </w:rPr>
              <w:t>Business acquisitions contingent consideration,</w:t>
            </w:r>
          </w:p>
          <w:p w14:paraId="0BC392D5" w14:textId="77777777" w:rsidR="00000000" w:rsidRDefault="00582324">
            <w:pPr>
              <w:pStyle w:val="a3"/>
              <w:spacing w:before="0" w:beforeAutospacing="0" w:after="0" w:afterAutospacing="0"/>
              <w:rPr>
                <w:color w:val="000000"/>
                <w:sz w:val="18"/>
                <w:szCs w:val="18"/>
              </w:rPr>
            </w:pPr>
            <w:r>
              <w:rPr>
                <w:color w:val="000000"/>
                <w:sz w:val="18"/>
                <w:szCs w:val="18"/>
              </w:rPr>
              <w:t>   long-term</w:t>
            </w:r>
          </w:p>
        </w:tc>
        <w:tc>
          <w:tcPr>
            <w:tcW w:w="105" w:type="pct"/>
            <w:shd w:val="clear" w:color="auto" w:fill="FFFFFF"/>
            <w:tcMar>
              <w:top w:w="15" w:type="dxa"/>
              <w:left w:w="0" w:type="dxa"/>
              <w:bottom w:w="0" w:type="dxa"/>
              <w:right w:w="15" w:type="dxa"/>
            </w:tcMar>
            <w:vAlign w:val="bottom"/>
            <w:hideMark/>
          </w:tcPr>
          <w:p w14:paraId="68E4A4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9372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noWrap/>
            <w:tcMar>
              <w:top w:w="15" w:type="dxa"/>
              <w:left w:w="0" w:type="dxa"/>
              <w:bottom w:w="0" w:type="dxa"/>
              <w:right w:w="15" w:type="dxa"/>
            </w:tcMar>
            <w:vAlign w:val="bottom"/>
            <w:hideMark/>
          </w:tcPr>
          <w:p w14:paraId="019179BB" w14:textId="77777777" w:rsidR="00000000" w:rsidRDefault="00582324">
            <w:pPr>
              <w:pStyle w:val="a3"/>
              <w:spacing w:before="0" w:beforeAutospacing="0" w:after="0" w:afterAutospacing="0"/>
              <w:jc w:val="right"/>
              <w:rPr>
                <w:color w:val="000000"/>
                <w:sz w:val="18"/>
                <w:szCs w:val="18"/>
              </w:rPr>
            </w:pPr>
            <w:r>
              <w:rPr>
                <w:color w:val="000000"/>
                <w:sz w:val="18"/>
                <w:szCs w:val="18"/>
              </w:rPr>
              <w:t>1,000</w:t>
            </w:r>
          </w:p>
        </w:tc>
        <w:tc>
          <w:tcPr>
            <w:tcW w:w="50" w:type="pct"/>
            <w:shd w:val="clear" w:color="auto" w:fill="FFFFFF"/>
            <w:noWrap/>
            <w:tcMar>
              <w:top w:w="15" w:type="dxa"/>
              <w:left w:w="0" w:type="dxa"/>
              <w:bottom w:w="0" w:type="dxa"/>
              <w:right w:w="15" w:type="dxa"/>
            </w:tcMar>
            <w:vAlign w:val="bottom"/>
            <w:hideMark/>
          </w:tcPr>
          <w:p w14:paraId="44F7B4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6DE4D8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F550A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shd w:val="clear" w:color="auto" w:fill="FFFFFF"/>
            <w:noWrap/>
            <w:tcMar>
              <w:top w:w="15" w:type="dxa"/>
              <w:left w:w="0" w:type="dxa"/>
              <w:bottom w:w="0" w:type="dxa"/>
              <w:right w:w="15" w:type="dxa"/>
            </w:tcMar>
            <w:vAlign w:val="bottom"/>
            <w:hideMark/>
          </w:tcPr>
          <w:p w14:paraId="7C77B994" w14:textId="77777777" w:rsidR="00000000" w:rsidRDefault="00582324">
            <w:pPr>
              <w:pStyle w:val="a3"/>
              <w:spacing w:before="0" w:beforeAutospacing="0" w:after="0" w:afterAutospacing="0"/>
              <w:jc w:val="right"/>
              <w:rPr>
                <w:color w:val="000000"/>
                <w:sz w:val="18"/>
                <w:szCs w:val="18"/>
              </w:rPr>
            </w:pPr>
            <w:r>
              <w:rPr>
                <w:color w:val="000000"/>
                <w:sz w:val="18"/>
                <w:szCs w:val="18"/>
              </w:rPr>
              <w:t>4,565</w:t>
            </w:r>
          </w:p>
        </w:tc>
        <w:tc>
          <w:tcPr>
            <w:tcW w:w="50" w:type="pct"/>
            <w:shd w:val="clear" w:color="auto" w:fill="FFFFFF"/>
            <w:noWrap/>
            <w:tcMar>
              <w:top w:w="15" w:type="dxa"/>
              <w:left w:w="0" w:type="dxa"/>
              <w:bottom w:w="0" w:type="dxa"/>
              <w:right w:w="15" w:type="dxa"/>
            </w:tcMar>
            <w:vAlign w:val="bottom"/>
            <w:hideMark/>
          </w:tcPr>
          <w:p w14:paraId="18174BBE"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145A69DA" w14:textId="77777777">
        <w:trPr>
          <w:divId w:val="1013922126"/>
        </w:trPr>
        <w:tc>
          <w:tcPr>
            <w:tcW w:w="2863" w:type="pct"/>
            <w:shd w:val="clear" w:color="auto" w:fill="CFF0FC"/>
            <w:tcMar>
              <w:top w:w="15" w:type="dxa"/>
              <w:left w:w="0" w:type="dxa"/>
              <w:bottom w:w="0" w:type="dxa"/>
              <w:right w:w="15" w:type="dxa"/>
            </w:tcMar>
            <w:hideMark/>
          </w:tcPr>
          <w:p w14:paraId="2A08FF5C" w14:textId="77777777" w:rsidR="00000000" w:rsidRDefault="00582324">
            <w:pPr>
              <w:pStyle w:val="a3"/>
              <w:spacing w:before="0" w:beforeAutospacing="0" w:after="0" w:afterAutospacing="0"/>
              <w:rPr>
                <w:color w:val="000000"/>
                <w:sz w:val="18"/>
                <w:szCs w:val="18"/>
              </w:rPr>
            </w:pPr>
            <w:r>
              <w:rPr>
                <w:color w:val="000000"/>
                <w:sz w:val="18"/>
                <w:szCs w:val="18"/>
              </w:rPr>
              <w:t>Conversion option</w:t>
            </w:r>
          </w:p>
        </w:tc>
        <w:tc>
          <w:tcPr>
            <w:tcW w:w="105" w:type="pct"/>
            <w:shd w:val="clear" w:color="auto" w:fill="CFF0FC"/>
            <w:tcMar>
              <w:top w:w="15" w:type="dxa"/>
              <w:left w:w="0" w:type="dxa"/>
              <w:bottom w:w="0" w:type="dxa"/>
              <w:right w:w="15" w:type="dxa"/>
            </w:tcMar>
            <w:vAlign w:val="bottom"/>
            <w:hideMark/>
          </w:tcPr>
          <w:p w14:paraId="363935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C566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tcBorders>
              <w:bottom w:val="single" w:sz="6" w:space="0" w:color="000000"/>
            </w:tcBorders>
            <w:shd w:val="clear" w:color="auto" w:fill="CFF0FC"/>
            <w:noWrap/>
            <w:tcMar>
              <w:top w:w="15" w:type="dxa"/>
              <w:left w:w="0" w:type="dxa"/>
              <w:bottom w:w="0" w:type="dxa"/>
              <w:right w:w="15" w:type="dxa"/>
            </w:tcMar>
            <w:vAlign w:val="bottom"/>
            <w:hideMark/>
          </w:tcPr>
          <w:p w14:paraId="6F0C86F8" w14:textId="77777777" w:rsidR="00000000" w:rsidRDefault="00582324">
            <w:pPr>
              <w:pStyle w:val="a3"/>
              <w:spacing w:before="0" w:beforeAutospacing="0" w:after="0" w:afterAutospacing="0"/>
              <w:jc w:val="right"/>
              <w:rPr>
                <w:color w:val="000000"/>
                <w:sz w:val="18"/>
                <w:szCs w:val="18"/>
              </w:rPr>
            </w:pPr>
            <w:r>
              <w:rPr>
                <w:color w:val="000000"/>
                <w:sz w:val="18"/>
                <w:szCs w:val="18"/>
              </w:rPr>
              <w:t>22,006</w:t>
            </w:r>
          </w:p>
        </w:tc>
        <w:tc>
          <w:tcPr>
            <w:tcW w:w="50" w:type="pct"/>
            <w:shd w:val="clear" w:color="auto" w:fill="CFF0FC"/>
            <w:noWrap/>
            <w:tcMar>
              <w:top w:w="15" w:type="dxa"/>
              <w:left w:w="0" w:type="dxa"/>
              <w:bottom w:w="0" w:type="dxa"/>
              <w:right w:w="15" w:type="dxa"/>
            </w:tcMar>
            <w:vAlign w:val="bottom"/>
            <w:hideMark/>
          </w:tcPr>
          <w:p w14:paraId="4EA2C5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CFF0FC"/>
            <w:tcMar>
              <w:top w:w="15" w:type="dxa"/>
              <w:left w:w="0" w:type="dxa"/>
              <w:bottom w:w="0" w:type="dxa"/>
              <w:right w:w="15" w:type="dxa"/>
            </w:tcMar>
            <w:vAlign w:val="bottom"/>
            <w:hideMark/>
          </w:tcPr>
          <w:p w14:paraId="557F2D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0AA9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63" w:type="pct"/>
            <w:tcBorders>
              <w:bottom w:val="single" w:sz="6" w:space="0" w:color="000000"/>
            </w:tcBorders>
            <w:shd w:val="clear" w:color="auto" w:fill="CFF0FC"/>
            <w:noWrap/>
            <w:tcMar>
              <w:top w:w="15" w:type="dxa"/>
              <w:left w:w="0" w:type="dxa"/>
              <w:bottom w:w="0" w:type="dxa"/>
              <w:right w:w="15" w:type="dxa"/>
            </w:tcMar>
            <w:vAlign w:val="bottom"/>
            <w:hideMark/>
          </w:tcPr>
          <w:p w14:paraId="33283231" w14:textId="77777777" w:rsidR="00000000" w:rsidRDefault="00582324">
            <w:pPr>
              <w:pStyle w:val="a3"/>
              <w:spacing w:before="0" w:beforeAutospacing="0" w:after="0" w:afterAutospacing="0"/>
              <w:jc w:val="right"/>
              <w:rPr>
                <w:color w:val="000000"/>
                <w:sz w:val="18"/>
                <w:szCs w:val="18"/>
              </w:rPr>
            </w:pPr>
            <w:r>
              <w:rPr>
                <w:color w:val="000000"/>
                <w:sz w:val="18"/>
                <w:szCs w:val="18"/>
              </w:rPr>
              <w:t>20,886</w:t>
            </w:r>
          </w:p>
        </w:tc>
        <w:tc>
          <w:tcPr>
            <w:tcW w:w="50" w:type="pct"/>
            <w:shd w:val="clear" w:color="auto" w:fill="CFF0FC"/>
            <w:noWrap/>
            <w:tcMar>
              <w:top w:w="15" w:type="dxa"/>
              <w:left w:w="0" w:type="dxa"/>
              <w:bottom w:w="0" w:type="dxa"/>
              <w:right w:w="15" w:type="dxa"/>
            </w:tcMar>
            <w:vAlign w:val="bottom"/>
            <w:hideMark/>
          </w:tcPr>
          <w:p w14:paraId="281A4F21"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67837F79" w14:textId="77777777">
        <w:trPr>
          <w:divId w:val="1013922126"/>
        </w:trPr>
        <w:tc>
          <w:tcPr>
            <w:tcW w:w="2863" w:type="pct"/>
            <w:shd w:val="clear" w:color="auto" w:fill="FFFFFF"/>
            <w:tcMar>
              <w:top w:w="15" w:type="dxa"/>
              <w:left w:w="0" w:type="dxa"/>
              <w:bottom w:w="0" w:type="dxa"/>
              <w:right w:w="15" w:type="dxa"/>
            </w:tcMar>
            <w:hideMark/>
          </w:tcPr>
          <w:p w14:paraId="6B9B80E5"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105" w:type="pct"/>
            <w:shd w:val="clear" w:color="auto" w:fill="FFFFFF"/>
            <w:tcMar>
              <w:top w:w="15" w:type="dxa"/>
              <w:left w:w="0" w:type="dxa"/>
              <w:bottom w:w="0" w:type="dxa"/>
              <w:right w:w="15" w:type="dxa"/>
            </w:tcMar>
            <w:vAlign w:val="bottom"/>
            <w:hideMark/>
          </w:tcPr>
          <w:p w14:paraId="47ACD3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4B9D0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D47655" w14:textId="77777777" w:rsidR="00000000" w:rsidRDefault="00582324">
            <w:pPr>
              <w:pStyle w:val="a3"/>
              <w:spacing w:before="0" w:beforeAutospacing="0" w:after="0" w:afterAutospacing="0"/>
              <w:jc w:val="right"/>
              <w:rPr>
                <w:color w:val="000000"/>
                <w:sz w:val="18"/>
                <w:szCs w:val="18"/>
              </w:rPr>
            </w:pPr>
            <w:r>
              <w:rPr>
                <w:color w:val="000000"/>
                <w:sz w:val="18"/>
                <w:szCs w:val="18"/>
              </w:rPr>
              <w:t>53,158</w:t>
            </w:r>
          </w:p>
        </w:tc>
        <w:tc>
          <w:tcPr>
            <w:tcW w:w="50" w:type="pct"/>
            <w:shd w:val="clear" w:color="auto" w:fill="FFFFFF"/>
            <w:noWrap/>
            <w:tcMar>
              <w:top w:w="15" w:type="dxa"/>
              <w:left w:w="0" w:type="dxa"/>
              <w:bottom w:w="0" w:type="dxa"/>
              <w:right w:w="15" w:type="dxa"/>
            </w:tcMar>
            <w:vAlign w:val="bottom"/>
            <w:hideMark/>
          </w:tcPr>
          <w:p w14:paraId="70CC4B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6873CF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FBB5D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7C1301" w14:textId="77777777" w:rsidR="00000000" w:rsidRDefault="00582324">
            <w:pPr>
              <w:pStyle w:val="a3"/>
              <w:spacing w:before="0" w:beforeAutospacing="0" w:after="0" w:afterAutospacing="0"/>
              <w:jc w:val="right"/>
              <w:rPr>
                <w:color w:val="000000"/>
                <w:sz w:val="18"/>
                <w:szCs w:val="18"/>
              </w:rPr>
            </w:pPr>
            <w:r>
              <w:rPr>
                <w:color w:val="000000"/>
                <w:sz w:val="18"/>
                <w:szCs w:val="18"/>
              </w:rPr>
              <w:t>75,353</w:t>
            </w:r>
          </w:p>
        </w:tc>
        <w:tc>
          <w:tcPr>
            <w:tcW w:w="50" w:type="pct"/>
            <w:shd w:val="clear" w:color="auto" w:fill="FFFFFF"/>
            <w:noWrap/>
            <w:tcMar>
              <w:top w:w="15" w:type="dxa"/>
              <w:left w:w="0" w:type="dxa"/>
              <w:bottom w:w="0" w:type="dxa"/>
              <w:right w:w="15" w:type="dxa"/>
            </w:tcMar>
            <w:vAlign w:val="bottom"/>
            <w:hideMark/>
          </w:tcPr>
          <w:p w14:paraId="3EF21103"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ABE2790" w14:textId="77777777" w:rsidR="00000000" w:rsidRDefault="00582324">
      <w:pPr>
        <w:pStyle w:val="a3"/>
        <w:shd w:val="clear" w:color="auto" w:fill="FFFFFF"/>
        <w:spacing w:before="0" w:beforeAutospacing="0" w:after="0" w:afterAutospacing="0"/>
        <w:rPr>
          <w:sz w:val="20"/>
          <w:szCs w:val="20"/>
        </w:rPr>
      </w:pPr>
      <w:r>
        <w:rPr>
          <w:sz w:val="20"/>
          <w:szCs w:val="20"/>
        </w:rPr>
        <w:t> </w:t>
      </w:r>
    </w:p>
    <w:p w14:paraId="2C009AA7"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The estimated fair value amounts shown above are not necessarily indicative of the amounts that the Company would realize upon disposition, nor do they indicate the Company’s intent or ability to dispose of the financial instrument.</w:t>
      </w:r>
    </w:p>
    <w:p w14:paraId="2E39BC41" w14:textId="77777777" w:rsidR="00000000" w:rsidRDefault="00582324">
      <w:pPr>
        <w:pStyle w:val="a3"/>
        <w:spacing w:before="240" w:beforeAutospacing="0" w:after="0" w:afterAutospacing="0"/>
        <w:jc w:val="center"/>
        <w:rPr>
          <w:sz w:val="20"/>
          <w:szCs w:val="20"/>
        </w:rPr>
      </w:pPr>
      <w:r>
        <w:rPr>
          <w:sz w:val="20"/>
          <w:szCs w:val="20"/>
        </w:rPr>
        <w:t>19</w:t>
      </w:r>
    </w:p>
    <w:p w14:paraId="77F7DD4E" w14:textId="77777777" w:rsidR="00000000" w:rsidRDefault="00582324">
      <w:pPr>
        <w:rPr>
          <w:rFonts w:eastAsia="Times New Roman"/>
        </w:rPr>
      </w:pPr>
      <w:r>
        <w:rPr>
          <w:rFonts w:eastAsia="Times New Roman"/>
        </w:rPr>
        <w:pict w14:anchorId="3B371832">
          <v:rect id="_x0000_i1045" style="width:0;height:1.5pt" o:hralign="center" o:hrstd="t" o:hr="t" fillcolor="#a0a0a0" stroked="f"/>
        </w:pict>
      </w:r>
    </w:p>
    <w:p w14:paraId="7AF1F56A" w14:textId="77777777" w:rsidR="00000000" w:rsidRDefault="00582324">
      <w:pPr>
        <w:pStyle w:val="a3"/>
        <w:spacing w:before="0" w:beforeAutospacing="0" w:after="0" w:afterAutospacing="0"/>
        <w:rPr>
          <w:sz w:val="20"/>
          <w:szCs w:val="20"/>
        </w:rPr>
      </w:pPr>
      <w:r>
        <w:rPr>
          <w:sz w:val="20"/>
          <w:szCs w:val="20"/>
        </w:rPr>
        <w:t> </w:t>
      </w:r>
    </w:p>
    <w:p w14:paraId="2F60DBE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table sets forth the Company’s financial instruments that were measured at fair value on a recurring basis:</w:t>
      </w:r>
    </w:p>
    <w:p w14:paraId="31E19C51"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00"/>
        <w:gridCol w:w="122"/>
        <w:gridCol w:w="754"/>
        <w:gridCol w:w="75"/>
        <w:gridCol w:w="60"/>
        <w:gridCol w:w="160"/>
        <w:gridCol w:w="991"/>
        <w:gridCol w:w="75"/>
        <w:gridCol w:w="60"/>
        <w:gridCol w:w="160"/>
        <w:gridCol w:w="991"/>
        <w:gridCol w:w="75"/>
        <w:gridCol w:w="60"/>
        <w:gridCol w:w="125"/>
        <w:gridCol w:w="771"/>
        <w:gridCol w:w="60"/>
        <w:gridCol w:w="60"/>
        <w:gridCol w:w="122"/>
        <w:gridCol w:w="754"/>
        <w:gridCol w:w="60"/>
        <w:gridCol w:w="60"/>
        <w:gridCol w:w="106"/>
        <w:gridCol w:w="598"/>
        <w:gridCol w:w="60"/>
        <w:gridCol w:w="60"/>
        <w:gridCol w:w="109"/>
        <w:gridCol w:w="677"/>
        <w:gridCol w:w="75"/>
      </w:tblGrid>
      <w:tr w:rsidR="00000000" w14:paraId="14852DEC" w14:textId="77777777">
        <w:trPr>
          <w:divId w:val="602764912"/>
        </w:trPr>
        <w:tc>
          <w:tcPr>
            <w:tcW w:w="1851" w:type="pct"/>
            <w:shd w:val="clear" w:color="auto" w:fill="FFFFFF"/>
            <w:tcMar>
              <w:top w:w="15" w:type="dxa"/>
              <w:left w:w="0" w:type="dxa"/>
              <w:bottom w:w="0" w:type="dxa"/>
              <w:right w:w="15" w:type="dxa"/>
            </w:tcMar>
            <w:vAlign w:val="bottom"/>
            <w:hideMark/>
          </w:tcPr>
          <w:p w14:paraId="37369004" w14:textId="77777777" w:rsidR="00000000" w:rsidRDefault="00582324">
            <w:pPr>
              <w:pStyle w:val="a3"/>
              <w:spacing w:before="0" w:beforeAutospacing="0" w:after="0" w:afterAutospacing="0"/>
              <w:jc w:val="center"/>
              <w:rPr>
                <w:sz w:val="20"/>
                <w:szCs w:val="20"/>
              </w:rPr>
            </w:pPr>
            <w:r>
              <w:rPr>
                <w:sz w:val="20"/>
                <w:szCs w:val="20"/>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3FB2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Compound Embedded Option</w:t>
            </w:r>
          </w:p>
        </w:tc>
        <w:tc>
          <w:tcPr>
            <w:tcW w:w="50" w:type="pct"/>
            <w:shd w:val="clear" w:color="auto" w:fill="FFFFFF"/>
            <w:noWrap/>
            <w:tcMar>
              <w:top w:w="15" w:type="dxa"/>
              <w:left w:w="0" w:type="dxa"/>
              <w:bottom w:w="0" w:type="dxa"/>
              <w:right w:w="15" w:type="dxa"/>
            </w:tcMar>
            <w:vAlign w:val="bottom"/>
            <w:hideMark/>
          </w:tcPr>
          <w:p w14:paraId="7DC1421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shd w:val="clear" w:color="auto" w:fill="FFFFFF"/>
            <w:tcMar>
              <w:top w:w="15" w:type="dxa"/>
              <w:left w:w="0" w:type="dxa"/>
              <w:bottom w:w="0" w:type="dxa"/>
              <w:right w:w="15" w:type="dxa"/>
            </w:tcMar>
            <w:vAlign w:val="bottom"/>
            <w:hideMark/>
          </w:tcPr>
          <w:p w14:paraId="7A12159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D357F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Business Acquisitions Contingent Consideration, Current</w:t>
            </w:r>
          </w:p>
        </w:tc>
        <w:tc>
          <w:tcPr>
            <w:tcW w:w="50" w:type="pct"/>
            <w:shd w:val="clear" w:color="auto" w:fill="FFFFFF"/>
            <w:noWrap/>
            <w:tcMar>
              <w:top w:w="15" w:type="dxa"/>
              <w:left w:w="0" w:type="dxa"/>
              <w:bottom w:w="0" w:type="dxa"/>
              <w:right w:w="15" w:type="dxa"/>
            </w:tcMar>
            <w:vAlign w:val="bottom"/>
            <w:hideMark/>
          </w:tcPr>
          <w:p w14:paraId="20E1656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01FD25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9822F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Business Acquisitions Contingent Consideration,</w:t>
            </w:r>
          </w:p>
          <w:p w14:paraId="52833D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Long-term</w:t>
            </w:r>
          </w:p>
        </w:tc>
        <w:tc>
          <w:tcPr>
            <w:tcW w:w="50" w:type="pct"/>
            <w:shd w:val="clear" w:color="auto" w:fill="FFFFFF"/>
            <w:noWrap/>
            <w:tcMar>
              <w:top w:w="15" w:type="dxa"/>
              <w:left w:w="0" w:type="dxa"/>
              <w:bottom w:w="0" w:type="dxa"/>
              <w:right w:w="15" w:type="dxa"/>
            </w:tcMar>
            <w:vAlign w:val="bottom"/>
            <w:hideMark/>
          </w:tcPr>
          <w:p w14:paraId="0FEA5FF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2D6F940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8E33C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Conversion Option</w:t>
            </w:r>
          </w:p>
        </w:tc>
        <w:tc>
          <w:tcPr>
            <w:tcW w:w="50" w:type="pct"/>
            <w:shd w:val="clear" w:color="auto" w:fill="FFFFFF"/>
            <w:noWrap/>
            <w:tcMar>
              <w:top w:w="15" w:type="dxa"/>
              <w:left w:w="0" w:type="dxa"/>
              <w:bottom w:w="0" w:type="dxa"/>
              <w:right w:w="15" w:type="dxa"/>
            </w:tcMar>
            <w:vAlign w:val="bottom"/>
            <w:hideMark/>
          </w:tcPr>
          <w:p w14:paraId="6664EFF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4957E4E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F52E8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Contingent</w:t>
            </w:r>
          </w:p>
          <w:p w14:paraId="1807159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Put Option</w:t>
            </w:r>
          </w:p>
        </w:tc>
        <w:tc>
          <w:tcPr>
            <w:tcW w:w="50" w:type="pct"/>
            <w:shd w:val="clear" w:color="auto" w:fill="FFFFFF"/>
            <w:noWrap/>
            <w:tcMar>
              <w:top w:w="15" w:type="dxa"/>
              <w:left w:w="0" w:type="dxa"/>
              <w:bottom w:w="0" w:type="dxa"/>
              <w:right w:w="15" w:type="dxa"/>
            </w:tcMar>
            <w:vAlign w:val="bottom"/>
            <w:hideMark/>
          </w:tcPr>
          <w:p w14:paraId="62D3F0D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77CB174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4A1C2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Warrant</w:t>
            </w:r>
          </w:p>
          <w:p w14:paraId="4727A22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568531D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4ED53C3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73547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 Liabilities</w:t>
            </w:r>
          </w:p>
        </w:tc>
        <w:tc>
          <w:tcPr>
            <w:tcW w:w="50" w:type="pct"/>
            <w:shd w:val="clear" w:color="auto" w:fill="FFFFFF"/>
            <w:noWrap/>
            <w:tcMar>
              <w:top w:w="15" w:type="dxa"/>
              <w:left w:w="0" w:type="dxa"/>
              <w:bottom w:w="0" w:type="dxa"/>
              <w:right w:w="15" w:type="dxa"/>
            </w:tcMar>
            <w:vAlign w:val="bottom"/>
            <w:hideMark/>
          </w:tcPr>
          <w:p w14:paraId="147CD85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41FB3A5E" w14:textId="77777777">
        <w:trPr>
          <w:divId w:val="602764912"/>
        </w:trPr>
        <w:tc>
          <w:tcPr>
            <w:tcW w:w="1851" w:type="pct"/>
            <w:shd w:val="clear" w:color="auto" w:fill="CFF0FC"/>
            <w:tcMar>
              <w:top w:w="15" w:type="dxa"/>
              <w:left w:w="0" w:type="dxa"/>
              <w:bottom w:w="0" w:type="dxa"/>
              <w:right w:w="15" w:type="dxa"/>
            </w:tcMar>
            <w:hideMark/>
          </w:tcPr>
          <w:p w14:paraId="543F6ACF" w14:textId="77777777" w:rsidR="00000000" w:rsidRDefault="00582324">
            <w:pPr>
              <w:pStyle w:val="a3"/>
              <w:spacing w:before="0" w:beforeAutospacing="0" w:after="0" w:afterAutospacing="0"/>
              <w:rPr>
                <w:color w:val="000000"/>
                <w:sz w:val="18"/>
                <w:szCs w:val="18"/>
              </w:rPr>
            </w:pPr>
            <w:r>
              <w:rPr>
                <w:color w:val="000000"/>
                <w:sz w:val="18"/>
                <w:szCs w:val="18"/>
              </w:rPr>
              <w:t>Balance—</w:t>
            </w:r>
            <w:r>
              <w:rPr>
                <w:color w:val="000000"/>
                <w:sz w:val="18"/>
                <w:szCs w:val="18"/>
              </w:rPr>
              <w:t>at January 1, 2020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F16A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0B861E6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34900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29C79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F7084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7B0448C0" w14:textId="77777777" w:rsidR="00000000" w:rsidRDefault="00582324">
            <w:pPr>
              <w:pStyle w:val="a3"/>
              <w:spacing w:before="0" w:beforeAutospacing="0" w:after="0" w:afterAutospacing="0"/>
              <w:jc w:val="right"/>
              <w:rPr>
                <w:color w:val="000000"/>
                <w:sz w:val="18"/>
                <w:szCs w:val="18"/>
              </w:rPr>
            </w:pPr>
            <w:r>
              <w:rPr>
                <w:color w:val="000000"/>
                <w:sz w:val="18"/>
                <w:szCs w:val="18"/>
              </w:rPr>
              <w:t>8,614</w:t>
            </w:r>
          </w:p>
        </w:tc>
        <w:tc>
          <w:tcPr>
            <w:tcW w:w="50" w:type="pct"/>
            <w:shd w:val="clear" w:color="auto" w:fill="CFF0FC"/>
            <w:noWrap/>
            <w:tcMar>
              <w:top w:w="15" w:type="dxa"/>
              <w:left w:w="0" w:type="dxa"/>
              <w:bottom w:w="0" w:type="dxa"/>
              <w:right w:w="15" w:type="dxa"/>
            </w:tcMar>
            <w:vAlign w:val="bottom"/>
            <w:hideMark/>
          </w:tcPr>
          <w:p w14:paraId="6E67F5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5374E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D5A4E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0024C4E9" w14:textId="77777777" w:rsidR="00000000" w:rsidRDefault="00582324">
            <w:pPr>
              <w:pStyle w:val="a3"/>
              <w:spacing w:before="0" w:beforeAutospacing="0" w:after="0" w:afterAutospacing="0"/>
              <w:jc w:val="right"/>
              <w:rPr>
                <w:color w:val="000000"/>
                <w:sz w:val="18"/>
                <w:szCs w:val="18"/>
              </w:rPr>
            </w:pPr>
            <w:r>
              <w:rPr>
                <w:color w:val="000000"/>
                <w:sz w:val="18"/>
                <w:szCs w:val="18"/>
              </w:rPr>
              <w:t>379</w:t>
            </w:r>
          </w:p>
        </w:tc>
        <w:tc>
          <w:tcPr>
            <w:tcW w:w="50" w:type="pct"/>
            <w:shd w:val="clear" w:color="auto" w:fill="CFF0FC"/>
            <w:noWrap/>
            <w:tcMar>
              <w:top w:w="15" w:type="dxa"/>
              <w:left w:w="0" w:type="dxa"/>
              <w:bottom w:w="0" w:type="dxa"/>
              <w:right w:w="15" w:type="dxa"/>
            </w:tcMar>
            <w:vAlign w:val="bottom"/>
            <w:hideMark/>
          </w:tcPr>
          <w:p w14:paraId="1DA2C3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8361A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9139D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4463AE0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F1888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B36B2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75A6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78741DE6" w14:textId="77777777" w:rsidR="00000000" w:rsidRDefault="00582324">
            <w:pPr>
              <w:pStyle w:val="a3"/>
              <w:spacing w:before="0" w:beforeAutospacing="0" w:after="0" w:afterAutospacing="0"/>
              <w:jc w:val="right"/>
              <w:rPr>
                <w:color w:val="000000"/>
                <w:sz w:val="18"/>
                <w:szCs w:val="18"/>
              </w:rPr>
            </w:pPr>
            <w:r>
              <w:rPr>
                <w:color w:val="000000"/>
                <w:sz w:val="18"/>
                <w:szCs w:val="18"/>
              </w:rPr>
              <w:t>7,100</w:t>
            </w:r>
          </w:p>
        </w:tc>
        <w:tc>
          <w:tcPr>
            <w:tcW w:w="50" w:type="pct"/>
            <w:shd w:val="clear" w:color="auto" w:fill="CFF0FC"/>
            <w:noWrap/>
            <w:tcMar>
              <w:top w:w="15" w:type="dxa"/>
              <w:left w:w="0" w:type="dxa"/>
              <w:bottom w:w="0" w:type="dxa"/>
              <w:right w:w="15" w:type="dxa"/>
            </w:tcMar>
            <w:vAlign w:val="bottom"/>
            <w:hideMark/>
          </w:tcPr>
          <w:p w14:paraId="19AC0A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82CD2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99803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1DD7D502" w14:textId="77777777" w:rsidR="00000000" w:rsidRDefault="00582324">
            <w:pPr>
              <w:pStyle w:val="a3"/>
              <w:spacing w:before="0" w:beforeAutospacing="0" w:after="0" w:afterAutospacing="0"/>
              <w:jc w:val="right"/>
              <w:rPr>
                <w:color w:val="000000"/>
                <w:sz w:val="18"/>
                <w:szCs w:val="18"/>
              </w:rPr>
            </w:pPr>
            <w:r>
              <w:rPr>
                <w:color w:val="000000"/>
                <w:sz w:val="18"/>
                <w:szCs w:val="18"/>
              </w:rPr>
              <w:t>16,878</w:t>
            </w:r>
          </w:p>
        </w:tc>
        <w:tc>
          <w:tcPr>
            <w:tcW w:w="50" w:type="pct"/>
            <w:shd w:val="clear" w:color="auto" w:fill="CFF0FC"/>
            <w:noWrap/>
            <w:tcMar>
              <w:top w:w="15" w:type="dxa"/>
              <w:left w:w="0" w:type="dxa"/>
              <w:bottom w:w="0" w:type="dxa"/>
              <w:right w:w="15" w:type="dxa"/>
            </w:tcMar>
            <w:vAlign w:val="bottom"/>
            <w:hideMark/>
          </w:tcPr>
          <w:p w14:paraId="7C1375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18457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0BB39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tcBorders>
            <w:shd w:val="clear" w:color="auto" w:fill="CFF0FC"/>
            <w:noWrap/>
            <w:tcMar>
              <w:top w:w="15" w:type="dxa"/>
              <w:left w:w="0" w:type="dxa"/>
              <w:bottom w:w="0" w:type="dxa"/>
              <w:right w:w="15" w:type="dxa"/>
            </w:tcMar>
            <w:vAlign w:val="bottom"/>
            <w:hideMark/>
          </w:tcPr>
          <w:p w14:paraId="64F547A0" w14:textId="77777777" w:rsidR="00000000" w:rsidRDefault="00582324">
            <w:pPr>
              <w:pStyle w:val="a3"/>
              <w:spacing w:before="0" w:beforeAutospacing="0" w:after="0" w:afterAutospacing="0"/>
              <w:jc w:val="right"/>
              <w:rPr>
                <w:color w:val="000000"/>
                <w:sz w:val="18"/>
                <w:szCs w:val="18"/>
              </w:rPr>
            </w:pPr>
            <w:r>
              <w:rPr>
                <w:color w:val="000000"/>
                <w:sz w:val="18"/>
                <w:szCs w:val="18"/>
              </w:rPr>
              <w:t>32,971</w:t>
            </w:r>
          </w:p>
        </w:tc>
        <w:tc>
          <w:tcPr>
            <w:tcW w:w="50" w:type="pct"/>
            <w:shd w:val="clear" w:color="auto" w:fill="CFF0FC"/>
            <w:noWrap/>
            <w:tcMar>
              <w:top w:w="15" w:type="dxa"/>
              <w:left w:w="0" w:type="dxa"/>
              <w:bottom w:w="0" w:type="dxa"/>
              <w:right w:w="15" w:type="dxa"/>
            </w:tcMar>
            <w:vAlign w:val="bottom"/>
            <w:hideMark/>
          </w:tcPr>
          <w:p w14:paraId="30C99F9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2A343791" w14:textId="77777777">
        <w:trPr>
          <w:divId w:val="602764912"/>
        </w:trPr>
        <w:tc>
          <w:tcPr>
            <w:tcW w:w="1851" w:type="pct"/>
            <w:shd w:val="clear" w:color="auto" w:fill="FFFFFF"/>
            <w:tcMar>
              <w:top w:w="15" w:type="dxa"/>
              <w:left w:w="0" w:type="dxa"/>
              <w:bottom w:w="0" w:type="dxa"/>
              <w:right w:w="15" w:type="dxa"/>
            </w:tcMar>
            <w:hideMark/>
          </w:tcPr>
          <w:p w14:paraId="5DFB06EE" w14:textId="77777777" w:rsidR="00000000" w:rsidRDefault="00582324">
            <w:pPr>
              <w:pStyle w:val="a3"/>
              <w:spacing w:before="0" w:beforeAutospacing="0" w:after="0" w:afterAutospacing="0"/>
              <w:rPr>
                <w:color w:val="000000"/>
                <w:sz w:val="18"/>
                <w:szCs w:val="18"/>
              </w:rPr>
            </w:pPr>
            <w:r>
              <w:rPr>
                <w:color w:val="000000"/>
                <w:sz w:val="18"/>
                <w:szCs w:val="18"/>
              </w:rPr>
              <w:t>   Series A-2 compound embedded option</w:t>
            </w:r>
          </w:p>
        </w:tc>
        <w:tc>
          <w:tcPr>
            <w:tcW w:w="50" w:type="pct"/>
            <w:shd w:val="clear" w:color="auto" w:fill="FFFFFF"/>
            <w:noWrap/>
            <w:tcMar>
              <w:top w:w="15" w:type="dxa"/>
              <w:left w:w="0" w:type="dxa"/>
              <w:bottom w:w="0" w:type="dxa"/>
              <w:right w:w="15" w:type="dxa"/>
            </w:tcMar>
            <w:vAlign w:val="bottom"/>
            <w:hideMark/>
          </w:tcPr>
          <w:p w14:paraId="0245D0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B4B324D" w14:textId="77777777" w:rsidR="00000000" w:rsidRDefault="00582324">
            <w:pPr>
              <w:pStyle w:val="a3"/>
              <w:spacing w:before="0" w:beforeAutospacing="0" w:after="0" w:afterAutospacing="0"/>
              <w:jc w:val="right"/>
              <w:rPr>
                <w:color w:val="000000"/>
                <w:sz w:val="18"/>
                <w:szCs w:val="18"/>
              </w:rPr>
            </w:pPr>
            <w:r>
              <w:rPr>
                <w:color w:val="000000"/>
                <w:sz w:val="18"/>
                <w:szCs w:val="18"/>
              </w:rPr>
              <w:t>9,361</w:t>
            </w:r>
          </w:p>
        </w:tc>
        <w:tc>
          <w:tcPr>
            <w:tcW w:w="50" w:type="pct"/>
            <w:shd w:val="clear" w:color="auto" w:fill="FFFFFF"/>
            <w:noWrap/>
            <w:tcMar>
              <w:top w:w="15" w:type="dxa"/>
              <w:left w:w="0" w:type="dxa"/>
              <w:bottom w:w="0" w:type="dxa"/>
              <w:right w:w="15" w:type="dxa"/>
            </w:tcMar>
            <w:vAlign w:val="bottom"/>
            <w:hideMark/>
          </w:tcPr>
          <w:p w14:paraId="1ED59A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3A556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F850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92F509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7332D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164C1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554C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06A44D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7DF98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7FCF4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3353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211998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83CD2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4053F5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FFE3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6B88E8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14187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A0834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C9CB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39B582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99289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45BB1E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839F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29C9B19" w14:textId="77777777" w:rsidR="00000000" w:rsidRDefault="00582324">
            <w:pPr>
              <w:pStyle w:val="a3"/>
              <w:spacing w:before="0" w:beforeAutospacing="0" w:after="0" w:afterAutospacing="0"/>
              <w:jc w:val="right"/>
              <w:rPr>
                <w:color w:val="000000"/>
                <w:sz w:val="18"/>
                <w:szCs w:val="18"/>
              </w:rPr>
            </w:pPr>
            <w:r>
              <w:rPr>
                <w:color w:val="000000"/>
                <w:sz w:val="18"/>
                <w:szCs w:val="18"/>
              </w:rPr>
              <w:t>(9,361</w:t>
            </w:r>
          </w:p>
        </w:tc>
        <w:tc>
          <w:tcPr>
            <w:tcW w:w="50" w:type="pct"/>
            <w:shd w:val="clear" w:color="auto" w:fill="FFFFFF"/>
            <w:noWrap/>
            <w:tcMar>
              <w:top w:w="15" w:type="dxa"/>
              <w:left w:w="0" w:type="dxa"/>
              <w:bottom w:w="0" w:type="dxa"/>
              <w:right w:w="15" w:type="dxa"/>
            </w:tcMar>
            <w:vAlign w:val="bottom"/>
            <w:hideMark/>
          </w:tcPr>
          <w:p w14:paraId="7CF6FC26"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5DCCE272" w14:textId="77777777">
        <w:trPr>
          <w:divId w:val="602764912"/>
        </w:trPr>
        <w:tc>
          <w:tcPr>
            <w:tcW w:w="1851" w:type="pct"/>
            <w:shd w:val="clear" w:color="auto" w:fill="CFF0FC"/>
            <w:tcMar>
              <w:top w:w="15" w:type="dxa"/>
              <w:left w:w="0" w:type="dxa"/>
              <w:bottom w:w="0" w:type="dxa"/>
              <w:right w:w="15" w:type="dxa"/>
            </w:tcMar>
            <w:hideMark/>
          </w:tcPr>
          <w:p w14:paraId="30446F99" w14:textId="77777777" w:rsidR="00000000" w:rsidRDefault="00582324">
            <w:pPr>
              <w:pStyle w:val="a3"/>
              <w:spacing w:before="0" w:beforeAutospacing="0" w:after="0" w:afterAutospacing="0"/>
              <w:rPr>
                <w:color w:val="000000"/>
                <w:sz w:val="18"/>
                <w:szCs w:val="18"/>
              </w:rPr>
            </w:pPr>
            <w:r>
              <w:rPr>
                <w:color w:val="000000"/>
                <w:sz w:val="18"/>
                <w:szCs w:val="18"/>
              </w:rPr>
              <w:t>   Issuance of warrant option</w:t>
            </w:r>
          </w:p>
        </w:tc>
        <w:tc>
          <w:tcPr>
            <w:tcW w:w="50" w:type="pct"/>
            <w:shd w:val="clear" w:color="auto" w:fill="CFF0FC"/>
            <w:noWrap/>
            <w:tcMar>
              <w:top w:w="15" w:type="dxa"/>
              <w:left w:w="0" w:type="dxa"/>
              <w:bottom w:w="0" w:type="dxa"/>
              <w:right w:w="15" w:type="dxa"/>
            </w:tcMar>
            <w:vAlign w:val="bottom"/>
            <w:hideMark/>
          </w:tcPr>
          <w:p w14:paraId="4C7A03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7FED7A1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471B2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8E532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CC2B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62B95E1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C5C8E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5D28F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CB75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D6027E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E67D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16EB8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F986C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5597603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B5401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50C81A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AD81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4640C18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D4C7A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39FA19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BABF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7949E408" w14:textId="77777777" w:rsidR="00000000" w:rsidRDefault="00582324">
            <w:pPr>
              <w:pStyle w:val="a3"/>
              <w:spacing w:before="0" w:beforeAutospacing="0" w:after="0" w:afterAutospacing="0"/>
              <w:jc w:val="right"/>
              <w:rPr>
                <w:color w:val="000000"/>
                <w:sz w:val="18"/>
                <w:szCs w:val="18"/>
              </w:rPr>
            </w:pPr>
            <w:r>
              <w:rPr>
                <w:color w:val="000000"/>
                <w:sz w:val="18"/>
                <w:szCs w:val="18"/>
              </w:rPr>
              <w:t>30,099</w:t>
            </w:r>
          </w:p>
        </w:tc>
        <w:tc>
          <w:tcPr>
            <w:tcW w:w="50" w:type="pct"/>
            <w:shd w:val="clear" w:color="auto" w:fill="CFF0FC"/>
            <w:noWrap/>
            <w:tcMar>
              <w:top w:w="15" w:type="dxa"/>
              <w:left w:w="0" w:type="dxa"/>
              <w:bottom w:w="0" w:type="dxa"/>
              <w:right w:w="15" w:type="dxa"/>
            </w:tcMar>
            <w:vAlign w:val="bottom"/>
            <w:hideMark/>
          </w:tcPr>
          <w:p w14:paraId="22BDF8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CFE87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A2CC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F956892" w14:textId="77777777" w:rsidR="00000000" w:rsidRDefault="00582324">
            <w:pPr>
              <w:pStyle w:val="a3"/>
              <w:spacing w:before="0" w:beforeAutospacing="0" w:after="0" w:afterAutospacing="0"/>
              <w:jc w:val="right"/>
              <w:rPr>
                <w:color w:val="000000"/>
                <w:sz w:val="18"/>
                <w:szCs w:val="18"/>
              </w:rPr>
            </w:pPr>
            <w:r>
              <w:rPr>
                <w:color w:val="000000"/>
                <w:sz w:val="18"/>
                <w:szCs w:val="18"/>
              </w:rPr>
              <w:t>30,099</w:t>
            </w:r>
          </w:p>
        </w:tc>
        <w:tc>
          <w:tcPr>
            <w:tcW w:w="50" w:type="pct"/>
            <w:shd w:val="clear" w:color="auto" w:fill="CFF0FC"/>
            <w:noWrap/>
            <w:tcMar>
              <w:top w:w="15" w:type="dxa"/>
              <w:left w:w="0" w:type="dxa"/>
              <w:bottom w:w="0" w:type="dxa"/>
              <w:right w:w="15" w:type="dxa"/>
            </w:tcMar>
            <w:vAlign w:val="bottom"/>
            <w:hideMark/>
          </w:tcPr>
          <w:p w14:paraId="11D970E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38F48898" w14:textId="77777777">
        <w:trPr>
          <w:divId w:val="602764912"/>
        </w:trPr>
        <w:tc>
          <w:tcPr>
            <w:tcW w:w="1851" w:type="pct"/>
            <w:shd w:val="clear" w:color="auto" w:fill="FFFFFF"/>
            <w:tcMar>
              <w:top w:w="15" w:type="dxa"/>
              <w:left w:w="0" w:type="dxa"/>
              <w:bottom w:w="0" w:type="dxa"/>
              <w:right w:w="15" w:type="dxa"/>
            </w:tcMar>
            <w:hideMark/>
          </w:tcPr>
          <w:p w14:paraId="181826C7" w14:textId="77777777" w:rsidR="00000000" w:rsidRDefault="00582324">
            <w:pPr>
              <w:pStyle w:val="a3"/>
              <w:spacing w:before="0" w:beforeAutospacing="0" w:after="0" w:afterAutospacing="0"/>
              <w:rPr>
                <w:color w:val="000000"/>
                <w:sz w:val="18"/>
                <w:szCs w:val="18"/>
              </w:rPr>
            </w:pPr>
            <w:r>
              <w:rPr>
                <w:color w:val="000000"/>
                <w:sz w:val="18"/>
                <w:szCs w:val="18"/>
              </w:rPr>
              <w:t>   Acquisitions</w:t>
            </w:r>
          </w:p>
        </w:tc>
        <w:tc>
          <w:tcPr>
            <w:tcW w:w="50" w:type="pct"/>
            <w:shd w:val="clear" w:color="auto" w:fill="FFFFFF"/>
            <w:noWrap/>
            <w:tcMar>
              <w:top w:w="15" w:type="dxa"/>
              <w:left w:w="0" w:type="dxa"/>
              <w:bottom w:w="0" w:type="dxa"/>
              <w:right w:w="15" w:type="dxa"/>
            </w:tcMar>
            <w:vAlign w:val="bottom"/>
            <w:hideMark/>
          </w:tcPr>
          <w:p w14:paraId="719461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466C6D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5E6A1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BDB5B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3FA5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19B1CCA8" w14:textId="77777777" w:rsidR="00000000" w:rsidRDefault="00582324">
            <w:pPr>
              <w:pStyle w:val="a3"/>
              <w:spacing w:before="0" w:beforeAutospacing="0" w:after="0" w:afterAutospacing="0"/>
              <w:jc w:val="right"/>
              <w:rPr>
                <w:color w:val="000000"/>
                <w:sz w:val="18"/>
                <w:szCs w:val="18"/>
              </w:rPr>
            </w:pPr>
            <w:r>
              <w:rPr>
                <w:color w:val="000000"/>
                <w:sz w:val="18"/>
                <w:szCs w:val="18"/>
              </w:rPr>
              <w:t>34,451</w:t>
            </w:r>
          </w:p>
        </w:tc>
        <w:tc>
          <w:tcPr>
            <w:tcW w:w="50" w:type="pct"/>
            <w:shd w:val="clear" w:color="auto" w:fill="FFFFFF"/>
            <w:noWrap/>
            <w:tcMar>
              <w:top w:w="15" w:type="dxa"/>
              <w:left w:w="0" w:type="dxa"/>
              <w:bottom w:w="0" w:type="dxa"/>
              <w:right w:w="15" w:type="dxa"/>
            </w:tcMar>
            <w:vAlign w:val="bottom"/>
            <w:hideMark/>
          </w:tcPr>
          <w:p w14:paraId="5504F9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AF05D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41E4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24F672D7" w14:textId="77777777" w:rsidR="00000000" w:rsidRDefault="00582324">
            <w:pPr>
              <w:pStyle w:val="a3"/>
              <w:spacing w:before="0" w:beforeAutospacing="0" w:after="0" w:afterAutospacing="0"/>
              <w:jc w:val="right"/>
              <w:rPr>
                <w:color w:val="000000"/>
                <w:sz w:val="18"/>
                <w:szCs w:val="18"/>
              </w:rPr>
            </w:pPr>
            <w:r>
              <w:rPr>
                <w:color w:val="000000"/>
                <w:sz w:val="18"/>
                <w:szCs w:val="18"/>
              </w:rPr>
              <w:t>10,543</w:t>
            </w:r>
          </w:p>
        </w:tc>
        <w:tc>
          <w:tcPr>
            <w:tcW w:w="50" w:type="pct"/>
            <w:shd w:val="clear" w:color="auto" w:fill="FFFFFF"/>
            <w:noWrap/>
            <w:tcMar>
              <w:top w:w="15" w:type="dxa"/>
              <w:left w:w="0" w:type="dxa"/>
              <w:bottom w:w="0" w:type="dxa"/>
              <w:right w:w="15" w:type="dxa"/>
            </w:tcMar>
            <w:vAlign w:val="bottom"/>
            <w:hideMark/>
          </w:tcPr>
          <w:p w14:paraId="1DA079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063C8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F184B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210B0D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55CF1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49A80F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55BD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276468B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2122E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E7EFA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61B6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27B2692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279B2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1B23F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314F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4CD2688" w14:textId="77777777" w:rsidR="00000000" w:rsidRDefault="00582324">
            <w:pPr>
              <w:pStyle w:val="a3"/>
              <w:spacing w:before="0" w:beforeAutospacing="0" w:after="0" w:afterAutospacing="0"/>
              <w:jc w:val="right"/>
              <w:rPr>
                <w:color w:val="000000"/>
                <w:sz w:val="18"/>
                <w:szCs w:val="18"/>
              </w:rPr>
            </w:pPr>
            <w:r>
              <w:rPr>
                <w:color w:val="000000"/>
                <w:sz w:val="18"/>
                <w:szCs w:val="18"/>
              </w:rPr>
              <w:t>44,994</w:t>
            </w:r>
          </w:p>
        </w:tc>
        <w:tc>
          <w:tcPr>
            <w:tcW w:w="50" w:type="pct"/>
            <w:shd w:val="clear" w:color="auto" w:fill="FFFFFF"/>
            <w:noWrap/>
            <w:tcMar>
              <w:top w:w="15" w:type="dxa"/>
              <w:left w:w="0" w:type="dxa"/>
              <w:bottom w:w="0" w:type="dxa"/>
              <w:right w:w="15" w:type="dxa"/>
            </w:tcMar>
            <w:vAlign w:val="bottom"/>
            <w:hideMark/>
          </w:tcPr>
          <w:p w14:paraId="0D4C08A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4E4B88B5" w14:textId="77777777">
        <w:trPr>
          <w:divId w:val="602764912"/>
        </w:trPr>
        <w:tc>
          <w:tcPr>
            <w:tcW w:w="1851" w:type="pct"/>
            <w:shd w:val="clear" w:color="auto" w:fill="CFF0FC"/>
            <w:tcMar>
              <w:top w:w="15" w:type="dxa"/>
              <w:left w:w="0" w:type="dxa"/>
              <w:bottom w:w="0" w:type="dxa"/>
              <w:right w:w="15" w:type="dxa"/>
            </w:tcMar>
            <w:hideMark/>
          </w:tcPr>
          <w:p w14:paraId="18290337" w14:textId="77777777" w:rsidR="00000000" w:rsidRDefault="00582324">
            <w:pPr>
              <w:pStyle w:val="a3"/>
              <w:spacing w:before="0" w:beforeAutospacing="0" w:after="0" w:afterAutospacing="0"/>
              <w:rPr>
                <w:color w:val="000000"/>
                <w:sz w:val="18"/>
                <w:szCs w:val="18"/>
              </w:rPr>
            </w:pPr>
            <w:r>
              <w:rPr>
                <w:color w:val="000000"/>
                <w:sz w:val="18"/>
                <w:szCs w:val="18"/>
              </w:rPr>
              <w:t>   Changes in fair value included in earnings</w:t>
            </w:r>
          </w:p>
        </w:tc>
        <w:tc>
          <w:tcPr>
            <w:tcW w:w="50" w:type="pct"/>
            <w:shd w:val="clear" w:color="auto" w:fill="CFF0FC"/>
            <w:noWrap/>
            <w:tcMar>
              <w:top w:w="15" w:type="dxa"/>
              <w:left w:w="0" w:type="dxa"/>
              <w:bottom w:w="0" w:type="dxa"/>
              <w:right w:w="15" w:type="dxa"/>
            </w:tcMar>
            <w:vAlign w:val="bottom"/>
            <w:hideMark/>
          </w:tcPr>
          <w:p w14:paraId="786D20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D79792F" w14:textId="77777777" w:rsidR="00000000" w:rsidRDefault="00582324">
            <w:pPr>
              <w:pStyle w:val="a3"/>
              <w:spacing w:before="0" w:beforeAutospacing="0" w:after="0" w:afterAutospacing="0"/>
              <w:jc w:val="right"/>
              <w:rPr>
                <w:color w:val="000000"/>
                <w:sz w:val="18"/>
                <w:szCs w:val="18"/>
              </w:rPr>
            </w:pPr>
            <w:r>
              <w:rPr>
                <w:color w:val="000000"/>
                <w:sz w:val="18"/>
                <w:szCs w:val="18"/>
              </w:rPr>
              <w:t>(756</w:t>
            </w:r>
          </w:p>
        </w:tc>
        <w:tc>
          <w:tcPr>
            <w:tcW w:w="50" w:type="pct"/>
            <w:shd w:val="clear" w:color="auto" w:fill="CFF0FC"/>
            <w:noWrap/>
            <w:tcMar>
              <w:top w:w="15" w:type="dxa"/>
              <w:left w:w="0" w:type="dxa"/>
              <w:bottom w:w="0" w:type="dxa"/>
              <w:right w:w="15" w:type="dxa"/>
            </w:tcMar>
            <w:vAlign w:val="bottom"/>
            <w:hideMark/>
          </w:tcPr>
          <w:p w14:paraId="082AB12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68DAFE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5063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AF5DEDE" w14:textId="77777777" w:rsidR="00000000" w:rsidRDefault="00582324">
            <w:pPr>
              <w:pStyle w:val="a3"/>
              <w:spacing w:before="0" w:beforeAutospacing="0" w:after="0" w:afterAutospacing="0"/>
              <w:jc w:val="right"/>
              <w:rPr>
                <w:color w:val="000000"/>
                <w:sz w:val="18"/>
                <w:szCs w:val="18"/>
              </w:rPr>
            </w:pPr>
            <w:r>
              <w:rPr>
                <w:color w:val="000000"/>
                <w:sz w:val="18"/>
                <w:szCs w:val="18"/>
              </w:rPr>
              <w:t>5,608</w:t>
            </w:r>
          </w:p>
        </w:tc>
        <w:tc>
          <w:tcPr>
            <w:tcW w:w="50" w:type="pct"/>
            <w:shd w:val="clear" w:color="auto" w:fill="CFF0FC"/>
            <w:noWrap/>
            <w:tcMar>
              <w:top w:w="15" w:type="dxa"/>
              <w:left w:w="0" w:type="dxa"/>
              <w:bottom w:w="0" w:type="dxa"/>
              <w:right w:w="15" w:type="dxa"/>
            </w:tcMar>
            <w:vAlign w:val="bottom"/>
            <w:hideMark/>
          </w:tcPr>
          <w:p w14:paraId="1573B4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2CD5D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8A1C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C63CD6F" w14:textId="77777777" w:rsidR="00000000" w:rsidRDefault="00582324">
            <w:pPr>
              <w:pStyle w:val="a3"/>
              <w:spacing w:before="0" w:beforeAutospacing="0" w:after="0" w:afterAutospacing="0"/>
              <w:jc w:val="right"/>
              <w:rPr>
                <w:color w:val="000000"/>
                <w:sz w:val="18"/>
                <w:szCs w:val="18"/>
              </w:rPr>
            </w:pPr>
            <w:r>
              <w:rPr>
                <w:color w:val="000000"/>
                <w:sz w:val="18"/>
                <w:szCs w:val="18"/>
              </w:rPr>
              <w:t>(1,625</w:t>
            </w:r>
          </w:p>
        </w:tc>
        <w:tc>
          <w:tcPr>
            <w:tcW w:w="50" w:type="pct"/>
            <w:shd w:val="clear" w:color="auto" w:fill="CFF0FC"/>
            <w:noWrap/>
            <w:tcMar>
              <w:top w:w="15" w:type="dxa"/>
              <w:left w:w="0" w:type="dxa"/>
              <w:bottom w:w="0" w:type="dxa"/>
              <w:right w:w="15" w:type="dxa"/>
            </w:tcMar>
            <w:vAlign w:val="bottom"/>
            <w:hideMark/>
          </w:tcPr>
          <w:p w14:paraId="0BCCEE9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4FE929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E2A6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1819439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C4253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378AC5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1B90B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1304CE9F" w14:textId="77777777" w:rsidR="00000000" w:rsidRDefault="00582324">
            <w:pPr>
              <w:pStyle w:val="a3"/>
              <w:spacing w:before="0" w:beforeAutospacing="0" w:after="0" w:afterAutospacing="0"/>
              <w:jc w:val="right"/>
              <w:rPr>
                <w:color w:val="000000"/>
                <w:sz w:val="18"/>
                <w:szCs w:val="18"/>
              </w:rPr>
            </w:pPr>
            <w:r>
              <w:rPr>
                <w:color w:val="000000"/>
                <w:sz w:val="18"/>
                <w:szCs w:val="18"/>
              </w:rPr>
              <w:t>7,025</w:t>
            </w:r>
          </w:p>
        </w:tc>
        <w:tc>
          <w:tcPr>
            <w:tcW w:w="50" w:type="pct"/>
            <w:shd w:val="clear" w:color="auto" w:fill="CFF0FC"/>
            <w:noWrap/>
            <w:tcMar>
              <w:top w:w="15" w:type="dxa"/>
              <w:left w:w="0" w:type="dxa"/>
              <w:bottom w:w="0" w:type="dxa"/>
              <w:right w:w="15" w:type="dxa"/>
            </w:tcMar>
            <w:vAlign w:val="bottom"/>
            <w:hideMark/>
          </w:tcPr>
          <w:p w14:paraId="3A7765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182B0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B41E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6203CC80"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46C931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F8958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301C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35DC4DCC" w14:textId="77777777" w:rsidR="00000000" w:rsidRDefault="00582324">
            <w:pPr>
              <w:pStyle w:val="a3"/>
              <w:spacing w:before="0" w:beforeAutospacing="0" w:after="0" w:afterAutospacing="0"/>
              <w:jc w:val="right"/>
              <w:rPr>
                <w:color w:val="000000"/>
                <w:sz w:val="18"/>
                <w:szCs w:val="18"/>
              </w:rPr>
            </w:pPr>
            <w:r>
              <w:rPr>
                <w:color w:val="000000"/>
                <w:sz w:val="18"/>
                <w:szCs w:val="18"/>
              </w:rPr>
              <w:t>11,765</w:t>
            </w:r>
          </w:p>
        </w:tc>
        <w:tc>
          <w:tcPr>
            <w:tcW w:w="50" w:type="pct"/>
            <w:shd w:val="clear" w:color="auto" w:fill="CFF0FC"/>
            <w:noWrap/>
            <w:tcMar>
              <w:top w:w="15" w:type="dxa"/>
              <w:left w:w="0" w:type="dxa"/>
              <w:bottom w:w="0" w:type="dxa"/>
              <w:right w:w="15" w:type="dxa"/>
            </w:tcMar>
            <w:vAlign w:val="bottom"/>
            <w:hideMark/>
          </w:tcPr>
          <w:p w14:paraId="5FA1692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435E32F" w14:textId="77777777">
        <w:trPr>
          <w:divId w:val="602764912"/>
        </w:trPr>
        <w:tc>
          <w:tcPr>
            <w:tcW w:w="1851" w:type="pct"/>
            <w:shd w:val="clear" w:color="auto" w:fill="FFFFFF"/>
            <w:tcMar>
              <w:top w:w="15" w:type="dxa"/>
              <w:left w:w="0" w:type="dxa"/>
              <w:bottom w:w="0" w:type="dxa"/>
              <w:right w:w="15" w:type="dxa"/>
            </w:tcMar>
            <w:hideMark/>
          </w:tcPr>
          <w:p w14:paraId="42C8608B" w14:textId="77777777" w:rsidR="00000000" w:rsidRDefault="00582324">
            <w:pPr>
              <w:pStyle w:val="a3"/>
              <w:spacing w:before="0" w:beforeAutospacing="0" w:after="0" w:afterAutospacing="0"/>
              <w:rPr>
                <w:color w:val="000000"/>
                <w:sz w:val="18"/>
                <w:szCs w:val="18"/>
              </w:rPr>
            </w:pPr>
            <w:r>
              <w:rPr>
                <w:color w:val="000000"/>
                <w:sz w:val="18"/>
                <w:szCs w:val="18"/>
              </w:rPr>
              <w:t>    </w:t>
            </w:r>
            <w:r>
              <w:rPr>
                <w:color w:val="000000"/>
                <w:sz w:val="18"/>
                <w:szCs w:val="18"/>
              </w:rPr>
              <w:t>Payment of contingent consideration</w:t>
            </w:r>
          </w:p>
          <w:p w14:paraId="1C2C97B4" w14:textId="77777777" w:rsidR="00000000" w:rsidRDefault="00582324">
            <w:pPr>
              <w:pStyle w:val="a3"/>
              <w:spacing w:before="0" w:beforeAutospacing="0" w:after="0" w:afterAutospacing="0"/>
              <w:rPr>
                <w:color w:val="000000"/>
                <w:sz w:val="18"/>
                <w:szCs w:val="18"/>
              </w:rPr>
            </w:pPr>
            <w:r>
              <w:rPr>
                <w:color w:val="000000"/>
                <w:sz w:val="18"/>
                <w:szCs w:val="18"/>
              </w:rPr>
              <w:t>       payable</w:t>
            </w:r>
          </w:p>
        </w:tc>
        <w:tc>
          <w:tcPr>
            <w:tcW w:w="50" w:type="pct"/>
            <w:shd w:val="clear" w:color="auto" w:fill="FFFFFF"/>
            <w:noWrap/>
            <w:tcMar>
              <w:top w:w="15" w:type="dxa"/>
              <w:left w:w="0" w:type="dxa"/>
              <w:bottom w:w="0" w:type="dxa"/>
              <w:right w:w="15" w:type="dxa"/>
            </w:tcMar>
            <w:vAlign w:val="bottom"/>
            <w:hideMark/>
          </w:tcPr>
          <w:p w14:paraId="75C49A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127180B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7645C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04805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1261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3A3B425B" w14:textId="77777777" w:rsidR="00000000" w:rsidRDefault="00582324">
            <w:pPr>
              <w:pStyle w:val="a3"/>
              <w:spacing w:before="0" w:beforeAutospacing="0" w:after="0" w:afterAutospacing="0"/>
              <w:jc w:val="right"/>
              <w:rPr>
                <w:color w:val="000000"/>
                <w:sz w:val="18"/>
                <w:szCs w:val="18"/>
              </w:rPr>
            </w:pPr>
            <w:r>
              <w:rPr>
                <w:color w:val="000000"/>
                <w:sz w:val="18"/>
                <w:szCs w:val="18"/>
              </w:rPr>
              <w:t>(12,250</w:t>
            </w:r>
          </w:p>
        </w:tc>
        <w:tc>
          <w:tcPr>
            <w:tcW w:w="50" w:type="pct"/>
            <w:shd w:val="clear" w:color="auto" w:fill="FFFFFF"/>
            <w:noWrap/>
            <w:tcMar>
              <w:top w:w="15" w:type="dxa"/>
              <w:left w:w="0" w:type="dxa"/>
              <w:bottom w:w="0" w:type="dxa"/>
              <w:right w:w="15" w:type="dxa"/>
            </w:tcMar>
            <w:vAlign w:val="bottom"/>
            <w:hideMark/>
          </w:tcPr>
          <w:p w14:paraId="0E6D829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FFFFFF"/>
            <w:tcMar>
              <w:top w:w="15" w:type="dxa"/>
              <w:left w:w="0" w:type="dxa"/>
              <w:bottom w:w="0" w:type="dxa"/>
              <w:right w:w="15" w:type="dxa"/>
            </w:tcMar>
            <w:vAlign w:val="bottom"/>
            <w:hideMark/>
          </w:tcPr>
          <w:p w14:paraId="1A3793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113C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D471DB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C4C28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0A8B5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447C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56FB25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918B3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3AA38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43E81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CF8B0F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BAA5A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15958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ACF7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591DC5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7BE11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41A3E2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37F5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8C295CD" w14:textId="77777777" w:rsidR="00000000" w:rsidRDefault="00582324">
            <w:pPr>
              <w:pStyle w:val="a3"/>
              <w:spacing w:before="0" w:beforeAutospacing="0" w:after="0" w:afterAutospacing="0"/>
              <w:jc w:val="right"/>
              <w:rPr>
                <w:color w:val="000000"/>
                <w:sz w:val="18"/>
                <w:szCs w:val="18"/>
              </w:rPr>
            </w:pPr>
            <w:r>
              <w:rPr>
                <w:color w:val="000000"/>
                <w:sz w:val="18"/>
                <w:szCs w:val="18"/>
              </w:rPr>
              <w:t>(12,250</w:t>
            </w:r>
          </w:p>
        </w:tc>
        <w:tc>
          <w:tcPr>
            <w:tcW w:w="50" w:type="pct"/>
            <w:shd w:val="clear" w:color="auto" w:fill="FFFFFF"/>
            <w:noWrap/>
            <w:tcMar>
              <w:top w:w="15" w:type="dxa"/>
              <w:left w:w="0" w:type="dxa"/>
              <w:bottom w:w="0" w:type="dxa"/>
              <w:right w:w="15" w:type="dxa"/>
            </w:tcMar>
            <w:vAlign w:val="bottom"/>
            <w:hideMark/>
          </w:tcPr>
          <w:p w14:paraId="6BF9AB8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3BEB3C6E" w14:textId="77777777">
        <w:trPr>
          <w:divId w:val="602764912"/>
        </w:trPr>
        <w:tc>
          <w:tcPr>
            <w:tcW w:w="1851" w:type="pct"/>
            <w:shd w:val="clear" w:color="auto" w:fill="CFF0FC"/>
            <w:tcMar>
              <w:top w:w="15" w:type="dxa"/>
              <w:left w:w="0" w:type="dxa"/>
              <w:bottom w:w="0" w:type="dxa"/>
              <w:right w:w="15" w:type="dxa"/>
            </w:tcMar>
            <w:hideMark/>
          </w:tcPr>
          <w:p w14:paraId="02596236" w14:textId="77777777" w:rsidR="00000000" w:rsidRDefault="00582324">
            <w:pPr>
              <w:pStyle w:val="a3"/>
              <w:spacing w:before="0" w:beforeAutospacing="0" w:after="0" w:afterAutospacing="0"/>
              <w:rPr>
                <w:color w:val="000000"/>
                <w:sz w:val="18"/>
                <w:szCs w:val="18"/>
              </w:rPr>
            </w:pPr>
            <w:r>
              <w:rPr>
                <w:color w:val="000000"/>
                <w:sz w:val="18"/>
                <w:szCs w:val="18"/>
              </w:rPr>
              <w:t>    Foreign currency translation of contingent</w:t>
            </w:r>
          </w:p>
          <w:p w14:paraId="3A1966D1" w14:textId="77777777" w:rsidR="00000000" w:rsidRDefault="00582324">
            <w:pPr>
              <w:pStyle w:val="a3"/>
              <w:spacing w:before="0" w:beforeAutospacing="0" w:after="0" w:afterAutospacing="0"/>
              <w:rPr>
                <w:color w:val="000000"/>
                <w:sz w:val="18"/>
                <w:szCs w:val="18"/>
              </w:rPr>
            </w:pPr>
            <w:r>
              <w:rPr>
                <w:color w:val="000000"/>
                <w:sz w:val="18"/>
                <w:szCs w:val="18"/>
              </w:rPr>
              <w:t>       consideration payment</w:t>
            </w:r>
          </w:p>
        </w:tc>
        <w:tc>
          <w:tcPr>
            <w:tcW w:w="50" w:type="pct"/>
            <w:shd w:val="clear" w:color="auto" w:fill="CFF0FC"/>
            <w:noWrap/>
            <w:tcMar>
              <w:top w:w="15" w:type="dxa"/>
              <w:left w:w="0" w:type="dxa"/>
              <w:bottom w:w="0" w:type="dxa"/>
              <w:right w:w="15" w:type="dxa"/>
            </w:tcMar>
            <w:vAlign w:val="bottom"/>
            <w:hideMark/>
          </w:tcPr>
          <w:p w14:paraId="7B8A38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0A33F3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1BCA2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CA3B5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66D2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6AE7DC7" w14:textId="77777777" w:rsidR="00000000" w:rsidRDefault="00582324">
            <w:pPr>
              <w:pStyle w:val="a3"/>
              <w:spacing w:before="0" w:beforeAutospacing="0" w:after="0" w:afterAutospacing="0"/>
              <w:jc w:val="right"/>
              <w:rPr>
                <w:color w:val="000000"/>
                <w:sz w:val="18"/>
                <w:szCs w:val="18"/>
              </w:rPr>
            </w:pPr>
            <w:r>
              <w:rPr>
                <w:color w:val="000000"/>
                <w:sz w:val="18"/>
                <w:szCs w:val="18"/>
              </w:rPr>
              <w:t>(208</w:t>
            </w:r>
          </w:p>
        </w:tc>
        <w:tc>
          <w:tcPr>
            <w:tcW w:w="50" w:type="pct"/>
            <w:shd w:val="clear" w:color="auto" w:fill="CFF0FC"/>
            <w:noWrap/>
            <w:tcMar>
              <w:top w:w="15" w:type="dxa"/>
              <w:left w:w="0" w:type="dxa"/>
              <w:bottom w:w="0" w:type="dxa"/>
              <w:right w:w="15" w:type="dxa"/>
            </w:tcMar>
            <w:vAlign w:val="bottom"/>
            <w:hideMark/>
          </w:tcPr>
          <w:p w14:paraId="0F1BFB8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3F8C77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C7C7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D4F0FE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D2285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405F1B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AE03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7DD2637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B3FBF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7B3AB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2D133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1EB38EA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9745B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2FF0F9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8FE7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DC343C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70B06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CF5D5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E1643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5733DE85" w14:textId="77777777" w:rsidR="00000000" w:rsidRDefault="00582324">
            <w:pPr>
              <w:pStyle w:val="a3"/>
              <w:spacing w:before="0" w:beforeAutospacing="0" w:after="0" w:afterAutospacing="0"/>
              <w:jc w:val="right"/>
              <w:rPr>
                <w:color w:val="000000"/>
                <w:sz w:val="18"/>
                <w:szCs w:val="18"/>
              </w:rPr>
            </w:pPr>
            <w:r>
              <w:rPr>
                <w:color w:val="000000"/>
                <w:sz w:val="18"/>
                <w:szCs w:val="18"/>
              </w:rPr>
              <w:t>(208</w:t>
            </w:r>
          </w:p>
        </w:tc>
        <w:tc>
          <w:tcPr>
            <w:tcW w:w="50" w:type="pct"/>
            <w:shd w:val="clear" w:color="auto" w:fill="CFF0FC"/>
            <w:noWrap/>
            <w:tcMar>
              <w:top w:w="15" w:type="dxa"/>
              <w:left w:w="0" w:type="dxa"/>
              <w:bottom w:w="0" w:type="dxa"/>
              <w:right w:w="15" w:type="dxa"/>
            </w:tcMar>
            <w:vAlign w:val="bottom"/>
            <w:hideMark/>
          </w:tcPr>
          <w:p w14:paraId="7BEC865B"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0F6B08AE" w14:textId="77777777">
        <w:trPr>
          <w:divId w:val="602764912"/>
        </w:trPr>
        <w:tc>
          <w:tcPr>
            <w:tcW w:w="1851" w:type="pct"/>
            <w:shd w:val="clear" w:color="auto" w:fill="FFFFFF"/>
            <w:tcMar>
              <w:top w:w="15" w:type="dxa"/>
              <w:left w:w="0" w:type="dxa"/>
              <w:bottom w:w="0" w:type="dxa"/>
              <w:right w:w="15" w:type="dxa"/>
            </w:tcMar>
            <w:hideMark/>
          </w:tcPr>
          <w:p w14:paraId="4A7A2D0A" w14:textId="77777777" w:rsidR="00000000" w:rsidRDefault="00582324">
            <w:pPr>
              <w:pStyle w:val="a3"/>
              <w:spacing w:before="0" w:beforeAutospacing="0" w:after="0" w:afterAutospacing="0"/>
              <w:rPr>
                <w:color w:val="000000"/>
                <w:sz w:val="18"/>
                <w:szCs w:val="18"/>
              </w:rPr>
            </w:pPr>
            <w:r>
              <w:rPr>
                <w:color w:val="000000"/>
                <w:sz w:val="18"/>
                <w:szCs w:val="18"/>
              </w:rPr>
              <w:t>   Reclass of long term to short term</w:t>
            </w:r>
          </w:p>
          <w:p w14:paraId="4C1EB3BF" w14:textId="77777777" w:rsidR="00000000" w:rsidRDefault="00582324">
            <w:pPr>
              <w:pStyle w:val="a3"/>
              <w:spacing w:before="0" w:beforeAutospacing="0" w:after="0" w:afterAutospacing="0"/>
              <w:rPr>
                <w:color w:val="000000"/>
                <w:sz w:val="18"/>
                <w:szCs w:val="18"/>
              </w:rPr>
            </w:pPr>
            <w:r>
              <w:rPr>
                <w:color w:val="000000"/>
                <w:sz w:val="18"/>
                <w:szCs w:val="18"/>
              </w:rPr>
              <w:t>      contingent liabilities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E27B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1BA60B0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0193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380FF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E07C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5D1288C3" w14:textId="77777777" w:rsidR="00000000" w:rsidRDefault="00582324">
            <w:pPr>
              <w:pStyle w:val="a3"/>
              <w:spacing w:before="0" w:beforeAutospacing="0" w:after="0" w:afterAutospacing="0"/>
              <w:jc w:val="right"/>
              <w:rPr>
                <w:color w:val="000000"/>
                <w:sz w:val="18"/>
                <w:szCs w:val="18"/>
              </w:rPr>
            </w:pPr>
            <w:r>
              <w:rPr>
                <w:color w:val="000000"/>
                <w:sz w:val="18"/>
                <w:szCs w:val="18"/>
              </w:rPr>
              <w:t>180</w:t>
            </w:r>
          </w:p>
        </w:tc>
        <w:tc>
          <w:tcPr>
            <w:tcW w:w="50" w:type="pct"/>
            <w:shd w:val="clear" w:color="auto" w:fill="FFFFFF"/>
            <w:noWrap/>
            <w:tcMar>
              <w:top w:w="15" w:type="dxa"/>
              <w:left w:w="0" w:type="dxa"/>
              <w:bottom w:w="0" w:type="dxa"/>
              <w:right w:w="15" w:type="dxa"/>
            </w:tcMar>
            <w:vAlign w:val="bottom"/>
            <w:hideMark/>
          </w:tcPr>
          <w:p w14:paraId="2B1583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371C6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EEB36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508519F0" w14:textId="77777777" w:rsidR="00000000" w:rsidRDefault="00582324">
            <w:pPr>
              <w:pStyle w:val="a3"/>
              <w:spacing w:before="0" w:beforeAutospacing="0" w:after="0" w:afterAutospacing="0"/>
              <w:jc w:val="right"/>
              <w:rPr>
                <w:color w:val="000000"/>
                <w:sz w:val="18"/>
                <w:szCs w:val="18"/>
              </w:rPr>
            </w:pPr>
            <w:r>
              <w:rPr>
                <w:color w:val="000000"/>
                <w:sz w:val="18"/>
                <w:szCs w:val="18"/>
              </w:rPr>
              <w:t>(180</w:t>
            </w:r>
          </w:p>
        </w:tc>
        <w:tc>
          <w:tcPr>
            <w:tcW w:w="50" w:type="pct"/>
            <w:shd w:val="clear" w:color="auto" w:fill="FFFFFF"/>
            <w:noWrap/>
            <w:tcMar>
              <w:top w:w="15" w:type="dxa"/>
              <w:left w:w="0" w:type="dxa"/>
              <w:bottom w:w="0" w:type="dxa"/>
              <w:right w:w="15" w:type="dxa"/>
            </w:tcMar>
            <w:vAlign w:val="bottom"/>
            <w:hideMark/>
          </w:tcPr>
          <w:p w14:paraId="1D40F33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FFFFFF"/>
            <w:tcMar>
              <w:top w:w="15" w:type="dxa"/>
              <w:left w:w="0" w:type="dxa"/>
              <w:bottom w:w="0" w:type="dxa"/>
              <w:right w:w="15" w:type="dxa"/>
            </w:tcMar>
            <w:vAlign w:val="bottom"/>
            <w:hideMark/>
          </w:tcPr>
          <w:p w14:paraId="5FBF55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3E20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4C63556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D0FC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16E0D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5F64A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0486177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3E5E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EC70D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6B2C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0BA84E6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D597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7300B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37C2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FFFFFF"/>
            <w:noWrap/>
            <w:tcMar>
              <w:top w:w="15" w:type="dxa"/>
              <w:left w:w="0" w:type="dxa"/>
              <w:bottom w:w="0" w:type="dxa"/>
              <w:right w:w="15" w:type="dxa"/>
            </w:tcMar>
            <w:vAlign w:val="bottom"/>
            <w:hideMark/>
          </w:tcPr>
          <w:p w14:paraId="2B3D68A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DE543E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0F15A401" w14:textId="77777777">
        <w:trPr>
          <w:divId w:val="602764912"/>
        </w:trPr>
        <w:tc>
          <w:tcPr>
            <w:tcW w:w="1851" w:type="pct"/>
            <w:shd w:val="clear" w:color="auto" w:fill="CFF0FC"/>
            <w:tcMar>
              <w:top w:w="15" w:type="dxa"/>
              <w:left w:w="0" w:type="dxa"/>
              <w:bottom w:w="0" w:type="dxa"/>
              <w:right w:w="15" w:type="dxa"/>
            </w:tcMar>
            <w:hideMark/>
          </w:tcPr>
          <w:p w14:paraId="1838B62F" w14:textId="77777777" w:rsidR="00000000" w:rsidRDefault="00582324">
            <w:pPr>
              <w:pStyle w:val="a3"/>
              <w:spacing w:before="0" w:beforeAutospacing="0" w:after="0" w:afterAutospacing="0"/>
              <w:rPr>
                <w:color w:val="000000"/>
                <w:sz w:val="18"/>
                <w:szCs w:val="18"/>
              </w:rPr>
            </w:pPr>
            <w:r>
              <w:rPr>
                <w:color w:val="000000"/>
                <w:sz w:val="18"/>
                <w:szCs w:val="18"/>
              </w:rPr>
              <w:t>Balance—at June 30, 2020</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B1DAA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1F0222" w14:textId="77777777" w:rsidR="00000000" w:rsidRDefault="00582324">
            <w:pPr>
              <w:pStyle w:val="a3"/>
              <w:spacing w:before="0" w:beforeAutospacing="0" w:after="0" w:afterAutospacing="0"/>
              <w:jc w:val="right"/>
              <w:rPr>
                <w:color w:val="000000"/>
                <w:sz w:val="18"/>
                <w:szCs w:val="18"/>
              </w:rPr>
            </w:pPr>
            <w:r>
              <w:rPr>
                <w:color w:val="000000"/>
                <w:sz w:val="18"/>
                <w:szCs w:val="18"/>
              </w:rPr>
              <w:t>8,605</w:t>
            </w:r>
          </w:p>
        </w:tc>
        <w:tc>
          <w:tcPr>
            <w:tcW w:w="50" w:type="pct"/>
            <w:shd w:val="clear" w:color="auto" w:fill="CFF0FC"/>
            <w:noWrap/>
            <w:tcMar>
              <w:top w:w="15" w:type="dxa"/>
              <w:left w:w="0" w:type="dxa"/>
              <w:bottom w:w="0" w:type="dxa"/>
              <w:right w:w="15" w:type="dxa"/>
            </w:tcMar>
            <w:vAlign w:val="bottom"/>
            <w:hideMark/>
          </w:tcPr>
          <w:p w14:paraId="1CA179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9B7DD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B1109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D62708" w14:textId="77777777" w:rsidR="00000000" w:rsidRDefault="00582324">
            <w:pPr>
              <w:pStyle w:val="a3"/>
              <w:spacing w:before="0" w:beforeAutospacing="0" w:after="0" w:afterAutospacing="0"/>
              <w:jc w:val="right"/>
              <w:rPr>
                <w:color w:val="000000"/>
                <w:sz w:val="18"/>
                <w:szCs w:val="18"/>
              </w:rPr>
            </w:pPr>
            <w:r>
              <w:rPr>
                <w:color w:val="000000"/>
                <w:sz w:val="18"/>
                <w:szCs w:val="18"/>
              </w:rPr>
              <w:t>36,395</w:t>
            </w:r>
          </w:p>
        </w:tc>
        <w:tc>
          <w:tcPr>
            <w:tcW w:w="50" w:type="pct"/>
            <w:shd w:val="clear" w:color="auto" w:fill="CFF0FC"/>
            <w:noWrap/>
            <w:tcMar>
              <w:top w:w="15" w:type="dxa"/>
              <w:left w:w="0" w:type="dxa"/>
              <w:bottom w:w="0" w:type="dxa"/>
              <w:right w:w="15" w:type="dxa"/>
            </w:tcMar>
            <w:vAlign w:val="bottom"/>
            <w:hideMark/>
          </w:tcPr>
          <w:p w14:paraId="2EA41D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91BB8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88A08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84745F" w14:textId="77777777" w:rsidR="00000000" w:rsidRDefault="00582324">
            <w:pPr>
              <w:pStyle w:val="a3"/>
              <w:spacing w:before="0" w:beforeAutospacing="0" w:after="0" w:afterAutospacing="0"/>
              <w:jc w:val="right"/>
              <w:rPr>
                <w:color w:val="000000"/>
                <w:sz w:val="18"/>
                <w:szCs w:val="18"/>
              </w:rPr>
            </w:pPr>
            <w:r>
              <w:rPr>
                <w:color w:val="000000"/>
                <w:sz w:val="18"/>
                <w:szCs w:val="18"/>
              </w:rPr>
              <w:t>9,117</w:t>
            </w:r>
          </w:p>
        </w:tc>
        <w:tc>
          <w:tcPr>
            <w:tcW w:w="50" w:type="pct"/>
            <w:shd w:val="clear" w:color="auto" w:fill="CFF0FC"/>
            <w:noWrap/>
            <w:tcMar>
              <w:top w:w="15" w:type="dxa"/>
              <w:left w:w="0" w:type="dxa"/>
              <w:bottom w:w="0" w:type="dxa"/>
              <w:right w:w="15" w:type="dxa"/>
            </w:tcMar>
            <w:vAlign w:val="bottom"/>
            <w:hideMark/>
          </w:tcPr>
          <w:p w14:paraId="17716C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555AA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71745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897A8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62EAB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4776C7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C9122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CAC7BF" w14:textId="77777777" w:rsidR="00000000" w:rsidRDefault="00582324">
            <w:pPr>
              <w:pStyle w:val="a3"/>
              <w:spacing w:before="0" w:beforeAutospacing="0" w:after="0" w:afterAutospacing="0"/>
              <w:jc w:val="right"/>
              <w:rPr>
                <w:color w:val="000000"/>
                <w:sz w:val="18"/>
                <w:szCs w:val="18"/>
              </w:rPr>
            </w:pPr>
            <w:r>
              <w:rPr>
                <w:color w:val="000000"/>
                <w:sz w:val="18"/>
                <w:szCs w:val="18"/>
              </w:rPr>
              <w:t>14,125</w:t>
            </w:r>
          </w:p>
        </w:tc>
        <w:tc>
          <w:tcPr>
            <w:tcW w:w="50" w:type="pct"/>
            <w:shd w:val="clear" w:color="auto" w:fill="CFF0FC"/>
            <w:noWrap/>
            <w:tcMar>
              <w:top w:w="15" w:type="dxa"/>
              <w:left w:w="0" w:type="dxa"/>
              <w:bottom w:w="0" w:type="dxa"/>
              <w:right w:w="15" w:type="dxa"/>
            </w:tcMar>
            <w:vAlign w:val="bottom"/>
            <w:hideMark/>
          </w:tcPr>
          <w:p w14:paraId="0C5DD9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76292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9C41C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951981" w14:textId="77777777" w:rsidR="00000000" w:rsidRDefault="00582324">
            <w:pPr>
              <w:pStyle w:val="a3"/>
              <w:spacing w:before="0" w:beforeAutospacing="0" w:after="0" w:afterAutospacing="0"/>
              <w:jc w:val="right"/>
              <w:rPr>
                <w:color w:val="000000"/>
                <w:sz w:val="18"/>
                <w:szCs w:val="18"/>
              </w:rPr>
            </w:pPr>
            <w:r>
              <w:rPr>
                <w:color w:val="000000"/>
                <w:sz w:val="18"/>
                <w:szCs w:val="18"/>
              </w:rPr>
              <w:t>46,978</w:t>
            </w:r>
          </w:p>
        </w:tc>
        <w:tc>
          <w:tcPr>
            <w:tcW w:w="50" w:type="pct"/>
            <w:shd w:val="clear" w:color="auto" w:fill="CFF0FC"/>
            <w:noWrap/>
            <w:tcMar>
              <w:top w:w="15" w:type="dxa"/>
              <w:left w:w="0" w:type="dxa"/>
              <w:bottom w:w="0" w:type="dxa"/>
              <w:right w:w="15" w:type="dxa"/>
            </w:tcMar>
            <w:vAlign w:val="bottom"/>
            <w:hideMark/>
          </w:tcPr>
          <w:p w14:paraId="470067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58A6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3E7D2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544EB5" w14:textId="77777777" w:rsidR="00000000" w:rsidRDefault="00582324">
            <w:pPr>
              <w:pStyle w:val="a3"/>
              <w:spacing w:before="0" w:beforeAutospacing="0" w:after="0" w:afterAutospacing="0"/>
              <w:jc w:val="right"/>
              <w:rPr>
                <w:color w:val="000000"/>
                <w:sz w:val="18"/>
                <w:szCs w:val="18"/>
              </w:rPr>
            </w:pPr>
            <w:r>
              <w:rPr>
                <w:color w:val="000000"/>
                <w:sz w:val="18"/>
                <w:szCs w:val="18"/>
              </w:rPr>
              <w:t>98,010</w:t>
            </w:r>
          </w:p>
        </w:tc>
        <w:tc>
          <w:tcPr>
            <w:tcW w:w="50" w:type="pct"/>
            <w:shd w:val="clear" w:color="auto" w:fill="CFF0FC"/>
            <w:noWrap/>
            <w:tcMar>
              <w:top w:w="15" w:type="dxa"/>
              <w:left w:w="0" w:type="dxa"/>
              <w:bottom w:w="0" w:type="dxa"/>
              <w:right w:w="15" w:type="dxa"/>
            </w:tcMar>
            <w:vAlign w:val="bottom"/>
            <w:hideMark/>
          </w:tcPr>
          <w:p w14:paraId="365C542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05D9F6C4" w14:textId="77777777">
        <w:trPr>
          <w:divId w:val="602764912"/>
        </w:trPr>
        <w:tc>
          <w:tcPr>
            <w:tcW w:w="1851" w:type="pct"/>
            <w:shd w:val="clear" w:color="auto" w:fill="FFFFFF"/>
            <w:tcMar>
              <w:top w:w="15" w:type="dxa"/>
              <w:left w:w="0" w:type="dxa"/>
              <w:bottom w:w="0" w:type="dxa"/>
              <w:right w:w="15" w:type="dxa"/>
            </w:tcMar>
            <w:hideMark/>
          </w:tcPr>
          <w:p w14:paraId="4C417E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61" w:type="pct"/>
            <w:gridSpan w:val="2"/>
            <w:tcBorders>
              <w:top w:val="double" w:sz="6" w:space="0" w:color="000000"/>
            </w:tcBorders>
            <w:shd w:val="clear" w:color="auto" w:fill="FFFFFF"/>
            <w:tcMar>
              <w:top w:w="15" w:type="dxa"/>
              <w:left w:w="0" w:type="dxa"/>
              <w:bottom w:w="0" w:type="dxa"/>
              <w:right w:w="15" w:type="dxa"/>
            </w:tcMar>
            <w:vAlign w:val="bottom"/>
            <w:hideMark/>
          </w:tcPr>
          <w:p w14:paraId="07A0A5F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90AC3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CF336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96C17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52CED15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4194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5E7FE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0220D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057E6B6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EB7B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2DE24E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DE9C7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6C9D655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4608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2B003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58A41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43FF4E5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6D82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8315E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8F4B2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6E7F905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D07C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F386A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25A3A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top w:val="double" w:sz="6" w:space="0" w:color="000000"/>
            </w:tcBorders>
            <w:shd w:val="clear" w:color="auto" w:fill="FFFFFF"/>
            <w:noWrap/>
            <w:tcMar>
              <w:top w:w="15" w:type="dxa"/>
              <w:left w:w="0" w:type="dxa"/>
              <w:bottom w:w="0" w:type="dxa"/>
              <w:right w:w="15" w:type="dxa"/>
            </w:tcMar>
            <w:vAlign w:val="bottom"/>
            <w:hideMark/>
          </w:tcPr>
          <w:p w14:paraId="5A8A66C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94B46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2D0B39CD" w14:textId="77777777">
        <w:trPr>
          <w:divId w:val="602764912"/>
        </w:trPr>
        <w:tc>
          <w:tcPr>
            <w:tcW w:w="1851" w:type="pct"/>
            <w:shd w:val="clear" w:color="auto" w:fill="CFF0FC"/>
            <w:tcMar>
              <w:top w:w="15" w:type="dxa"/>
              <w:left w:w="0" w:type="dxa"/>
              <w:bottom w:w="0" w:type="dxa"/>
              <w:right w:w="15" w:type="dxa"/>
            </w:tcMar>
            <w:hideMark/>
          </w:tcPr>
          <w:p w14:paraId="15DC6FC8" w14:textId="77777777" w:rsidR="00000000" w:rsidRDefault="00582324">
            <w:pPr>
              <w:pStyle w:val="a3"/>
              <w:spacing w:before="0" w:beforeAutospacing="0" w:after="0" w:afterAutospacing="0"/>
              <w:rPr>
                <w:color w:val="000000"/>
                <w:sz w:val="18"/>
                <w:szCs w:val="18"/>
              </w:rPr>
            </w:pPr>
            <w:r>
              <w:rPr>
                <w:color w:val="000000"/>
                <w:sz w:val="18"/>
                <w:szCs w:val="18"/>
              </w:rPr>
              <w:t>Balance—at January 1, 2021</w:t>
            </w:r>
          </w:p>
        </w:tc>
        <w:tc>
          <w:tcPr>
            <w:tcW w:w="50" w:type="pct"/>
            <w:shd w:val="clear" w:color="auto" w:fill="CFF0FC"/>
            <w:noWrap/>
            <w:tcMar>
              <w:top w:w="15" w:type="dxa"/>
              <w:left w:w="0" w:type="dxa"/>
              <w:bottom w:w="0" w:type="dxa"/>
              <w:right w:w="15" w:type="dxa"/>
            </w:tcMar>
            <w:vAlign w:val="bottom"/>
            <w:hideMark/>
          </w:tcPr>
          <w:p w14:paraId="44B9166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0B9E84C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B599C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7D836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CA8EB3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57546762" w14:textId="77777777" w:rsidR="00000000" w:rsidRDefault="00582324">
            <w:pPr>
              <w:pStyle w:val="a3"/>
              <w:spacing w:before="0" w:beforeAutospacing="0" w:after="0" w:afterAutospacing="0"/>
              <w:jc w:val="right"/>
              <w:rPr>
                <w:color w:val="000000"/>
                <w:sz w:val="18"/>
                <w:szCs w:val="18"/>
              </w:rPr>
            </w:pPr>
            <w:r>
              <w:rPr>
                <w:color w:val="000000"/>
                <w:sz w:val="18"/>
                <w:szCs w:val="18"/>
              </w:rPr>
              <w:t>49,902</w:t>
            </w:r>
          </w:p>
        </w:tc>
        <w:tc>
          <w:tcPr>
            <w:tcW w:w="50" w:type="pct"/>
            <w:shd w:val="clear" w:color="auto" w:fill="CFF0FC"/>
            <w:noWrap/>
            <w:tcMar>
              <w:top w:w="15" w:type="dxa"/>
              <w:left w:w="0" w:type="dxa"/>
              <w:bottom w:w="0" w:type="dxa"/>
              <w:right w:w="15" w:type="dxa"/>
            </w:tcMar>
            <w:vAlign w:val="bottom"/>
            <w:hideMark/>
          </w:tcPr>
          <w:p w14:paraId="5C0F02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46E3AC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5513E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05EA8022" w14:textId="77777777" w:rsidR="00000000" w:rsidRDefault="00582324">
            <w:pPr>
              <w:pStyle w:val="a3"/>
              <w:spacing w:before="0" w:beforeAutospacing="0" w:after="0" w:afterAutospacing="0"/>
              <w:jc w:val="right"/>
              <w:rPr>
                <w:color w:val="000000"/>
                <w:sz w:val="18"/>
                <w:szCs w:val="18"/>
              </w:rPr>
            </w:pPr>
            <w:r>
              <w:rPr>
                <w:color w:val="000000"/>
                <w:sz w:val="18"/>
                <w:szCs w:val="18"/>
              </w:rPr>
              <w:t>4,565</w:t>
            </w:r>
          </w:p>
        </w:tc>
        <w:tc>
          <w:tcPr>
            <w:tcW w:w="50" w:type="pct"/>
            <w:shd w:val="clear" w:color="auto" w:fill="CFF0FC"/>
            <w:noWrap/>
            <w:tcMar>
              <w:top w:w="15" w:type="dxa"/>
              <w:left w:w="0" w:type="dxa"/>
              <w:bottom w:w="0" w:type="dxa"/>
              <w:right w:w="15" w:type="dxa"/>
            </w:tcMar>
            <w:vAlign w:val="bottom"/>
            <w:hideMark/>
          </w:tcPr>
          <w:p w14:paraId="104256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5C04A2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8EB947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40ABC424" w14:textId="77777777" w:rsidR="00000000" w:rsidRDefault="00582324">
            <w:pPr>
              <w:pStyle w:val="a3"/>
              <w:spacing w:before="0" w:beforeAutospacing="0" w:after="0" w:afterAutospacing="0"/>
              <w:jc w:val="right"/>
              <w:rPr>
                <w:color w:val="000000"/>
                <w:sz w:val="18"/>
                <w:szCs w:val="18"/>
              </w:rPr>
            </w:pPr>
            <w:r>
              <w:rPr>
                <w:color w:val="000000"/>
                <w:sz w:val="18"/>
                <w:szCs w:val="18"/>
              </w:rPr>
              <w:t>20,886</w:t>
            </w:r>
          </w:p>
        </w:tc>
        <w:tc>
          <w:tcPr>
            <w:tcW w:w="50" w:type="pct"/>
            <w:shd w:val="clear" w:color="auto" w:fill="CFF0FC"/>
            <w:noWrap/>
            <w:tcMar>
              <w:top w:w="15" w:type="dxa"/>
              <w:left w:w="0" w:type="dxa"/>
              <w:bottom w:w="0" w:type="dxa"/>
              <w:right w:w="15" w:type="dxa"/>
            </w:tcMar>
            <w:vAlign w:val="bottom"/>
            <w:hideMark/>
          </w:tcPr>
          <w:p w14:paraId="18907F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A6FBD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CD865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06A7C3C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D0F3D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CAADFE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5CAB2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781F22A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D823E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8A1FE4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A45DA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shd w:val="clear" w:color="auto" w:fill="CFF0FC"/>
            <w:noWrap/>
            <w:tcMar>
              <w:top w:w="15" w:type="dxa"/>
              <w:left w:w="0" w:type="dxa"/>
              <w:bottom w:w="0" w:type="dxa"/>
              <w:right w:w="15" w:type="dxa"/>
            </w:tcMar>
            <w:vAlign w:val="bottom"/>
            <w:hideMark/>
          </w:tcPr>
          <w:p w14:paraId="21A9BF8A" w14:textId="77777777" w:rsidR="00000000" w:rsidRDefault="00582324">
            <w:pPr>
              <w:pStyle w:val="a3"/>
              <w:spacing w:before="0" w:beforeAutospacing="0" w:after="0" w:afterAutospacing="0"/>
              <w:jc w:val="right"/>
              <w:rPr>
                <w:color w:val="000000"/>
                <w:sz w:val="18"/>
                <w:szCs w:val="18"/>
              </w:rPr>
            </w:pPr>
            <w:r>
              <w:rPr>
                <w:color w:val="000000"/>
                <w:sz w:val="18"/>
                <w:szCs w:val="18"/>
              </w:rPr>
              <w:t>75,353</w:t>
            </w:r>
          </w:p>
        </w:tc>
        <w:tc>
          <w:tcPr>
            <w:tcW w:w="50" w:type="pct"/>
            <w:shd w:val="clear" w:color="auto" w:fill="CFF0FC"/>
            <w:noWrap/>
            <w:tcMar>
              <w:top w:w="15" w:type="dxa"/>
              <w:left w:w="0" w:type="dxa"/>
              <w:bottom w:w="0" w:type="dxa"/>
              <w:right w:w="15" w:type="dxa"/>
            </w:tcMar>
            <w:vAlign w:val="bottom"/>
            <w:hideMark/>
          </w:tcPr>
          <w:p w14:paraId="0825CBE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A4E1A31" w14:textId="77777777">
        <w:trPr>
          <w:divId w:val="602764912"/>
        </w:trPr>
        <w:tc>
          <w:tcPr>
            <w:tcW w:w="1851" w:type="pct"/>
            <w:shd w:val="clear" w:color="auto" w:fill="FFFFFF"/>
            <w:tcMar>
              <w:top w:w="15" w:type="dxa"/>
              <w:left w:w="0" w:type="dxa"/>
              <w:bottom w:w="0" w:type="dxa"/>
              <w:right w:w="15" w:type="dxa"/>
            </w:tcMar>
            <w:hideMark/>
          </w:tcPr>
          <w:p w14:paraId="22B536C1" w14:textId="77777777" w:rsidR="00000000" w:rsidRDefault="00582324">
            <w:pPr>
              <w:pStyle w:val="a3"/>
              <w:spacing w:before="0" w:beforeAutospacing="0" w:after="0" w:afterAutospacing="0"/>
              <w:rPr>
                <w:color w:val="000000"/>
                <w:sz w:val="18"/>
                <w:szCs w:val="18"/>
              </w:rPr>
            </w:pPr>
            <w:r>
              <w:rPr>
                <w:color w:val="000000"/>
                <w:sz w:val="18"/>
                <w:szCs w:val="18"/>
              </w:rPr>
              <w:t>   Acquisitions</w:t>
            </w:r>
          </w:p>
        </w:tc>
        <w:tc>
          <w:tcPr>
            <w:tcW w:w="50" w:type="pct"/>
            <w:shd w:val="clear" w:color="auto" w:fill="FFFFFF"/>
            <w:noWrap/>
            <w:tcMar>
              <w:top w:w="15" w:type="dxa"/>
              <w:left w:w="0" w:type="dxa"/>
              <w:bottom w:w="0" w:type="dxa"/>
              <w:right w:w="15" w:type="dxa"/>
            </w:tcMar>
            <w:vAlign w:val="bottom"/>
            <w:hideMark/>
          </w:tcPr>
          <w:p w14:paraId="1D0256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DB630D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17CE3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F2ACA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A8D7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536486D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294BF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2F7693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1064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56EF6472" w14:textId="77777777" w:rsidR="00000000" w:rsidRDefault="00582324">
            <w:pPr>
              <w:pStyle w:val="a3"/>
              <w:spacing w:before="0" w:beforeAutospacing="0" w:after="0" w:afterAutospacing="0"/>
              <w:jc w:val="right"/>
              <w:rPr>
                <w:color w:val="000000"/>
                <w:sz w:val="18"/>
                <w:szCs w:val="18"/>
              </w:rPr>
            </w:pPr>
            <w:r>
              <w:rPr>
                <w:color w:val="000000"/>
                <w:sz w:val="18"/>
                <w:szCs w:val="18"/>
              </w:rPr>
              <w:t>2,804</w:t>
            </w:r>
          </w:p>
        </w:tc>
        <w:tc>
          <w:tcPr>
            <w:tcW w:w="50" w:type="pct"/>
            <w:shd w:val="clear" w:color="auto" w:fill="FFFFFF"/>
            <w:noWrap/>
            <w:tcMar>
              <w:top w:w="15" w:type="dxa"/>
              <w:left w:w="0" w:type="dxa"/>
              <w:bottom w:w="0" w:type="dxa"/>
              <w:right w:w="15" w:type="dxa"/>
            </w:tcMar>
            <w:vAlign w:val="bottom"/>
            <w:hideMark/>
          </w:tcPr>
          <w:p w14:paraId="38ED4B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28197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9F7F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1E90AF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4575C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469137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16F7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2826F03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8DA83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1F50D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22A5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093B444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1B639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6DBB0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200E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29D6559F" w14:textId="77777777" w:rsidR="00000000" w:rsidRDefault="00582324">
            <w:pPr>
              <w:pStyle w:val="a3"/>
              <w:spacing w:before="0" w:beforeAutospacing="0" w:after="0" w:afterAutospacing="0"/>
              <w:jc w:val="right"/>
              <w:rPr>
                <w:color w:val="000000"/>
                <w:sz w:val="18"/>
                <w:szCs w:val="18"/>
              </w:rPr>
            </w:pPr>
            <w:r>
              <w:rPr>
                <w:color w:val="000000"/>
                <w:sz w:val="18"/>
                <w:szCs w:val="18"/>
              </w:rPr>
              <w:t>2,804</w:t>
            </w:r>
          </w:p>
        </w:tc>
        <w:tc>
          <w:tcPr>
            <w:tcW w:w="50" w:type="pct"/>
            <w:shd w:val="clear" w:color="auto" w:fill="FFFFFF"/>
            <w:noWrap/>
            <w:tcMar>
              <w:top w:w="15" w:type="dxa"/>
              <w:left w:w="0" w:type="dxa"/>
              <w:bottom w:w="0" w:type="dxa"/>
              <w:right w:w="15" w:type="dxa"/>
            </w:tcMar>
            <w:vAlign w:val="bottom"/>
            <w:hideMark/>
          </w:tcPr>
          <w:p w14:paraId="1E9F8F6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7EC547E" w14:textId="77777777">
        <w:trPr>
          <w:divId w:val="602764912"/>
        </w:trPr>
        <w:tc>
          <w:tcPr>
            <w:tcW w:w="1851" w:type="pct"/>
            <w:shd w:val="clear" w:color="auto" w:fill="CFF0FC"/>
            <w:tcMar>
              <w:top w:w="15" w:type="dxa"/>
              <w:left w:w="0" w:type="dxa"/>
              <w:bottom w:w="0" w:type="dxa"/>
              <w:right w:w="15" w:type="dxa"/>
            </w:tcMar>
            <w:hideMark/>
          </w:tcPr>
          <w:p w14:paraId="514FC296" w14:textId="77777777" w:rsidR="00000000" w:rsidRDefault="00582324">
            <w:pPr>
              <w:pStyle w:val="a3"/>
              <w:spacing w:before="0" w:beforeAutospacing="0" w:after="0" w:afterAutospacing="0"/>
              <w:rPr>
                <w:color w:val="000000"/>
                <w:sz w:val="18"/>
                <w:szCs w:val="18"/>
              </w:rPr>
            </w:pPr>
            <w:r>
              <w:rPr>
                <w:color w:val="000000"/>
                <w:sz w:val="18"/>
                <w:szCs w:val="18"/>
              </w:rPr>
              <w:t xml:space="preserve">   </w:t>
            </w:r>
            <w:r>
              <w:rPr>
                <w:color w:val="000000"/>
                <w:sz w:val="18"/>
                <w:szCs w:val="18"/>
              </w:rPr>
              <w:t>Changes in fair value included in earnings</w:t>
            </w:r>
          </w:p>
        </w:tc>
        <w:tc>
          <w:tcPr>
            <w:tcW w:w="50" w:type="pct"/>
            <w:shd w:val="clear" w:color="auto" w:fill="CFF0FC"/>
            <w:noWrap/>
            <w:tcMar>
              <w:top w:w="15" w:type="dxa"/>
              <w:left w:w="0" w:type="dxa"/>
              <w:bottom w:w="0" w:type="dxa"/>
              <w:right w:w="15" w:type="dxa"/>
            </w:tcMar>
            <w:vAlign w:val="bottom"/>
            <w:hideMark/>
          </w:tcPr>
          <w:p w14:paraId="7BE8C6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C20F17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6DCF1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53116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41A7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1CD5E376" w14:textId="77777777" w:rsidR="00000000" w:rsidRDefault="00582324">
            <w:pPr>
              <w:pStyle w:val="a3"/>
              <w:spacing w:before="0" w:beforeAutospacing="0" w:after="0" w:afterAutospacing="0"/>
              <w:jc w:val="right"/>
              <w:rPr>
                <w:color w:val="000000"/>
                <w:sz w:val="18"/>
                <w:szCs w:val="18"/>
              </w:rPr>
            </w:pPr>
            <w:r>
              <w:rPr>
                <w:color w:val="000000"/>
                <w:sz w:val="18"/>
                <w:szCs w:val="18"/>
              </w:rPr>
              <w:t>13,774</w:t>
            </w:r>
          </w:p>
        </w:tc>
        <w:tc>
          <w:tcPr>
            <w:tcW w:w="50" w:type="pct"/>
            <w:shd w:val="clear" w:color="auto" w:fill="CFF0FC"/>
            <w:noWrap/>
            <w:tcMar>
              <w:top w:w="15" w:type="dxa"/>
              <w:left w:w="0" w:type="dxa"/>
              <w:bottom w:w="0" w:type="dxa"/>
              <w:right w:w="15" w:type="dxa"/>
            </w:tcMar>
            <w:vAlign w:val="bottom"/>
            <w:hideMark/>
          </w:tcPr>
          <w:p w14:paraId="5483DD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61E24E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F8FC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7F8067D" w14:textId="77777777" w:rsidR="00000000" w:rsidRDefault="00582324">
            <w:pPr>
              <w:pStyle w:val="a3"/>
              <w:spacing w:before="0" w:beforeAutospacing="0" w:after="0" w:afterAutospacing="0"/>
              <w:jc w:val="right"/>
              <w:rPr>
                <w:color w:val="000000"/>
                <w:sz w:val="18"/>
                <w:szCs w:val="18"/>
              </w:rPr>
            </w:pPr>
            <w:r>
              <w:rPr>
                <w:color w:val="000000"/>
                <w:sz w:val="18"/>
                <w:szCs w:val="18"/>
              </w:rPr>
              <w:t>10,261</w:t>
            </w:r>
          </w:p>
        </w:tc>
        <w:tc>
          <w:tcPr>
            <w:tcW w:w="50" w:type="pct"/>
            <w:shd w:val="clear" w:color="auto" w:fill="CFF0FC"/>
            <w:noWrap/>
            <w:tcMar>
              <w:top w:w="15" w:type="dxa"/>
              <w:left w:w="0" w:type="dxa"/>
              <w:bottom w:w="0" w:type="dxa"/>
              <w:right w:w="15" w:type="dxa"/>
            </w:tcMar>
            <w:vAlign w:val="bottom"/>
            <w:hideMark/>
          </w:tcPr>
          <w:p w14:paraId="511DA1A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8D079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0DFCB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547FB116" w14:textId="77777777" w:rsidR="00000000" w:rsidRDefault="00582324">
            <w:pPr>
              <w:pStyle w:val="a3"/>
              <w:spacing w:before="0" w:beforeAutospacing="0" w:after="0" w:afterAutospacing="0"/>
              <w:jc w:val="right"/>
              <w:rPr>
                <w:color w:val="000000"/>
                <w:sz w:val="18"/>
                <w:szCs w:val="18"/>
              </w:rPr>
            </w:pPr>
            <w:r>
              <w:rPr>
                <w:color w:val="000000"/>
                <w:sz w:val="18"/>
                <w:szCs w:val="18"/>
              </w:rPr>
              <w:t>1,120</w:t>
            </w:r>
          </w:p>
        </w:tc>
        <w:tc>
          <w:tcPr>
            <w:tcW w:w="50" w:type="pct"/>
            <w:shd w:val="clear" w:color="auto" w:fill="CFF0FC"/>
            <w:noWrap/>
            <w:tcMar>
              <w:top w:w="15" w:type="dxa"/>
              <w:left w:w="0" w:type="dxa"/>
              <w:bottom w:w="0" w:type="dxa"/>
              <w:right w:w="15" w:type="dxa"/>
            </w:tcMar>
            <w:vAlign w:val="bottom"/>
            <w:hideMark/>
          </w:tcPr>
          <w:p w14:paraId="41B970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220EA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3E18E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3F207BA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C359B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F9C51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AE7C6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28C43E7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B9C0C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7CA404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B4FFE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CFF0FC"/>
            <w:noWrap/>
            <w:tcMar>
              <w:top w:w="15" w:type="dxa"/>
              <w:left w:w="0" w:type="dxa"/>
              <w:bottom w:w="0" w:type="dxa"/>
              <w:right w:w="15" w:type="dxa"/>
            </w:tcMar>
            <w:vAlign w:val="bottom"/>
            <w:hideMark/>
          </w:tcPr>
          <w:p w14:paraId="06DC934B" w14:textId="77777777" w:rsidR="00000000" w:rsidRDefault="00582324">
            <w:pPr>
              <w:pStyle w:val="a3"/>
              <w:spacing w:before="0" w:beforeAutospacing="0" w:after="0" w:afterAutospacing="0"/>
              <w:jc w:val="right"/>
              <w:rPr>
                <w:color w:val="000000"/>
                <w:sz w:val="18"/>
                <w:szCs w:val="18"/>
              </w:rPr>
            </w:pPr>
            <w:r>
              <w:rPr>
                <w:color w:val="000000"/>
                <w:sz w:val="18"/>
                <w:szCs w:val="18"/>
              </w:rPr>
              <w:t>25,155</w:t>
            </w:r>
          </w:p>
        </w:tc>
        <w:tc>
          <w:tcPr>
            <w:tcW w:w="50" w:type="pct"/>
            <w:shd w:val="clear" w:color="auto" w:fill="CFF0FC"/>
            <w:noWrap/>
            <w:tcMar>
              <w:top w:w="15" w:type="dxa"/>
              <w:left w:w="0" w:type="dxa"/>
              <w:bottom w:w="0" w:type="dxa"/>
              <w:right w:w="15" w:type="dxa"/>
            </w:tcMar>
            <w:vAlign w:val="bottom"/>
            <w:hideMark/>
          </w:tcPr>
          <w:p w14:paraId="570B4F4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DC2D13B" w14:textId="77777777">
        <w:trPr>
          <w:divId w:val="602764912"/>
        </w:trPr>
        <w:tc>
          <w:tcPr>
            <w:tcW w:w="1851" w:type="pct"/>
            <w:shd w:val="clear" w:color="auto" w:fill="FFFFFF"/>
            <w:tcMar>
              <w:top w:w="15" w:type="dxa"/>
              <w:left w:w="0" w:type="dxa"/>
              <w:bottom w:w="0" w:type="dxa"/>
              <w:right w:w="15" w:type="dxa"/>
            </w:tcMar>
            <w:hideMark/>
          </w:tcPr>
          <w:p w14:paraId="7072447B" w14:textId="77777777" w:rsidR="00000000" w:rsidRDefault="00582324">
            <w:pPr>
              <w:pStyle w:val="a3"/>
              <w:spacing w:before="0" w:beforeAutospacing="0" w:after="0" w:afterAutospacing="0"/>
              <w:rPr>
                <w:color w:val="000000"/>
                <w:sz w:val="18"/>
                <w:szCs w:val="18"/>
              </w:rPr>
            </w:pPr>
            <w:r>
              <w:rPr>
                <w:color w:val="000000"/>
                <w:sz w:val="18"/>
                <w:szCs w:val="18"/>
              </w:rPr>
              <w:t>    Payment of contingent consideration</w:t>
            </w:r>
          </w:p>
          <w:p w14:paraId="6ABA134C" w14:textId="77777777" w:rsidR="00000000" w:rsidRDefault="00582324">
            <w:pPr>
              <w:pStyle w:val="a3"/>
              <w:spacing w:before="0" w:beforeAutospacing="0" w:after="0" w:afterAutospacing="0"/>
              <w:rPr>
                <w:color w:val="000000"/>
                <w:sz w:val="18"/>
                <w:szCs w:val="18"/>
              </w:rPr>
            </w:pPr>
            <w:r>
              <w:rPr>
                <w:color w:val="000000"/>
                <w:sz w:val="18"/>
                <w:szCs w:val="18"/>
              </w:rPr>
              <w:t>       payable</w:t>
            </w:r>
          </w:p>
        </w:tc>
        <w:tc>
          <w:tcPr>
            <w:tcW w:w="50" w:type="pct"/>
            <w:shd w:val="clear" w:color="auto" w:fill="FFFFFF"/>
            <w:noWrap/>
            <w:tcMar>
              <w:top w:w="15" w:type="dxa"/>
              <w:left w:w="0" w:type="dxa"/>
              <w:bottom w:w="0" w:type="dxa"/>
              <w:right w:w="15" w:type="dxa"/>
            </w:tcMar>
            <w:vAlign w:val="bottom"/>
            <w:hideMark/>
          </w:tcPr>
          <w:p w14:paraId="7F834B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6AE55EB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C6F81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CD732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B123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14B3ED5D" w14:textId="77777777" w:rsidR="00000000" w:rsidRDefault="00582324">
            <w:pPr>
              <w:pStyle w:val="a3"/>
              <w:spacing w:before="0" w:beforeAutospacing="0" w:after="0" w:afterAutospacing="0"/>
              <w:jc w:val="right"/>
              <w:rPr>
                <w:color w:val="000000"/>
                <w:sz w:val="18"/>
                <w:szCs w:val="18"/>
              </w:rPr>
            </w:pPr>
            <w:r>
              <w:rPr>
                <w:color w:val="000000"/>
                <w:sz w:val="18"/>
                <w:szCs w:val="18"/>
              </w:rPr>
              <w:t>(50,154</w:t>
            </w:r>
          </w:p>
        </w:tc>
        <w:tc>
          <w:tcPr>
            <w:tcW w:w="50" w:type="pct"/>
            <w:shd w:val="clear" w:color="auto" w:fill="FFFFFF"/>
            <w:noWrap/>
            <w:tcMar>
              <w:top w:w="15" w:type="dxa"/>
              <w:left w:w="0" w:type="dxa"/>
              <w:bottom w:w="0" w:type="dxa"/>
              <w:right w:w="15" w:type="dxa"/>
            </w:tcMar>
            <w:vAlign w:val="bottom"/>
            <w:hideMark/>
          </w:tcPr>
          <w:p w14:paraId="55A5C00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FFFFFF"/>
            <w:tcMar>
              <w:top w:w="15" w:type="dxa"/>
              <w:left w:w="0" w:type="dxa"/>
              <w:bottom w:w="0" w:type="dxa"/>
              <w:right w:w="15" w:type="dxa"/>
            </w:tcMar>
            <w:vAlign w:val="bottom"/>
            <w:hideMark/>
          </w:tcPr>
          <w:p w14:paraId="52C3E1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B083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19EEB0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8AC06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A8F84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D842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797A5BE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6242E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5186A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4BD31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492EC86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2CBA8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7A1026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95DE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0878221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3BF73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62BF4F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4CF1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shd w:val="clear" w:color="auto" w:fill="FFFFFF"/>
            <w:noWrap/>
            <w:tcMar>
              <w:top w:w="15" w:type="dxa"/>
              <w:left w:w="0" w:type="dxa"/>
              <w:bottom w:w="0" w:type="dxa"/>
              <w:right w:w="15" w:type="dxa"/>
            </w:tcMar>
            <w:vAlign w:val="bottom"/>
            <w:hideMark/>
          </w:tcPr>
          <w:p w14:paraId="02DF3CA8" w14:textId="77777777" w:rsidR="00000000" w:rsidRDefault="00582324">
            <w:pPr>
              <w:pStyle w:val="a3"/>
              <w:spacing w:before="0" w:beforeAutospacing="0" w:after="0" w:afterAutospacing="0"/>
              <w:jc w:val="right"/>
              <w:rPr>
                <w:color w:val="000000"/>
                <w:sz w:val="18"/>
                <w:szCs w:val="18"/>
              </w:rPr>
            </w:pPr>
            <w:r>
              <w:rPr>
                <w:color w:val="000000"/>
                <w:sz w:val="18"/>
                <w:szCs w:val="18"/>
              </w:rPr>
              <w:t>(50,154</w:t>
            </w:r>
          </w:p>
        </w:tc>
        <w:tc>
          <w:tcPr>
            <w:tcW w:w="50" w:type="pct"/>
            <w:shd w:val="clear" w:color="auto" w:fill="FFFFFF"/>
            <w:noWrap/>
            <w:tcMar>
              <w:top w:w="15" w:type="dxa"/>
              <w:left w:w="0" w:type="dxa"/>
              <w:bottom w:w="0" w:type="dxa"/>
              <w:right w:w="15" w:type="dxa"/>
            </w:tcMar>
            <w:vAlign w:val="bottom"/>
            <w:hideMark/>
          </w:tcPr>
          <w:p w14:paraId="4926BA38"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59ACD4DE" w14:textId="77777777">
        <w:trPr>
          <w:divId w:val="602764912"/>
        </w:trPr>
        <w:tc>
          <w:tcPr>
            <w:tcW w:w="1851" w:type="pct"/>
            <w:shd w:val="clear" w:color="auto" w:fill="CFF0FC"/>
            <w:tcMar>
              <w:top w:w="15" w:type="dxa"/>
              <w:left w:w="0" w:type="dxa"/>
              <w:bottom w:w="0" w:type="dxa"/>
              <w:right w:w="15" w:type="dxa"/>
            </w:tcMar>
            <w:hideMark/>
          </w:tcPr>
          <w:p w14:paraId="65E1C1F0" w14:textId="77777777" w:rsidR="00000000" w:rsidRDefault="00582324">
            <w:pPr>
              <w:pStyle w:val="a3"/>
              <w:spacing w:before="0" w:beforeAutospacing="0" w:after="0" w:afterAutospacing="0"/>
              <w:rPr>
                <w:color w:val="000000"/>
                <w:sz w:val="18"/>
                <w:szCs w:val="18"/>
              </w:rPr>
            </w:pPr>
            <w:r>
              <w:rPr>
                <w:color w:val="000000"/>
                <w:sz w:val="18"/>
                <w:szCs w:val="18"/>
              </w:rPr>
              <w:t xml:space="preserve">   </w:t>
            </w:r>
            <w:r>
              <w:rPr>
                <w:color w:val="000000"/>
                <w:sz w:val="18"/>
                <w:szCs w:val="18"/>
              </w:rPr>
              <w:t>Reclass of long term to short term</w:t>
            </w:r>
          </w:p>
          <w:p w14:paraId="20D9F79F" w14:textId="77777777" w:rsidR="00000000" w:rsidRDefault="00582324">
            <w:pPr>
              <w:pStyle w:val="a3"/>
              <w:spacing w:before="0" w:beforeAutospacing="0" w:after="0" w:afterAutospacing="0"/>
              <w:rPr>
                <w:color w:val="000000"/>
                <w:sz w:val="18"/>
                <w:szCs w:val="18"/>
              </w:rPr>
            </w:pPr>
            <w:r>
              <w:rPr>
                <w:color w:val="000000"/>
                <w:sz w:val="18"/>
                <w:szCs w:val="18"/>
              </w:rPr>
              <w:t>      contingent liabilities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FD43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63198D5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65173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5DD022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CDE9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3A840AB3" w14:textId="77777777" w:rsidR="00000000" w:rsidRDefault="00582324">
            <w:pPr>
              <w:pStyle w:val="a3"/>
              <w:spacing w:before="0" w:beforeAutospacing="0" w:after="0" w:afterAutospacing="0"/>
              <w:jc w:val="right"/>
              <w:rPr>
                <w:color w:val="000000"/>
                <w:sz w:val="18"/>
                <w:szCs w:val="18"/>
              </w:rPr>
            </w:pPr>
            <w:r>
              <w:rPr>
                <w:color w:val="000000"/>
                <w:sz w:val="18"/>
                <w:szCs w:val="18"/>
              </w:rPr>
              <w:t>16,630</w:t>
            </w:r>
          </w:p>
        </w:tc>
        <w:tc>
          <w:tcPr>
            <w:tcW w:w="50" w:type="pct"/>
            <w:shd w:val="clear" w:color="auto" w:fill="CFF0FC"/>
            <w:noWrap/>
            <w:tcMar>
              <w:top w:w="15" w:type="dxa"/>
              <w:left w:w="0" w:type="dxa"/>
              <w:bottom w:w="0" w:type="dxa"/>
              <w:right w:w="15" w:type="dxa"/>
            </w:tcMar>
            <w:vAlign w:val="bottom"/>
            <w:hideMark/>
          </w:tcPr>
          <w:p w14:paraId="769B53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3FD144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4EF3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21CDF15E" w14:textId="77777777" w:rsidR="00000000" w:rsidRDefault="00582324">
            <w:pPr>
              <w:pStyle w:val="a3"/>
              <w:spacing w:before="0" w:beforeAutospacing="0" w:after="0" w:afterAutospacing="0"/>
              <w:jc w:val="right"/>
              <w:rPr>
                <w:color w:val="000000"/>
                <w:sz w:val="18"/>
                <w:szCs w:val="18"/>
              </w:rPr>
            </w:pPr>
            <w:r>
              <w:rPr>
                <w:color w:val="000000"/>
                <w:sz w:val="18"/>
                <w:szCs w:val="18"/>
              </w:rPr>
              <w:t>(16,630</w:t>
            </w:r>
          </w:p>
        </w:tc>
        <w:tc>
          <w:tcPr>
            <w:tcW w:w="50" w:type="pct"/>
            <w:shd w:val="clear" w:color="auto" w:fill="CFF0FC"/>
            <w:noWrap/>
            <w:tcMar>
              <w:top w:w="15" w:type="dxa"/>
              <w:left w:w="0" w:type="dxa"/>
              <w:bottom w:w="0" w:type="dxa"/>
              <w:right w:w="15" w:type="dxa"/>
            </w:tcMar>
            <w:vAlign w:val="bottom"/>
            <w:hideMark/>
          </w:tcPr>
          <w:p w14:paraId="74B161D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4" w:type="pct"/>
            <w:shd w:val="clear" w:color="auto" w:fill="CFF0FC"/>
            <w:tcMar>
              <w:top w:w="15" w:type="dxa"/>
              <w:left w:w="0" w:type="dxa"/>
              <w:bottom w:w="0" w:type="dxa"/>
              <w:right w:w="15" w:type="dxa"/>
            </w:tcMar>
            <w:vAlign w:val="bottom"/>
            <w:hideMark/>
          </w:tcPr>
          <w:p w14:paraId="540436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A7BC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7DE7EB2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3498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0DD1DB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D1F4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7FAD64E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0434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4E6F47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1BDC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2DD4F20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54D4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CFF0FC"/>
            <w:tcMar>
              <w:top w:w="15" w:type="dxa"/>
              <w:left w:w="0" w:type="dxa"/>
              <w:bottom w:w="0" w:type="dxa"/>
              <w:right w:w="15" w:type="dxa"/>
            </w:tcMar>
            <w:vAlign w:val="bottom"/>
            <w:hideMark/>
          </w:tcPr>
          <w:p w14:paraId="1A70A3A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441D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11" w:type="pct"/>
            <w:tcBorders>
              <w:bottom w:val="single" w:sz="6" w:space="0" w:color="000000"/>
            </w:tcBorders>
            <w:shd w:val="clear" w:color="auto" w:fill="CFF0FC"/>
            <w:noWrap/>
            <w:tcMar>
              <w:top w:w="15" w:type="dxa"/>
              <w:left w:w="0" w:type="dxa"/>
              <w:bottom w:w="0" w:type="dxa"/>
              <w:right w:w="15" w:type="dxa"/>
            </w:tcMar>
            <w:vAlign w:val="bottom"/>
            <w:hideMark/>
          </w:tcPr>
          <w:p w14:paraId="461C846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F10FC5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1127CF4A" w14:textId="77777777">
        <w:trPr>
          <w:divId w:val="602764912"/>
        </w:trPr>
        <w:tc>
          <w:tcPr>
            <w:tcW w:w="1851" w:type="pct"/>
            <w:shd w:val="clear" w:color="auto" w:fill="FFFFFF"/>
            <w:tcMar>
              <w:top w:w="15" w:type="dxa"/>
              <w:left w:w="0" w:type="dxa"/>
              <w:bottom w:w="0" w:type="dxa"/>
              <w:right w:w="15" w:type="dxa"/>
            </w:tcMar>
            <w:hideMark/>
          </w:tcPr>
          <w:p w14:paraId="566F24E2" w14:textId="77777777" w:rsidR="00000000" w:rsidRDefault="00582324">
            <w:pPr>
              <w:pStyle w:val="a3"/>
              <w:spacing w:before="0" w:beforeAutospacing="0" w:after="0" w:afterAutospacing="0"/>
              <w:rPr>
                <w:color w:val="000000"/>
                <w:sz w:val="18"/>
                <w:szCs w:val="18"/>
              </w:rPr>
            </w:pPr>
            <w:r>
              <w:rPr>
                <w:color w:val="000000"/>
                <w:sz w:val="18"/>
                <w:szCs w:val="18"/>
              </w:rPr>
              <w:t>Balance—at June 30, 2021</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E6E2F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9D268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BDB96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022AB9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0A47E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74799D" w14:textId="77777777" w:rsidR="00000000" w:rsidRDefault="00582324">
            <w:pPr>
              <w:pStyle w:val="a3"/>
              <w:spacing w:before="0" w:beforeAutospacing="0" w:after="0" w:afterAutospacing="0"/>
              <w:jc w:val="right"/>
              <w:rPr>
                <w:color w:val="000000"/>
                <w:sz w:val="18"/>
                <w:szCs w:val="18"/>
              </w:rPr>
            </w:pPr>
            <w:r>
              <w:rPr>
                <w:color w:val="000000"/>
                <w:sz w:val="18"/>
                <w:szCs w:val="18"/>
              </w:rPr>
              <w:t>30,152</w:t>
            </w:r>
          </w:p>
        </w:tc>
        <w:tc>
          <w:tcPr>
            <w:tcW w:w="50" w:type="pct"/>
            <w:shd w:val="clear" w:color="auto" w:fill="FFFFFF"/>
            <w:noWrap/>
            <w:tcMar>
              <w:top w:w="15" w:type="dxa"/>
              <w:left w:w="0" w:type="dxa"/>
              <w:bottom w:w="0" w:type="dxa"/>
              <w:right w:w="15" w:type="dxa"/>
            </w:tcMar>
            <w:vAlign w:val="bottom"/>
            <w:hideMark/>
          </w:tcPr>
          <w:p w14:paraId="1C6A60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37FCD2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19984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F448F0" w14:textId="77777777" w:rsidR="00000000" w:rsidRDefault="00582324">
            <w:pPr>
              <w:pStyle w:val="a3"/>
              <w:spacing w:before="0" w:beforeAutospacing="0" w:after="0" w:afterAutospacing="0"/>
              <w:jc w:val="right"/>
              <w:rPr>
                <w:color w:val="000000"/>
                <w:sz w:val="18"/>
                <w:szCs w:val="18"/>
              </w:rPr>
            </w:pPr>
            <w:r>
              <w:rPr>
                <w:color w:val="000000"/>
                <w:sz w:val="18"/>
                <w:szCs w:val="18"/>
              </w:rPr>
              <w:t>1,000</w:t>
            </w:r>
          </w:p>
        </w:tc>
        <w:tc>
          <w:tcPr>
            <w:tcW w:w="50" w:type="pct"/>
            <w:shd w:val="clear" w:color="auto" w:fill="FFFFFF"/>
            <w:noWrap/>
            <w:tcMar>
              <w:top w:w="15" w:type="dxa"/>
              <w:left w:w="0" w:type="dxa"/>
              <w:bottom w:w="0" w:type="dxa"/>
              <w:right w:w="15" w:type="dxa"/>
            </w:tcMar>
            <w:vAlign w:val="bottom"/>
            <w:hideMark/>
          </w:tcPr>
          <w:p w14:paraId="679F1B5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DE8D7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B2B04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220D9C" w14:textId="77777777" w:rsidR="00000000" w:rsidRDefault="00582324">
            <w:pPr>
              <w:pStyle w:val="a3"/>
              <w:spacing w:before="0" w:beforeAutospacing="0" w:after="0" w:afterAutospacing="0"/>
              <w:jc w:val="right"/>
              <w:rPr>
                <w:color w:val="000000"/>
                <w:sz w:val="18"/>
                <w:szCs w:val="18"/>
              </w:rPr>
            </w:pPr>
            <w:r>
              <w:rPr>
                <w:color w:val="000000"/>
                <w:sz w:val="18"/>
                <w:szCs w:val="18"/>
              </w:rPr>
              <w:t>22,006</w:t>
            </w:r>
          </w:p>
        </w:tc>
        <w:tc>
          <w:tcPr>
            <w:tcW w:w="50" w:type="pct"/>
            <w:shd w:val="clear" w:color="auto" w:fill="FFFFFF"/>
            <w:noWrap/>
            <w:tcMar>
              <w:top w:w="15" w:type="dxa"/>
              <w:left w:w="0" w:type="dxa"/>
              <w:bottom w:w="0" w:type="dxa"/>
              <w:right w:w="15" w:type="dxa"/>
            </w:tcMar>
            <w:vAlign w:val="bottom"/>
            <w:hideMark/>
          </w:tcPr>
          <w:p w14:paraId="5770BD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B1F57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71D0A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5F22C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DC569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5962E6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3E508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A3E1A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91557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 w:type="pct"/>
            <w:shd w:val="clear" w:color="auto" w:fill="FFFFFF"/>
            <w:tcMar>
              <w:top w:w="15" w:type="dxa"/>
              <w:left w:w="0" w:type="dxa"/>
              <w:bottom w:w="0" w:type="dxa"/>
              <w:right w:w="15" w:type="dxa"/>
            </w:tcMar>
            <w:vAlign w:val="bottom"/>
            <w:hideMark/>
          </w:tcPr>
          <w:p w14:paraId="12D554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165E0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21211B" w14:textId="77777777" w:rsidR="00000000" w:rsidRDefault="00582324">
            <w:pPr>
              <w:pStyle w:val="a3"/>
              <w:spacing w:before="0" w:beforeAutospacing="0" w:after="0" w:afterAutospacing="0"/>
              <w:jc w:val="right"/>
              <w:rPr>
                <w:color w:val="000000"/>
                <w:sz w:val="18"/>
                <w:szCs w:val="18"/>
              </w:rPr>
            </w:pPr>
            <w:r>
              <w:rPr>
                <w:color w:val="000000"/>
                <w:sz w:val="18"/>
                <w:szCs w:val="18"/>
              </w:rPr>
              <w:t>53,158</w:t>
            </w:r>
          </w:p>
        </w:tc>
        <w:tc>
          <w:tcPr>
            <w:tcW w:w="50" w:type="pct"/>
            <w:shd w:val="clear" w:color="auto" w:fill="FFFFFF"/>
            <w:noWrap/>
            <w:tcMar>
              <w:top w:w="15" w:type="dxa"/>
              <w:left w:w="0" w:type="dxa"/>
              <w:bottom w:w="0" w:type="dxa"/>
              <w:right w:w="15" w:type="dxa"/>
            </w:tcMar>
            <w:vAlign w:val="bottom"/>
            <w:hideMark/>
          </w:tcPr>
          <w:p w14:paraId="57FFF35B"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F480C92" w14:textId="77777777" w:rsidR="00000000" w:rsidRDefault="00582324">
      <w:pPr>
        <w:pStyle w:val="a3"/>
        <w:shd w:val="clear" w:color="auto" w:fill="FFFFFF"/>
        <w:spacing w:before="0" w:beforeAutospacing="0" w:after="0" w:afterAutospacing="0"/>
        <w:rPr>
          <w:sz w:val="18"/>
          <w:szCs w:val="18"/>
        </w:rPr>
      </w:pPr>
      <w:r>
        <w:rPr>
          <w:sz w:val="18"/>
          <w:szCs w:val="18"/>
        </w:rPr>
        <w:t> </w:t>
      </w:r>
    </w:p>
    <w:p w14:paraId="4A1709D7" w14:textId="77777777" w:rsidR="00000000" w:rsidRDefault="00582324">
      <w:pPr>
        <w:pStyle w:val="a3"/>
        <w:shd w:val="clear" w:color="auto" w:fill="FFFFFF"/>
        <w:spacing w:before="160" w:beforeAutospacing="0" w:after="0" w:afterAutospacing="0"/>
        <w:ind w:firstLine="416"/>
        <w:rPr>
          <w:b/>
          <w:bCs/>
          <w:color w:val="000000"/>
          <w:sz w:val="20"/>
          <w:szCs w:val="20"/>
        </w:rPr>
      </w:pPr>
      <w:r>
        <w:rPr>
          <w:b/>
          <w:bCs/>
          <w:color w:val="000000"/>
          <w:sz w:val="20"/>
          <w:szCs w:val="20"/>
        </w:rPr>
        <w:t>Quantitative Information about Assets and Liabilities Measured at Fair Value on a Recurring Basis Using Significant Unobservable Inputs (Level 3):</w:t>
      </w:r>
    </w:p>
    <w:p w14:paraId="70E15DE9"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Compound Embedded Option</w:t>
      </w:r>
      <w:r>
        <w:rPr>
          <w:color w:val="000000"/>
          <w:sz w:val="20"/>
          <w:szCs w:val="20"/>
        </w:rPr>
        <w:t>—Prior to the Company’s IPO, the fair value of t</w:t>
      </w:r>
      <w:r>
        <w:rPr>
          <w:color w:val="000000"/>
          <w:sz w:val="20"/>
          <w:szCs w:val="20"/>
        </w:rPr>
        <w:t xml:space="preserve">he compound embedded option associated with the issuance of the Convertible and Redeemable Series A-2 Preferred Stock (Note 17) was estimated using a “with-and-without” method. The “with-and-without” methodology involves valuing the whole instrument on an </w:t>
      </w:r>
      <w:r>
        <w:rPr>
          <w:color w:val="000000"/>
          <w:sz w:val="20"/>
          <w:szCs w:val="20"/>
        </w:rPr>
        <w:t>as-is basis and then valuing the instrument without the embedded derivative feature. The difference between the entire instrument with the embedded derivative feature compared to the instrument without the embedded derivative feature is the fair value of t</w:t>
      </w:r>
      <w:r>
        <w:rPr>
          <w:color w:val="000000"/>
          <w:sz w:val="20"/>
          <w:szCs w:val="20"/>
        </w:rPr>
        <w:t xml:space="preserve">he derivative. The unobservable inputs were based on a 100.0% probability of an IPO event and IPO date. The considerable quantifiable inputs in the compound embedded option were: (i) the future value of the compound embedded option, (ii) the fair value of </w:t>
      </w:r>
      <w:r>
        <w:rPr>
          <w:color w:val="000000"/>
          <w:sz w:val="20"/>
          <w:szCs w:val="20"/>
        </w:rPr>
        <w:t>the Convertible and Redeemable Series A-2 Preferred Stock, (iii) the present value of the total instrument, as well as the present value of the compound embedded feature plus the fair value of the instrument, and (iv) the risk free, discount rates, convers</w:t>
      </w:r>
      <w:r>
        <w:rPr>
          <w:color w:val="000000"/>
          <w:sz w:val="20"/>
          <w:szCs w:val="20"/>
        </w:rPr>
        <w:t>ion date and maximum conversion amounts.</w:t>
      </w:r>
    </w:p>
    <w:p w14:paraId="10DCA790"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Business Acquisitions Contingent Consideration</w:t>
      </w:r>
      <w:r>
        <w:rPr>
          <w:color w:val="000000"/>
          <w:sz w:val="20"/>
          <w:szCs w:val="20"/>
        </w:rPr>
        <w:t>—</w:t>
      </w:r>
      <w:r>
        <w:rPr>
          <w:color w:val="000000"/>
          <w:sz w:val="20"/>
          <w:szCs w:val="20"/>
        </w:rPr>
        <w:t>The fair value of the contingent consideration payable associated with the acquisition of CTEH and MSE was determined using a Monte Carlo simulation of earnings in a risk-neutral Geometric Brownian Motion framework. The fair values of the contingent consid</w:t>
      </w:r>
      <w:r>
        <w:rPr>
          <w:color w:val="000000"/>
          <w:sz w:val="20"/>
          <w:szCs w:val="20"/>
        </w:rPr>
        <w:t>eration payables for the other acquisitions were calculated based on expected target achievement amounts, which are measured quarterly and then subsequently adjusted to actuals at the target measurement date. The method used to price these liabilities is c</w:t>
      </w:r>
      <w:r>
        <w:rPr>
          <w:color w:val="000000"/>
          <w:sz w:val="20"/>
          <w:szCs w:val="20"/>
        </w:rPr>
        <w:t>onsidered level 3 due to the subjective nature of the unobservable inputs used to determine the fair value. The input is the expected achievement of earn-out thresholds.</w:t>
      </w:r>
    </w:p>
    <w:p w14:paraId="7C14F2C9"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Conversion Option</w:t>
      </w:r>
      <w:r>
        <w:rPr>
          <w:color w:val="000000"/>
          <w:sz w:val="20"/>
          <w:szCs w:val="20"/>
        </w:rPr>
        <w:t>—Upon the Company’s IPO, the fair value of the conversion option asso</w:t>
      </w:r>
      <w:r>
        <w:rPr>
          <w:color w:val="000000"/>
          <w:sz w:val="20"/>
          <w:szCs w:val="20"/>
        </w:rPr>
        <w:t>ciated with the issuance of the Convertible and Redeemable Series A-2 Preferred Stock (Note 17) was estimated using a “with-and-without” method. The “with-and-without” methodology considers the value of the security on an as-is basis and then without the e</w:t>
      </w:r>
      <w:r>
        <w:rPr>
          <w:color w:val="000000"/>
          <w:sz w:val="20"/>
          <w:szCs w:val="20"/>
        </w:rPr>
        <w:t>mbedded conversion premium. The difference between the two scenarios is the implied fair value of the embedded derivative. The unobservable input is the required rate of return on the Series A-2. The considerable quantifiable inputs in the valuation relate</w:t>
      </w:r>
      <w:r>
        <w:rPr>
          <w:color w:val="000000"/>
          <w:sz w:val="20"/>
          <w:szCs w:val="20"/>
        </w:rPr>
        <w:t xml:space="preserve"> to the timing of conversions or redemptions.</w:t>
      </w:r>
    </w:p>
    <w:p w14:paraId="4AB3010E"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Contingent Put Option</w:t>
      </w:r>
      <w:r>
        <w:rPr>
          <w:color w:val="000000"/>
          <w:sz w:val="20"/>
          <w:szCs w:val="20"/>
        </w:rPr>
        <w:t>—The fair value of the contingent put option associated with the issuance of the Redeemable Series A-1 Preferred Stock was estimated using a “with-and-without” method. The “with-and-without</w:t>
      </w:r>
      <w:r>
        <w:rPr>
          <w:color w:val="000000"/>
          <w:sz w:val="20"/>
          <w:szCs w:val="20"/>
        </w:rPr>
        <w:t>” methodology considers the value of the security on an as-is basis and then without the embedded contingent put option. The difference between the two scenarios is the implied fair value of the embedded derivative, recorded as the contingent put option li</w:t>
      </w:r>
      <w:r>
        <w:rPr>
          <w:color w:val="000000"/>
          <w:sz w:val="20"/>
          <w:szCs w:val="20"/>
        </w:rPr>
        <w:t xml:space="preserve">ability. In this case the Series A-1 was redeemed </w:t>
      </w:r>
    </w:p>
    <w:p w14:paraId="503C4FA0" w14:textId="77777777" w:rsidR="00000000" w:rsidRDefault="00582324">
      <w:pPr>
        <w:pStyle w:val="a3"/>
        <w:spacing w:before="240" w:beforeAutospacing="0" w:after="0" w:afterAutospacing="0"/>
        <w:jc w:val="center"/>
        <w:rPr>
          <w:sz w:val="20"/>
          <w:szCs w:val="20"/>
        </w:rPr>
      </w:pPr>
      <w:r>
        <w:rPr>
          <w:sz w:val="20"/>
          <w:szCs w:val="20"/>
        </w:rPr>
        <w:t>20</w:t>
      </w:r>
    </w:p>
    <w:p w14:paraId="34C7894A" w14:textId="77777777" w:rsidR="00000000" w:rsidRDefault="00582324">
      <w:pPr>
        <w:rPr>
          <w:rFonts w:eastAsia="Times New Roman"/>
        </w:rPr>
      </w:pPr>
      <w:r>
        <w:rPr>
          <w:rFonts w:eastAsia="Times New Roman"/>
        </w:rPr>
        <w:pict w14:anchorId="4BA80237">
          <v:rect id="_x0000_i1046" style="width:0;height:1.5pt" o:hralign="center" o:hrstd="t" o:hr="t" fillcolor="#a0a0a0" stroked="f"/>
        </w:pict>
      </w:r>
    </w:p>
    <w:p w14:paraId="65EA9F64" w14:textId="77777777" w:rsidR="00000000" w:rsidRDefault="00582324">
      <w:pPr>
        <w:pStyle w:val="a3"/>
        <w:spacing w:before="0" w:beforeAutospacing="0" w:after="0" w:afterAutospacing="0"/>
        <w:rPr>
          <w:sz w:val="20"/>
          <w:szCs w:val="20"/>
        </w:rPr>
      </w:pPr>
      <w:r>
        <w:rPr>
          <w:sz w:val="20"/>
          <w:szCs w:val="20"/>
        </w:rPr>
        <w:t> </w:t>
      </w:r>
    </w:p>
    <w:p w14:paraId="74F1B26A" w14:textId="77777777" w:rsidR="00000000" w:rsidRDefault="00582324">
      <w:pPr>
        <w:pStyle w:val="a3"/>
        <w:shd w:val="clear" w:color="auto" w:fill="FFFFFF"/>
        <w:spacing w:before="240" w:beforeAutospacing="0" w:after="0" w:afterAutospacing="0"/>
        <w:rPr>
          <w:b/>
          <w:bCs/>
          <w:i/>
          <w:iCs/>
          <w:color w:val="000000"/>
          <w:sz w:val="20"/>
          <w:szCs w:val="20"/>
        </w:rPr>
      </w:pPr>
      <w:r>
        <w:rPr>
          <w:color w:val="000000"/>
          <w:sz w:val="20"/>
          <w:szCs w:val="20"/>
        </w:rPr>
        <w:t>on the date of value so the value of the “with” scenario is known. The unobservable input is the required rate of return on the Series A-1 through to maturity in th</w:t>
      </w:r>
      <w:r>
        <w:rPr>
          <w:color w:val="000000"/>
          <w:sz w:val="20"/>
          <w:szCs w:val="20"/>
        </w:rPr>
        <w:t>e “without” scenario. The contingent put option was redeemed in July 2020 (Note 16).</w:t>
      </w:r>
    </w:p>
    <w:p w14:paraId="77568CB5" w14:textId="77777777" w:rsidR="00000000" w:rsidRDefault="00582324">
      <w:pPr>
        <w:pStyle w:val="a3"/>
        <w:shd w:val="clear" w:color="auto" w:fill="FFFFFF"/>
        <w:spacing w:before="240" w:beforeAutospacing="0" w:after="0" w:afterAutospacing="0"/>
        <w:ind w:firstLine="416"/>
        <w:rPr>
          <w:b/>
          <w:bCs/>
          <w:i/>
          <w:iCs/>
          <w:color w:val="000000"/>
          <w:sz w:val="20"/>
          <w:szCs w:val="20"/>
        </w:rPr>
      </w:pPr>
      <w:r>
        <w:rPr>
          <w:b/>
          <w:bCs/>
          <w:i/>
          <w:iCs/>
          <w:color w:val="000000"/>
          <w:sz w:val="20"/>
          <w:szCs w:val="20"/>
        </w:rPr>
        <w:t>Warrant Options</w:t>
      </w:r>
      <w:r>
        <w:rPr>
          <w:color w:val="000000"/>
          <w:sz w:val="20"/>
          <w:szCs w:val="20"/>
        </w:rPr>
        <w:t>—The warrant options were exercised on July 30, 2020 (Note 12). The fair value of the warrant option associated with the issuance of the Redeemable Series A</w:t>
      </w:r>
      <w:r>
        <w:rPr>
          <w:color w:val="000000"/>
          <w:sz w:val="20"/>
          <w:szCs w:val="20"/>
        </w:rPr>
        <w:t>-1 Preferred Stock was calculated based on the Black-Sholes pricing model using the following assumptions:</w:t>
      </w:r>
    </w:p>
    <w:p w14:paraId="4E60F3DD"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13"/>
        <w:gridCol w:w="61"/>
        <w:gridCol w:w="106"/>
        <w:gridCol w:w="869"/>
        <w:gridCol w:w="165"/>
      </w:tblGrid>
      <w:tr w:rsidR="00000000" w14:paraId="73BC9413" w14:textId="77777777">
        <w:trPr>
          <w:divId w:val="1466773445"/>
        </w:trPr>
        <w:tc>
          <w:tcPr>
            <w:tcW w:w="4011" w:type="pct"/>
            <w:shd w:val="clear" w:color="auto" w:fill="FFFFFF"/>
            <w:tcMar>
              <w:top w:w="15" w:type="dxa"/>
              <w:left w:w="0" w:type="dxa"/>
              <w:bottom w:w="0" w:type="dxa"/>
              <w:right w:w="15" w:type="dxa"/>
            </w:tcMar>
            <w:hideMark/>
          </w:tcPr>
          <w:p w14:paraId="787845B7" w14:textId="77777777" w:rsidR="00000000" w:rsidRDefault="00582324">
            <w:pPr>
              <w:pStyle w:val="a3"/>
              <w:spacing w:before="0" w:beforeAutospacing="0" w:after="0" w:afterAutospacing="0"/>
              <w:rPr>
                <w:sz w:val="18"/>
                <w:szCs w:val="18"/>
              </w:rPr>
            </w:pPr>
            <w:r>
              <w:rPr>
                <w:sz w:val="18"/>
                <w:szCs w:val="18"/>
              </w:rPr>
              <w:t> </w:t>
            </w:r>
          </w:p>
        </w:tc>
        <w:tc>
          <w:tcPr>
            <w:tcW w:w="97" w:type="pct"/>
            <w:shd w:val="clear" w:color="auto" w:fill="FFFFFF"/>
            <w:tcMar>
              <w:top w:w="15" w:type="dxa"/>
              <w:left w:w="0" w:type="dxa"/>
              <w:bottom w:w="0" w:type="dxa"/>
              <w:right w:w="15" w:type="dxa"/>
            </w:tcMar>
            <w:vAlign w:val="bottom"/>
            <w:hideMark/>
          </w:tcPr>
          <w:p w14:paraId="391774E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41" w:type="pct"/>
            <w:gridSpan w:val="2"/>
            <w:shd w:val="clear" w:color="auto" w:fill="FFFFFF"/>
            <w:tcMar>
              <w:top w:w="15" w:type="dxa"/>
              <w:left w:w="0" w:type="dxa"/>
              <w:bottom w:w="0" w:type="dxa"/>
              <w:right w:w="15" w:type="dxa"/>
            </w:tcMar>
            <w:vAlign w:val="bottom"/>
            <w:hideMark/>
          </w:tcPr>
          <w:p w14:paraId="53ED238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4B78C8C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E5DCAFB" w14:textId="77777777">
        <w:trPr>
          <w:divId w:val="1466773445"/>
        </w:trPr>
        <w:tc>
          <w:tcPr>
            <w:tcW w:w="4011" w:type="pct"/>
            <w:shd w:val="clear" w:color="auto" w:fill="FFFFFF"/>
            <w:tcMar>
              <w:top w:w="15" w:type="dxa"/>
              <w:left w:w="0" w:type="dxa"/>
              <w:bottom w:w="0" w:type="dxa"/>
              <w:right w:w="15" w:type="dxa"/>
            </w:tcMar>
            <w:hideMark/>
          </w:tcPr>
          <w:p w14:paraId="248985C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7" w:type="pct"/>
            <w:shd w:val="clear" w:color="auto" w:fill="FFFFFF"/>
            <w:tcMar>
              <w:top w:w="15" w:type="dxa"/>
              <w:left w:w="0" w:type="dxa"/>
              <w:bottom w:w="0" w:type="dxa"/>
              <w:right w:w="15" w:type="dxa"/>
            </w:tcMar>
            <w:vAlign w:val="bottom"/>
            <w:hideMark/>
          </w:tcPr>
          <w:p w14:paraId="4ADEEEB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41" w:type="pct"/>
            <w:gridSpan w:val="2"/>
            <w:tcBorders>
              <w:bottom w:val="single" w:sz="6" w:space="0" w:color="000000"/>
            </w:tcBorders>
            <w:shd w:val="clear" w:color="auto" w:fill="FFFFFF"/>
            <w:tcMar>
              <w:top w:w="15" w:type="dxa"/>
              <w:left w:w="0" w:type="dxa"/>
              <w:bottom w:w="0" w:type="dxa"/>
              <w:right w:w="15" w:type="dxa"/>
            </w:tcMar>
            <w:vAlign w:val="bottom"/>
            <w:hideMark/>
          </w:tcPr>
          <w:p w14:paraId="6578321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4F25F61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8C96E09" w14:textId="77777777">
        <w:trPr>
          <w:divId w:val="1466773445"/>
        </w:trPr>
        <w:tc>
          <w:tcPr>
            <w:tcW w:w="4011" w:type="pct"/>
            <w:shd w:val="clear" w:color="auto" w:fill="CFF0FC"/>
            <w:tcMar>
              <w:top w:w="15" w:type="dxa"/>
              <w:left w:w="0" w:type="dxa"/>
              <w:bottom w:w="0" w:type="dxa"/>
              <w:right w:w="15" w:type="dxa"/>
            </w:tcMar>
            <w:hideMark/>
          </w:tcPr>
          <w:p w14:paraId="6F40F318" w14:textId="77777777" w:rsidR="00000000" w:rsidRDefault="00582324">
            <w:pPr>
              <w:pStyle w:val="a3"/>
              <w:spacing w:before="0" w:beforeAutospacing="0" w:after="0" w:afterAutospacing="0"/>
              <w:rPr>
                <w:color w:val="000000"/>
                <w:sz w:val="18"/>
                <w:szCs w:val="18"/>
              </w:rPr>
            </w:pPr>
            <w:r>
              <w:rPr>
                <w:color w:val="000000"/>
                <w:sz w:val="18"/>
                <w:szCs w:val="18"/>
              </w:rPr>
              <w:t>Common stock value (per share)</w:t>
            </w:r>
          </w:p>
        </w:tc>
        <w:tc>
          <w:tcPr>
            <w:tcW w:w="97" w:type="pct"/>
            <w:shd w:val="clear" w:color="auto" w:fill="CFF0FC"/>
            <w:tcMar>
              <w:top w:w="15" w:type="dxa"/>
              <w:left w:w="0" w:type="dxa"/>
              <w:bottom w:w="0" w:type="dxa"/>
              <w:right w:w="15" w:type="dxa"/>
            </w:tcMar>
            <w:vAlign w:val="bottom"/>
            <w:hideMark/>
          </w:tcPr>
          <w:p w14:paraId="29BADF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2D327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14:paraId="3DF6790B" w14:textId="77777777" w:rsidR="00000000" w:rsidRDefault="00582324">
            <w:pPr>
              <w:pStyle w:val="a3"/>
              <w:spacing w:before="0" w:beforeAutospacing="0" w:after="0" w:afterAutospacing="0"/>
              <w:jc w:val="right"/>
              <w:rPr>
                <w:color w:val="000000"/>
                <w:sz w:val="18"/>
                <w:szCs w:val="18"/>
              </w:rPr>
            </w:pPr>
            <w:r>
              <w:rPr>
                <w:color w:val="000000"/>
                <w:sz w:val="18"/>
                <w:szCs w:val="18"/>
              </w:rPr>
              <w:t>31.60</w:t>
            </w:r>
          </w:p>
        </w:tc>
        <w:tc>
          <w:tcPr>
            <w:tcW w:w="50" w:type="pct"/>
            <w:shd w:val="clear" w:color="auto" w:fill="CFF0FC"/>
            <w:noWrap/>
            <w:tcMar>
              <w:top w:w="15" w:type="dxa"/>
              <w:left w:w="0" w:type="dxa"/>
              <w:bottom w:w="0" w:type="dxa"/>
              <w:right w:w="15" w:type="dxa"/>
            </w:tcMar>
            <w:vAlign w:val="bottom"/>
            <w:hideMark/>
          </w:tcPr>
          <w:p w14:paraId="338E651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838CABE" w14:textId="77777777">
        <w:trPr>
          <w:divId w:val="1466773445"/>
        </w:trPr>
        <w:tc>
          <w:tcPr>
            <w:tcW w:w="4011" w:type="pct"/>
            <w:shd w:val="clear" w:color="auto" w:fill="FFFFFF"/>
            <w:tcMar>
              <w:top w:w="15" w:type="dxa"/>
              <w:left w:w="0" w:type="dxa"/>
              <w:bottom w:w="0" w:type="dxa"/>
              <w:right w:w="15" w:type="dxa"/>
            </w:tcMar>
            <w:hideMark/>
          </w:tcPr>
          <w:p w14:paraId="628F3612" w14:textId="77777777" w:rsidR="00000000" w:rsidRDefault="00582324">
            <w:pPr>
              <w:pStyle w:val="a3"/>
              <w:spacing w:before="0" w:beforeAutospacing="0" w:after="0" w:afterAutospacing="0"/>
              <w:rPr>
                <w:color w:val="000000"/>
                <w:sz w:val="18"/>
                <w:szCs w:val="18"/>
              </w:rPr>
            </w:pPr>
            <w:r>
              <w:rPr>
                <w:color w:val="000000"/>
                <w:sz w:val="18"/>
                <w:szCs w:val="18"/>
              </w:rPr>
              <w:t>Expected volatility</w:t>
            </w:r>
          </w:p>
        </w:tc>
        <w:tc>
          <w:tcPr>
            <w:tcW w:w="97" w:type="pct"/>
            <w:shd w:val="clear" w:color="auto" w:fill="FFFFFF"/>
            <w:tcMar>
              <w:top w:w="15" w:type="dxa"/>
              <w:left w:w="0" w:type="dxa"/>
              <w:bottom w:w="0" w:type="dxa"/>
              <w:right w:w="15" w:type="dxa"/>
            </w:tcMar>
            <w:vAlign w:val="bottom"/>
            <w:hideMark/>
          </w:tcPr>
          <w:p w14:paraId="2B1A32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0F0E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1" w:type="pct"/>
            <w:shd w:val="clear" w:color="auto" w:fill="FFFFFF"/>
            <w:noWrap/>
            <w:tcMar>
              <w:top w:w="15" w:type="dxa"/>
              <w:left w:w="0" w:type="dxa"/>
              <w:bottom w:w="0" w:type="dxa"/>
              <w:right w:w="15" w:type="dxa"/>
            </w:tcMar>
            <w:vAlign w:val="bottom"/>
            <w:hideMark/>
          </w:tcPr>
          <w:p w14:paraId="07BD1C3B" w14:textId="77777777" w:rsidR="00000000" w:rsidRDefault="00582324">
            <w:pPr>
              <w:pStyle w:val="a3"/>
              <w:spacing w:before="0" w:beforeAutospacing="0" w:after="0" w:afterAutospacing="0"/>
              <w:jc w:val="right"/>
              <w:rPr>
                <w:color w:val="000000"/>
                <w:sz w:val="18"/>
                <w:szCs w:val="18"/>
              </w:rPr>
            </w:pPr>
            <w:r>
              <w:rPr>
                <w:color w:val="000000"/>
                <w:sz w:val="18"/>
                <w:szCs w:val="18"/>
              </w:rPr>
              <w:t>43.64</w:t>
            </w:r>
          </w:p>
        </w:tc>
        <w:tc>
          <w:tcPr>
            <w:tcW w:w="50" w:type="pct"/>
            <w:shd w:val="clear" w:color="auto" w:fill="FFFFFF"/>
            <w:noWrap/>
            <w:tcMar>
              <w:top w:w="15" w:type="dxa"/>
              <w:left w:w="0" w:type="dxa"/>
              <w:bottom w:w="0" w:type="dxa"/>
              <w:right w:w="15" w:type="dxa"/>
            </w:tcMar>
            <w:vAlign w:val="bottom"/>
            <w:hideMark/>
          </w:tcPr>
          <w:p w14:paraId="7CF0AD6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9D92F99" w14:textId="77777777">
        <w:trPr>
          <w:divId w:val="1466773445"/>
        </w:trPr>
        <w:tc>
          <w:tcPr>
            <w:tcW w:w="4011" w:type="pct"/>
            <w:shd w:val="clear" w:color="auto" w:fill="CFF0FC"/>
            <w:tcMar>
              <w:top w:w="15" w:type="dxa"/>
              <w:left w:w="0" w:type="dxa"/>
              <w:bottom w:w="0" w:type="dxa"/>
              <w:right w:w="15" w:type="dxa"/>
            </w:tcMar>
            <w:hideMark/>
          </w:tcPr>
          <w:p w14:paraId="75C6A6C6" w14:textId="77777777" w:rsidR="00000000" w:rsidRDefault="00582324">
            <w:pPr>
              <w:pStyle w:val="a3"/>
              <w:spacing w:before="0" w:beforeAutospacing="0" w:after="0" w:afterAutospacing="0"/>
              <w:rPr>
                <w:color w:val="000000"/>
                <w:sz w:val="18"/>
                <w:szCs w:val="18"/>
              </w:rPr>
            </w:pPr>
            <w:r>
              <w:rPr>
                <w:color w:val="000000"/>
                <w:sz w:val="18"/>
                <w:szCs w:val="18"/>
              </w:rPr>
              <w:t>Risk-free interest rate</w:t>
            </w:r>
          </w:p>
        </w:tc>
        <w:tc>
          <w:tcPr>
            <w:tcW w:w="97" w:type="pct"/>
            <w:shd w:val="clear" w:color="auto" w:fill="CFF0FC"/>
            <w:tcMar>
              <w:top w:w="15" w:type="dxa"/>
              <w:left w:w="0" w:type="dxa"/>
              <w:bottom w:w="0" w:type="dxa"/>
              <w:right w:w="15" w:type="dxa"/>
            </w:tcMar>
            <w:vAlign w:val="bottom"/>
            <w:hideMark/>
          </w:tcPr>
          <w:p w14:paraId="60F8EC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8CF4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1" w:type="pct"/>
            <w:shd w:val="clear" w:color="auto" w:fill="CFF0FC"/>
            <w:noWrap/>
            <w:tcMar>
              <w:top w:w="15" w:type="dxa"/>
              <w:left w:w="0" w:type="dxa"/>
              <w:bottom w:w="0" w:type="dxa"/>
              <w:right w:w="15" w:type="dxa"/>
            </w:tcMar>
            <w:vAlign w:val="bottom"/>
            <w:hideMark/>
          </w:tcPr>
          <w:p w14:paraId="627D4589" w14:textId="77777777" w:rsidR="00000000" w:rsidRDefault="00582324">
            <w:pPr>
              <w:pStyle w:val="a3"/>
              <w:spacing w:before="0" w:beforeAutospacing="0" w:after="0" w:afterAutospacing="0"/>
              <w:jc w:val="right"/>
              <w:rPr>
                <w:color w:val="000000"/>
                <w:sz w:val="18"/>
                <w:szCs w:val="18"/>
              </w:rPr>
            </w:pPr>
            <w:r>
              <w:rPr>
                <w:color w:val="000000"/>
                <w:sz w:val="18"/>
                <w:szCs w:val="18"/>
              </w:rPr>
              <w:t>0.66</w:t>
            </w:r>
          </w:p>
        </w:tc>
        <w:tc>
          <w:tcPr>
            <w:tcW w:w="50" w:type="pct"/>
            <w:shd w:val="clear" w:color="auto" w:fill="CFF0FC"/>
            <w:noWrap/>
            <w:tcMar>
              <w:top w:w="15" w:type="dxa"/>
              <w:left w:w="0" w:type="dxa"/>
              <w:bottom w:w="0" w:type="dxa"/>
              <w:right w:w="15" w:type="dxa"/>
            </w:tcMar>
            <w:vAlign w:val="bottom"/>
            <w:hideMark/>
          </w:tcPr>
          <w:p w14:paraId="7AE18C88"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0E0DAEED" w14:textId="77777777">
        <w:trPr>
          <w:divId w:val="1466773445"/>
        </w:trPr>
        <w:tc>
          <w:tcPr>
            <w:tcW w:w="4011" w:type="pct"/>
            <w:shd w:val="clear" w:color="auto" w:fill="FFFFFF"/>
            <w:tcMar>
              <w:top w:w="15" w:type="dxa"/>
              <w:left w:w="0" w:type="dxa"/>
              <w:bottom w:w="0" w:type="dxa"/>
              <w:right w:w="15" w:type="dxa"/>
            </w:tcMar>
            <w:hideMark/>
          </w:tcPr>
          <w:p w14:paraId="5C03D387" w14:textId="77777777" w:rsidR="00000000" w:rsidRDefault="00582324">
            <w:pPr>
              <w:pStyle w:val="a3"/>
              <w:spacing w:before="0" w:beforeAutospacing="0" w:after="0" w:afterAutospacing="0"/>
              <w:rPr>
                <w:color w:val="000000"/>
                <w:sz w:val="18"/>
                <w:szCs w:val="18"/>
              </w:rPr>
            </w:pPr>
            <w:r>
              <w:rPr>
                <w:color w:val="000000"/>
                <w:sz w:val="18"/>
                <w:szCs w:val="18"/>
              </w:rPr>
              <w:t>Expected life (years)</w:t>
            </w:r>
          </w:p>
        </w:tc>
        <w:tc>
          <w:tcPr>
            <w:tcW w:w="97" w:type="pct"/>
            <w:shd w:val="clear" w:color="auto" w:fill="FFFFFF"/>
            <w:tcMar>
              <w:top w:w="15" w:type="dxa"/>
              <w:left w:w="0" w:type="dxa"/>
              <w:bottom w:w="0" w:type="dxa"/>
              <w:right w:w="15" w:type="dxa"/>
            </w:tcMar>
            <w:vAlign w:val="bottom"/>
            <w:hideMark/>
          </w:tcPr>
          <w:p w14:paraId="19D6BE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41" w:type="pct"/>
            <w:gridSpan w:val="2"/>
            <w:shd w:val="clear" w:color="auto" w:fill="FFFFFF"/>
            <w:tcMar>
              <w:top w:w="15" w:type="dxa"/>
              <w:left w:w="0" w:type="dxa"/>
              <w:bottom w:w="0" w:type="dxa"/>
              <w:right w:w="15" w:type="dxa"/>
            </w:tcMar>
            <w:vAlign w:val="bottom"/>
            <w:hideMark/>
          </w:tcPr>
          <w:p w14:paraId="5E62B9BA" w14:textId="77777777" w:rsidR="00000000" w:rsidRDefault="00582324">
            <w:pPr>
              <w:pStyle w:val="a3"/>
              <w:spacing w:before="0" w:beforeAutospacing="0" w:after="0" w:afterAutospacing="0"/>
              <w:jc w:val="right"/>
              <w:rPr>
                <w:color w:val="000000"/>
                <w:sz w:val="18"/>
                <w:szCs w:val="18"/>
              </w:rPr>
            </w:pPr>
            <w:r>
              <w:rPr>
                <w:color w:val="000000"/>
                <w:sz w:val="18"/>
                <w:szCs w:val="18"/>
              </w:rPr>
              <w:t>1</w:t>
            </w:r>
            <w:r>
              <w:rPr>
                <w:color w:val="000000"/>
                <w:sz w:val="18"/>
                <w:szCs w:val="18"/>
              </w:rPr>
              <w:t>0</w:t>
            </w:r>
          </w:p>
        </w:tc>
        <w:tc>
          <w:tcPr>
            <w:tcW w:w="50" w:type="pct"/>
            <w:shd w:val="clear" w:color="auto" w:fill="FFFFFF"/>
            <w:noWrap/>
            <w:tcMar>
              <w:top w:w="15" w:type="dxa"/>
              <w:left w:w="0" w:type="dxa"/>
              <w:bottom w:w="0" w:type="dxa"/>
              <w:right w:w="15" w:type="dxa"/>
            </w:tcMar>
            <w:vAlign w:val="bottom"/>
            <w:hideMark/>
          </w:tcPr>
          <w:p w14:paraId="0C7C0D0F"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DFC6F9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8520E9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As of June 30, 2020, the fair value of the warrant option associated with the issuance of the Convertible and Redeemable Series A-2 Preferred Stock (Note 17) was calculated based on a Monte Carlo simulation analysis with assumptions for (i) stock price, (i</w:t>
      </w:r>
      <w:r>
        <w:rPr>
          <w:color w:val="000000"/>
          <w:sz w:val="20"/>
          <w:szCs w:val="20"/>
          <w:shd w:val="clear" w:color="auto" w:fill="FFFFFF"/>
        </w:rPr>
        <w:t>i) volatility based on the median historical volatility of publicly listed comparable companies’ stock price returns, (iii) risk-free rates based on U.S. treasury yields and (iv) dividend yield.</w:t>
      </w:r>
    </w:p>
    <w:p w14:paraId="1F06475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method used to price these liabilities is considered Level 3 due to the subjective nature of the unobservable inputs (common stock value and expected volatility) used to determine the fair value.</w:t>
      </w:r>
    </w:p>
    <w:p w14:paraId="4EEBACF2"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15. COMMITMENTS AND CONTINGENCIES</w:t>
      </w:r>
    </w:p>
    <w:p w14:paraId="42569FAC" w14:textId="77777777" w:rsidR="00000000" w:rsidRDefault="00582324">
      <w:pPr>
        <w:pStyle w:val="a3"/>
        <w:shd w:val="clear" w:color="auto" w:fill="FFFFFF"/>
        <w:spacing w:before="120" w:beforeAutospacing="0" w:after="0" w:afterAutospacing="0"/>
        <w:ind w:firstLine="416"/>
        <w:rPr>
          <w:b/>
          <w:bCs/>
          <w:color w:val="000000"/>
          <w:sz w:val="20"/>
          <w:szCs w:val="20"/>
        </w:rPr>
      </w:pPr>
      <w:r>
        <w:rPr>
          <w:b/>
          <w:bCs/>
          <w:color w:val="000000"/>
          <w:sz w:val="20"/>
          <w:szCs w:val="20"/>
        </w:rPr>
        <w:t>Leases</w:t>
      </w:r>
      <w:r>
        <w:rPr>
          <w:color w:val="000000"/>
          <w:sz w:val="20"/>
          <w:szCs w:val="20"/>
        </w:rPr>
        <w:t>—The Company lea</w:t>
      </w:r>
      <w:r>
        <w:rPr>
          <w:color w:val="000000"/>
          <w:sz w:val="20"/>
          <w:szCs w:val="20"/>
        </w:rPr>
        <w:t>ses office facilities over various terms expiring through 2030. Certain of these operating leases contain rent escalation clauses. The Company also has office equipment leases that expire through 2026</w:t>
      </w:r>
      <w:r>
        <w:rPr>
          <w:b/>
          <w:bCs/>
          <w:color w:val="000000"/>
          <w:sz w:val="20"/>
          <w:szCs w:val="20"/>
        </w:rPr>
        <w:t xml:space="preserve"> (Note 6). </w:t>
      </w:r>
      <w:r>
        <w:rPr>
          <w:color w:val="000000"/>
        </w:rPr>
        <w:t> </w:t>
      </w:r>
    </w:p>
    <w:p w14:paraId="10386892"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Other Commitments</w:t>
      </w:r>
      <w:r>
        <w:rPr>
          <w:color w:val="000000"/>
          <w:sz w:val="20"/>
          <w:szCs w:val="20"/>
        </w:rPr>
        <w:t>—The Company has commitmen</w:t>
      </w:r>
      <w:r>
        <w:rPr>
          <w:color w:val="000000"/>
          <w:sz w:val="20"/>
          <w:szCs w:val="20"/>
        </w:rPr>
        <w:t>ts under the 2021 Credit Facility, its equipment line of credit and its lease obligations (Note 13 and 6).</w:t>
      </w:r>
    </w:p>
    <w:p w14:paraId="5F106FC5"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Contingencies</w:t>
      </w:r>
      <w:r>
        <w:rPr>
          <w:color w:val="000000"/>
          <w:sz w:val="20"/>
          <w:szCs w:val="20"/>
        </w:rPr>
        <w:t>—</w:t>
      </w:r>
      <w:r>
        <w:rPr>
          <w:color w:val="000000"/>
          <w:sz w:val="20"/>
          <w:szCs w:val="20"/>
        </w:rPr>
        <w:t>The Company is subject to purchase price contingencies related to earn-outs associated with certain acquisitions (Note 7).</w:t>
      </w:r>
    </w:p>
    <w:p w14:paraId="149CC464" w14:textId="77777777" w:rsidR="00000000" w:rsidRDefault="00582324">
      <w:pPr>
        <w:pStyle w:val="a3"/>
        <w:shd w:val="clear" w:color="auto" w:fill="FFFFFF"/>
        <w:spacing w:before="240" w:beforeAutospacing="0" w:after="0" w:afterAutospacing="0"/>
        <w:ind w:firstLine="416"/>
        <w:rPr>
          <w:b/>
          <w:bCs/>
          <w:color w:val="000000"/>
          <w:sz w:val="20"/>
          <w:szCs w:val="20"/>
        </w:rPr>
      </w:pPr>
      <w:r>
        <w:rPr>
          <w:b/>
          <w:bCs/>
          <w:color w:val="000000"/>
          <w:sz w:val="20"/>
          <w:szCs w:val="20"/>
        </w:rPr>
        <w:t>Legal</w:t>
      </w:r>
      <w:r>
        <w:rPr>
          <w:color w:val="000000"/>
          <w:sz w:val="20"/>
          <w:szCs w:val="20"/>
        </w:rPr>
        <w:t>—In the normal course of business, the Company is at times subject to pending and threatened legal actions. In management’s opin</w:t>
      </w:r>
      <w:r>
        <w:rPr>
          <w:color w:val="000000"/>
          <w:sz w:val="20"/>
          <w:szCs w:val="20"/>
        </w:rPr>
        <w:t>ion, any potential loss resulting from the resolution of these matters is not expected to have a material effect on the unaudited condensed consolidated results of operations, financial position or cash flows of the Company.</w:t>
      </w:r>
    </w:p>
    <w:p w14:paraId="5D26F26A" w14:textId="77777777" w:rsidR="00000000" w:rsidRDefault="00582324">
      <w:pPr>
        <w:pStyle w:val="a3"/>
        <w:spacing w:before="240" w:beforeAutospacing="0" w:after="0" w:afterAutospacing="0"/>
        <w:jc w:val="center"/>
        <w:rPr>
          <w:sz w:val="20"/>
          <w:szCs w:val="20"/>
        </w:rPr>
      </w:pPr>
      <w:r>
        <w:rPr>
          <w:sz w:val="20"/>
          <w:szCs w:val="20"/>
        </w:rPr>
        <w:t>21</w:t>
      </w:r>
    </w:p>
    <w:p w14:paraId="3A2EAE4A" w14:textId="77777777" w:rsidR="00000000" w:rsidRDefault="00582324">
      <w:pPr>
        <w:rPr>
          <w:rFonts w:eastAsia="Times New Roman"/>
        </w:rPr>
      </w:pPr>
      <w:r>
        <w:rPr>
          <w:rFonts w:eastAsia="Times New Roman"/>
        </w:rPr>
        <w:pict w14:anchorId="0769DFD6">
          <v:rect id="_x0000_i1047" style="width:0;height:1.5pt" o:hralign="center" o:hrstd="t" o:hr="t" fillcolor="#a0a0a0" stroked="f"/>
        </w:pict>
      </w:r>
    </w:p>
    <w:p w14:paraId="2BE1284C" w14:textId="77777777" w:rsidR="00000000" w:rsidRDefault="00582324">
      <w:pPr>
        <w:pStyle w:val="a3"/>
        <w:spacing w:before="0" w:beforeAutospacing="0" w:after="0" w:afterAutospacing="0"/>
        <w:rPr>
          <w:sz w:val="20"/>
          <w:szCs w:val="20"/>
        </w:rPr>
      </w:pPr>
      <w:r>
        <w:rPr>
          <w:sz w:val="20"/>
          <w:szCs w:val="20"/>
        </w:rPr>
        <w:t> </w:t>
      </w:r>
    </w:p>
    <w:p w14:paraId="77D3B629"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16. REDEEMABLE SERIES A-1 PREFERRED STOCK</w:t>
      </w:r>
    </w:p>
    <w:p w14:paraId="100038D6"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On October 19, 2018, the Company issued 12,000 shares of Redeemable Series A-1 Preferred Stock with a par value of $0.0001 per share and a detachable warrant to purchase 534,240 shares of the Company’s co</w:t>
      </w:r>
      <w:r>
        <w:rPr>
          <w:color w:val="000000"/>
          <w:sz w:val="20"/>
          <w:szCs w:val="20"/>
        </w:rPr>
        <w:t>mmon stock. Each preferred share was issued as part of a unit, which consisted of one share of the Redeemable Series A-1 Preferred Stock at $0.01 million per share.</w:t>
      </w:r>
    </w:p>
    <w:p w14:paraId="7391199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On April 13, 2020, the Company amended and restated the certificate of designation of the C</w:t>
      </w:r>
      <w:r>
        <w:rPr>
          <w:color w:val="000000"/>
          <w:sz w:val="20"/>
          <w:szCs w:val="20"/>
        </w:rPr>
        <w:t>ompany’s Redeemable Series A-1 Preferred Stock. The most significant changes in the amendment included (i) the Redeemable Series A-1 Preferred Stock became pari passu with the Convertible and Redeemable Series A-2 Preferred Stock (Note 17), (ii) the maturi</w:t>
      </w:r>
      <w:r>
        <w:rPr>
          <w:color w:val="000000"/>
          <w:sz w:val="20"/>
          <w:szCs w:val="20"/>
        </w:rPr>
        <w:t>ty was extended to October 2024; (iii) the Company could use up to $50.0 million of indebtedness or cash on hand to redeem the Redeemable Series A-1 Preferred Stock, and (iv) upon an IPO, up to 50.0% of accumulated dividends could be paid in shares of comm</w:t>
      </w:r>
      <w:r>
        <w:rPr>
          <w:color w:val="000000"/>
          <w:sz w:val="20"/>
          <w:szCs w:val="20"/>
        </w:rPr>
        <w:t>on stock and (v) the Company could elect to reduce the three year make whole penalty to a two year make whole penalty if the warrant issued in connection with the issuance of the Redeemable Series A-1 Preferred Stock was redeemed in full at a share price o</w:t>
      </w:r>
      <w:r>
        <w:rPr>
          <w:color w:val="000000"/>
          <w:sz w:val="20"/>
          <w:szCs w:val="20"/>
        </w:rPr>
        <w:t>f no less than $31.60. Following a partial redemption of outstanding Redeemable Series A-1 Preferred Stock, the dividend rate of the remaining Redeemable Series A-1 Preferred Stock would be reduced proportionally (between 15.0% and 9.0%) in relation to the</w:t>
      </w:r>
      <w:r>
        <w:rPr>
          <w:color w:val="000000"/>
          <w:sz w:val="20"/>
          <w:szCs w:val="20"/>
        </w:rPr>
        <w:t xml:space="preserve"> proportion of Redeemable Series A-1 Preferred Stock redeemed, with the rate increasing by an additional 1.0% for dividends that are accrued versus paid in cash. Based on a qualitative assessment performed by the Company, the Redeemable Series A-1 Preferre</w:t>
      </w:r>
      <w:r>
        <w:rPr>
          <w:color w:val="000000"/>
          <w:sz w:val="20"/>
          <w:szCs w:val="20"/>
        </w:rPr>
        <w:t>d Stock amendments did not represent a significant long-term change to the original terms of the instrument and, therefore, there was no change in the accounting of the instrument.</w:t>
      </w:r>
    </w:p>
    <w:p w14:paraId="2090C53A"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On July 27, 2020, the Company redeemed in full the Redeemable Series A-1 Pr</w:t>
      </w:r>
      <w:r>
        <w:rPr>
          <w:color w:val="000000"/>
          <w:sz w:val="20"/>
          <w:szCs w:val="20"/>
        </w:rPr>
        <w:t>eferred Stock, including the guaranteed minimum two-year dividend.</w:t>
      </w:r>
      <w:r>
        <w:rPr>
          <w:color w:val="000000"/>
        </w:rPr>
        <w:t>    </w:t>
      </w:r>
    </w:p>
    <w:p w14:paraId="6CEAFB3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Redeemable Series A-1 Preferred Stock contained restrictive covenants. Prior to its redemption, the Company was subject to a consolidated total leverage ratio (including the outstan</w:t>
      </w:r>
      <w:r>
        <w:rPr>
          <w:color w:val="000000"/>
          <w:sz w:val="20"/>
          <w:szCs w:val="20"/>
        </w:rPr>
        <w:t>ding principal and accrued dividend on the Redeemable Series A-1 Preferred Stock) limit of less than 10.0 times as of the end of any fiscal quarter ending until maturity.  </w:t>
      </w:r>
    </w:p>
    <w:p w14:paraId="0DB543B5" w14:textId="77777777" w:rsidR="00000000" w:rsidRDefault="00582324">
      <w:pPr>
        <w:pStyle w:val="a3"/>
        <w:shd w:val="clear" w:color="auto" w:fill="FFFFFF"/>
        <w:spacing w:before="240" w:beforeAutospacing="0" w:after="0" w:afterAutospacing="0"/>
        <w:ind w:firstLine="416"/>
        <w:rPr>
          <w:sz w:val="20"/>
          <w:szCs w:val="20"/>
        </w:rPr>
      </w:pPr>
      <w:r>
        <w:rPr>
          <w:sz w:val="20"/>
          <w:szCs w:val="20"/>
        </w:rPr>
        <w:t xml:space="preserve">Before redemption, </w:t>
      </w:r>
      <w:r>
        <w:rPr>
          <w:color w:val="000000"/>
          <w:sz w:val="20"/>
          <w:szCs w:val="20"/>
        </w:rPr>
        <w:t>the Redeemable Series A-1 Preferred Stock accrued dividends quar</w:t>
      </w:r>
      <w:r>
        <w:rPr>
          <w:color w:val="000000"/>
          <w:sz w:val="20"/>
          <w:szCs w:val="20"/>
        </w:rPr>
        <w:t xml:space="preserve">terly at an annual rate of 15.0% with respect to dividends that were paid in cash and at an annual rate of 14.2% with respect to dividends that were accrued. </w:t>
      </w:r>
      <w:r>
        <w:t> </w:t>
      </w:r>
    </w:p>
    <w:p w14:paraId="7DF323A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At issuance the Company determined that the detachable warrant (Note 12) and the contingent put </w:t>
      </w:r>
      <w:r>
        <w:rPr>
          <w:color w:val="000000"/>
          <w:sz w:val="20"/>
          <w:szCs w:val="20"/>
        </w:rPr>
        <w:t>option were required to be accounted for separately. The contingent put option change in value of $(22.6) million and $7.0 million for the three and six months ended June 30, 2020 was recorded to other expense.</w:t>
      </w:r>
    </w:p>
    <w:p w14:paraId="73AAF67C"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17. CONVERTIBLE AND REDEEMABLE SERIES A-2 PRE</w:t>
      </w:r>
      <w:r>
        <w:rPr>
          <w:b/>
          <w:bCs/>
          <w:color w:val="000000"/>
          <w:sz w:val="20"/>
          <w:szCs w:val="20"/>
        </w:rPr>
        <w:t>FERRED STOCK</w:t>
      </w:r>
    </w:p>
    <w:p w14:paraId="00BEDDF9"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On April 13, 2020, the Company entered into an agreement to issue 17,500 shares of the Convertible and Redeemable Series A-2 Preferred Stock with a par value of $0.0001 per share and a detachable warrant to purchase shares of the Company’s com</w:t>
      </w:r>
      <w:r>
        <w:rPr>
          <w:color w:val="000000"/>
          <w:sz w:val="20"/>
          <w:szCs w:val="20"/>
        </w:rPr>
        <w:t>mon stock with a 10-year life, in exchange for gross proceeds of $175.0 million, net of $1.3 million debt issuance costs. Before the Company’s IPO, each share of Convertible and Redeemable Series A-2 Preferred Stock accrued dividends at the rate of 15.0% p</w:t>
      </w:r>
      <w:r>
        <w:rPr>
          <w:color w:val="000000"/>
          <w:sz w:val="20"/>
          <w:szCs w:val="20"/>
        </w:rPr>
        <w:t>er annum, with respect to dividends that were paid in cash, and 14.2% per annum, with respect to dividends that were accrued. The Company paid dividends on shares of the Convertible and Redeemable Series A-2 Preferred Stock of $4.1 million and $8.2 million</w:t>
      </w:r>
      <w:r>
        <w:rPr>
          <w:color w:val="000000"/>
          <w:sz w:val="20"/>
          <w:szCs w:val="20"/>
        </w:rPr>
        <w:t xml:space="preserve"> during the three and six months ended June 30, 2021, respectively.</w:t>
      </w:r>
    </w:p>
    <w:p w14:paraId="355654BA"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At issuance, the Company determined that Convertible and Redeemable Series A-2 Preferred Stock and the detachable warrant (Note 12), were required to be accounted for separately.</w:t>
      </w:r>
    </w:p>
    <w:p w14:paraId="4BFD310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Upon the </w:t>
      </w:r>
      <w:r>
        <w:rPr>
          <w:color w:val="000000"/>
          <w:sz w:val="20"/>
          <w:szCs w:val="20"/>
        </w:rPr>
        <w:t>Company’s IPO, following which the Redeemable Series A-1 Preferred Stock was fully redeemed, the Convertible and Redeemable Series A-2 Preferred Stock terms automatically updated to the following: (i) no mandatory redemption, (ii) no stated value cash repa</w:t>
      </w:r>
      <w:r>
        <w:rPr>
          <w:color w:val="000000"/>
          <w:sz w:val="20"/>
          <w:szCs w:val="20"/>
        </w:rPr>
        <w:t>yment obligation other than in the event of certain defined liquidation events, (iii) only redeemable at the Company’s option, (iv) the instrument became convertible into common stock beginning on the four year anniversary of issuance at a 15.0% discount t</w:t>
      </w:r>
      <w:r>
        <w:rPr>
          <w:color w:val="000000"/>
          <w:sz w:val="20"/>
          <w:szCs w:val="20"/>
        </w:rPr>
        <w:t>o the common stock market price (with a limit of $60.0 million in stated value of Convertible and Redeemable Series A-2 Preferred Stock eligible to be converted in any 60-day period prior to the seventh anniversary of issuance and the amount of stated valu</w:t>
      </w:r>
      <w:r>
        <w:rPr>
          <w:color w:val="000000"/>
          <w:sz w:val="20"/>
          <w:szCs w:val="20"/>
        </w:rPr>
        <w:t>e of the Convertible and Redeemable Series A-2 Preferred Stock eligible for conversion limited to $60.0 million during year 5 and $120.0 million (which includes the aggregate amount of the stated value of the Convertible and Redeemable Series A-2 Preferred</w:t>
      </w:r>
      <w:r>
        <w:rPr>
          <w:color w:val="000000"/>
          <w:sz w:val="20"/>
          <w:szCs w:val="20"/>
        </w:rPr>
        <w:t xml:space="preserve"> Stock and any accrued but unpaid dividends added to such stated value of any shares of Convertible and Redeemable Series A-2 Preferred Stock converted in year 5) during year 6), (v) the dividend rate stepped down to 9.0% per year with required quarterly c</w:t>
      </w:r>
      <w:r>
        <w:rPr>
          <w:color w:val="000000"/>
          <w:sz w:val="20"/>
          <w:szCs w:val="20"/>
        </w:rPr>
        <w:t xml:space="preserve">ash payments, (vi) in an event of noncompliance, the dividend rate shall increase to 12.0% per annum for the first 90-day period from and including the date the noncompliance event occurred, and thereafter shall increase to 14.0% per annum, (vii) the debt </w:t>
      </w:r>
      <w:r>
        <w:rPr>
          <w:color w:val="000000"/>
          <w:sz w:val="20"/>
          <w:szCs w:val="20"/>
        </w:rPr>
        <w:t xml:space="preserve">incurrence test </w:t>
      </w:r>
    </w:p>
    <w:p w14:paraId="4B4F77A8" w14:textId="77777777" w:rsidR="00000000" w:rsidRDefault="00582324">
      <w:pPr>
        <w:pStyle w:val="a3"/>
        <w:spacing w:before="240" w:beforeAutospacing="0" w:after="0" w:afterAutospacing="0"/>
        <w:jc w:val="center"/>
        <w:rPr>
          <w:sz w:val="20"/>
          <w:szCs w:val="20"/>
        </w:rPr>
      </w:pPr>
      <w:r>
        <w:rPr>
          <w:sz w:val="20"/>
          <w:szCs w:val="20"/>
        </w:rPr>
        <w:t>22</w:t>
      </w:r>
    </w:p>
    <w:p w14:paraId="42AE458B" w14:textId="77777777" w:rsidR="00000000" w:rsidRDefault="00582324">
      <w:pPr>
        <w:rPr>
          <w:rFonts w:eastAsia="Times New Roman"/>
        </w:rPr>
      </w:pPr>
      <w:r>
        <w:rPr>
          <w:rFonts w:eastAsia="Times New Roman"/>
        </w:rPr>
        <w:pict w14:anchorId="03BCBEC8">
          <v:rect id="_x0000_i1048" style="width:0;height:1.5pt" o:hralign="center" o:hrstd="t" o:hr="t" fillcolor="#a0a0a0" stroked="f"/>
        </w:pict>
      </w:r>
    </w:p>
    <w:p w14:paraId="32AEB359" w14:textId="77777777" w:rsidR="00000000" w:rsidRDefault="00582324">
      <w:pPr>
        <w:pStyle w:val="a3"/>
        <w:spacing w:before="0" w:beforeAutospacing="0" w:after="0" w:afterAutospacing="0"/>
        <w:rPr>
          <w:sz w:val="20"/>
          <w:szCs w:val="20"/>
        </w:rPr>
      </w:pPr>
      <w:r>
        <w:rPr>
          <w:sz w:val="20"/>
          <w:szCs w:val="20"/>
        </w:rPr>
        <w:t> </w:t>
      </w:r>
    </w:p>
    <w:p w14:paraId="73232C9A" w14:textId="77777777" w:rsidR="00000000" w:rsidRDefault="00582324">
      <w:pPr>
        <w:pStyle w:val="a3"/>
        <w:shd w:val="clear" w:color="auto" w:fill="FFFFFF"/>
        <w:spacing w:before="240" w:beforeAutospacing="0" w:after="0" w:afterAutospacing="0"/>
        <w:rPr>
          <w:color w:val="000000"/>
          <w:sz w:val="20"/>
          <w:szCs w:val="20"/>
        </w:rPr>
      </w:pPr>
      <w:r>
        <w:rPr>
          <w:color w:val="000000"/>
          <w:sz w:val="20"/>
          <w:szCs w:val="20"/>
        </w:rPr>
        <w:t>ratio increased to 4.5 times, (viii) the total leverage cap covenant was removed, and (ix) minimum repayment amount dropped down from $50.0 million to $25.0 million.</w:t>
      </w:r>
    </w:p>
    <w:p w14:paraId="277316E5"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Company may, at its option on any one or more da</w:t>
      </w:r>
      <w:r>
        <w:rPr>
          <w:color w:val="000000"/>
          <w:sz w:val="20"/>
          <w:szCs w:val="20"/>
        </w:rPr>
        <w:t xml:space="preserve">tes, redeem all or a minimum portion (the lesser of (i) $25.0 million in aggregate stated value of the Convertible and Redeemable Series A-2 Preferred Stock and (ii) all of the Convertible and Redeemable Series A-2 Preferred Stock then outstanding) of the </w:t>
      </w:r>
      <w:r>
        <w:rPr>
          <w:color w:val="000000"/>
          <w:sz w:val="20"/>
          <w:szCs w:val="20"/>
        </w:rPr>
        <w:t>outstanding Convertible and Redeemable Series A-2 Preferred Stock in cash.</w:t>
      </w:r>
    </w:p>
    <w:p w14:paraId="054207E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With respect to any redemption of any share of the Convertible and Redeemable Series A-2 Preferred Stock prior to the third-year anniversary, the Company is subject to a make whole </w:t>
      </w:r>
      <w:r>
        <w:rPr>
          <w:color w:val="000000"/>
          <w:sz w:val="20"/>
          <w:szCs w:val="20"/>
        </w:rPr>
        <w:t>penalty in which the holders of the Convertible and Redeemable Series A-2 Preferred Stock are guaranteed a minimum repayment equal to outstanding redeemed stated value plus three years of dividends accrued or accruable thereon.</w:t>
      </w:r>
    </w:p>
    <w:p w14:paraId="513662BD" w14:textId="77777777" w:rsidR="00000000" w:rsidRDefault="00582324">
      <w:pPr>
        <w:pStyle w:val="a3"/>
        <w:shd w:val="clear" w:color="auto" w:fill="FFFFFF"/>
        <w:spacing w:before="240" w:beforeAutospacing="0" w:after="0" w:afterAutospacing="0"/>
        <w:ind w:firstLine="416"/>
        <w:rPr>
          <w:sz w:val="20"/>
          <w:szCs w:val="20"/>
        </w:rPr>
      </w:pPr>
      <w:r>
        <w:rPr>
          <w:sz w:val="20"/>
          <w:szCs w:val="20"/>
        </w:rPr>
        <w:t>The Convertible and Redeemab</w:t>
      </w:r>
      <w:r>
        <w:rPr>
          <w:sz w:val="20"/>
          <w:szCs w:val="20"/>
        </w:rPr>
        <w:t>le Series A-2 Preferred Stock does not meet the definition of a liability pursuant to “ASC 480- Distinguishing Liabilities from Equity.” However, as (i) the instrument is redeemable upon a change of control as defined in the certificate of designations gov</w:t>
      </w:r>
      <w:r>
        <w:rPr>
          <w:sz w:val="20"/>
          <w:szCs w:val="20"/>
        </w:rPr>
        <w:t>erning the terms of the Convertible and Redeemable Series A-2 Preferred Stock, and (ii) the Company cannot assert it would have sufficient authorized and unissued shares of common stock to settle all future conversion requests due to the variable conversio</w:t>
      </w:r>
      <w:r>
        <w:rPr>
          <w:sz w:val="20"/>
          <w:szCs w:val="20"/>
        </w:rPr>
        <w:t>n terms, the instrument is redeemable upon the occurrence of events that are not solely within the control of the Company, and therefore the Company classifies the Convertible and Redeemable Series A-2 Preferred Stock as mezzanine equity. Subsequent adjust</w:t>
      </w:r>
      <w:r>
        <w:rPr>
          <w:sz w:val="20"/>
          <w:szCs w:val="20"/>
        </w:rPr>
        <w:t>ment of the carrying value of the instrument is required if the instrument is probable of becoming redeemable. As of June 30, 2021, the Company has determined that a change of control is not probable. Additionally, as of June 30, 2021, the Company has dete</w:t>
      </w:r>
      <w:r>
        <w:rPr>
          <w:sz w:val="20"/>
          <w:szCs w:val="20"/>
        </w:rPr>
        <w:t>rmined that it is not probable that there will be a future conversion request that the Company is unable to settle with authorized and issued shares based on the Company’s current stock price and available shares as well as the Company’s monitoring efforts</w:t>
      </w:r>
      <w:r>
        <w:rPr>
          <w:sz w:val="20"/>
          <w:szCs w:val="20"/>
        </w:rPr>
        <w:t xml:space="preserve"> to ensure there are a sufficient number of shares available to settle any conversion request. Therefore, as of June 30, 2021, the Company has determined that the instrument is not probable of becoming redeemable, and does not believe subsequent adjustment</w:t>
      </w:r>
      <w:r>
        <w:rPr>
          <w:sz w:val="20"/>
          <w:szCs w:val="20"/>
        </w:rPr>
        <w:t xml:space="preserve"> of the carrying value of the instrument will be necessary. The Convertible and Redeemable Series A-2 Preferred Stock had an aggregate liquidation preference of $182.2 million as of June 30, 2021.</w:t>
      </w:r>
    </w:p>
    <w:p w14:paraId="2E76D87C" w14:textId="77777777" w:rsidR="00000000" w:rsidRDefault="00582324">
      <w:pPr>
        <w:pStyle w:val="a3"/>
        <w:shd w:val="clear" w:color="auto" w:fill="FFFFFF"/>
        <w:spacing w:before="240" w:beforeAutospacing="0" w:after="0" w:afterAutospacing="0"/>
        <w:ind w:firstLine="416"/>
        <w:rPr>
          <w:sz w:val="20"/>
          <w:szCs w:val="20"/>
        </w:rPr>
      </w:pPr>
      <w:r>
        <w:rPr>
          <w:sz w:val="20"/>
          <w:szCs w:val="20"/>
        </w:rPr>
        <w:t> </w:t>
      </w:r>
    </w:p>
    <w:p w14:paraId="205BCF23" w14:textId="77777777" w:rsidR="00000000" w:rsidRDefault="00582324">
      <w:pPr>
        <w:pStyle w:val="a3"/>
        <w:spacing w:before="0" w:beforeAutospacing="0" w:after="200" w:afterAutospacing="0"/>
        <w:ind w:firstLine="416"/>
        <w:rPr>
          <w:sz w:val="20"/>
          <w:szCs w:val="20"/>
        </w:rPr>
      </w:pPr>
      <w:r>
        <w:rPr>
          <w:sz w:val="20"/>
          <w:szCs w:val="20"/>
        </w:rPr>
        <w:t>The Convertible and Redeemable Series A-2 Preferred Stock</w:t>
      </w:r>
      <w:r>
        <w:rPr>
          <w:sz w:val="20"/>
          <w:szCs w:val="20"/>
        </w:rPr>
        <w:t xml:space="preserve"> </w:t>
      </w:r>
      <w:r>
        <w:rPr>
          <w:color w:val="000000"/>
          <w:sz w:val="20"/>
          <w:szCs w:val="20"/>
        </w:rPr>
        <w:t xml:space="preserve">contains embedded features that are required to be bifurcated and are subject to separate accounting treatment from the instrument itself. At issuance, these embedded features consisted of (i) a contingent dividend feature associated with the decrease in </w:t>
      </w:r>
      <w:r>
        <w:rPr>
          <w:color w:val="000000"/>
          <w:sz w:val="20"/>
          <w:szCs w:val="20"/>
        </w:rPr>
        <w:t>the dividend rate upon an IPO and (ii) a conversion option of the preferred shares to shares of common stock beginning on the fourth-year anniversary of the issuance date. Upon the Company’s IPO, the embedded derivative only consisted of the conversion opt</w:t>
      </w:r>
      <w:r>
        <w:rPr>
          <w:color w:val="000000"/>
          <w:sz w:val="20"/>
          <w:szCs w:val="20"/>
        </w:rPr>
        <w:t>ion. As of June 30, 2021, this conversion embedded feature had a net fair value of $22.0 million. The change in value of $0.5 million and $1.1 million for the three and six months ended June 30, 2021 was recorded to other expense. The Convertible and Redee</w:t>
      </w:r>
      <w:r>
        <w:rPr>
          <w:color w:val="000000"/>
          <w:sz w:val="20"/>
          <w:szCs w:val="20"/>
        </w:rPr>
        <w:t>mable Series A-2 Preferred Stock was not convertible into common stock until completion of the IPO in July 2020.</w:t>
      </w:r>
    </w:p>
    <w:p w14:paraId="7D262D21" w14:textId="77777777" w:rsidR="00000000" w:rsidRDefault="00582324">
      <w:pPr>
        <w:pStyle w:val="a3"/>
        <w:shd w:val="clear" w:color="auto" w:fill="FFFFFF"/>
        <w:spacing w:before="240" w:beforeAutospacing="0" w:after="0" w:afterAutospacing="0"/>
        <w:ind w:firstLine="416"/>
        <w:rPr>
          <w:sz w:val="20"/>
          <w:szCs w:val="20"/>
        </w:rPr>
      </w:pPr>
      <w:r>
        <w:rPr>
          <w:sz w:val="20"/>
          <w:szCs w:val="20"/>
        </w:rPr>
        <w:t> </w:t>
      </w:r>
    </w:p>
    <w:p w14:paraId="3C9E4CC4" w14:textId="77777777" w:rsidR="00000000" w:rsidRDefault="00582324">
      <w:pPr>
        <w:pStyle w:val="a3"/>
        <w:shd w:val="clear" w:color="auto" w:fill="FFFFFF"/>
        <w:spacing w:before="360" w:beforeAutospacing="0" w:after="0" w:afterAutospacing="0"/>
        <w:rPr>
          <w:b/>
          <w:bCs/>
          <w:sz w:val="20"/>
          <w:szCs w:val="20"/>
        </w:rPr>
      </w:pPr>
      <w:r>
        <w:rPr>
          <w:b/>
          <w:bCs/>
          <w:sz w:val="20"/>
          <w:szCs w:val="20"/>
        </w:rPr>
        <w:t>18. STOCKHOLDERS’ EQUITY (DEFICIT)</w:t>
      </w:r>
    </w:p>
    <w:p w14:paraId="1FF3C5C2" w14:textId="77777777" w:rsidR="00000000" w:rsidRDefault="00582324">
      <w:pPr>
        <w:pStyle w:val="a3"/>
        <w:shd w:val="clear" w:color="auto" w:fill="FFFFFF"/>
        <w:spacing w:before="120" w:beforeAutospacing="0" w:after="0" w:afterAutospacing="0"/>
        <w:ind w:firstLine="416"/>
        <w:rPr>
          <w:b/>
          <w:bCs/>
          <w:sz w:val="20"/>
          <w:szCs w:val="20"/>
        </w:rPr>
      </w:pPr>
      <w:r>
        <w:rPr>
          <w:b/>
          <w:bCs/>
          <w:sz w:val="20"/>
          <w:szCs w:val="20"/>
        </w:rPr>
        <w:t>Authorized Capital Stock—</w:t>
      </w:r>
      <w:r>
        <w:rPr>
          <w:sz w:val="20"/>
          <w:szCs w:val="20"/>
        </w:rPr>
        <w:t>The Company was authorized to issue 190,000,000 shares of common stock, with a pa</w:t>
      </w:r>
      <w:r>
        <w:rPr>
          <w:sz w:val="20"/>
          <w:szCs w:val="20"/>
        </w:rPr>
        <w:t>r value of $0.000004 per share as of June 30, 2021 and December 31, 2020.</w:t>
      </w:r>
    </w:p>
    <w:p w14:paraId="65F6730C" w14:textId="77777777" w:rsidR="00000000" w:rsidRDefault="00582324">
      <w:pPr>
        <w:pStyle w:val="a3"/>
        <w:shd w:val="clear" w:color="auto" w:fill="FFFFFF"/>
        <w:spacing w:before="240" w:beforeAutospacing="0" w:after="0" w:afterAutospacing="0"/>
        <w:ind w:firstLine="416"/>
        <w:rPr>
          <w:b/>
          <w:bCs/>
          <w:sz w:val="20"/>
          <w:szCs w:val="20"/>
        </w:rPr>
      </w:pPr>
      <w:r>
        <w:rPr>
          <w:b/>
          <w:bCs/>
          <w:sz w:val="20"/>
          <w:szCs w:val="20"/>
        </w:rPr>
        <w:t>Warrants—</w:t>
      </w:r>
      <w:r>
        <w:rPr>
          <w:sz w:val="20"/>
          <w:szCs w:val="20"/>
        </w:rPr>
        <w:t>In May 2015, the Company issued warrants to acquire 116,350 shares of Common Stock at a price of approximately $17.19 per share to the placement agent as consideration for b</w:t>
      </w:r>
      <w:r>
        <w:rPr>
          <w:sz w:val="20"/>
          <w:szCs w:val="20"/>
        </w:rPr>
        <w:t>ackstopping the financing completed in May 2015. These warrants were exercised in full as a cashless transaction during the first quarter of 2021. As a result of this cashless transaction, the resulting number of shares issued was 67,713 shares.</w:t>
      </w:r>
    </w:p>
    <w:p w14:paraId="3AA88FD1" w14:textId="77777777" w:rsidR="00000000" w:rsidRDefault="00582324">
      <w:pPr>
        <w:pStyle w:val="a3"/>
        <w:spacing w:before="240" w:beforeAutospacing="0" w:after="0" w:afterAutospacing="0"/>
        <w:jc w:val="center"/>
        <w:rPr>
          <w:sz w:val="20"/>
          <w:szCs w:val="20"/>
        </w:rPr>
      </w:pPr>
      <w:r>
        <w:rPr>
          <w:sz w:val="20"/>
          <w:szCs w:val="20"/>
        </w:rPr>
        <w:t>23</w:t>
      </w:r>
    </w:p>
    <w:p w14:paraId="6FA21373" w14:textId="77777777" w:rsidR="00000000" w:rsidRDefault="00582324">
      <w:pPr>
        <w:rPr>
          <w:rFonts w:eastAsia="Times New Roman"/>
        </w:rPr>
      </w:pPr>
      <w:r>
        <w:rPr>
          <w:rFonts w:eastAsia="Times New Roman"/>
        </w:rPr>
        <w:pict w14:anchorId="7AEFAE4F">
          <v:rect id="_x0000_i1049" style="width:0;height:1.5pt" o:hralign="center" o:hrstd="t" o:hr="t" fillcolor="#a0a0a0" stroked="f"/>
        </w:pict>
      </w:r>
    </w:p>
    <w:p w14:paraId="37D10A67" w14:textId="77777777" w:rsidR="00000000" w:rsidRDefault="00582324">
      <w:pPr>
        <w:pStyle w:val="a3"/>
        <w:spacing w:before="0" w:beforeAutospacing="0" w:after="0" w:afterAutospacing="0"/>
        <w:rPr>
          <w:sz w:val="20"/>
          <w:szCs w:val="20"/>
        </w:rPr>
      </w:pPr>
      <w:r>
        <w:rPr>
          <w:sz w:val="20"/>
          <w:szCs w:val="20"/>
        </w:rPr>
        <w:t> </w:t>
      </w:r>
    </w:p>
    <w:p w14:paraId="6988F359" w14:textId="77777777" w:rsidR="00000000" w:rsidRDefault="00582324">
      <w:pPr>
        <w:pStyle w:val="a3"/>
        <w:shd w:val="clear" w:color="auto" w:fill="FFFFFF"/>
        <w:spacing w:before="240" w:beforeAutospacing="0" w:after="0" w:afterAutospacing="0"/>
        <w:ind w:firstLine="416"/>
        <w:rPr>
          <w:b/>
          <w:bCs/>
          <w:sz w:val="20"/>
          <w:szCs w:val="20"/>
        </w:rPr>
      </w:pPr>
      <w:r>
        <w:rPr>
          <w:b/>
          <w:bCs/>
          <w:sz w:val="20"/>
          <w:szCs w:val="20"/>
        </w:rPr>
        <w:t>Common Stock Issuances</w:t>
      </w:r>
      <w:r>
        <w:rPr>
          <w:sz w:val="20"/>
          <w:szCs w:val="20"/>
        </w:rPr>
        <w:t>—The Company issued the following shares of common stock:</w:t>
      </w:r>
    </w:p>
    <w:p w14:paraId="45EC86AE" w14:textId="77777777" w:rsidR="00000000" w:rsidRDefault="00582324">
      <w:pPr>
        <w:pStyle w:val="a3"/>
        <w:shd w:val="clear" w:color="auto" w:fill="FFFFFF"/>
        <w:spacing w:before="0" w:beforeAutospacing="0" w:after="0" w:afterAutospacing="0"/>
        <w:ind w:firstLine="416"/>
      </w:pPr>
      <w:r>
        <w:t> </w:t>
      </w:r>
    </w:p>
    <w:tbl>
      <w:tblPr>
        <w:tblW w:w="4500" w:type="pct"/>
        <w:tblCellMar>
          <w:left w:w="0" w:type="dxa"/>
          <w:right w:w="0" w:type="dxa"/>
        </w:tblCellMar>
        <w:tblLook w:val="04A0" w:firstRow="1" w:lastRow="0" w:firstColumn="1" w:lastColumn="0" w:noHBand="0" w:noVBand="1"/>
      </w:tblPr>
      <w:tblGrid>
        <w:gridCol w:w="1620"/>
        <w:gridCol w:w="60"/>
        <w:gridCol w:w="735"/>
        <w:gridCol w:w="60"/>
        <w:gridCol w:w="60"/>
        <w:gridCol w:w="106"/>
        <w:gridCol w:w="614"/>
        <w:gridCol w:w="60"/>
        <w:gridCol w:w="60"/>
        <w:gridCol w:w="106"/>
        <w:gridCol w:w="1009"/>
        <w:gridCol w:w="60"/>
        <w:gridCol w:w="60"/>
        <w:gridCol w:w="60"/>
        <w:gridCol w:w="600"/>
        <w:gridCol w:w="60"/>
        <w:gridCol w:w="60"/>
        <w:gridCol w:w="106"/>
        <w:gridCol w:w="624"/>
        <w:gridCol w:w="60"/>
        <w:gridCol w:w="60"/>
        <w:gridCol w:w="106"/>
        <w:gridCol w:w="1009"/>
        <w:gridCol w:w="60"/>
        <w:gridCol w:w="60"/>
      </w:tblGrid>
      <w:tr w:rsidR="00000000" w14:paraId="7762B25F" w14:textId="77777777">
        <w:trPr>
          <w:divId w:val="534654970"/>
        </w:trPr>
        <w:tc>
          <w:tcPr>
            <w:tcW w:w="1114" w:type="pct"/>
            <w:shd w:val="clear" w:color="auto" w:fill="FFFFFF"/>
            <w:tcMar>
              <w:top w:w="15" w:type="dxa"/>
              <w:left w:w="0" w:type="dxa"/>
              <w:bottom w:w="0" w:type="dxa"/>
              <w:right w:w="15" w:type="dxa"/>
            </w:tcMar>
            <w:vAlign w:val="bottom"/>
            <w:hideMark/>
          </w:tcPr>
          <w:p w14:paraId="1DF7A9E3" w14:textId="77777777" w:rsidR="00000000" w:rsidRDefault="00582324">
            <w:pPr>
              <w:pStyle w:val="a3"/>
              <w:spacing w:before="0" w:beforeAutospacing="0" w:after="0" w:afterAutospacing="0"/>
              <w:jc w:val="center"/>
            </w:pPr>
            <w:r>
              <w:t> </w:t>
            </w:r>
          </w:p>
        </w:tc>
        <w:tc>
          <w:tcPr>
            <w:tcW w:w="3774" w:type="pct"/>
            <w:gridSpan w:val="22"/>
            <w:tcBorders>
              <w:bottom w:val="single" w:sz="6" w:space="0" w:color="000000"/>
            </w:tcBorders>
            <w:shd w:val="clear" w:color="auto" w:fill="FFFFFF"/>
            <w:tcMar>
              <w:top w:w="15" w:type="dxa"/>
              <w:left w:w="0" w:type="dxa"/>
              <w:bottom w:w="0" w:type="dxa"/>
              <w:right w:w="15" w:type="dxa"/>
            </w:tcMar>
            <w:vAlign w:val="bottom"/>
            <w:hideMark/>
          </w:tcPr>
          <w:p w14:paraId="413D39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bottom"/>
            <w:hideMark/>
          </w:tcPr>
          <w:p w14:paraId="64DEC96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51E2730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73706054" w14:textId="77777777">
        <w:trPr>
          <w:divId w:val="534654970"/>
        </w:trPr>
        <w:tc>
          <w:tcPr>
            <w:tcW w:w="1114" w:type="pct"/>
            <w:shd w:val="clear" w:color="auto" w:fill="FFFFFF"/>
            <w:tcMar>
              <w:top w:w="15" w:type="dxa"/>
              <w:left w:w="0" w:type="dxa"/>
              <w:bottom w:w="0" w:type="dxa"/>
              <w:right w:w="15" w:type="dxa"/>
            </w:tcMar>
            <w:vAlign w:val="bottom"/>
            <w:hideMark/>
          </w:tcPr>
          <w:p w14:paraId="2061CB8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3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C95B1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61B8A73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03F4FB9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3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63E82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5BCE116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0B7DC80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1C21E799" w14:textId="77777777">
        <w:trPr>
          <w:divId w:val="534654970"/>
        </w:trPr>
        <w:tc>
          <w:tcPr>
            <w:tcW w:w="1114" w:type="pct"/>
            <w:shd w:val="clear" w:color="auto" w:fill="FFFFFF"/>
            <w:tcMar>
              <w:top w:w="15" w:type="dxa"/>
              <w:left w:w="0" w:type="dxa"/>
              <w:bottom w:w="0" w:type="dxa"/>
              <w:right w:w="15" w:type="dxa"/>
            </w:tcMar>
            <w:vAlign w:val="bottom"/>
            <w:hideMark/>
          </w:tcPr>
          <w:p w14:paraId="392C6CE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5AB37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4AA36BA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7A6642C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1CCD5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2BFD94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3A382C2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01B81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 Consideration</w:t>
            </w:r>
          </w:p>
          <w:p w14:paraId="15003CD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452B194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2175F82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BE134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27F6C1E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07A2B8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E423F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3043CF3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34710B5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CD797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 Consideration</w:t>
            </w:r>
          </w:p>
          <w:p w14:paraId="38BAFC5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7870661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0B0A105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0A5D004" w14:textId="77777777">
        <w:trPr>
          <w:divId w:val="534654970"/>
        </w:trPr>
        <w:tc>
          <w:tcPr>
            <w:tcW w:w="1114" w:type="pct"/>
            <w:shd w:val="clear" w:color="auto" w:fill="CFF0FC"/>
            <w:tcMar>
              <w:top w:w="15" w:type="dxa"/>
              <w:left w:w="0" w:type="dxa"/>
              <w:bottom w:w="0" w:type="dxa"/>
              <w:right w:w="15" w:type="dxa"/>
            </w:tcMar>
            <w:hideMark/>
          </w:tcPr>
          <w:p w14:paraId="5BBE9413" w14:textId="77777777" w:rsidR="00000000" w:rsidRDefault="00582324">
            <w:pPr>
              <w:pStyle w:val="a3"/>
              <w:spacing w:before="0" w:beforeAutospacing="0" w:after="0" w:afterAutospacing="0"/>
              <w:rPr>
                <w:color w:val="000000"/>
                <w:sz w:val="18"/>
                <w:szCs w:val="18"/>
              </w:rPr>
            </w:pPr>
            <w:r>
              <w:rPr>
                <w:color w:val="000000"/>
                <w:sz w:val="18"/>
                <w:szCs w:val="18"/>
              </w:rPr>
              <w:t>Acquisitions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437F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6D76D9F3" w14:textId="77777777" w:rsidR="00000000" w:rsidRDefault="00582324">
            <w:pPr>
              <w:pStyle w:val="a3"/>
              <w:spacing w:before="0" w:beforeAutospacing="0" w:after="0" w:afterAutospacing="0"/>
              <w:jc w:val="right"/>
              <w:rPr>
                <w:color w:val="000000"/>
                <w:sz w:val="18"/>
                <w:szCs w:val="18"/>
              </w:rPr>
            </w:pPr>
            <w:r>
              <w:rPr>
                <w:color w:val="000000"/>
                <w:sz w:val="18"/>
                <w:szCs w:val="18"/>
              </w:rPr>
              <w:t>9,322</w:t>
            </w:r>
          </w:p>
        </w:tc>
        <w:tc>
          <w:tcPr>
            <w:tcW w:w="50" w:type="pct"/>
            <w:shd w:val="clear" w:color="auto" w:fill="CFF0FC"/>
            <w:noWrap/>
            <w:tcMar>
              <w:top w:w="15" w:type="dxa"/>
              <w:left w:w="0" w:type="dxa"/>
              <w:bottom w:w="0" w:type="dxa"/>
              <w:right w:w="15" w:type="dxa"/>
            </w:tcMar>
            <w:vAlign w:val="bottom"/>
            <w:hideMark/>
          </w:tcPr>
          <w:p w14:paraId="039435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7D8B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9179B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0AF8A022" w14:textId="77777777" w:rsidR="00000000" w:rsidRDefault="00582324">
            <w:pPr>
              <w:pStyle w:val="a3"/>
              <w:spacing w:before="0" w:beforeAutospacing="0" w:after="0" w:afterAutospacing="0"/>
              <w:jc w:val="right"/>
              <w:rPr>
                <w:color w:val="000000"/>
                <w:sz w:val="18"/>
                <w:szCs w:val="18"/>
              </w:rPr>
            </w:pPr>
            <w:r>
              <w:rPr>
                <w:color w:val="000000"/>
                <w:sz w:val="18"/>
                <w:szCs w:val="18"/>
              </w:rPr>
              <w:t>50.95</w:t>
            </w:r>
          </w:p>
        </w:tc>
        <w:tc>
          <w:tcPr>
            <w:tcW w:w="50" w:type="pct"/>
            <w:shd w:val="clear" w:color="auto" w:fill="CFF0FC"/>
            <w:noWrap/>
            <w:tcMar>
              <w:top w:w="15" w:type="dxa"/>
              <w:left w:w="0" w:type="dxa"/>
              <w:bottom w:w="0" w:type="dxa"/>
              <w:right w:w="15" w:type="dxa"/>
            </w:tcMar>
            <w:vAlign w:val="bottom"/>
            <w:hideMark/>
          </w:tcPr>
          <w:p w14:paraId="7F23E2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1EBC45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C1C3A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1F7C3E01" w14:textId="77777777" w:rsidR="00000000" w:rsidRDefault="00582324">
            <w:pPr>
              <w:pStyle w:val="a3"/>
              <w:spacing w:before="0" w:beforeAutospacing="0" w:after="0" w:afterAutospacing="0"/>
              <w:jc w:val="right"/>
              <w:rPr>
                <w:color w:val="000000"/>
                <w:sz w:val="18"/>
                <w:szCs w:val="18"/>
              </w:rPr>
            </w:pPr>
            <w:r>
              <w:rPr>
                <w:color w:val="000000"/>
                <w:sz w:val="18"/>
                <w:szCs w:val="18"/>
              </w:rPr>
              <w:t>475</w:t>
            </w:r>
          </w:p>
        </w:tc>
        <w:tc>
          <w:tcPr>
            <w:tcW w:w="50" w:type="pct"/>
            <w:shd w:val="clear" w:color="auto" w:fill="CFF0FC"/>
            <w:noWrap/>
            <w:tcMar>
              <w:top w:w="15" w:type="dxa"/>
              <w:left w:w="0" w:type="dxa"/>
              <w:bottom w:w="0" w:type="dxa"/>
              <w:right w:w="15" w:type="dxa"/>
            </w:tcMar>
            <w:vAlign w:val="bottom"/>
            <w:hideMark/>
          </w:tcPr>
          <w:p w14:paraId="7C637F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102915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31BD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7630892D" w14:textId="77777777" w:rsidR="00000000" w:rsidRDefault="00582324">
            <w:pPr>
              <w:pStyle w:val="a3"/>
              <w:spacing w:before="0" w:beforeAutospacing="0" w:after="0" w:afterAutospacing="0"/>
              <w:jc w:val="right"/>
              <w:rPr>
                <w:color w:val="000000"/>
                <w:sz w:val="18"/>
                <w:szCs w:val="18"/>
              </w:rPr>
            </w:pPr>
            <w:r>
              <w:rPr>
                <w:color w:val="000000"/>
                <w:sz w:val="18"/>
                <w:szCs w:val="18"/>
              </w:rPr>
              <w:t>791,139</w:t>
            </w:r>
          </w:p>
        </w:tc>
        <w:tc>
          <w:tcPr>
            <w:tcW w:w="50" w:type="pct"/>
            <w:shd w:val="clear" w:color="auto" w:fill="CFF0FC"/>
            <w:noWrap/>
            <w:tcMar>
              <w:top w:w="15" w:type="dxa"/>
              <w:left w:w="0" w:type="dxa"/>
              <w:bottom w:w="0" w:type="dxa"/>
              <w:right w:w="15" w:type="dxa"/>
            </w:tcMar>
            <w:vAlign w:val="bottom"/>
            <w:hideMark/>
          </w:tcPr>
          <w:p w14:paraId="3F0B71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350AE9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A3B5E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69868E2C" w14:textId="77777777" w:rsidR="00000000" w:rsidRDefault="00582324">
            <w:pPr>
              <w:pStyle w:val="a3"/>
              <w:spacing w:before="0" w:beforeAutospacing="0" w:after="0" w:afterAutospacing="0"/>
              <w:jc w:val="right"/>
              <w:rPr>
                <w:color w:val="000000"/>
                <w:sz w:val="18"/>
                <w:szCs w:val="18"/>
              </w:rPr>
            </w:pPr>
            <w:r>
              <w:rPr>
                <w:color w:val="000000"/>
                <w:sz w:val="18"/>
                <w:szCs w:val="18"/>
              </w:rPr>
              <w:t>31.60</w:t>
            </w:r>
          </w:p>
        </w:tc>
        <w:tc>
          <w:tcPr>
            <w:tcW w:w="50" w:type="pct"/>
            <w:shd w:val="clear" w:color="auto" w:fill="CFF0FC"/>
            <w:noWrap/>
            <w:tcMar>
              <w:top w:w="15" w:type="dxa"/>
              <w:left w:w="0" w:type="dxa"/>
              <w:bottom w:w="0" w:type="dxa"/>
              <w:right w:w="15" w:type="dxa"/>
            </w:tcMar>
            <w:vAlign w:val="bottom"/>
            <w:hideMark/>
          </w:tcPr>
          <w:p w14:paraId="6A0928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7C6EC2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25786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788A1403"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CFF0FC"/>
            <w:noWrap/>
            <w:tcMar>
              <w:top w:w="15" w:type="dxa"/>
              <w:left w:w="0" w:type="dxa"/>
              <w:bottom w:w="0" w:type="dxa"/>
              <w:right w:w="15" w:type="dxa"/>
            </w:tcMar>
            <w:vAlign w:val="bottom"/>
            <w:hideMark/>
          </w:tcPr>
          <w:p w14:paraId="642EA1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BEA901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BCC0F39" w14:textId="77777777">
        <w:trPr>
          <w:divId w:val="534654970"/>
        </w:trPr>
        <w:tc>
          <w:tcPr>
            <w:tcW w:w="1114" w:type="pct"/>
            <w:shd w:val="clear" w:color="auto" w:fill="FFFFFF"/>
            <w:tcMar>
              <w:top w:w="15" w:type="dxa"/>
              <w:left w:w="0" w:type="dxa"/>
              <w:bottom w:w="0" w:type="dxa"/>
              <w:right w:w="15" w:type="dxa"/>
            </w:tcMar>
            <w:hideMark/>
          </w:tcPr>
          <w:p w14:paraId="1429FC67" w14:textId="77777777" w:rsidR="00000000" w:rsidRDefault="00582324">
            <w:pPr>
              <w:pStyle w:val="a3"/>
              <w:spacing w:before="0" w:beforeAutospacing="0" w:after="0" w:afterAutospacing="0"/>
              <w:rPr>
                <w:color w:val="000000"/>
                <w:sz w:val="18"/>
                <w:szCs w:val="18"/>
              </w:rPr>
            </w:pPr>
            <w:r>
              <w:rPr>
                <w:color w:val="000000"/>
                <w:sz w:val="18"/>
                <w:szCs w:val="18"/>
              </w:rPr>
              <w:t>Exercise of options</w:t>
            </w:r>
          </w:p>
        </w:tc>
        <w:tc>
          <w:tcPr>
            <w:tcW w:w="50" w:type="pct"/>
            <w:shd w:val="clear" w:color="auto" w:fill="FFFFFF"/>
            <w:noWrap/>
            <w:tcMar>
              <w:top w:w="15" w:type="dxa"/>
              <w:left w:w="0" w:type="dxa"/>
              <w:bottom w:w="0" w:type="dxa"/>
              <w:right w:w="15" w:type="dxa"/>
            </w:tcMar>
            <w:vAlign w:val="bottom"/>
            <w:hideMark/>
          </w:tcPr>
          <w:p w14:paraId="29C4B1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9E673D1" w14:textId="77777777" w:rsidR="00000000" w:rsidRDefault="00582324">
            <w:pPr>
              <w:pStyle w:val="a3"/>
              <w:spacing w:before="0" w:beforeAutospacing="0" w:after="0" w:afterAutospacing="0"/>
              <w:jc w:val="right"/>
              <w:rPr>
                <w:color w:val="000000"/>
                <w:sz w:val="18"/>
                <w:szCs w:val="18"/>
              </w:rPr>
            </w:pPr>
            <w:r>
              <w:rPr>
                <w:color w:val="000000"/>
                <w:sz w:val="18"/>
                <w:szCs w:val="18"/>
              </w:rPr>
              <w:t>94,090</w:t>
            </w:r>
          </w:p>
        </w:tc>
        <w:tc>
          <w:tcPr>
            <w:tcW w:w="50" w:type="pct"/>
            <w:shd w:val="clear" w:color="auto" w:fill="FFFFFF"/>
            <w:noWrap/>
            <w:tcMar>
              <w:top w:w="15" w:type="dxa"/>
              <w:left w:w="0" w:type="dxa"/>
              <w:bottom w:w="0" w:type="dxa"/>
              <w:right w:w="15" w:type="dxa"/>
            </w:tcMar>
            <w:vAlign w:val="bottom"/>
            <w:hideMark/>
          </w:tcPr>
          <w:p w14:paraId="18F611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3306C5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E60A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51C3C5D" w14:textId="77777777" w:rsidR="00000000" w:rsidRDefault="00582324">
            <w:pPr>
              <w:pStyle w:val="a3"/>
              <w:spacing w:before="0" w:beforeAutospacing="0" w:after="0" w:afterAutospacing="0"/>
              <w:jc w:val="right"/>
              <w:rPr>
                <w:color w:val="000000"/>
                <w:sz w:val="18"/>
                <w:szCs w:val="18"/>
              </w:rPr>
            </w:pPr>
            <w:r>
              <w:rPr>
                <w:color w:val="000000"/>
                <w:sz w:val="18"/>
                <w:szCs w:val="18"/>
              </w:rPr>
              <w:t>9.58</w:t>
            </w:r>
          </w:p>
        </w:tc>
        <w:tc>
          <w:tcPr>
            <w:tcW w:w="50" w:type="pct"/>
            <w:shd w:val="clear" w:color="auto" w:fill="FFFFFF"/>
            <w:noWrap/>
            <w:tcMar>
              <w:top w:w="15" w:type="dxa"/>
              <w:left w:w="0" w:type="dxa"/>
              <w:bottom w:w="0" w:type="dxa"/>
              <w:right w:w="15" w:type="dxa"/>
            </w:tcMar>
            <w:vAlign w:val="bottom"/>
            <w:hideMark/>
          </w:tcPr>
          <w:p w14:paraId="274472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7EE89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11FC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E12D908" w14:textId="77777777" w:rsidR="00000000" w:rsidRDefault="00582324">
            <w:pPr>
              <w:pStyle w:val="a3"/>
              <w:spacing w:before="0" w:beforeAutospacing="0" w:after="0" w:afterAutospacing="0"/>
              <w:jc w:val="right"/>
              <w:rPr>
                <w:color w:val="000000"/>
                <w:sz w:val="18"/>
                <w:szCs w:val="18"/>
              </w:rPr>
            </w:pPr>
            <w:r>
              <w:rPr>
                <w:color w:val="000000"/>
                <w:sz w:val="18"/>
                <w:szCs w:val="18"/>
              </w:rPr>
              <w:t>901</w:t>
            </w:r>
          </w:p>
        </w:tc>
        <w:tc>
          <w:tcPr>
            <w:tcW w:w="50" w:type="pct"/>
            <w:shd w:val="clear" w:color="auto" w:fill="FFFFFF"/>
            <w:noWrap/>
            <w:tcMar>
              <w:top w:w="15" w:type="dxa"/>
              <w:left w:w="0" w:type="dxa"/>
              <w:bottom w:w="0" w:type="dxa"/>
              <w:right w:w="15" w:type="dxa"/>
            </w:tcMar>
            <w:vAlign w:val="bottom"/>
            <w:hideMark/>
          </w:tcPr>
          <w:p w14:paraId="341CF5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5EFEC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5D1C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3F246071" w14:textId="77777777" w:rsidR="00000000" w:rsidRDefault="00582324">
            <w:pPr>
              <w:pStyle w:val="a3"/>
              <w:spacing w:before="0" w:beforeAutospacing="0" w:after="0" w:afterAutospacing="0"/>
              <w:jc w:val="right"/>
              <w:rPr>
                <w:color w:val="000000"/>
                <w:sz w:val="18"/>
                <w:szCs w:val="18"/>
              </w:rPr>
            </w:pPr>
            <w:r>
              <w:rPr>
                <w:color w:val="000000"/>
                <w:sz w:val="18"/>
                <w:szCs w:val="18"/>
              </w:rPr>
              <w:t>3,500</w:t>
            </w:r>
          </w:p>
        </w:tc>
        <w:tc>
          <w:tcPr>
            <w:tcW w:w="50" w:type="pct"/>
            <w:shd w:val="clear" w:color="auto" w:fill="FFFFFF"/>
            <w:noWrap/>
            <w:tcMar>
              <w:top w:w="15" w:type="dxa"/>
              <w:left w:w="0" w:type="dxa"/>
              <w:bottom w:w="0" w:type="dxa"/>
              <w:right w:w="15" w:type="dxa"/>
            </w:tcMar>
            <w:vAlign w:val="bottom"/>
            <w:hideMark/>
          </w:tcPr>
          <w:p w14:paraId="7194AA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F5F41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6695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5E818C96" w14:textId="77777777" w:rsidR="00000000" w:rsidRDefault="00582324">
            <w:pPr>
              <w:pStyle w:val="a3"/>
              <w:spacing w:before="0" w:beforeAutospacing="0" w:after="0" w:afterAutospacing="0"/>
              <w:jc w:val="right"/>
              <w:rPr>
                <w:color w:val="000000"/>
                <w:sz w:val="18"/>
                <w:szCs w:val="18"/>
              </w:rPr>
            </w:pPr>
            <w:r>
              <w:rPr>
                <w:color w:val="000000"/>
                <w:sz w:val="18"/>
                <w:szCs w:val="18"/>
              </w:rPr>
              <w:t>6.03</w:t>
            </w:r>
          </w:p>
        </w:tc>
        <w:tc>
          <w:tcPr>
            <w:tcW w:w="50" w:type="pct"/>
            <w:shd w:val="clear" w:color="auto" w:fill="FFFFFF"/>
            <w:noWrap/>
            <w:tcMar>
              <w:top w:w="15" w:type="dxa"/>
              <w:left w:w="0" w:type="dxa"/>
              <w:bottom w:w="0" w:type="dxa"/>
              <w:right w:w="15" w:type="dxa"/>
            </w:tcMar>
            <w:vAlign w:val="bottom"/>
            <w:hideMark/>
          </w:tcPr>
          <w:p w14:paraId="2AFB4E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60BE9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2199A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B3A17C8" w14:textId="77777777" w:rsidR="00000000" w:rsidRDefault="00582324">
            <w:pPr>
              <w:pStyle w:val="a3"/>
              <w:spacing w:before="0" w:beforeAutospacing="0" w:after="0" w:afterAutospacing="0"/>
              <w:jc w:val="right"/>
              <w:rPr>
                <w:color w:val="000000"/>
                <w:sz w:val="18"/>
                <w:szCs w:val="18"/>
              </w:rPr>
            </w:pPr>
            <w:r>
              <w:rPr>
                <w:color w:val="000000"/>
                <w:sz w:val="18"/>
                <w:szCs w:val="18"/>
              </w:rPr>
              <w:t>21</w:t>
            </w:r>
          </w:p>
        </w:tc>
        <w:tc>
          <w:tcPr>
            <w:tcW w:w="50" w:type="pct"/>
            <w:shd w:val="clear" w:color="auto" w:fill="FFFFFF"/>
            <w:noWrap/>
            <w:tcMar>
              <w:top w:w="15" w:type="dxa"/>
              <w:left w:w="0" w:type="dxa"/>
              <w:bottom w:w="0" w:type="dxa"/>
              <w:right w:w="15" w:type="dxa"/>
            </w:tcMar>
            <w:vAlign w:val="bottom"/>
            <w:hideMark/>
          </w:tcPr>
          <w:p w14:paraId="7EAF5E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28C07EC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1B66D29" w14:textId="77777777">
        <w:trPr>
          <w:divId w:val="534654970"/>
        </w:trPr>
        <w:tc>
          <w:tcPr>
            <w:tcW w:w="1114" w:type="pct"/>
            <w:shd w:val="clear" w:color="auto" w:fill="CFF0FC"/>
            <w:tcMar>
              <w:top w:w="15" w:type="dxa"/>
              <w:left w:w="0" w:type="dxa"/>
              <w:bottom w:w="0" w:type="dxa"/>
              <w:right w:w="15" w:type="dxa"/>
            </w:tcMar>
            <w:hideMark/>
          </w:tcPr>
          <w:p w14:paraId="5E70FEBB" w14:textId="77777777" w:rsidR="00000000" w:rsidRDefault="00582324">
            <w:pPr>
              <w:pStyle w:val="a3"/>
              <w:spacing w:before="0" w:beforeAutospacing="0" w:after="0" w:afterAutospacing="0"/>
              <w:rPr>
                <w:color w:val="000000"/>
                <w:sz w:val="18"/>
                <w:szCs w:val="18"/>
              </w:rPr>
            </w:pPr>
            <w:r>
              <w:rPr>
                <w:color w:val="000000"/>
                <w:sz w:val="18"/>
                <w:szCs w:val="18"/>
              </w:rPr>
              <w:t>Restricted shares, net</w:t>
            </w:r>
          </w:p>
        </w:tc>
        <w:tc>
          <w:tcPr>
            <w:tcW w:w="50" w:type="pct"/>
            <w:shd w:val="clear" w:color="auto" w:fill="CFF0FC"/>
            <w:noWrap/>
            <w:tcMar>
              <w:top w:w="15" w:type="dxa"/>
              <w:left w:w="0" w:type="dxa"/>
              <w:bottom w:w="0" w:type="dxa"/>
              <w:right w:w="15" w:type="dxa"/>
            </w:tcMar>
            <w:vAlign w:val="bottom"/>
            <w:hideMark/>
          </w:tcPr>
          <w:p w14:paraId="2FE944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22E43A5B" w14:textId="77777777" w:rsidR="00000000" w:rsidRDefault="00582324">
            <w:pPr>
              <w:pStyle w:val="a3"/>
              <w:spacing w:before="0" w:beforeAutospacing="0" w:after="0" w:afterAutospacing="0"/>
              <w:jc w:val="right"/>
              <w:rPr>
                <w:color w:val="000000"/>
                <w:sz w:val="18"/>
                <w:szCs w:val="18"/>
              </w:rPr>
            </w:pPr>
            <w:r>
              <w:rPr>
                <w:color w:val="000000"/>
                <w:sz w:val="18"/>
                <w:szCs w:val="18"/>
              </w:rPr>
              <w:t>2,112</w:t>
            </w:r>
          </w:p>
        </w:tc>
        <w:tc>
          <w:tcPr>
            <w:tcW w:w="50" w:type="pct"/>
            <w:shd w:val="clear" w:color="auto" w:fill="CFF0FC"/>
            <w:noWrap/>
            <w:tcMar>
              <w:top w:w="15" w:type="dxa"/>
              <w:left w:w="0" w:type="dxa"/>
              <w:bottom w:w="0" w:type="dxa"/>
              <w:right w:w="15" w:type="dxa"/>
            </w:tcMar>
            <w:vAlign w:val="bottom"/>
            <w:hideMark/>
          </w:tcPr>
          <w:p w14:paraId="289F7F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09DE3A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D72B0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23E6EB83" w14:textId="77777777" w:rsidR="00000000" w:rsidRDefault="00582324">
            <w:pPr>
              <w:pStyle w:val="a3"/>
              <w:spacing w:before="0" w:beforeAutospacing="0" w:after="0" w:afterAutospacing="0"/>
              <w:jc w:val="right"/>
              <w:rPr>
                <w:color w:val="000000"/>
                <w:sz w:val="18"/>
                <w:szCs w:val="18"/>
              </w:rPr>
            </w:pPr>
            <w:r>
              <w:rPr>
                <w:color w:val="000000"/>
                <w:sz w:val="18"/>
                <w:szCs w:val="18"/>
              </w:rPr>
              <w:t>56.31</w:t>
            </w:r>
          </w:p>
        </w:tc>
        <w:tc>
          <w:tcPr>
            <w:tcW w:w="50" w:type="pct"/>
            <w:shd w:val="clear" w:color="auto" w:fill="CFF0FC"/>
            <w:noWrap/>
            <w:tcMar>
              <w:top w:w="15" w:type="dxa"/>
              <w:left w:w="0" w:type="dxa"/>
              <w:bottom w:w="0" w:type="dxa"/>
              <w:right w:w="15" w:type="dxa"/>
            </w:tcMar>
            <w:vAlign w:val="bottom"/>
            <w:hideMark/>
          </w:tcPr>
          <w:p w14:paraId="6CE5D6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87545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FB3C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2244066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6B731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5CF3EF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52A35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0F61F7F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72A8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15C68E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564D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72EE92A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57D02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7D525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0FE3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37A40AE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B4397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5B0BE0A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61D144D" w14:textId="77777777">
        <w:trPr>
          <w:divId w:val="534654970"/>
        </w:trPr>
        <w:tc>
          <w:tcPr>
            <w:tcW w:w="1114" w:type="pct"/>
            <w:shd w:val="clear" w:color="auto" w:fill="FFFFFF"/>
            <w:tcMar>
              <w:top w:w="15" w:type="dxa"/>
              <w:left w:w="0" w:type="dxa"/>
              <w:bottom w:w="0" w:type="dxa"/>
              <w:right w:w="15" w:type="dxa"/>
            </w:tcMar>
            <w:hideMark/>
          </w:tcPr>
          <w:p w14:paraId="7E86BFD1" w14:textId="77777777" w:rsidR="00000000" w:rsidRDefault="00582324">
            <w:pPr>
              <w:pStyle w:val="a3"/>
              <w:spacing w:before="0" w:beforeAutospacing="0" w:after="0" w:afterAutospacing="0"/>
              <w:rPr>
                <w:color w:val="000000"/>
                <w:sz w:val="18"/>
                <w:szCs w:val="18"/>
              </w:rPr>
            </w:pPr>
            <w:r>
              <w:rPr>
                <w:color w:val="000000"/>
                <w:sz w:val="18"/>
                <w:szCs w:val="18"/>
              </w:rPr>
              <w:t>Payment of earn-out liability</w:t>
            </w:r>
          </w:p>
        </w:tc>
        <w:tc>
          <w:tcPr>
            <w:tcW w:w="50" w:type="pct"/>
            <w:shd w:val="clear" w:color="auto" w:fill="FFFFFF"/>
            <w:noWrap/>
            <w:tcMar>
              <w:top w:w="15" w:type="dxa"/>
              <w:left w:w="0" w:type="dxa"/>
              <w:bottom w:w="0" w:type="dxa"/>
              <w:right w:w="15" w:type="dxa"/>
            </w:tcMar>
            <w:vAlign w:val="bottom"/>
            <w:hideMark/>
          </w:tcPr>
          <w:p w14:paraId="1279B3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61F886CD" w14:textId="77777777" w:rsidR="00000000" w:rsidRDefault="00582324">
            <w:pPr>
              <w:pStyle w:val="a3"/>
              <w:spacing w:before="0" w:beforeAutospacing="0" w:after="0" w:afterAutospacing="0"/>
              <w:jc w:val="right"/>
              <w:rPr>
                <w:color w:val="000000"/>
                <w:sz w:val="18"/>
                <w:szCs w:val="18"/>
              </w:rPr>
            </w:pPr>
            <w:r>
              <w:rPr>
                <w:color w:val="000000"/>
                <w:sz w:val="18"/>
                <w:szCs w:val="18"/>
              </w:rPr>
              <w:t>539,607</w:t>
            </w:r>
          </w:p>
        </w:tc>
        <w:tc>
          <w:tcPr>
            <w:tcW w:w="50" w:type="pct"/>
            <w:shd w:val="clear" w:color="auto" w:fill="FFFFFF"/>
            <w:noWrap/>
            <w:tcMar>
              <w:top w:w="15" w:type="dxa"/>
              <w:left w:w="0" w:type="dxa"/>
              <w:bottom w:w="0" w:type="dxa"/>
              <w:right w:w="15" w:type="dxa"/>
            </w:tcMar>
            <w:vAlign w:val="bottom"/>
            <w:hideMark/>
          </w:tcPr>
          <w:p w14:paraId="165862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7C3F3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704F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56B7896C" w14:textId="77777777" w:rsidR="00000000" w:rsidRDefault="00582324">
            <w:pPr>
              <w:pStyle w:val="a3"/>
              <w:spacing w:before="0" w:beforeAutospacing="0" w:after="0" w:afterAutospacing="0"/>
              <w:jc w:val="right"/>
              <w:rPr>
                <w:color w:val="000000"/>
                <w:sz w:val="18"/>
                <w:szCs w:val="18"/>
              </w:rPr>
            </w:pPr>
            <w:r>
              <w:rPr>
                <w:color w:val="000000"/>
                <w:sz w:val="18"/>
                <w:szCs w:val="18"/>
              </w:rPr>
              <w:t>46.33</w:t>
            </w:r>
          </w:p>
        </w:tc>
        <w:tc>
          <w:tcPr>
            <w:tcW w:w="50" w:type="pct"/>
            <w:shd w:val="clear" w:color="auto" w:fill="FFFFFF"/>
            <w:noWrap/>
            <w:tcMar>
              <w:top w:w="15" w:type="dxa"/>
              <w:left w:w="0" w:type="dxa"/>
              <w:bottom w:w="0" w:type="dxa"/>
              <w:right w:w="15" w:type="dxa"/>
            </w:tcMar>
            <w:vAlign w:val="bottom"/>
            <w:hideMark/>
          </w:tcPr>
          <w:p w14:paraId="5A1FC8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06B29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23D6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4BE27BFB"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FFFFFF"/>
            <w:noWrap/>
            <w:tcMar>
              <w:top w:w="15" w:type="dxa"/>
              <w:left w:w="0" w:type="dxa"/>
              <w:bottom w:w="0" w:type="dxa"/>
              <w:right w:w="15" w:type="dxa"/>
            </w:tcMar>
            <w:vAlign w:val="bottom"/>
            <w:hideMark/>
          </w:tcPr>
          <w:p w14:paraId="4ABB24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88087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5EB37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6BB6A67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91D4D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43A62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D37C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251C10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566B1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FB985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3E48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F610F4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994A8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702EBC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681772E" w14:textId="77777777">
        <w:trPr>
          <w:divId w:val="534654970"/>
        </w:trPr>
        <w:tc>
          <w:tcPr>
            <w:tcW w:w="1114" w:type="pct"/>
            <w:shd w:val="clear" w:color="auto" w:fill="CFF0FC"/>
            <w:tcMar>
              <w:top w:w="15" w:type="dxa"/>
              <w:left w:w="0" w:type="dxa"/>
              <w:bottom w:w="0" w:type="dxa"/>
              <w:right w:w="15" w:type="dxa"/>
            </w:tcMar>
            <w:hideMark/>
          </w:tcPr>
          <w:p w14:paraId="54A0BF57" w14:textId="77777777" w:rsidR="00000000" w:rsidRDefault="00582324">
            <w:pPr>
              <w:pStyle w:val="a3"/>
              <w:spacing w:before="0" w:beforeAutospacing="0" w:after="0" w:afterAutospacing="0"/>
              <w:rPr>
                <w:color w:val="000000"/>
                <w:sz w:val="18"/>
                <w:szCs w:val="18"/>
              </w:rPr>
            </w:pPr>
            <w:r>
              <w:rPr>
                <w:color w:val="000000"/>
                <w:sz w:val="18"/>
                <w:szCs w:val="18"/>
              </w:rPr>
              <w:t>Payment of purchase price true up</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D93F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CFF0FC"/>
            <w:noWrap/>
            <w:tcMar>
              <w:top w:w="15" w:type="dxa"/>
              <w:left w:w="0" w:type="dxa"/>
              <w:bottom w:w="0" w:type="dxa"/>
              <w:right w:w="15" w:type="dxa"/>
            </w:tcMar>
            <w:vAlign w:val="bottom"/>
            <w:hideMark/>
          </w:tcPr>
          <w:p w14:paraId="6A6DA0B9" w14:textId="77777777" w:rsidR="00000000" w:rsidRDefault="00582324">
            <w:pPr>
              <w:pStyle w:val="a3"/>
              <w:spacing w:before="0" w:beforeAutospacing="0" w:after="0" w:afterAutospacing="0"/>
              <w:jc w:val="right"/>
              <w:rPr>
                <w:color w:val="000000"/>
                <w:sz w:val="18"/>
                <w:szCs w:val="18"/>
              </w:rPr>
            </w:pPr>
            <w:r>
              <w:rPr>
                <w:color w:val="000000"/>
                <w:sz w:val="18"/>
                <w:szCs w:val="18"/>
              </w:rPr>
              <w:t>24,200</w:t>
            </w:r>
          </w:p>
        </w:tc>
        <w:tc>
          <w:tcPr>
            <w:tcW w:w="50" w:type="pct"/>
            <w:shd w:val="clear" w:color="auto" w:fill="CFF0FC"/>
            <w:noWrap/>
            <w:tcMar>
              <w:top w:w="15" w:type="dxa"/>
              <w:left w:w="0" w:type="dxa"/>
              <w:bottom w:w="0" w:type="dxa"/>
              <w:right w:w="15" w:type="dxa"/>
            </w:tcMar>
            <w:vAlign w:val="bottom"/>
            <w:hideMark/>
          </w:tcPr>
          <w:p w14:paraId="0ABBCC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19679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C2F8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CFF0FC"/>
            <w:noWrap/>
            <w:tcMar>
              <w:top w:w="15" w:type="dxa"/>
              <w:left w:w="0" w:type="dxa"/>
              <w:bottom w:w="0" w:type="dxa"/>
              <w:right w:w="15" w:type="dxa"/>
            </w:tcMar>
            <w:vAlign w:val="bottom"/>
            <w:hideMark/>
          </w:tcPr>
          <w:p w14:paraId="26C65EF7" w14:textId="77777777" w:rsidR="00000000" w:rsidRDefault="00582324">
            <w:pPr>
              <w:pStyle w:val="a3"/>
              <w:spacing w:before="0" w:beforeAutospacing="0" w:after="0" w:afterAutospacing="0"/>
              <w:jc w:val="right"/>
              <w:rPr>
                <w:color w:val="000000"/>
                <w:sz w:val="18"/>
                <w:szCs w:val="18"/>
              </w:rPr>
            </w:pPr>
            <w:r>
              <w:rPr>
                <w:color w:val="000000"/>
                <w:sz w:val="18"/>
                <w:szCs w:val="18"/>
              </w:rPr>
              <w:t>44.81</w:t>
            </w:r>
          </w:p>
        </w:tc>
        <w:tc>
          <w:tcPr>
            <w:tcW w:w="50" w:type="pct"/>
            <w:shd w:val="clear" w:color="auto" w:fill="CFF0FC"/>
            <w:noWrap/>
            <w:tcMar>
              <w:top w:w="15" w:type="dxa"/>
              <w:left w:w="0" w:type="dxa"/>
              <w:bottom w:w="0" w:type="dxa"/>
              <w:right w:w="15" w:type="dxa"/>
            </w:tcMar>
            <w:vAlign w:val="bottom"/>
            <w:hideMark/>
          </w:tcPr>
          <w:p w14:paraId="2335FB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8FD57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A1978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1E29878E" w14:textId="77777777" w:rsidR="00000000" w:rsidRDefault="00582324">
            <w:pPr>
              <w:pStyle w:val="a3"/>
              <w:spacing w:before="0" w:beforeAutospacing="0" w:after="0" w:afterAutospacing="0"/>
              <w:jc w:val="right"/>
              <w:rPr>
                <w:color w:val="000000"/>
                <w:sz w:val="18"/>
                <w:szCs w:val="18"/>
              </w:rPr>
            </w:pPr>
            <w:r>
              <w:rPr>
                <w:color w:val="000000"/>
                <w:sz w:val="18"/>
                <w:szCs w:val="18"/>
              </w:rPr>
              <w:t>1,084</w:t>
            </w:r>
          </w:p>
        </w:tc>
        <w:tc>
          <w:tcPr>
            <w:tcW w:w="50" w:type="pct"/>
            <w:shd w:val="clear" w:color="auto" w:fill="CFF0FC"/>
            <w:noWrap/>
            <w:tcMar>
              <w:top w:w="15" w:type="dxa"/>
              <w:left w:w="0" w:type="dxa"/>
              <w:bottom w:w="0" w:type="dxa"/>
              <w:right w:w="15" w:type="dxa"/>
            </w:tcMar>
            <w:vAlign w:val="bottom"/>
            <w:hideMark/>
          </w:tcPr>
          <w:p w14:paraId="3A421B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151441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18F0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CFF0FC"/>
            <w:noWrap/>
            <w:tcMar>
              <w:top w:w="15" w:type="dxa"/>
              <w:left w:w="0" w:type="dxa"/>
              <w:bottom w:w="0" w:type="dxa"/>
              <w:right w:w="15" w:type="dxa"/>
            </w:tcMar>
            <w:vAlign w:val="bottom"/>
            <w:hideMark/>
          </w:tcPr>
          <w:p w14:paraId="68DB92A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A9741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27A87F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34CB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CFF0FC"/>
            <w:noWrap/>
            <w:tcMar>
              <w:top w:w="15" w:type="dxa"/>
              <w:left w:w="0" w:type="dxa"/>
              <w:bottom w:w="0" w:type="dxa"/>
              <w:right w:w="15" w:type="dxa"/>
            </w:tcMar>
            <w:vAlign w:val="bottom"/>
            <w:hideMark/>
          </w:tcPr>
          <w:p w14:paraId="325EBF3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7D96B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B0C6F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2251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5A94945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10AAF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1FBDE0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A2DF76D" w14:textId="77777777">
        <w:trPr>
          <w:divId w:val="534654970"/>
        </w:trPr>
        <w:tc>
          <w:tcPr>
            <w:tcW w:w="1114" w:type="pct"/>
            <w:shd w:val="clear" w:color="auto" w:fill="FFFFFF"/>
            <w:tcMar>
              <w:top w:w="15" w:type="dxa"/>
              <w:left w:w="0" w:type="dxa"/>
              <w:bottom w:w="0" w:type="dxa"/>
              <w:right w:w="15" w:type="dxa"/>
            </w:tcMar>
            <w:hideMark/>
          </w:tcPr>
          <w:p w14:paraId="7FC5E1DE" w14:textId="77777777" w:rsidR="00000000" w:rsidRDefault="00582324">
            <w:pPr>
              <w:pStyle w:val="a3"/>
              <w:spacing w:before="0" w:beforeAutospacing="0" w:after="0" w:afterAutospacing="0"/>
              <w:rPr>
                <w:b/>
                <w:bCs/>
                <w:color w:val="000000"/>
                <w:sz w:val="18"/>
                <w:szCs w:val="18"/>
              </w:rPr>
            </w:pPr>
            <w:r>
              <w:rPr>
                <w:b/>
                <w:bCs/>
                <w:color w:val="000000"/>
                <w:sz w:val="18"/>
                <w:szCs w:val="18"/>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7710C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CAE049"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669,331</w:t>
            </w:r>
          </w:p>
        </w:tc>
        <w:tc>
          <w:tcPr>
            <w:tcW w:w="50" w:type="pct"/>
            <w:shd w:val="clear" w:color="auto" w:fill="FFFFFF"/>
            <w:noWrap/>
            <w:tcMar>
              <w:top w:w="15" w:type="dxa"/>
              <w:left w:w="0" w:type="dxa"/>
              <w:bottom w:w="0" w:type="dxa"/>
              <w:right w:w="15" w:type="dxa"/>
            </w:tcMar>
            <w:vAlign w:val="bottom"/>
            <w:hideMark/>
          </w:tcPr>
          <w:p w14:paraId="390B030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767FC0F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1B928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D074F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41.20</w:t>
            </w:r>
          </w:p>
        </w:tc>
        <w:tc>
          <w:tcPr>
            <w:tcW w:w="50" w:type="pct"/>
            <w:shd w:val="clear" w:color="auto" w:fill="FFFFFF"/>
            <w:noWrap/>
            <w:tcMar>
              <w:top w:w="15" w:type="dxa"/>
              <w:left w:w="0" w:type="dxa"/>
              <w:bottom w:w="0" w:type="dxa"/>
              <w:right w:w="15" w:type="dxa"/>
            </w:tcMar>
            <w:vAlign w:val="bottom"/>
            <w:hideMark/>
          </w:tcPr>
          <w:p w14:paraId="32233B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0C9E864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92DA24"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5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C76A5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27,460</w:t>
            </w:r>
          </w:p>
        </w:tc>
        <w:tc>
          <w:tcPr>
            <w:tcW w:w="50" w:type="pct"/>
            <w:shd w:val="clear" w:color="auto" w:fill="FFFFFF"/>
            <w:noWrap/>
            <w:tcMar>
              <w:top w:w="15" w:type="dxa"/>
              <w:left w:w="0" w:type="dxa"/>
              <w:bottom w:w="0" w:type="dxa"/>
              <w:right w:w="15" w:type="dxa"/>
            </w:tcMar>
            <w:vAlign w:val="bottom"/>
            <w:hideMark/>
          </w:tcPr>
          <w:p w14:paraId="2146C46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32EA4E2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C536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B8D6D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794,639</w:t>
            </w:r>
          </w:p>
        </w:tc>
        <w:tc>
          <w:tcPr>
            <w:tcW w:w="50" w:type="pct"/>
            <w:shd w:val="clear" w:color="auto" w:fill="FFFFFF"/>
            <w:noWrap/>
            <w:tcMar>
              <w:top w:w="15" w:type="dxa"/>
              <w:left w:w="0" w:type="dxa"/>
              <w:bottom w:w="0" w:type="dxa"/>
              <w:right w:w="15" w:type="dxa"/>
            </w:tcMar>
            <w:vAlign w:val="bottom"/>
            <w:hideMark/>
          </w:tcPr>
          <w:p w14:paraId="7F17B33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4B42A05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0E0A56"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AF722F"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31.49</w:t>
            </w:r>
          </w:p>
        </w:tc>
        <w:tc>
          <w:tcPr>
            <w:tcW w:w="50" w:type="pct"/>
            <w:shd w:val="clear" w:color="auto" w:fill="FFFFFF"/>
            <w:noWrap/>
            <w:tcMar>
              <w:top w:w="15" w:type="dxa"/>
              <w:left w:w="0" w:type="dxa"/>
              <w:bottom w:w="0" w:type="dxa"/>
              <w:right w:w="15" w:type="dxa"/>
            </w:tcMar>
            <w:vAlign w:val="bottom"/>
            <w:hideMark/>
          </w:tcPr>
          <w:p w14:paraId="2CBC795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55872F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384296"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5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5F52D5"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25,021</w:t>
            </w:r>
          </w:p>
        </w:tc>
        <w:tc>
          <w:tcPr>
            <w:tcW w:w="50" w:type="pct"/>
            <w:shd w:val="clear" w:color="auto" w:fill="FFFFFF"/>
            <w:noWrap/>
            <w:tcMar>
              <w:top w:w="15" w:type="dxa"/>
              <w:left w:w="0" w:type="dxa"/>
              <w:bottom w:w="0" w:type="dxa"/>
              <w:right w:w="15" w:type="dxa"/>
            </w:tcMar>
            <w:vAlign w:val="bottom"/>
            <w:hideMark/>
          </w:tcPr>
          <w:p w14:paraId="56F95CC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3769A00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3FE8CA8" w14:textId="77777777">
        <w:trPr>
          <w:divId w:val="534654970"/>
        </w:trPr>
        <w:tc>
          <w:tcPr>
            <w:tcW w:w="1114" w:type="pct"/>
            <w:shd w:val="clear" w:color="auto" w:fill="FFFFFF"/>
            <w:tcMar>
              <w:top w:w="15" w:type="dxa"/>
              <w:left w:w="0" w:type="dxa"/>
              <w:bottom w:w="0" w:type="dxa"/>
              <w:right w:w="15" w:type="dxa"/>
            </w:tcMar>
            <w:vAlign w:val="bottom"/>
            <w:hideMark/>
          </w:tcPr>
          <w:p w14:paraId="0079EF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0DB94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62CCC7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1A68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411D67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02A41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1031E61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54EB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5CD24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A0243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33E15C6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A2B0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769BE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EB09A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38122A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E70C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9CB12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E92D2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41AB3C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3462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31B9B2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BFB1E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2BCFDF7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BD97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45E62B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D90092A" w14:textId="77777777">
        <w:trPr>
          <w:divId w:val="534654970"/>
        </w:trPr>
        <w:tc>
          <w:tcPr>
            <w:tcW w:w="1114" w:type="pct"/>
            <w:shd w:val="clear" w:color="auto" w:fill="FFFFFF"/>
            <w:tcMar>
              <w:top w:w="15" w:type="dxa"/>
              <w:left w:w="0" w:type="dxa"/>
              <w:bottom w:w="0" w:type="dxa"/>
              <w:right w:w="15" w:type="dxa"/>
            </w:tcMar>
            <w:vAlign w:val="bottom"/>
            <w:hideMark/>
          </w:tcPr>
          <w:p w14:paraId="2766D2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9393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6E993F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2864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09DF5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EBD3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018E7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68EF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2AD79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1C0F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538B8B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6346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A85F4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0263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16A8DB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F831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A83A0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AF6D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13149F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2785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C49AF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E89D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63ECA4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6098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CC7F1B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C3F85B7" w14:textId="77777777">
        <w:trPr>
          <w:divId w:val="534654970"/>
        </w:trPr>
        <w:tc>
          <w:tcPr>
            <w:tcW w:w="1114" w:type="pct"/>
            <w:shd w:val="clear" w:color="auto" w:fill="FFFFFF"/>
            <w:tcMar>
              <w:top w:w="15" w:type="dxa"/>
              <w:left w:w="0" w:type="dxa"/>
              <w:bottom w:w="0" w:type="dxa"/>
              <w:right w:w="15" w:type="dxa"/>
            </w:tcMar>
            <w:vAlign w:val="bottom"/>
            <w:hideMark/>
          </w:tcPr>
          <w:p w14:paraId="39BC5F7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3774" w:type="pct"/>
            <w:gridSpan w:val="22"/>
            <w:tcBorders>
              <w:bottom w:val="single" w:sz="6" w:space="0" w:color="000000"/>
            </w:tcBorders>
            <w:shd w:val="clear" w:color="auto" w:fill="FFFFFF"/>
            <w:tcMar>
              <w:top w:w="15" w:type="dxa"/>
              <w:left w:w="0" w:type="dxa"/>
              <w:bottom w:w="0" w:type="dxa"/>
              <w:right w:w="15" w:type="dxa"/>
            </w:tcMar>
            <w:vAlign w:val="bottom"/>
            <w:hideMark/>
          </w:tcPr>
          <w:p w14:paraId="0AA6E51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3FB0930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7405594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39F0FA0B" w14:textId="77777777">
        <w:trPr>
          <w:divId w:val="534654970"/>
        </w:trPr>
        <w:tc>
          <w:tcPr>
            <w:tcW w:w="1114" w:type="pct"/>
            <w:shd w:val="clear" w:color="auto" w:fill="FFFFFF"/>
            <w:tcMar>
              <w:top w:w="15" w:type="dxa"/>
              <w:left w:w="0" w:type="dxa"/>
              <w:bottom w:w="0" w:type="dxa"/>
              <w:right w:w="15" w:type="dxa"/>
            </w:tcMar>
            <w:vAlign w:val="bottom"/>
            <w:hideMark/>
          </w:tcPr>
          <w:p w14:paraId="7BF96D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3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EAFEA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1437174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20846F0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32"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A566B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4B636E2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4084991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48EAA191" w14:textId="77777777">
        <w:trPr>
          <w:divId w:val="534654970"/>
        </w:trPr>
        <w:tc>
          <w:tcPr>
            <w:tcW w:w="1114" w:type="pct"/>
            <w:shd w:val="clear" w:color="auto" w:fill="FFFFFF"/>
            <w:tcMar>
              <w:top w:w="15" w:type="dxa"/>
              <w:left w:w="0" w:type="dxa"/>
              <w:bottom w:w="0" w:type="dxa"/>
              <w:right w:w="15" w:type="dxa"/>
            </w:tcMar>
            <w:vAlign w:val="bottom"/>
            <w:hideMark/>
          </w:tcPr>
          <w:p w14:paraId="6CB53BC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C4366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2569300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F64E93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54C1C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679B738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51AB890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B40DC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 Consideration</w:t>
            </w:r>
          </w:p>
          <w:p w14:paraId="6282903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45E496C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6D784A1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BF6EB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5D06F67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6F2ADFF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DFF12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5C337C4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3E3457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11DA0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 Consideration</w:t>
            </w:r>
          </w:p>
          <w:p w14:paraId="3CE54C8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43B4B95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07364B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869E74C" w14:textId="77777777">
        <w:trPr>
          <w:divId w:val="534654970"/>
        </w:trPr>
        <w:tc>
          <w:tcPr>
            <w:tcW w:w="1114" w:type="pct"/>
            <w:shd w:val="clear" w:color="auto" w:fill="CFF0FC"/>
            <w:tcMar>
              <w:top w:w="15" w:type="dxa"/>
              <w:left w:w="0" w:type="dxa"/>
              <w:bottom w:w="0" w:type="dxa"/>
              <w:right w:w="15" w:type="dxa"/>
            </w:tcMar>
            <w:hideMark/>
          </w:tcPr>
          <w:p w14:paraId="6C452212" w14:textId="77777777" w:rsidR="00000000" w:rsidRDefault="00582324">
            <w:pPr>
              <w:pStyle w:val="a3"/>
              <w:spacing w:before="0" w:beforeAutospacing="0" w:after="0" w:afterAutospacing="0"/>
              <w:rPr>
                <w:color w:val="000000"/>
                <w:sz w:val="18"/>
                <w:szCs w:val="18"/>
              </w:rPr>
            </w:pPr>
            <w:r>
              <w:rPr>
                <w:color w:val="000000"/>
                <w:sz w:val="18"/>
                <w:szCs w:val="18"/>
              </w:rPr>
              <w:t>Acquisitions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390A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2E432B6D" w14:textId="77777777" w:rsidR="00000000" w:rsidRDefault="00582324">
            <w:pPr>
              <w:pStyle w:val="a3"/>
              <w:spacing w:before="0" w:beforeAutospacing="0" w:after="0" w:afterAutospacing="0"/>
              <w:jc w:val="right"/>
              <w:rPr>
                <w:color w:val="000000"/>
                <w:sz w:val="18"/>
                <w:szCs w:val="18"/>
              </w:rPr>
            </w:pPr>
            <w:r>
              <w:rPr>
                <w:color w:val="000000"/>
                <w:sz w:val="18"/>
                <w:szCs w:val="18"/>
              </w:rPr>
              <w:t>81,062</w:t>
            </w:r>
          </w:p>
        </w:tc>
        <w:tc>
          <w:tcPr>
            <w:tcW w:w="50" w:type="pct"/>
            <w:shd w:val="clear" w:color="auto" w:fill="CFF0FC"/>
            <w:noWrap/>
            <w:tcMar>
              <w:top w:w="15" w:type="dxa"/>
              <w:left w:w="0" w:type="dxa"/>
              <w:bottom w:w="0" w:type="dxa"/>
              <w:right w:w="15" w:type="dxa"/>
            </w:tcMar>
            <w:vAlign w:val="bottom"/>
            <w:hideMark/>
          </w:tcPr>
          <w:p w14:paraId="61E5CF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8640D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762EB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6DEBB7A3" w14:textId="77777777" w:rsidR="00000000" w:rsidRDefault="00582324">
            <w:pPr>
              <w:pStyle w:val="a3"/>
              <w:spacing w:before="0" w:beforeAutospacing="0" w:after="0" w:afterAutospacing="0"/>
              <w:jc w:val="right"/>
              <w:rPr>
                <w:color w:val="000000"/>
                <w:sz w:val="18"/>
                <w:szCs w:val="18"/>
              </w:rPr>
            </w:pPr>
            <w:r>
              <w:rPr>
                <w:color w:val="000000"/>
                <w:sz w:val="18"/>
                <w:szCs w:val="18"/>
              </w:rPr>
              <w:t>33.88</w:t>
            </w:r>
          </w:p>
        </w:tc>
        <w:tc>
          <w:tcPr>
            <w:tcW w:w="50" w:type="pct"/>
            <w:shd w:val="clear" w:color="auto" w:fill="CFF0FC"/>
            <w:noWrap/>
            <w:tcMar>
              <w:top w:w="15" w:type="dxa"/>
              <w:left w:w="0" w:type="dxa"/>
              <w:bottom w:w="0" w:type="dxa"/>
              <w:right w:w="15" w:type="dxa"/>
            </w:tcMar>
            <w:vAlign w:val="bottom"/>
            <w:hideMark/>
          </w:tcPr>
          <w:p w14:paraId="06F0E4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26D4A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BF33D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633555E9" w14:textId="77777777" w:rsidR="00000000" w:rsidRDefault="00582324">
            <w:pPr>
              <w:pStyle w:val="a3"/>
              <w:spacing w:before="0" w:beforeAutospacing="0" w:after="0" w:afterAutospacing="0"/>
              <w:jc w:val="right"/>
              <w:rPr>
                <w:color w:val="000000"/>
                <w:sz w:val="18"/>
                <w:szCs w:val="18"/>
              </w:rPr>
            </w:pPr>
            <w:r>
              <w:rPr>
                <w:color w:val="000000"/>
                <w:sz w:val="18"/>
                <w:szCs w:val="18"/>
              </w:rPr>
              <w:t>2,746</w:t>
            </w:r>
          </w:p>
        </w:tc>
        <w:tc>
          <w:tcPr>
            <w:tcW w:w="50" w:type="pct"/>
            <w:shd w:val="clear" w:color="auto" w:fill="CFF0FC"/>
            <w:noWrap/>
            <w:tcMar>
              <w:top w:w="15" w:type="dxa"/>
              <w:left w:w="0" w:type="dxa"/>
              <w:bottom w:w="0" w:type="dxa"/>
              <w:right w:w="15" w:type="dxa"/>
            </w:tcMar>
            <w:vAlign w:val="bottom"/>
            <w:hideMark/>
          </w:tcPr>
          <w:p w14:paraId="102DC7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7487D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F567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5B9842E0" w14:textId="77777777" w:rsidR="00000000" w:rsidRDefault="00582324">
            <w:pPr>
              <w:pStyle w:val="a3"/>
              <w:spacing w:before="0" w:beforeAutospacing="0" w:after="0" w:afterAutospacing="0"/>
              <w:jc w:val="right"/>
              <w:rPr>
                <w:color w:val="000000"/>
                <w:sz w:val="18"/>
                <w:szCs w:val="18"/>
              </w:rPr>
            </w:pPr>
            <w:r>
              <w:rPr>
                <w:color w:val="000000"/>
                <w:sz w:val="18"/>
                <w:szCs w:val="18"/>
              </w:rPr>
              <w:t>791,139</w:t>
            </w:r>
          </w:p>
        </w:tc>
        <w:tc>
          <w:tcPr>
            <w:tcW w:w="50" w:type="pct"/>
            <w:shd w:val="clear" w:color="auto" w:fill="CFF0FC"/>
            <w:noWrap/>
            <w:tcMar>
              <w:top w:w="15" w:type="dxa"/>
              <w:left w:w="0" w:type="dxa"/>
              <w:bottom w:w="0" w:type="dxa"/>
              <w:right w:w="15" w:type="dxa"/>
            </w:tcMar>
            <w:vAlign w:val="bottom"/>
            <w:hideMark/>
          </w:tcPr>
          <w:p w14:paraId="7B4A67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70619D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E0F76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14:paraId="307FE2B1" w14:textId="77777777" w:rsidR="00000000" w:rsidRDefault="00582324">
            <w:pPr>
              <w:pStyle w:val="a3"/>
              <w:spacing w:before="0" w:beforeAutospacing="0" w:after="0" w:afterAutospacing="0"/>
              <w:jc w:val="right"/>
              <w:rPr>
                <w:color w:val="000000"/>
                <w:sz w:val="18"/>
                <w:szCs w:val="18"/>
              </w:rPr>
            </w:pPr>
            <w:r>
              <w:rPr>
                <w:color w:val="000000"/>
                <w:sz w:val="18"/>
                <w:szCs w:val="18"/>
              </w:rPr>
              <w:t>31.60</w:t>
            </w:r>
          </w:p>
        </w:tc>
        <w:tc>
          <w:tcPr>
            <w:tcW w:w="50" w:type="pct"/>
            <w:shd w:val="clear" w:color="auto" w:fill="CFF0FC"/>
            <w:noWrap/>
            <w:tcMar>
              <w:top w:w="15" w:type="dxa"/>
              <w:left w:w="0" w:type="dxa"/>
              <w:bottom w:w="0" w:type="dxa"/>
              <w:right w:w="15" w:type="dxa"/>
            </w:tcMar>
            <w:vAlign w:val="bottom"/>
            <w:hideMark/>
          </w:tcPr>
          <w:p w14:paraId="352863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69842F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20EFF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7DA1C178"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CFF0FC"/>
            <w:noWrap/>
            <w:tcMar>
              <w:top w:w="15" w:type="dxa"/>
              <w:left w:w="0" w:type="dxa"/>
              <w:bottom w:w="0" w:type="dxa"/>
              <w:right w:w="15" w:type="dxa"/>
            </w:tcMar>
            <w:vAlign w:val="bottom"/>
            <w:hideMark/>
          </w:tcPr>
          <w:p w14:paraId="41881F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1E29107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7C0623C" w14:textId="77777777">
        <w:trPr>
          <w:divId w:val="534654970"/>
        </w:trPr>
        <w:tc>
          <w:tcPr>
            <w:tcW w:w="1114" w:type="pct"/>
            <w:shd w:val="clear" w:color="auto" w:fill="FFFFFF"/>
            <w:tcMar>
              <w:top w:w="15" w:type="dxa"/>
              <w:left w:w="0" w:type="dxa"/>
              <w:bottom w:w="0" w:type="dxa"/>
              <w:right w:w="15" w:type="dxa"/>
            </w:tcMar>
            <w:hideMark/>
          </w:tcPr>
          <w:p w14:paraId="01DB1353" w14:textId="77777777" w:rsidR="00000000" w:rsidRDefault="00582324">
            <w:pPr>
              <w:pStyle w:val="a3"/>
              <w:spacing w:before="0" w:beforeAutospacing="0" w:after="0" w:afterAutospacing="0"/>
              <w:rPr>
                <w:color w:val="000000"/>
                <w:sz w:val="18"/>
                <w:szCs w:val="18"/>
              </w:rPr>
            </w:pPr>
            <w:r>
              <w:rPr>
                <w:color w:val="000000"/>
                <w:sz w:val="18"/>
                <w:szCs w:val="18"/>
              </w:rPr>
              <w:t>Exercise of warrants</w:t>
            </w:r>
          </w:p>
        </w:tc>
        <w:tc>
          <w:tcPr>
            <w:tcW w:w="50" w:type="pct"/>
            <w:shd w:val="clear" w:color="auto" w:fill="FFFFFF"/>
            <w:noWrap/>
            <w:tcMar>
              <w:top w:w="15" w:type="dxa"/>
              <w:left w:w="0" w:type="dxa"/>
              <w:bottom w:w="0" w:type="dxa"/>
              <w:right w:w="15" w:type="dxa"/>
            </w:tcMar>
            <w:vAlign w:val="bottom"/>
            <w:hideMark/>
          </w:tcPr>
          <w:p w14:paraId="4C80F9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B009101" w14:textId="77777777" w:rsidR="00000000" w:rsidRDefault="00582324">
            <w:pPr>
              <w:pStyle w:val="a3"/>
              <w:spacing w:before="0" w:beforeAutospacing="0" w:after="0" w:afterAutospacing="0"/>
              <w:jc w:val="right"/>
              <w:rPr>
                <w:color w:val="000000"/>
                <w:sz w:val="18"/>
                <w:szCs w:val="18"/>
              </w:rPr>
            </w:pPr>
            <w:r>
              <w:rPr>
                <w:color w:val="000000"/>
                <w:sz w:val="18"/>
                <w:szCs w:val="18"/>
              </w:rPr>
              <w:t>67,713</w:t>
            </w:r>
          </w:p>
        </w:tc>
        <w:tc>
          <w:tcPr>
            <w:tcW w:w="50" w:type="pct"/>
            <w:shd w:val="clear" w:color="auto" w:fill="FFFFFF"/>
            <w:noWrap/>
            <w:tcMar>
              <w:top w:w="15" w:type="dxa"/>
              <w:left w:w="0" w:type="dxa"/>
              <w:bottom w:w="0" w:type="dxa"/>
              <w:right w:w="15" w:type="dxa"/>
            </w:tcMar>
            <w:vAlign w:val="bottom"/>
            <w:hideMark/>
          </w:tcPr>
          <w:p w14:paraId="2FC79B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7ABD3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EA24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27EEE2A" w14:textId="77777777" w:rsidR="00000000" w:rsidRDefault="00582324">
            <w:pPr>
              <w:pStyle w:val="a3"/>
              <w:spacing w:before="0" w:beforeAutospacing="0" w:after="0" w:afterAutospacing="0"/>
              <w:jc w:val="right"/>
              <w:rPr>
                <w:color w:val="000000"/>
                <w:sz w:val="18"/>
                <w:szCs w:val="18"/>
              </w:rPr>
            </w:pPr>
            <w:r>
              <w:rPr>
                <w:color w:val="000000"/>
                <w:sz w:val="18"/>
                <w:szCs w:val="18"/>
              </w:rPr>
              <w:t>17.19</w:t>
            </w:r>
          </w:p>
        </w:tc>
        <w:tc>
          <w:tcPr>
            <w:tcW w:w="50" w:type="pct"/>
            <w:shd w:val="clear" w:color="auto" w:fill="FFFFFF"/>
            <w:noWrap/>
            <w:tcMar>
              <w:top w:w="15" w:type="dxa"/>
              <w:left w:w="0" w:type="dxa"/>
              <w:bottom w:w="0" w:type="dxa"/>
              <w:right w:w="15" w:type="dxa"/>
            </w:tcMar>
            <w:vAlign w:val="bottom"/>
            <w:hideMark/>
          </w:tcPr>
          <w:p w14:paraId="0A83C5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C4856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1C6E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23B6C88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638D5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3D6B97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8F02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0060B3F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8E594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3A7357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F36B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16734CF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05C29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4AACF2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D033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3954727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7B920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410134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D1E05DF" w14:textId="77777777">
        <w:trPr>
          <w:divId w:val="534654970"/>
        </w:trPr>
        <w:tc>
          <w:tcPr>
            <w:tcW w:w="1114" w:type="pct"/>
            <w:shd w:val="clear" w:color="auto" w:fill="CFF0FC"/>
            <w:tcMar>
              <w:top w:w="15" w:type="dxa"/>
              <w:left w:w="0" w:type="dxa"/>
              <w:bottom w:w="0" w:type="dxa"/>
              <w:right w:w="15" w:type="dxa"/>
            </w:tcMar>
            <w:hideMark/>
          </w:tcPr>
          <w:p w14:paraId="3A8570AA" w14:textId="77777777" w:rsidR="00000000" w:rsidRDefault="00582324">
            <w:pPr>
              <w:pStyle w:val="a3"/>
              <w:spacing w:before="0" w:beforeAutospacing="0" w:after="0" w:afterAutospacing="0"/>
              <w:rPr>
                <w:color w:val="000000"/>
                <w:sz w:val="18"/>
                <w:szCs w:val="18"/>
              </w:rPr>
            </w:pPr>
            <w:r>
              <w:rPr>
                <w:color w:val="000000"/>
                <w:sz w:val="18"/>
                <w:szCs w:val="18"/>
              </w:rPr>
              <w:t>Exercise of options</w:t>
            </w:r>
          </w:p>
        </w:tc>
        <w:tc>
          <w:tcPr>
            <w:tcW w:w="50" w:type="pct"/>
            <w:shd w:val="clear" w:color="auto" w:fill="CFF0FC"/>
            <w:noWrap/>
            <w:tcMar>
              <w:top w:w="15" w:type="dxa"/>
              <w:left w:w="0" w:type="dxa"/>
              <w:bottom w:w="0" w:type="dxa"/>
              <w:right w:w="15" w:type="dxa"/>
            </w:tcMar>
            <w:vAlign w:val="bottom"/>
            <w:hideMark/>
          </w:tcPr>
          <w:p w14:paraId="2C3FED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2B89BC47" w14:textId="77777777" w:rsidR="00000000" w:rsidRDefault="00582324">
            <w:pPr>
              <w:pStyle w:val="a3"/>
              <w:spacing w:before="0" w:beforeAutospacing="0" w:after="0" w:afterAutospacing="0"/>
              <w:jc w:val="right"/>
              <w:rPr>
                <w:color w:val="000000"/>
                <w:sz w:val="18"/>
                <w:szCs w:val="18"/>
              </w:rPr>
            </w:pPr>
            <w:r>
              <w:rPr>
                <w:color w:val="000000"/>
                <w:sz w:val="18"/>
                <w:szCs w:val="18"/>
              </w:rPr>
              <w:t>424,150</w:t>
            </w:r>
          </w:p>
        </w:tc>
        <w:tc>
          <w:tcPr>
            <w:tcW w:w="50" w:type="pct"/>
            <w:shd w:val="clear" w:color="auto" w:fill="CFF0FC"/>
            <w:noWrap/>
            <w:tcMar>
              <w:top w:w="15" w:type="dxa"/>
              <w:left w:w="0" w:type="dxa"/>
              <w:bottom w:w="0" w:type="dxa"/>
              <w:right w:w="15" w:type="dxa"/>
            </w:tcMar>
            <w:vAlign w:val="bottom"/>
            <w:hideMark/>
          </w:tcPr>
          <w:p w14:paraId="5E08B9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0FB3B9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F277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7CD0CF27" w14:textId="77777777" w:rsidR="00000000" w:rsidRDefault="00582324">
            <w:pPr>
              <w:pStyle w:val="a3"/>
              <w:spacing w:before="0" w:beforeAutospacing="0" w:after="0" w:afterAutospacing="0"/>
              <w:jc w:val="right"/>
              <w:rPr>
                <w:color w:val="000000"/>
                <w:sz w:val="18"/>
                <w:szCs w:val="18"/>
              </w:rPr>
            </w:pPr>
            <w:r>
              <w:rPr>
                <w:color w:val="000000"/>
                <w:sz w:val="18"/>
                <w:szCs w:val="18"/>
              </w:rPr>
              <w:t>7.28</w:t>
            </w:r>
          </w:p>
        </w:tc>
        <w:tc>
          <w:tcPr>
            <w:tcW w:w="50" w:type="pct"/>
            <w:shd w:val="clear" w:color="auto" w:fill="CFF0FC"/>
            <w:noWrap/>
            <w:tcMar>
              <w:top w:w="15" w:type="dxa"/>
              <w:left w:w="0" w:type="dxa"/>
              <w:bottom w:w="0" w:type="dxa"/>
              <w:right w:w="15" w:type="dxa"/>
            </w:tcMar>
            <w:vAlign w:val="bottom"/>
            <w:hideMark/>
          </w:tcPr>
          <w:p w14:paraId="71A804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55CC18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DA17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76B2645F" w14:textId="77777777" w:rsidR="00000000" w:rsidRDefault="00582324">
            <w:pPr>
              <w:pStyle w:val="a3"/>
              <w:spacing w:before="0" w:beforeAutospacing="0" w:after="0" w:afterAutospacing="0"/>
              <w:jc w:val="right"/>
              <w:rPr>
                <w:color w:val="000000"/>
                <w:sz w:val="18"/>
                <w:szCs w:val="18"/>
              </w:rPr>
            </w:pPr>
            <w:r>
              <w:rPr>
                <w:color w:val="000000"/>
                <w:sz w:val="18"/>
                <w:szCs w:val="18"/>
              </w:rPr>
              <w:t>3,086</w:t>
            </w:r>
          </w:p>
        </w:tc>
        <w:tc>
          <w:tcPr>
            <w:tcW w:w="50" w:type="pct"/>
            <w:shd w:val="clear" w:color="auto" w:fill="CFF0FC"/>
            <w:noWrap/>
            <w:tcMar>
              <w:top w:w="15" w:type="dxa"/>
              <w:left w:w="0" w:type="dxa"/>
              <w:bottom w:w="0" w:type="dxa"/>
              <w:right w:w="15" w:type="dxa"/>
            </w:tcMar>
            <w:vAlign w:val="bottom"/>
            <w:hideMark/>
          </w:tcPr>
          <w:p w14:paraId="34C181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7EA067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BC41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531968EB" w14:textId="77777777" w:rsidR="00000000" w:rsidRDefault="00582324">
            <w:pPr>
              <w:pStyle w:val="a3"/>
              <w:spacing w:before="0" w:beforeAutospacing="0" w:after="0" w:afterAutospacing="0"/>
              <w:jc w:val="right"/>
              <w:rPr>
                <w:color w:val="000000"/>
                <w:sz w:val="18"/>
                <w:szCs w:val="18"/>
              </w:rPr>
            </w:pPr>
            <w:r>
              <w:rPr>
                <w:color w:val="000000"/>
                <w:sz w:val="18"/>
                <w:szCs w:val="18"/>
              </w:rPr>
              <w:t>3,500</w:t>
            </w:r>
          </w:p>
        </w:tc>
        <w:tc>
          <w:tcPr>
            <w:tcW w:w="50" w:type="pct"/>
            <w:shd w:val="clear" w:color="auto" w:fill="CFF0FC"/>
            <w:noWrap/>
            <w:tcMar>
              <w:top w:w="15" w:type="dxa"/>
              <w:left w:w="0" w:type="dxa"/>
              <w:bottom w:w="0" w:type="dxa"/>
              <w:right w:w="15" w:type="dxa"/>
            </w:tcMar>
            <w:vAlign w:val="bottom"/>
            <w:hideMark/>
          </w:tcPr>
          <w:p w14:paraId="10DAD2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35C06A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1BB7E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00EE86CD" w14:textId="77777777" w:rsidR="00000000" w:rsidRDefault="00582324">
            <w:pPr>
              <w:pStyle w:val="a3"/>
              <w:spacing w:before="0" w:beforeAutospacing="0" w:after="0" w:afterAutospacing="0"/>
              <w:jc w:val="right"/>
              <w:rPr>
                <w:color w:val="000000"/>
                <w:sz w:val="18"/>
                <w:szCs w:val="18"/>
              </w:rPr>
            </w:pPr>
            <w:r>
              <w:rPr>
                <w:color w:val="000000"/>
                <w:sz w:val="18"/>
                <w:szCs w:val="18"/>
              </w:rPr>
              <w:t>6.03</w:t>
            </w:r>
          </w:p>
        </w:tc>
        <w:tc>
          <w:tcPr>
            <w:tcW w:w="50" w:type="pct"/>
            <w:shd w:val="clear" w:color="auto" w:fill="CFF0FC"/>
            <w:noWrap/>
            <w:tcMar>
              <w:top w:w="15" w:type="dxa"/>
              <w:left w:w="0" w:type="dxa"/>
              <w:bottom w:w="0" w:type="dxa"/>
              <w:right w:w="15" w:type="dxa"/>
            </w:tcMar>
            <w:vAlign w:val="bottom"/>
            <w:hideMark/>
          </w:tcPr>
          <w:p w14:paraId="59B620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3B0865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C325B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42F1A333" w14:textId="77777777" w:rsidR="00000000" w:rsidRDefault="00582324">
            <w:pPr>
              <w:pStyle w:val="a3"/>
              <w:spacing w:before="0" w:beforeAutospacing="0" w:after="0" w:afterAutospacing="0"/>
              <w:jc w:val="right"/>
              <w:rPr>
                <w:color w:val="000000"/>
                <w:sz w:val="18"/>
                <w:szCs w:val="18"/>
              </w:rPr>
            </w:pPr>
            <w:r>
              <w:rPr>
                <w:color w:val="000000"/>
                <w:sz w:val="18"/>
                <w:szCs w:val="18"/>
              </w:rPr>
              <w:t>21</w:t>
            </w:r>
          </w:p>
        </w:tc>
        <w:tc>
          <w:tcPr>
            <w:tcW w:w="50" w:type="pct"/>
            <w:shd w:val="clear" w:color="auto" w:fill="CFF0FC"/>
            <w:noWrap/>
            <w:tcMar>
              <w:top w:w="15" w:type="dxa"/>
              <w:left w:w="0" w:type="dxa"/>
              <w:bottom w:w="0" w:type="dxa"/>
              <w:right w:w="15" w:type="dxa"/>
            </w:tcMar>
            <w:vAlign w:val="bottom"/>
            <w:hideMark/>
          </w:tcPr>
          <w:p w14:paraId="4B0EBD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0F871AD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CB94C21" w14:textId="77777777">
        <w:trPr>
          <w:divId w:val="534654970"/>
        </w:trPr>
        <w:tc>
          <w:tcPr>
            <w:tcW w:w="1114" w:type="pct"/>
            <w:shd w:val="clear" w:color="auto" w:fill="FFFFFF"/>
            <w:tcMar>
              <w:top w:w="15" w:type="dxa"/>
              <w:left w:w="0" w:type="dxa"/>
              <w:bottom w:w="0" w:type="dxa"/>
              <w:right w:w="15" w:type="dxa"/>
            </w:tcMar>
            <w:hideMark/>
          </w:tcPr>
          <w:p w14:paraId="13D40C56" w14:textId="77777777" w:rsidR="00000000" w:rsidRDefault="00582324">
            <w:pPr>
              <w:pStyle w:val="a3"/>
              <w:spacing w:before="0" w:beforeAutospacing="0" w:after="0" w:afterAutospacing="0"/>
              <w:rPr>
                <w:color w:val="000000"/>
                <w:sz w:val="18"/>
                <w:szCs w:val="18"/>
              </w:rPr>
            </w:pPr>
            <w:r>
              <w:rPr>
                <w:color w:val="000000"/>
                <w:sz w:val="18"/>
                <w:szCs w:val="18"/>
              </w:rPr>
              <w:t>Restricted shares, net</w:t>
            </w:r>
          </w:p>
        </w:tc>
        <w:tc>
          <w:tcPr>
            <w:tcW w:w="50" w:type="pct"/>
            <w:shd w:val="clear" w:color="auto" w:fill="FFFFFF"/>
            <w:noWrap/>
            <w:tcMar>
              <w:top w:w="15" w:type="dxa"/>
              <w:left w:w="0" w:type="dxa"/>
              <w:bottom w:w="0" w:type="dxa"/>
              <w:right w:w="15" w:type="dxa"/>
            </w:tcMar>
            <w:vAlign w:val="bottom"/>
            <w:hideMark/>
          </w:tcPr>
          <w:p w14:paraId="48EA0E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56331EEC" w14:textId="77777777" w:rsidR="00000000" w:rsidRDefault="00582324">
            <w:pPr>
              <w:pStyle w:val="a3"/>
              <w:spacing w:before="0" w:beforeAutospacing="0" w:after="0" w:afterAutospacing="0"/>
              <w:jc w:val="right"/>
              <w:rPr>
                <w:color w:val="000000"/>
                <w:sz w:val="18"/>
                <w:szCs w:val="18"/>
              </w:rPr>
            </w:pPr>
            <w:r>
              <w:rPr>
                <w:color w:val="000000"/>
                <w:sz w:val="18"/>
                <w:szCs w:val="18"/>
              </w:rPr>
              <w:t>38,929</w:t>
            </w:r>
          </w:p>
        </w:tc>
        <w:tc>
          <w:tcPr>
            <w:tcW w:w="50" w:type="pct"/>
            <w:shd w:val="clear" w:color="auto" w:fill="FFFFFF"/>
            <w:noWrap/>
            <w:tcMar>
              <w:top w:w="15" w:type="dxa"/>
              <w:left w:w="0" w:type="dxa"/>
              <w:bottom w:w="0" w:type="dxa"/>
              <w:right w:w="15" w:type="dxa"/>
            </w:tcMar>
            <w:vAlign w:val="bottom"/>
            <w:hideMark/>
          </w:tcPr>
          <w:p w14:paraId="02362F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3BA03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3116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70410DEB" w14:textId="77777777" w:rsidR="00000000" w:rsidRDefault="00582324">
            <w:pPr>
              <w:pStyle w:val="a3"/>
              <w:spacing w:before="0" w:beforeAutospacing="0" w:after="0" w:afterAutospacing="0"/>
              <w:jc w:val="right"/>
              <w:rPr>
                <w:color w:val="000000"/>
                <w:sz w:val="18"/>
                <w:szCs w:val="18"/>
              </w:rPr>
            </w:pPr>
            <w:r>
              <w:rPr>
                <w:color w:val="000000"/>
                <w:sz w:val="18"/>
                <w:szCs w:val="18"/>
              </w:rPr>
              <w:t>31.31</w:t>
            </w:r>
          </w:p>
        </w:tc>
        <w:tc>
          <w:tcPr>
            <w:tcW w:w="50" w:type="pct"/>
            <w:shd w:val="clear" w:color="auto" w:fill="FFFFFF"/>
            <w:noWrap/>
            <w:tcMar>
              <w:top w:w="15" w:type="dxa"/>
              <w:left w:w="0" w:type="dxa"/>
              <w:bottom w:w="0" w:type="dxa"/>
              <w:right w:w="15" w:type="dxa"/>
            </w:tcMar>
            <w:vAlign w:val="bottom"/>
            <w:hideMark/>
          </w:tcPr>
          <w:p w14:paraId="0ABFED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0016E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FE2D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1F374DC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7AEBC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58A2C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CE35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11F0305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67C02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E807F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ABB9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FFFFFF"/>
            <w:noWrap/>
            <w:tcMar>
              <w:top w:w="15" w:type="dxa"/>
              <w:left w:w="0" w:type="dxa"/>
              <w:bottom w:w="0" w:type="dxa"/>
              <w:right w:w="15" w:type="dxa"/>
            </w:tcMar>
            <w:vAlign w:val="bottom"/>
            <w:hideMark/>
          </w:tcPr>
          <w:p w14:paraId="50FDB71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06610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6A13B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27C77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C0726E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96C08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085166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5B60BED" w14:textId="77777777">
        <w:trPr>
          <w:divId w:val="534654970"/>
        </w:trPr>
        <w:tc>
          <w:tcPr>
            <w:tcW w:w="1114" w:type="pct"/>
            <w:shd w:val="clear" w:color="auto" w:fill="CFF0FC"/>
            <w:tcMar>
              <w:top w:w="15" w:type="dxa"/>
              <w:left w:w="0" w:type="dxa"/>
              <w:bottom w:w="0" w:type="dxa"/>
              <w:right w:w="15" w:type="dxa"/>
            </w:tcMar>
            <w:hideMark/>
          </w:tcPr>
          <w:p w14:paraId="3BAA583E" w14:textId="77777777" w:rsidR="00000000" w:rsidRDefault="00582324">
            <w:pPr>
              <w:pStyle w:val="a3"/>
              <w:spacing w:before="0" w:beforeAutospacing="0" w:after="0" w:afterAutospacing="0"/>
              <w:rPr>
                <w:color w:val="000000"/>
                <w:sz w:val="18"/>
                <w:szCs w:val="18"/>
              </w:rPr>
            </w:pPr>
            <w:r>
              <w:rPr>
                <w:color w:val="000000"/>
                <w:sz w:val="18"/>
                <w:szCs w:val="18"/>
              </w:rPr>
              <w:t>Payment of earn-out liability</w:t>
            </w:r>
          </w:p>
        </w:tc>
        <w:tc>
          <w:tcPr>
            <w:tcW w:w="50" w:type="pct"/>
            <w:shd w:val="clear" w:color="auto" w:fill="CFF0FC"/>
            <w:noWrap/>
            <w:tcMar>
              <w:top w:w="15" w:type="dxa"/>
              <w:left w:w="0" w:type="dxa"/>
              <w:bottom w:w="0" w:type="dxa"/>
              <w:right w:w="15" w:type="dxa"/>
            </w:tcMar>
            <w:vAlign w:val="bottom"/>
            <w:hideMark/>
          </w:tcPr>
          <w:p w14:paraId="1108281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00F6C92F" w14:textId="77777777" w:rsidR="00000000" w:rsidRDefault="00582324">
            <w:pPr>
              <w:pStyle w:val="a3"/>
              <w:spacing w:before="0" w:beforeAutospacing="0" w:after="0" w:afterAutospacing="0"/>
              <w:jc w:val="right"/>
              <w:rPr>
                <w:color w:val="000000"/>
                <w:sz w:val="18"/>
                <w:szCs w:val="18"/>
              </w:rPr>
            </w:pPr>
            <w:r>
              <w:rPr>
                <w:color w:val="000000"/>
                <w:sz w:val="18"/>
                <w:szCs w:val="18"/>
              </w:rPr>
              <w:t>539,607</w:t>
            </w:r>
          </w:p>
        </w:tc>
        <w:tc>
          <w:tcPr>
            <w:tcW w:w="50" w:type="pct"/>
            <w:shd w:val="clear" w:color="auto" w:fill="CFF0FC"/>
            <w:noWrap/>
            <w:tcMar>
              <w:top w:w="15" w:type="dxa"/>
              <w:left w:w="0" w:type="dxa"/>
              <w:bottom w:w="0" w:type="dxa"/>
              <w:right w:w="15" w:type="dxa"/>
            </w:tcMar>
            <w:vAlign w:val="bottom"/>
            <w:hideMark/>
          </w:tcPr>
          <w:p w14:paraId="1690C6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B2944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92A6E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3BD53A76" w14:textId="77777777" w:rsidR="00000000" w:rsidRDefault="00582324">
            <w:pPr>
              <w:pStyle w:val="a3"/>
              <w:spacing w:before="0" w:beforeAutospacing="0" w:after="0" w:afterAutospacing="0"/>
              <w:jc w:val="right"/>
              <w:rPr>
                <w:color w:val="000000"/>
                <w:sz w:val="18"/>
                <w:szCs w:val="18"/>
              </w:rPr>
            </w:pPr>
            <w:r>
              <w:rPr>
                <w:color w:val="000000"/>
                <w:sz w:val="18"/>
                <w:szCs w:val="18"/>
              </w:rPr>
              <w:t>46.33</w:t>
            </w:r>
          </w:p>
        </w:tc>
        <w:tc>
          <w:tcPr>
            <w:tcW w:w="50" w:type="pct"/>
            <w:shd w:val="clear" w:color="auto" w:fill="CFF0FC"/>
            <w:noWrap/>
            <w:tcMar>
              <w:top w:w="15" w:type="dxa"/>
              <w:left w:w="0" w:type="dxa"/>
              <w:bottom w:w="0" w:type="dxa"/>
              <w:right w:w="15" w:type="dxa"/>
            </w:tcMar>
            <w:vAlign w:val="bottom"/>
            <w:hideMark/>
          </w:tcPr>
          <w:p w14:paraId="7E30A2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2ACB56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C203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0F01BD28" w14:textId="77777777" w:rsidR="00000000" w:rsidRDefault="00582324">
            <w:pPr>
              <w:pStyle w:val="a3"/>
              <w:spacing w:before="0" w:beforeAutospacing="0" w:after="0" w:afterAutospacing="0"/>
              <w:jc w:val="right"/>
              <w:rPr>
                <w:color w:val="000000"/>
                <w:sz w:val="18"/>
                <w:szCs w:val="18"/>
              </w:rPr>
            </w:pPr>
            <w:r>
              <w:rPr>
                <w:color w:val="000000"/>
                <w:sz w:val="18"/>
                <w:szCs w:val="18"/>
              </w:rPr>
              <w:t>25,000</w:t>
            </w:r>
          </w:p>
        </w:tc>
        <w:tc>
          <w:tcPr>
            <w:tcW w:w="50" w:type="pct"/>
            <w:shd w:val="clear" w:color="auto" w:fill="CFF0FC"/>
            <w:noWrap/>
            <w:tcMar>
              <w:top w:w="15" w:type="dxa"/>
              <w:left w:w="0" w:type="dxa"/>
              <w:bottom w:w="0" w:type="dxa"/>
              <w:right w:w="15" w:type="dxa"/>
            </w:tcMar>
            <w:vAlign w:val="bottom"/>
            <w:hideMark/>
          </w:tcPr>
          <w:p w14:paraId="50C264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C88DD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AAF2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6E16CB6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B850C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3A3790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AFFE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shd w:val="clear" w:color="auto" w:fill="CFF0FC"/>
            <w:noWrap/>
            <w:tcMar>
              <w:top w:w="15" w:type="dxa"/>
              <w:left w:w="0" w:type="dxa"/>
              <w:bottom w:w="0" w:type="dxa"/>
              <w:right w:w="15" w:type="dxa"/>
            </w:tcMar>
            <w:vAlign w:val="bottom"/>
            <w:hideMark/>
          </w:tcPr>
          <w:p w14:paraId="7AB8F4F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499EE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05099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F2A95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4FBB617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296BE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C0C0F5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B4C27A1" w14:textId="77777777">
        <w:trPr>
          <w:divId w:val="534654970"/>
        </w:trPr>
        <w:tc>
          <w:tcPr>
            <w:tcW w:w="1114" w:type="pct"/>
            <w:shd w:val="clear" w:color="auto" w:fill="FFFFFF"/>
            <w:tcMar>
              <w:top w:w="15" w:type="dxa"/>
              <w:left w:w="0" w:type="dxa"/>
              <w:bottom w:w="0" w:type="dxa"/>
              <w:right w:w="15" w:type="dxa"/>
            </w:tcMar>
            <w:hideMark/>
          </w:tcPr>
          <w:p w14:paraId="33F42BDC" w14:textId="77777777" w:rsidR="00000000" w:rsidRDefault="00582324">
            <w:pPr>
              <w:pStyle w:val="a3"/>
              <w:spacing w:before="0" w:beforeAutospacing="0" w:after="0" w:afterAutospacing="0"/>
              <w:rPr>
                <w:color w:val="000000"/>
                <w:sz w:val="18"/>
                <w:szCs w:val="18"/>
              </w:rPr>
            </w:pPr>
            <w:r>
              <w:rPr>
                <w:color w:val="000000"/>
                <w:sz w:val="18"/>
                <w:szCs w:val="18"/>
              </w:rPr>
              <w:t>Payment of purchase price true up</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4369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14:paraId="6A35C6ED" w14:textId="77777777" w:rsidR="00000000" w:rsidRDefault="00582324">
            <w:pPr>
              <w:pStyle w:val="a3"/>
              <w:spacing w:before="0" w:beforeAutospacing="0" w:after="0" w:afterAutospacing="0"/>
              <w:jc w:val="right"/>
              <w:rPr>
                <w:color w:val="000000"/>
                <w:sz w:val="18"/>
                <w:szCs w:val="18"/>
              </w:rPr>
            </w:pPr>
            <w:r>
              <w:rPr>
                <w:color w:val="000000"/>
                <w:sz w:val="18"/>
                <w:szCs w:val="18"/>
              </w:rPr>
              <w:t>24,200</w:t>
            </w:r>
          </w:p>
        </w:tc>
        <w:tc>
          <w:tcPr>
            <w:tcW w:w="50" w:type="pct"/>
            <w:shd w:val="clear" w:color="auto" w:fill="FFFFFF"/>
            <w:noWrap/>
            <w:tcMar>
              <w:top w:w="15" w:type="dxa"/>
              <w:left w:w="0" w:type="dxa"/>
              <w:bottom w:w="0" w:type="dxa"/>
              <w:right w:w="15" w:type="dxa"/>
            </w:tcMar>
            <w:vAlign w:val="bottom"/>
            <w:hideMark/>
          </w:tcPr>
          <w:p w14:paraId="2C1D57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CB1B3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510F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14:paraId="68CB7696" w14:textId="77777777" w:rsidR="00000000" w:rsidRDefault="00582324">
            <w:pPr>
              <w:pStyle w:val="a3"/>
              <w:spacing w:before="0" w:beforeAutospacing="0" w:after="0" w:afterAutospacing="0"/>
              <w:jc w:val="right"/>
              <w:rPr>
                <w:color w:val="000000"/>
                <w:sz w:val="18"/>
                <w:szCs w:val="18"/>
              </w:rPr>
            </w:pPr>
            <w:r>
              <w:rPr>
                <w:color w:val="000000"/>
                <w:sz w:val="18"/>
                <w:szCs w:val="18"/>
              </w:rPr>
              <w:t>44.81</w:t>
            </w:r>
          </w:p>
        </w:tc>
        <w:tc>
          <w:tcPr>
            <w:tcW w:w="50" w:type="pct"/>
            <w:shd w:val="clear" w:color="auto" w:fill="FFFFFF"/>
            <w:noWrap/>
            <w:tcMar>
              <w:top w:w="15" w:type="dxa"/>
              <w:left w:w="0" w:type="dxa"/>
              <w:bottom w:w="0" w:type="dxa"/>
              <w:right w:w="15" w:type="dxa"/>
            </w:tcMar>
            <w:vAlign w:val="bottom"/>
            <w:hideMark/>
          </w:tcPr>
          <w:p w14:paraId="60914C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412A2B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DA5A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18D5559F" w14:textId="77777777" w:rsidR="00000000" w:rsidRDefault="00582324">
            <w:pPr>
              <w:pStyle w:val="a3"/>
              <w:spacing w:before="0" w:beforeAutospacing="0" w:after="0" w:afterAutospacing="0"/>
              <w:jc w:val="right"/>
              <w:rPr>
                <w:color w:val="000000"/>
                <w:sz w:val="18"/>
                <w:szCs w:val="18"/>
              </w:rPr>
            </w:pPr>
            <w:r>
              <w:rPr>
                <w:color w:val="000000"/>
                <w:sz w:val="18"/>
                <w:szCs w:val="18"/>
              </w:rPr>
              <w:t>1,084</w:t>
            </w:r>
          </w:p>
        </w:tc>
        <w:tc>
          <w:tcPr>
            <w:tcW w:w="50" w:type="pct"/>
            <w:shd w:val="clear" w:color="auto" w:fill="FFFFFF"/>
            <w:noWrap/>
            <w:tcMar>
              <w:top w:w="15" w:type="dxa"/>
              <w:left w:w="0" w:type="dxa"/>
              <w:bottom w:w="0" w:type="dxa"/>
              <w:right w:w="15" w:type="dxa"/>
            </w:tcMar>
            <w:vAlign w:val="bottom"/>
            <w:hideMark/>
          </w:tcPr>
          <w:p w14:paraId="4B4286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220AA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2F78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14:paraId="1A20EDB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C4B9F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7C3B89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30943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14:paraId="657EF1A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20A3D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DF4DE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FED3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7C13332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79F60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84F751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4EA52D7" w14:textId="77777777">
        <w:trPr>
          <w:divId w:val="534654970"/>
        </w:trPr>
        <w:tc>
          <w:tcPr>
            <w:tcW w:w="1114" w:type="pct"/>
            <w:shd w:val="clear" w:color="auto" w:fill="CFF0FC"/>
            <w:tcMar>
              <w:top w:w="15" w:type="dxa"/>
              <w:left w:w="0" w:type="dxa"/>
              <w:bottom w:w="0" w:type="dxa"/>
              <w:right w:w="15" w:type="dxa"/>
            </w:tcMar>
            <w:hideMark/>
          </w:tcPr>
          <w:p w14:paraId="63994CBD" w14:textId="77777777" w:rsidR="00000000" w:rsidRDefault="00582324">
            <w:pPr>
              <w:pStyle w:val="a3"/>
              <w:spacing w:before="0" w:beforeAutospacing="0" w:after="0" w:afterAutospacing="0"/>
              <w:rPr>
                <w:b/>
                <w:bCs/>
                <w:color w:val="000000"/>
                <w:sz w:val="18"/>
                <w:szCs w:val="18"/>
              </w:rPr>
            </w:pPr>
            <w:r>
              <w:rPr>
                <w:b/>
                <w:bCs/>
                <w:color w:val="000000"/>
                <w:sz w:val="18"/>
                <w:szCs w:val="18"/>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21D53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FE5230"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1,175,661</w:t>
            </w:r>
          </w:p>
        </w:tc>
        <w:tc>
          <w:tcPr>
            <w:tcW w:w="50" w:type="pct"/>
            <w:shd w:val="clear" w:color="auto" w:fill="CFF0FC"/>
            <w:noWrap/>
            <w:tcMar>
              <w:top w:w="15" w:type="dxa"/>
              <w:left w:w="0" w:type="dxa"/>
              <w:bottom w:w="0" w:type="dxa"/>
              <w:right w:w="15" w:type="dxa"/>
            </w:tcMar>
            <w:vAlign w:val="bottom"/>
            <w:hideMark/>
          </w:tcPr>
          <w:p w14:paraId="56A3CAC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64A7689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6383E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C90199"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29.17</w:t>
            </w:r>
          </w:p>
        </w:tc>
        <w:tc>
          <w:tcPr>
            <w:tcW w:w="50" w:type="pct"/>
            <w:shd w:val="clear" w:color="auto" w:fill="CFF0FC"/>
            <w:noWrap/>
            <w:tcMar>
              <w:top w:w="15" w:type="dxa"/>
              <w:left w:w="0" w:type="dxa"/>
              <w:bottom w:w="0" w:type="dxa"/>
              <w:right w:w="15" w:type="dxa"/>
            </w:tcMar>
            <w:vAlign w:val="bottom"/>
            <w:hideMark/>
          </w:tcPr>
          <w:p w14:paraId="1B4F370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48FDF4D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A6768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52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1F03FE"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31,916</w:t>
            </w:r>
          </w:p>
        </w:tc>
        <w:tc>
          <w:tcPr>
            <w:tcW w:w="50" w:type="pct"/>
            <w:shd w:val="clear" w:color="auto" w:fill="CFF0FC"/>
            <w:noWrap/>
            <w:tcMar>
              <w:top w:w="15" w:type="dxa"/>
              <w:left w:w="0" w:type="dxa"/>
              <w:bottom w:w="0" w:type="dxa"/>
              <w:right w:w="15" w:type="dxa"/>
            </w:tcMar>
            <w:vAlign w:val="bottom"/>
            <w:hideMark/>
          </w:tcPr>
          <w:p w14:paraId="12E9226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14D8CDD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5E5CF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216D1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794,639</w:t>
            </w:r>
          </w:p>
        </w:tc>
        <w:tc>
          <w:tcPr>
            <w:tcW w:w="50" w:type="pct"/>
            <w:shd w:val="clear" w:color="auto" w:fill="CFF0FC"/>
            <w:noWrap/>
            <w:tcMar>
              <w:top w:w="15" w:type="dxa"/>
              <w:left w:w="0" w:type="dxa"/>
              <w:bottom w:w="0" w:type="dxa"/>
              <w:right w:w="15" w:type="dxa"/>
            </w:tcMar>
            <w:vAlign w:val="bottom"/>
            <w:hideMark/>
          </w:tcPr>
          <w:p w14:paraId="3C62BA6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32962AA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F03B90"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29E1C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31.49</w:t>
            </w:r>
          </w:p>
        </w:tc>
        <w:tc>
          <w:tcPr>
            <w:tcW w:w="50" w:type="pct"/>
            <w:shd w:val="clear" w:color="auto" w:fill="CFF0FC"/>
            <w:noWrap/>
            <w:tcMar>
              <w:top w:w="15" w:type="dxa"/>
              <w:left w:w="0" w:type="dxa"/>
              <w:bottom w:w="0" w:type="dxa"/>
              <w:right w:w="15" w:type="dxa"/>
            </w:tcMar>
            <w:vAlign w:val="bottom"/>
            <w:hideMark/>
          </w:tcPr>
          <w:p w14:paraId="5DC82AD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631FA0B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6571EF"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52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D0B56B"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25,021</w:t>
            </w:r>
          </w:p>
        </w:tc>
        <w:tc>
          <w:tcPr>
            <w:tcW w:w="50" w:type="pct"/>
            <w:shd w:val="clear" w:color="auto" w:fill="CFF0FC"/>
            <w:noWrap/>
            <w:tcMar>
              <w:top w:w="15" w:type="dxa"/>
              <w:left w:w="0" w:type="dxa"/>
              <w:bottom w:w="0" w:type="dxa"/>
              <w:right w:w="15" w:type="dxa"/>
            </w:tcMar>
            <w:vAlign w:val="bottom"/>
            <w:hideMark/>
          </w:tcPr>
          <w:p w14:paraId="3ECC8A4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CFF0FC"/>
            <w:tcMar>
              <w:top w:w="15" w:type="dxa"/>
              <w:left w:w="0" w:type="dxa"/>
              <w:bottom w:w="0" w:type="dxa"/>
              <w:right w:w="15" w:type="dxa"/>
            </w:tcMar>
            <w:vAlign w:val="bottom"/>
            <w:hideMark/>
          </w:tcPr>
          <w:p w14:paraId="47E2DAA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B30E572" w14:textId="77777777">
        <w:trPr>
          <w:divId w:val="534654970"/>
        </w:trPr>
        <w:tc>
          <w:tcPr>
            <w:tcW w:w="1114" w:type="pct"/>
            <w:shd w:val="clear" w:color="auto" w:fill="FFFFFF"/>
            <w:tcMar>
              <w:top w:w="15" w:type="dxa"/>
              <w:left w:w="0" w:type="dxa"/>
              <w:bottom w:w="0" w:type="dxa"/>
              <w:right w:w="15" w:type="dxa"/>
            </w:tcMar>
            <w:vAlign w:val="bottom"/>
            <w:hideMark/>
          </w:tcPr>
          <w:p w14:paraId="0C78E1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477FA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59D6C1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C8B6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51F04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2036B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384CEEC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70E9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8B466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BBBEA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131DFC9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6F28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437B6B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0D408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11567F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774D5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01DEE8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F795F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9" w:type="pct"/>
            <w:tcBorders>
              <w:top w:val="double" w:sz="6" w:space="0" w:color="000000"/>
            </w:tcBorders>
            <w:shd w:val="clear" w:color="auto" w:fill="FFFFFF"/>
            <w:noWrap/>
            <w:tcMar>
              <w:top w:w="15" w:type="dxa"/>
              <w:left w:w="0" w:type="dxa"/>
              <w:bottom w:w="0" w:type="dxa"/>
              <w:right w:w="15" w:type="dxa"/>
            </w:tcMar>
            <w:vAlign w:val="bottom"/>
            <w:hideMark/>
          </w:tcPr>
          <w:p w14:paraId="4E3FE9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4EB40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00D04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E6941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4701B59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9F6A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29B6F710"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DDF2EF0" w14:textId="77777777" w:rsidR="00000000" w:rsidRDefault="00582324">
      <w:pPr>
        <w:pStyle w:val="a3"/>
        <w:shd w:val="clear" w:color="auto" w:fill="FFFFFF"/>
        <w:spacing w:before="0" w:beforeAutospacing="0" w:after="0" w:afterAutospacing="0"/>
        <w:rPr>
          <w:b/>
          <w:bCs/>
          <w:sz w:val="20"/>
          <w:szCs w:val="20"/>
        </w:rPr>
      </w:pPr>
      <w:r>
        <w:rPr>
          <w:b/>
          <w:bCs/>
          <w:sz w:val="20"/>
          <w:szCs w:val="20"/>
        </w:rPr>
        <w:t> </w:t>
      </w:r>
    </w:p>
    <w:p w14:paraId="06189604" w14:textId="77777777" w:rsidR="00000000" w:rsidRDefault="00582324">
      <w:pPr>
        <w:pStyle w:val="a3"/>
        <w:shd w:val="clear" w:color="auto" w:fill="FFFFFF"/>
        <w:spacing w:before="40" w:beforeAutospacing="0" w:after="0" w:afterAutospacing="0"/>
        <w:ind w:firstLine="416"/>
        <w:rPr>
          <w:b/>
          <w:bCs/>
          <w:sz w:val="20"/>
          <w:szCs w:val="20"/>
        </w:rPr>
      </w:pPr>
      <w:r>
        <w:rPr>
          <w:b/>
          <w:bCs/>
          <w:sz w:val="20"/>
          <w:szCs w:val="20"/>
        </w:rPr>
        <w:t>Employee Equity Incentive Plans</w:t>
      </w:r>
      <w:r>
        <w:rPr>
          <w:sz w:val="20"/>
          <w:szCs w:val="20"/>
        </w:rPr>
        <w:t xml:space="preserve">—The Company has two plans under which stock-based awards have been issued: (i) the Montrose Amended &amp; Restated 2017 Stock Incentive Plan </w:t>
      </w:r>
      <w:r>
        <w:rPr>
          <w:sz w:val="20"/>
          <w:szCs w:val="20"/>
        </w:rPr>
        <w:t>(“2017 Plan”) and (ii) the Montrose Amended &amp; Restated 2013 Stock Option Plan (“2013 Plan”) (collectively the “Plans”).</w:t>
      </w:r>
    </w:p>
    <w:p w14:paraId="783FCF59" w14:textId="77777777" w:rsidR="00000000" w:rsidRDefault="00582324">
      <w:pPr>
        <w:pStyle w:val="a3"/>
        <w:shd w:val="clear" w:color="auto" w:fill="FFFFFF"/>
        <w:spacing w:before="240" w:beforeAutospacing="0" w:after="0" w:afterAutospacing="0"/>
        <w:ind w:firstLine="416"/>
        <w:rPr>
          <w:sz w:val="20"/>
          <w:szCs w:val="20"/>
        </w:rPr>
      </w:pPr>
      <w:r>
        <w:rPr>
          <w:sz w:val="20"/>
          <w:szCs w:val="20"/>
        </w:rPr>
        <w:t xml:space="preserve">As of June 30, 2021 and June 30, 2020, there was $16.4 million and $6.5 million, respectively, of total unrecognized stock compensation </w:t>
      </w:r>
      <w:r>
        <w:rPr>
          <w:sz w:val="20"/>
          <w:szCs w:val="20"/>
        </w:rPr>
        <w:t xml:space="preserve">expense related to unvested options and restricted stock granted under the Plans. Such unrecognized expense is expected to be recognized over </w:t>
      </w:r>
      <w:r>
        <w:rPr>
          <w:color w:val="000000"/>
          <w:sz w:val="20"/>
          <w:szCs w:val="20"/>
          <w:shd w:val="clear" w:color="auto" w:fill="FFFFFF"/>
        </w:rPr>
        <w:t>a weighted-average three year period</w:t>
      </w:r>
      <w:r>
        <w:rPr>
          <w:sz w:val="20"/>
          <w:szCs w:val="20"/>
        </w:rPr>
        <w:t>. The following number of shares were authorized to be issued and available fo</w:t>
      </w:r>
      <w:r>
        <w:rPr>
          <w:sz w:val="20"/>
          <w:szCs w:val="20"/>
        </w:rPr>
        <w:t>r grant:</w:t>
      </w:r>
    </w:p>
    <w:p w14:paraId="43027681" w14:textId="77777777" w:rsidR="00000000" w:rsidRDefault="00582324">
      <w:pPr>
        <w:pStyle w:val="a3"/>
        <w:shd w:val="clear" w:color="auto" w:fill="FFFFFF"/>
        <w:spacing w:before="0" w:beforeAutospacing="0" w:after="0" w:afterAutospacing="0"/>
      </w:pPr>
      <w:r>
        <w:t> </w:t>
      </w:r>
    </w:p>
    <w:tbl>
      <w:tblPr>
        <w:tblW w:w="4500" w:type="pct"/>
        <w:tblCellMar>
          <w:left w:w="0" w:type="dxa"/>
          <w:right w:w="0" w:type="dxa"/>
        </w:tblCellMar>
        <w:tblLook w:val="04A0" w:firstRow="1" w:lastRow="0" w:firstColumn="1" w:lastColumn="0" w:noHBand="0" w:noVBand="1"/>
      </w:tblPr>
      <w:tblGrid>
        <w:gridCol w:w="2519"/>
        <w:gridCol w:w="158"/>
        <w:gridCol w:w="75"/>
        <w:gridCol w:w="1343"/>
        <w:gridCol w:w="75"/>
        <w:gridCol w:w="158"/>
        <w:gridCol w:w="75"/>
        <w:gridCol w:w="1343"/>
        <w:gridCol w:w="75"/>
        <w:gridCol w:w="158"/>
        <w:gridCol w:w="75"/>
        <w:gridCol w:w="1346"/>
        <w:gridCol w:w="75"/>
      </w:tblGrid>
      <w:tr w:rsidR="00000000" w14:paraId="38FE59F8" w14:textId="77777777">
        <w:trPr>
          <w:divId w:val="884028164"/>
        </w:trPr>
        <w:tc>
          <w:tcPr>
            <w:tcW w:w="1685" w:type="pct"/>
            <w:shd w:val="clear" w:color="auto" w:fill="FFFFFF"/>
            <w:tcMar>
              <w:top w:w="15" w:type="dxa"/>
              <w:left w:w="0" w:type="dxa"/>
              <w:bottom w:w="0" w:type="dxa"/>
              <w:right w:w="15" w:type="dxa"/>
            </w:tcMar>
            <w:vAlign w:val="bottom"/>
            <w:hideMark/>
          </w:tcPr>
          <w:p w14:paraId="5088FF5D" w14:textId="77777777" w:rsidR="00000000" w:rsidRDefault="00582324">
            <w:pPr>
              <w:pStyle w:val="a3"/>
              <w:spacing w:before="0" w:beforeAutospacing="0" w:after="0" w:afterAutospacing="0"/>
              <w:jc w:val="center"/>
            </w:pPr>
            <w:r>
              <w:t> </w:t>
            </w:r>
          </w:p>
        </w:tc>
        <w:tc>
          <w:tcPr>
            <w:tcW w:w="106" w:type="pct"/>
            <w:shd w:val="clear" w:color="auto" w:fill="FFFFFF"/>
            <w:tcMar>
              <w:top w:w="15" w:type="dxa"/>
              <w:left w:w="0" w:type="dxa"/>
              <w:bottom w:w="0" w:type="dxa"/>
              <w:right w:w="15" w:type="dxa"/>
            </w:tcMar>
            <w:vAlign w:val="bottom"/>
            <w:hideMark/>
          </w:tcPr>
          <w:p w14:paraId="32B97E1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158" w:type="pct"/>
            <w:gridSpan w:val="10"/>
            <w:shd w:val="clear" w:color="auto" w:fill="FFFFFF"/>
            <w:tcMar>
              <w:top w:w="15" w:type="dxa"/>
              <w:left w:w="0" w:type="dxa"/>
              <w:bottom w:w="0" w:type="dxa"/>
              <w:right w:w="15" w:type="dxa"/>
            </w:tcMar>
            <w:vAlign w:val="bottom"/>
            <w:hideMark/>
          </w:tcPr>
          <w:p w14:paraId="1126C9A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2021</w:t>
            </w:r>
          </w:p>
        </w:tc>
        <w:tc>
          <w:tcPr>
            <w:tcW w:w="50" w:type="pct"/>
            <w:shd w:val="clear" w:color="auto" w:fill="FFFFFF"/>
            <w:noWrap/>
            <w:tcMar>
              <w:top w:w="15" w:type="dxa"/>
              <w:left w:w="0" w:type="dxa"/>
              <w:bottom w:w="0" w:type="dxa"/>
              <w:right w:w="15" w:type="dxa"/>
            </w:tcMar>
            <w:vAlign w:val="bottom"/>
            <w:hideMark/>
          </w:tcPr>
          <w:p w14:paraId="1813570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143B809" w14:textId="77777777">
        <w:trPr>
          <w:divId w:val="884028164"/>
        </w:trPr>
        <w:tc>
          <w:tcPr>
            <w:tcW w:w="1685" w:type="pct"/>
            <w:shd w:val="clear" w:color="auto" w:fill="FFFFFF"/>
            <w:tcMar>
              <w:top w:w="15" w:type="dxa"/>
              <w:left w:w="0" w:type="dxa"/>
              <w:bottom w:w="0" w:type="dxa"/>
              <w:right w:w="15" w:type="dxa"/>
            </w:tcMar>
            <w:vAlign w:val="bottom"/>
            <w:hideMark/>
          </w:tcPr>
          <w:p w14:paraId="10CE624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589DEA5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3387D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7CEFD9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187C3BF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14799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3988BAE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4D76A98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534F3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0312549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A072284" w14:textId="77777777">
        <w:trPr>
          <w:divId w:val="884028164"/>
        </w:trPr>
        <w:tc>
          <w:tcPr>
            <w:tcW w:w="1685" w:type="pct"/>
            <w:shd w:val="clear" w:color="auto" w:fill="CFF0FC"/>
            <w:tcMar>
              <w:top w:w="15" w:type="dxa"/>
              <w:left w:w="0" w:type="dxa"/>
              <w:bottom w:w="0" w:type="dxa"/>
              <w:right w:w="15" w:type="dxa"/>
            </w:tcMar>
            <w:hideMark/>
          </w:tcPr>
          <w:p w14:paraId="4DF81E4B" w14:textId="77777777" w:rsidR="00000000" w:rsidRDefault="00582324">
            <w:pPr>
              <w:pStyle w:val="a3"/>
              <w:spacing w:before="0" w:beforeAutospacing="0" w:after="0" w:afterAutospacing="0"/>
              <w:rPr>
                <w:color w:val="000000"/>
                <w:sz w:val="18"/>
                <w:szCs w:val="18"/>
              </w:rPr>
            </w:pPr>
            <w:r>
              <w:rPr>
                <w:color w:val="000000"/>
                <w:sz w:val="18"/>
                <w:szCs w:val="18"/>
              </w:rPr>
              <w:t>Shares authorized to be issued</w:t>
            </w:r>
          </w:p>
        </w:tc>
        <w:tc>
          <w:tcPr>
            <w:tcW w:w="106" w:type="pct"/>
            <w:shd w:val="clear" w:color="auto" w:fill="CFF0FC"/>
            <w:tcMar>
              <w:top w:w="15" w:type="dxa"/>
              <w:left w:w="0" w:type="dxa"/>
              <w:bottom w:w="0" w:type="dxa"/>
              <w:right w:w="15" w:type="dxa"/>
            </w:tcMar>
            <w:vAlign w:val="bottom"/>
            <w:hideMark/>
          </w:tcPr>
          <w:p w14:paraId="42AEF8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894E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2788837E" w14:textId="77777777" w:rsidR="00000000" w:rsidRDefault="00582324">
            <w:pPr>
              <w:pStyle w:val="a3"/>
              <w:spacing w:before="0" w:beforeAutospacing="0" w:after="0" w:afterAutospacing="0"/>
              <w:jc w:val="right"/>
              <w:rPr>
                <w:color w:val="000000"/>
                <w:sz w:val="18"/>
                <w:szCs w:val="18"/>
              </w:rPr>
            </w:pPr>
            <w:r>
              <w:rPr>
                <w:color w:val="000000"/>
                <w:sz w:val="18"/>
                <w:szCs w:val="18"/>
              </w:rPr>
              <w:t>3,944,750</w:t>
            </w:r>
          </w:p>
        </w:tc>
        <w:tc>
          <w:tcPr>
            <w:tcW w:w="50" w:type="pct"/>
            <w:shd w:val="clear" w:color="auto" w:fill="CFF0FC"/>
            <w:noWrap/>
            <w:tcMar>
              <w:top w:w="15" w:type="dxa"/>
              <w:left w:w="0" w:type="dxa"/>
              <w:bottom w:w="0" w:type="dxa"/>
              <w:right w:w="15" w:type="dxa"/>
            </w:tcMar>
            <w:vAlign w:val="bottom"/>
            <w:hideMark/>
          </w:tcPr>
          <w:p w14:paraId="3B2931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CFF0FC"/>
            <w:tcMar>
              <w:top w:w="15" w:type="dxa"/>
              <w:left w:w="0" w:type="dxa"/>
              <w:bottom w:w="0" w:type="dxa"/>
              <w:right w:w="15" w:type="dxa"/>
            </w:tcMar>
            <w:vAlign w:val="bottom"/>
            <w:hideMark/>
          </w:tcPr>
          <w:p w14:paraId="3653FC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0141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7E46166F" w14:textId="77777777" w:rsidR="00000000" w:rsidRDefault="00582324">
            <w:pPr>
              <w:pStyle w:val="a3"/>
              <w:spacing w:before="0" w:beforeAutospacing="0" w:after="0" w:afterAutospacing="0"/>
              <w:jc w:val="right"/>
              <w:rPr>
                <w:color w:val="000000"/>
                <w:sz w:val="18"/>
                <w:szCs w:val="18"/>
              </w:rPr>
            </w:pPr>
            <w:r>
              <w:rPr>
                <w:color w:val="000000"/>
                <w:sz w:val="18"/>
                <w:szCs w:val="18"/>
              </w:rPr>
              <w:t>2,047,269</w:t>
            </w:r>
          </w:p>
        </w:tc>
        <w:tc>
          <w:tcPr>
            <w:tcW w:w="50" w:type="pct"/>
            <w:shd w:val="clear" w:color="auto" w:fill="CFF0FC"/>
            <w:noWrap/>
            <w:tcMar>
              <w:top w:w="15" w:type="dxa"/>
              <w:left w:w="0" w:type="dxa"/>
              <w:bottom w:w="0" w:type="dxa"/>
              <w:right w:w="15" w:type="dxa"/>
            </w:tcMar>
            <w:vAlign w:val="bottom"/>
            <w:hideMark/>
          </w:tcPr>
          <w:p w14:paraId="61D78C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CFF0FC"/>
            <w:tcMar>
              <w:top w:w="15" w:type="dxa"/>
              <w:left w:w="0" w:type="dxa"/>
              <w:bottom w:w="0" w:type="dxa"/>
              <w:right w:w="15" w:type="dxa"/>
            </w:tcMar>
            <w:vAlign w:val="bottom"/>
            <w:hideMark/>
          </w:tcPr>
          <w:p w14:paraId="253C6F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8064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4A9FA449" w14:textId="77777777" w:rsidR="00000000" w:rsidRDefault="00582324">
            <w:pPr>
              <w:pStyle w:val="a3"/>
              <w:spacing w:before="0" w:beforeAutospacing="0" w:after="0" w:afterAutospacing="0"/>
              <w:jc w:val="right"/>
              <w:rPr>
                <w:color w:val="000000"/>
                <w:sz w:val="18"/>
                <w:szCs w:val="18"/>
              </w:rPr>
            </w:pPr>
            <w:r>
              <w:rPr>
                <w:color w:val="000000"/>
                <w:sz w:val="18"/>
                <w:szCs w:val="18"/>
              </w:rPr>
              <w:t>5,992,019</w:t>
            </w:r>
          </w:p>
        </w:tc>
        <w:tc>
          <w:tcPr>
            <w:tcW w:w="50" w:type="pct"/>
            <w:shd w:val="clear" w:color="auto" w:fill="CFF0FC"/>
            <w:noWrap/>
            <w:tcMar>
              <w:top w:w="15" w:type="dxa"/>
              <w:left w:w="0" w:type="dxa"/>
              <w:bottom w:w="0" w:type="dxa"/>
              <w:right w:w="15" w:type="dxa"/>
            </w:tcMar>
            <w:vAlign w:val="bottom"/>
            <w:hideMark/>
          </w:tcPr>
          <w:p w14:paraId="696E5D8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FEABF58" w14:textId="77777777">
        <w:trPr>
          <w:divId w:val="884028164"/>
        </w:trPr>
        <w:tc>
          <w:tcPr>
            <w:tcW w:w="1685" w:type="pct"/>
            <w:shd w:val="clear" w:color="auto" w:fill="FFFFFF"/>
            <w:tcMar>
              <w:top w:w="15" w:type="dxa"/>
              <w:left w:w="0" w:type="dxa"/>
              <w:bottom w:w="0" w:type="dxa"/>
              <w:right w:w="15" w:type="dxa"/>
            </w:tcMar>
            <w:hideMark/>
          </w:tcPr>
          <w:p w14:paraId="0EC40250" w14:textId="77777777" w:rsidR="00000000" w:rsidRDefault="00582324">
            <w:pPr>
              <w:pStyle w:val="a3"/>
              <w:spacing w:before="0" w:beforeAutospacing="0" w:after="0" w:afterAutospacing="0"/>
              <w:rPr>
                <w:color w:val="000000"/>
                <w:sz w:val="18"/>
                <w:szCs w:val="18"/>
              </w:rPr>
            </w:pPr>
            <w:r>
              <w:rPr>
                <w:color w:val="000000"/>
                <w:sz w:val="18"/>
                <w:szCs w:val="18"/>
              </w:rPr>
              <w:t>Shares available for grant</w:t>
            </w:r>
          </w:p>
        </w:tc>
        <w:tc>
          <w:tcPr>
            <w:tcW w:w="106" w:type="pct"/>
            <w:shd w:val="clear" w:color="auto" w:fill="FFFFFF"/>
            <w:tcMar>
              <w:top w:w="15" w:type="dxa"/>
              <w:left w:w="0" w:type="dxa"/>
              <w:bottom w:w="0" w:type="dxa"/>
              <w:right w:w="15" w:type="dxa"/>
            </w:tcMar>
            <w:vAlign w:val="bottom"/>
            <w:hideMark/>
          </w:tcPr>
          <w:p w14:paraId="109981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FD1A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67F80034" w14:textId="77777777" w:rsidR="00000000" w:rsidRDefault="00582324">
            <w:pPr>
              <w:pStyle w:val="a3"/>
              <w:spacing w:before="0" w:beforeAutospacing="0" w:after="0" w:afterAutospacing="0"/>
              <w:jc w:val="right"/>
              <w:rPr>
                <w:color w:val="000000"/>
                <w:sz w:val="18"/>
                <w:szCs w:val="18"/>
              </w:rPr>
            </w:pPr>
            <w:r>
              <w:rPr>
                <w:color w:val="000000"/>
                <w:sz w:val="18"/>
                <w:szCs w:val="18"/>
              </w:rPr>
              <w:t>1,609,687</w:t>
            </w:r>
          </w:p>
        </w:tc>
        <w:tc>
          <w:tcPr>
            <w:tcW w:w="50" w:type="pct"/>
            <w:shd w:val="clear" w:color="auto" w:fill="FFFFFF"/>
            <w:noWrap/>
            <w:tcMar>
              <w:top w:w="15" w:type="dxa"/>
              <w:left w:w="0" w:type="dxa"/>
              <w:bottom w:w="0" w:type="dxa"/>
              <w:right w:w="15" w:type="dxa"/>
            </w:tcMar>
            <w:vAlign w:val="bottom"/>
            <w:hideMark/>
          </w:tcPr>
          <w:p w14:paraId="302CBD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3F72C0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5646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78D78E9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08556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16628F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1A21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2B8A1D9C" w14:textId="77777777" w:rsidR="00000000" w:rsidRDefault="00582324">
            <w:pPr>
              <w:pStyle w:val="a3"/>
              <w:spacing w:before="0" w:beforeAutospacing="0" w:after="0" w:afterAutospacing="0"/>
              <w:jc w:val="right"/>
              <w:rPr>
                <w:color w:val="000000"/>
                <w:sz w:val="18"/>
                <w:szCs w:val="18"/>
              </w:rPr>
            </w:pPr>
            <w:r>
              <w:rPr>
                <w:color w:val="000000"/>
                <w:sz w:val="18"/>
                <w:szCs w:val="18"/>
              </w:rPr>
              <w:t>1,609,687</w:t>
            </w:r>
          </w:p>
        </w:tc>
        <w:tc>
          <w:tcPr>
            <w:tcW w:w="50" w:type="pct"/>
            <w:shd w:val="clear" w:color="auto" w:fill="FFFFFF"/>
            <w:noWrap/>
            <w:tcMar>
              <w:top w:w="15" w:type="dxa"/>
              <w:left w:w="0" w:type="dxa"/>
              <w:bottom w:w="0" w:type="dxa"/>
              <w:right w:w="15" w:type="dxa"/>
            </w:tcMar>
            <w:vAlign w:val="bottom"/>
            <w:hideMark/>
          </w:tcPr>
          <w:p w14:paraId="6C9EB74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DC33A0B" w14:textId="77777777">
        <w:trPr>
          <w:divId w:val="884028164"/>
        </w:trPr>
        <w:tc>
          <w:tcPr>
            <w:tcW w:w="1685" w:type="pct"/>
            <w:shd w:val="clear" w:color="auto" w:fill="FFFFFF"/>
            <w:tcMar>
              <w:top w:w="15" w:type="dxa"/>
              <w:left w:w="0" w:type="dxa"/>
              <w:bottom w:w="0" w:type="dxa"/>
              <w:right w:w="15" w:type="dxa"/>
            </w:tcMar>
            <w:hideMark/>
          </w:tcPr>
          <w:p w14:paraId="0BBB59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2D6A33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58EA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1424DFB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A80E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7B36CC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53B0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25B70F2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CCEE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22DC5C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CE9E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63A7CB4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2EE99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FD8F88D" w14:textId="77777777">
        <w:trPr>
          <w:divId w:val="884028164"/>
        </w:trPr>
        <w:tc>
          <w:tcPr>
            <w:tcW w:w="1685" w:type="pct"/>
            <w:shd w:val="clear" w:color="auto" w:fill="FFFFFF"/>
            <w:tcMar>
              <w:top w:w="15" w:type="dxa"/>
              <w:left w:w="0" w:type="dxa"/>
              <w:bottom w:w="0" w:type="dxa"/>
              <w:right w:w="15" w:type="dxa"/>
            </w:tcMar>
            <w:hideMark/>
          </w:tcPr>
          <w:p w14:paraId="65966DB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56FC0EB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158" w:type="pct"/>
            <w:gridSpan w:val="10"/>
            <w:shd w:val="clear" w:color="auto" w:fill="FFFFFF"/>
            <w:tcMar>
              <w:top w:w="15" w:type="dxa"/>
              <w:left w:w="0" w:type="dxa"/>
              <w:bottom w:w="0" w:type="dxa"/>
              <w:right w:w="15" w:type="dxa"/>
            </w:tcMar>
            <w:vAlign w:val="bottom"/>
            <w:hideMark/>
          </w:tcPr>
          <w:p w14:paraId="1ECEAC9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 2020</w:t>
            </w:r>
          </w:p>
        </w:tc>
        <w:tc>
          <w:tcPr>
            <w:tcW w:w="50" w:type="pct"/>
            <w:shd w:val="clear" w:color="auto" w:fill="FFFFFF"/>
            <w:noWrap/>
            <w:tcMar>
              <w:top w:w="15" w:type="dxa"/>
              <w:left w:w="0" w:type="dxa"/>
              <w:bottom w:w="0" w:type="dxa"/>
              <w:right w:w="15" w:type="dxa"/>
            </w:tcMar>
            <w:vAlign w:val="bottom"/>
            <w:hideMark/>
          </w:tcPr>
          <w:p w14:paraId="79C0430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48757D1" w14:textId="77777777">
        <w:trPr>
          <w:divId w:val="884028164"/>
        </w:trPr>
        <w:tc>
          <w:tcPr>
            <w:tcW w:w="1685" w:type="pct"/>
            <w:shd w:val="clear" w:color="auto" w:fill="FFFFFF"/>
            <w:tcMar>
              <w:top w:w="15" w:type="dxa"/>
              <w:left w:w="0" w:type="dxa"/>
              <w:bottom w:w="0" w:type="dxa"/>
              <w:right w:w="15" w:type="dxa"/>
            </w:tcMar>
            <w:hideMark/>
          </w:tcPr>
          <w:p w14:paraId="21C427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7D243B9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0E02E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1E92B1B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7CB9545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E5355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303B48C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6" w:type="pct"/>
            <w:shd w:val="clear" w:color="auto" w:fill="FFFFFF"/>
            <w:tcMar>
              <w:top w:w="15" w:type="dxa"/>
              <w:left w:w="0" w:type="dxa"/>
              <w:bottom w:w="0" w:type="dxa"/>
              <w:right w:w="15" w:type="dxa"/>
            </w:tcMar>
            <w:vAlign w:val="bottom"/>
            <w:hideMark/>
          </w:tcPr>
          <w:p w14:paraId="6D62F65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916CD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4E08D95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E1D644" w14:textId="77777777">
        <w:trPr>
          <w:divId w:val="884028164"/>
        </w:trPr>
        <w:tc>
          <w:tcPr>
            <w:tcW w:w="1685" w:type="pct"/>
            <w:shd w:val="clear" w:color="auto" w:fill="CFF0FC"/>
            <w:tcMar>
              <w:top w:w="15" w:type="dxa"/>
              <w:left w:w="0" w:type="dxa"/>
              <w:bottom w:w="0" w:type="dxa"/>
              <w:right w:w="15" w:type="dxa"/>
            </w:tcMar>
            <w:hideMark/>
          </w:tcPr>
          <w:p w14:paraId="1740CC03" w14:textId="77777777" w:rsidR="00000000" w:rsidRDefault="00582324">
            <w:pPr>
              <w:pStyle w:val="a3"/>
              <w:spacing w:before="0" w:beforeAutospacing="0" w:after="0" w:afterAutospacing="0"/>
              <w:rPr>
                <w:color w:val="000000"/>
                <w:sz w:val="18"/>
                <w:szCs w:val="18"/>
              </w:rPr>
            </w:pPr>
            <w:r>
              <w:rPr>
                <w:color w:val="000000"/>
                <w:sz w:val="18"/>
                <w:szCs w:val="18"/>
              </w:rPr>
              <w:t>Shares authorized to be issued</w:t>
            </w:r>
          </w:p>
        </w:tc>
        <w:tc>
          <w:tcPr>
            <w:tcW w:w="106" w:type="pct"/>
            <w:shd w:val="clear" w:color="auto" w:fill="CFF0FC"/>
            <w:tcMar>
              <w:top w:w="15" w:type="dxa"/>
              <w:left w:w="0" w:type="dxa"/>
              <w:bottom w:w="0" w:type="dxa"/>
              <w:right w:w="15" w:type="dxa"/>
            </w:tcMar>
            <w:vAlign w:val="bottom"/>
            <w:hideMark/>
          </w:tcPr>
          <w:p w14:paraId="2BDF55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EC45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50242B9F" w14:textId="77777777" w:rsidR="00000000" w:rsidRDefault="00582324">
            <w:pPr>
              <w:pStyle w:val="a3"/>
              <w:spacing w:before="0" w:beforeAutospacing="0" w:after="0" w:afterAutospacing="0"/>
              <w:jc w:val="right"/>
              <w:rPr>
                <w:color w:val="000000"/>
                <w:sz w:val="18"/>
                <w:szCs w:val="18"/>
              </w:rPr>
            </w:pPr>
            <w:r>
              <w:rPr>
                <w:color w:val="000000"/>
                <w:sz w:val="18"/>
                <w:szCs w:val="18"/>
              </w:rPr>
              <w:t>1,066,160</w:t>
            </w:r>
          </w:p>
        </w:tc>
        <w:tc>
          <w:tcPr>
            <w:tcW w:w="50" w:type="pct"/>
            <w:shd w:val="clear" w:color="auto" w:fill="CFF0FC"/>
            <w:noWrap/>
            <w:tcMar>
              <w:top w:w="15" w:type="dxa"/>
              <w:left w:w="0" w:type="dxa"/>
              <w:bottom w:w="0" w:type="dxa"/>
              <w:right w:w="15" w:type="dxa"/>
            </w:tcMar>
            <w:vAlign w:val="bottom"/>
            <w:hideMark/>
          </w:tcPr>
          <w:p w14:paraId="16AA54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CFF0FC"/>
            <w:tcMar>
              <w:top w:w="15" w:type="dxa"/>
              <w:left w:w="0" w:type="dxa"/>
              <w:bottom w:w="0" w:type="dxa"/>
              <w:right w:w="15" w:type="dxa"/>
            </w:tcMar>
            <w:vAlign w:val="bottom"/>
            <w:hideMark/>
          </w:tcPr>
          <w:p w14:paraId="1F7A33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263C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0BE0401B" w14:textId="77777777" w:rsidR="00000000" w:rsidRDefault="00582324">
            <w:pPr>
              <w:pStyle w:val="a3"/>
              <w:spacing w:before="0" w:beforeAutospacing="0" w:after="0" w:afterAutospacing="0"/>
              <w:jc w:val="right"/>
              <w:rPr>
                <w:color w:val="000000"/>
                <w:sz w:val="18"/>
                <w:szCs w:val="18"/>
              </w:rPr>
            </w:pPr>
            <w:r>
              <w:rPr>
                <w:color w:val="000000"/>
                <w:sz w:val="18"/>
                <w:szCs w:val="18"/>
              </w:rPr>
              <w:t>2,050,244</w:t>
            </w:r>
          </w:p>
        </w:tc>
        <w:tc>
          <w:tcPr>
            <w:tcW w:w="50" w:type="pct"/>
            <w:shd w:val="clear" w:color="auto" w:fill="CFF0FC"/>
            <w:noWrap/>
            <w:tcMar>
              <w:top w:w="15" w:type="dxa"/>
              <w:left w:w="0" w:type="dxa"/>
              <w:bottom w:w="0" w:type="dxa"/>
              <w:right w:w="15" w:type="dxa"/>
            </w:tcMar>
            <w:vAlign w:val="bottom"/>
            <w:hideMark/>
          </w:tcPr>
          <w:p w14:paraId="3507FB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CFF0FC"/>
            <w:tcMar>
              <w:top w:w="15" w:type="dxa"/>
              <w:left w:w="0" w:type="dxa"/>
              <w:bottom w:w="0" w:type="dxa"/>
              <w:right w:w="15" w:type="dxa"/>
            </w:tcMar>
            <w:vAlign w:val="bottom"/>
            <w:hideMark/>
          </w:tcPr>
          <w:p w14:paraId="0E49AB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4B33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tcBorders>
              <w:top w:val="single" w:sz="6" w:space="0" w:color="000000"/>
            </w:tcBorders>
            <w:shd w:val="clear" w:color="auto" w:fill="CFF0FC"/>
            <w:noWrap/>
            <w:tcMar>
              <w:top w:w="15" w:type="dxa"/>
              <w:left w:w="0" w:type="dxa"/>
              <w:bottom w:w="0" w:type="dxa"/>
              <w:right w:w="15" w:type="dxa"/>
            </w:tcMar>
            <w:vAlign w:val="bottom"/>
            <w:hideMark/>
          </w:tcPr>
          <w:p w14:paraId="4F0995E3" w14:textId="77777777" w:rsidR="00000000" w:rsidRDefault="00582324">
            <w:pPr>
              <w:pStyle w:val="a3"/>
              <w:spacing w:before="0" w:beforeAutospacing="0" w:after="0" w:afterAutospacing="0"/>
              <w:jc w:val="right"/>
              <w:rPr>
                <w:color w:val="000000"/>
                <w:sz w:val="18"/>
                <w:szCs w:val="18"/>
              </w:rPr>
            </w:pPr>
            <w:r>
              <w:rPr>
                <w:color w:val="000000"/>
                <w:sz w:val="18"/>
                <w:szCs w:val="18"/>
              </w:rPr>
              <w:t>3,116,404</w:t>
            </w:r>
          </w:p>
        </w:tc>
        <w:tc>
          <w:tcPr>
            <w:tcW w:w="50" w:type="pct"/>
            <w:shd w:val="clear" w:color="auto" w:fill="CFF0FC"/>
            <w:noWrap/>
            <w:tcMar>
              <w:top w:w="15" w:type="dxa"/>
              <w:left w:w="0" w:type="dxa"/>
              <w:bottom w:w="0" w:type="dxa"/>
              <w:right w:w="15" w:type="dxa"/>
            </w:tcMar>
            <w:vAlign w:val="bottom"/>
            <w:hideMark/>
          </w:tcPr>
          <w:p w14:paraId="3DC807D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24F22DF" w14:textId="77777777">
        <w:trPr>
          <w:divId w:val="884028164"/>
        </w:trPr>
        <w:tc>
          <w:tcPr>
            <w:tcW w:w="1685" w:type="pct"/>
            <w:shd w:val="clear" w:color="auto" w:fill="FFFFFF"/>
            <w:tcMar>
              <w:top w:w="15" w:type="dxa"/>
              <w:left w:w="0" w:type="dxa"/>
              <w:bottom w:w="0" w:type="dxa"/>
              <w:right w:w="15" w:type="dxa"/>
            </w:tcMar>
            <w:hideMark/>
          </w:tcPr>
          <w:p w14:paraId="1BE5BEA7" w14:textId="77777777" w:rsidR="00000000" w:rsidRDefault="00582324">
            <w:pPr>
              <w:pStyle w:val="a3"/>
              <w:spacing w:before="0" w:beforeAutospacing="0" w:after="0" w:afterAutospacing="0"/>
              <w:rPr>
                <w:color w:val="000000"/>
                <w:sz w:val="18"/>
                <w:szCs w:val="18"/>
              </w:rPr>
            </w:pPr>
            <w:r>
              <w:rPr>
                <w:color w:val="000000"/>
                <w:sz w:val="18"/>
                <w:szCs w:val="18"/>
              </w:rPr>
              <w:t>Shares available for grant</w:t>
            </w:r>
          </w:p>
        </w:tc>
        <w:tc>
          <w:tcPr>
            <w:tcW w:w="106" w:type="pct"/>
            <w:shd w:val="clear" w:color="auto" w:fill="FFFFFF"/>
            <w:tcMar>
              <w:top w:w="15" w:type="dxa"/>
              <w:left w:w="0" w:type="dxa"/>
              <w:bottom w:w="0" w:type="dxa"/>
              <w:right w:w="15" w:type="dxa"/>
            </w:tcMar>
            <w:vAlign w:val="bottom"/>
            <w:hideMark/>
          </w:tcPr>
          <w:p w14:paraId="57CFDF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B407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018E638E" w14:textId="77777777" w:rsidR="00000000" w:rsidRDefault="00582324">
            <w:pPr>
              <w:pStyle w:val="a3"/>
              <w:spacing w:before="0" w:beforeAutospacing="0" w:after="0" w:afterAutospacing="0"/>
              <w:jc w:val="right"/>
              <w:rPr>
                <w:color w:val="000000"/>
                <w:sz w:val="18"/>
                <w:szCs w:val="18"/>
              </w:rPr>
            </w:pPr>
            <w:r>
              <w:rPr>
                <w:color w:val="000000"/>
                <w:sz w:val="18"/>
                <w:szCs w:val="18"/>
              </w:rPr>
              <w:t>20,817</w:t>
            </w:r>
          </w:p>
        </w:tc>
        <w:tc>
          <w:tcPr>
            <w:tcW w:w="50" w:type="pct"/>
            <w:shd w:val="clear" w:color="auto" w:fill="FFFFFF"/>
            <w:noWrap/>
            <w:tcMar>
              <w:top w:w="15" w:type="dxa"/>
              <w:left w:w="0" w:type="dxa"/>
              <w:bottom w:w="0" w:type="dxa"/>
              <w:right w:w="15" w:type="dxa"/>
            </w:tcMar>
            <w:vAlign w:val="bottom"/>
            <w:hideMark/>
          </w:tcPr>
          <w:p w14:paraId="4E8DE8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351C32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B884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62CF282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044F7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 w:type="pct"/>
            <w:shd w:val="clear" w:color="auto" w:fill="FFFFFF"/>
            <w:tcMar>
              <w:top w:w="15" w:type="dxa"/>
              <w:left w:w="0" w:type="dxa"/>
              <w:bottom w:w="0" w:type="dxa"/>
              <w:right w:w="15" w:type="dxa"/>
            </w:tcMar>
            <w:vAlign w:val="bottom"/>
            <w:hideMark/>
          </w:tcPr>
          <w:p w14:paraId="30E348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6D4F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98" w:type="pct"/>
            <w:shd w:val="clear" w:color="auto" w:fill="FFFFFF"/>
            <w:noWrap/>
            <w:tcMar>
              <w:top w:w="15" w:type="dxa"/>
              <w:left w:w="0" w:type="dxa"/>
              <w:bottom w:w="0" w:type="dxa"/>
              <w:right w:w="15" w:type="dxa"/>
            </w:tcMar>
            <w:vAlign w:val="bottom"/>
            <w:hideMark/>
          </w:tcPr>
          <w:p w14:paraId="6E8F7F3E" w14:textId="77777777" w:rsidR="00000000" w:rsidRDefault="00582324">
            <w:pPr>
              <w:pStyle w:val="a3"/>
              <w:spacing w:before="0" w:beforeAutospacing="0" w:after="0" w:afterAutospacing="0"/>
              <w:jc w:val="right"/>
              <w:rPr>
                <w:color w:val="000000"/>
                <w:sz w:val="18"/>
                <w:szCs w:val="18"/>
              </w:rPr>
            </w:pPr>
            <w:r>
              <w:rPr>
                <w:color w:val="000000"/>
                <w:sz w:val="18"/>
                <w:szCs w:val="18"/>
              </w:rPr>
              <w:t>20,817</w:t>
            </w:r>
          </w:p>
        </w:tc>
        <w:tc>
          <w:tcPr>
            <w:tcW w:w="50" w:type="pct"/>
            <w:shd w:val="clear" w:color="auto" w:fill="FFFFFF"/>
            <w:noWrap/>
            <w:tcMar>
              <w:top w:w="15" w:type="dxa"/>
              <w:left w:w="0" w:type="dxa"/>
              <w:bottom w:w="0" w:type="dxa"/>
              <w:right w:w="15" w:type="dxa"/>
            </w:tcMar>
            <w:vAlign w:val="bottom"/>
            <w:hideMark/>
          </w:tcPr>
          <w:p w14:paraId="12117200"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70F999AE" w14:textId="77777777" w:rsidR="00000000" w:rsidRDefault="00582324">
      <w:pPr>
        <w:pStyle w:val="a3"/>
        <w:spacing w:before="240" w:beforeAutospacing="0" w:after="0" w:afterAutospacing="0"/>
        <w:jc w:val="center"/>
        <w:rPr>
          <w:sz w:val="20"/>
          <w:szCs w:val="20"/>
        </w:rPr>
      </w:pPr>
      <w:r>
        <w:rPr>
          <w:sz w:val="20"/>
          <w:szCs w:val="20"/>
        </w:rPr>
        <w:t>24</w:t>
      </w:r>
    </w:p>
    <w:p w14:paraId="32898BCB" w14:textId="77777777" w:rsidR="00000000" w:rsidRDefault="00582324">
      <w:pPr>
        <w:rPr>
          <w:rFonts w:eastAsia="Times New Roman"/>
        </w:rPr>
      </w:pPr>
      <w:r>
        <w:rPr>
          <w:rFonts w:eastAsia="Times New Roman"/>
        </w:rPr>
        <w:pict w14:anchorId="57FEFA9E">
          <v:rect id="_x0000_i1050" style="width:0;height:1.5pt" o:hralign="center" o:hrstd="t" o:hr="t" fillcolor="#a0a0a0" stroked="f"/>
        </w:pict>
      </w:r>
    </w:p>
    <w:p w14:paraId="61C4ADA8" w14:textId="77777777" w:rsidR="00000000" w:rsidRDefault="00582324">
      <w:pPr>
        <w:pStyle w:val="a3"/>
        <w:spacing w:before="0" w:beforeAutospacing="0" w:after="0" w:afterAutospacing="0"/>
        <w:rPr>
          <w:sz w:val="20"/>
          <w:szCs w:val="20"/>
        </w:rPr>
      </w:pPr>
      <w:r>
        <w:rPr>
          <w:sz w:val="20"/>
          <w:szCs w:val="20"/>
        </w:rPr>
        <w:t> </w:t>
      </w:r>
    </w:p>
    <w:p w14:paraId="5146E7BD" w14:textId="77777777" w:rsidR="00000000" w:rsidRDefault="00582324">
      <w:pPr>
        <w:pStyle w:val="a3"/>
        <w:spacing w:before="0" w:beforeAutospacing="0" w:after="0" w:afterAutospacing="0"/>
        <w:rPr>
          <w:sz w:val="20"/>
          <w:szCs w:val="20"/>
        </w:rPr>
      </w:pPr>
      <w:r>
        <w:rPr>
          <w:sz w:val="20"/>
          <w:szCs w:val="20"/>
        </w:rPr>
        <w:t> </w:t>
      </w:r>
    </w:p>
    <w:p w14:paraId="2835121B" w14:textId="77777777" w:rsidR="00000000" w:rsidRDefault="00582324">
      <w:pPr>
        <w:pStyle w:val="a3"/>
        <w:shd w:val="clear" w:color="auto" w:fill="FFFFFF"/>
        <w:spacing w:before="0" w:beforeAutospacing="0" w:after="0" w:afterAutospacing="0"/>
        <w:rPr>
          <w:sz w:val="20"/>
          <w:szCs w:val="20"/>
        </w:rPr>
      </w:pPr>
      <w:r>
        <w:rPr>
          <w:sz w:val="20"/>
          <w:szCs w:val="20"/>
        </w:rPr>
        <w:t> </w:t>
      </w:r>
    </w:p>
    <w:p w14:paraId="1704647C" w14:textId="77777777" w:rsidR="00000000" w:rsidRDefault="00582324">
      <w:pPr>
        <w:pStyle w:val="a3"/>
        <w:shd w:val="clear" w:color="auto" w:fill="FFFFFF"/>
        <w:spacing w:before="40" w:beforeAutospacing="0" w:after="0" w:afterAutospacing="0"/>
        <w:ind w:firstLine="416"/>
        <w:rPr>
          <w:sz w:val="20"/>
          <w:szCs w:val="20"/>
        </w:rPr>
      </w:pPr>
      <w:r>
        <w:rPr>
          <w:sz w:val="20"/>
          <w:szCs w:val="20"/>
        </w:rPr>
        <w:t>Total stock compensation expense for the Plans was as follows:</w:t>
      </w:r>
    </w:p>
    <w:p w14:paraId="1E8FB840"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80"/>
        <w:gridCol w:w="60"/>
        <w:gridCol w:w="106"/>
        <w:gridCol w:w="546"/>
        <w:gridCol w:w="60"/>
        <w:gridCol w:w="60"/>
        <w:gridCol w:w="163"/>
        <w:gridCol w:w="1117"/>
        <w:gridCol w:w="60"/>
        <w:gridCol w:w="60"/>
        <w:gridCol w:w="106"/>
        <w:gridCol w:w="664"/>
        <w:gridCol w:w="60"/>
        <w:gridCol w:w="60"/>
        <w:gridCol w:w="105"/>
        <w:gridCol w:w="420"/>
        <w:gridCol w:w="60"/>
        <w:gridCol w:w="60"/>
        <w:gridCol w:w="106"/>
        <w:gridCol w:w="546"/>
        <w:gridCol w:w="60"/>
        <w:gridCol w:w="60"/>
        <w:gridCol w:w="163"/>
        <w:gridCol w:w="1117"/>
        <w:gridCol w:w="60"/>
        <w:gridCol w:w="60"/>
        <w:gridCol w:w="106"/>
        <w:gridCol w:w="664"/>
        <w:gridCol w:w="60"/>
        <w:gridCol w:w="60"/>
        <w:gridCol w:w="105"/>
        <w:gridCol w:w="420"/>
        <w:gridCol w:w="60"/>
      </w:tblGrid>
      <w:tr w:rsidR="00000000" w14:paraId="2C22F872" w14:textId="77777777">
        <w:trPr>
          <w:divId w:val="1630670300"/>
        </w:trPr>
        <w:tc>
          <w:tcPr>
            <w:tcW w:w="1068" w:type="pct"/>
            <w:shd w:val="clear" w:color="auto" w:fill="FFFFFF"/>
            <w:tcMar>
              <w:top w:w="15" w:type="dxa"/>
              <w:left w:w="0" w:type="dxa"/>
              <w:bottom w:w="0" w:type="dxa"/>
              <w:right w:w="15" w:type="dxa"/>
            </w:tcMar>
            <w:hideMark/>
          </w:tcPr>
          <w:p w14:paraId="0A9C2281" w14:textId="77777777" w:rsidR="00000000" w:rsidRDefault="00582324">
            <w:pPr>
              <w:pStyle w:val="a3"/>
              <w:spacing w:before="0" w:beforeAutospacing="0" w:after="0" w:afterAutospacing="0"/>
              <w:rPr>
                <w:sz w:val="20"/>
                <w:szCs w:val="20"/>
              </w:rPr>
            </w:pPr>
            <w:r>
              <w:rPr>
                <w:sz w:val="20"/>
                <w:szCs w:val="20"/>
              </w:rPr>
              <w:t> </w:t>
            </w:r>
          </w:p>
        </w:tc>
        <w:tc>
          <w:tcPr>
            <w:tcW w:w="47" w:type="pct"/>
            <w:shd w:val="clear" w:color="auto" w:fill="FFFFFF"/>
            <w:tcMar>
              <w:top w:w="15" w:type="dxa"/>
              <w:left w:w="0" w:type="dxa"/>
              <w:bottom w:w="0" w:type="dxa"/>
              <w:right w:w="15" w:type="dxa"/>
            </w:tcMar>
            <w:vAlign w:val="bottom"/>
            <w:hideMark/>
          </w:tcPr>
          <w:p w14:paraId="22E46BA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34" w:type="pct"/>
            <w:gridSpan w:val="30"/>
            <w:tcBorders>
              <w:bottom w:val="single" w:sz="6" w:space="0" w:color="000000"/>
            </w:tcBorders>
            <w:shd w:val="clear" w:color="auto" w:fill="FFFFFF"/>
            <w:tcMar>
              <w:top w:w="15" w:type="dxa"/>
              <w:left w:w="0" w:type="dxa"/>
              <w:bottom w:w="0" w:type="dxa"/>
              <w:right w:w="15" w:type="dxa"/>
            </w:tcMar>
            <w:vAlign w:val="bottom"/>
            <w:hideMark/>
          </w:tcPr>
          <w:p w14:paraId="3001E53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bottom"/>
            <w:hideMark/>
          </w:tcPr>
          <w:p w14:paraId="53C448A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747244" w14:textId="77777777">
        <w:trPr>
          <w:divId w:val="1630670300"/>
        </w:trPr>
        <w:tc>
          <w:tcPr>
            <w:tcW w:w="1068" w:type="pct"/>
            <w:shd w:val="clear" w:color="auto" w:fill="FFFFFF"/>
            <w:tcMar>
              <w:top w:w="15" w:type="dxa"/>
              <w:left w:w="0" w:type="dxa"/>
              <w:bottom w:w="0" w:type="dxa"/>
              <w:right w:w="15" w:type="dxa"/>
            </w:tcMar>
            <w:hideMark/>
          </w:tcPr>
          <w:p w14:paraId="54A1EA7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62AD4BF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868"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4765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271CDA0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18E4541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868"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7A0C1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072F524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D7405CE" w14:textId="77777777">
        <w:trPr>
          <w:divId w:val="1630670300"/>
        </w:trPr>
        <w:tc>
          <w:tcPr>
            <w:tcW w:w="1068" w:type="pct"/>
            <w:shd w:val="clear" w:color="auto" w:fill="FFFFFF"/>
            <w:tcMar>
              <w:top w:w="15" w:type="dxa"/>
              <w:left w:w="0" w:type="dxa"/>
              <w:bottom w:w="0" w:type="dxa"/>
              <w:right w:w="15" w:type="dxa"/>
            </w:tcMar>
            <w:hideMark/>
          </w:tcPr>
          <w:p w14:paraId="375079F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2562C0D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8D752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45D3A8E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6403F3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AABE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5F6C64F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5C69444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D6CF94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68A446C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3C11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78702B4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395C7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6D9D61F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49C398D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CC7BA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12B08AF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19CEE7F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A4B85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1741508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BC14B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3329895" w14:textId="77777777">
        <w:trPr>
          <w:divId w:val="1630670300"/>
        </w:trPr>
        <w:tc>
          <w:tcPr>
            <w:tcW w:w="1068" w:type="pct"/>
            <w:shd w:val="clear" w:color="auto" w:fill="FFFFFF"/>
            <w:tcMar>
              <w:top w:w="15" w:type="dxa"/>
              <w:left w:w="0" w:type="dxa"/>
              <w:bottom w:w="0" w:type="dxa"/>
              <w:right w:w="15" w:type="dxa"/>
            </w:tcMar>
            <w:hideMark/>
          </w:tcPr>
          <w:p w14:paraId="570F685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05225D1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594D5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06F9A9C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32F1F0B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AD28C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Restricted Stock</w:t>
            </w:r>
          </w:p>
        </w:tc>
        <w:tc>
          <w:tcPr>
            <w:tcW w:w="50" w:type="pct"/>
            <w:shd w:val="clear" w:color="auto" w:fill="FFFFFF"/>
            <w:noWrap/>
            <w:tcMar>
              <w:top w:w="15" w:type="dxa"/>
              <w:left w:w="0" w:type="dxa"/>
              <w:bottom w:w="0" w:type="dxa"/>
              <w:right w:w="15" w:type="dxa"/>
            </w:tcMar>
            <w:vAlign w:val="bottom"/>
            <w:hideMark/>
          </w:tcPr>
          <w:p w14:paraId="3C03056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5AF344D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A3DE3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468FD69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1728421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bottom w:val="single" w:sz="6" w:space="0" w:color="000000"/>
            </w:tcBorders>
            <w:shd w:val="clear" w:color="auto" w:fill="FFFFFF"/>
            <w:tcMar>
              <w:top w:w="15" w:type="dxa"/>
              <w:left w:w="0" w:type="dxa"/>
              <w:bottom w:w="0" w:type="dxa"/>
              <w:right w:w="15" w:type="dxa"/>
            </w:tcMar>
            <w:vAlign w:val="bottom"/>
            <w:hideMark/>
          </w:tcPr>
          <w:p w14:paraId="7E7B262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55742EF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653A909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C91EE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48B2A8E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0905A55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A4E02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Restricted Stock</w:t>
            </w:r>
          </w:p>
        </w:tc>
        <w:tc>
          <w:tcPr>
            <w:tcW w:w="50" w:type="pct"/>
            <w:shd w:val="clear" w:color="auto" w:fill="FFFFFF"/>
            <w:noWrap/>
            <w:tcMar>
              <w:top w:w="15" w:type="dxa"/>
              <w:left w:w="0" w:type="dxa"/>
              <w:bottom w:w="0" w:type="dxa"/>
              <w:right w:w="15" w:type="dxa"/>
            </w:tcMar>
            <w:vAlign w:val="bottom"/>
            <w:hideMark/>
          </w:tcPr>
          <w:p w14:paraId="283756E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6E0E0B5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D5517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31A2DB5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4FC51FF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bottom w:val="single" w:sz="6" w:space="0" w:color="000000"/>
            </w:tcBorders>
            <w:shd w:val="clear" w:color="auto" w:fill="FFFFFF"/>
            <w:tcMar>
              <w:top w:w="15" w:type="dxa"/>
              <w:left w:w="0" w:type="dxa"/>
              <w:bottom w:w="0" w:type="dxa"/>
              <w:right w:w="15" w:type="dxa"/>
            </w:tcMar>
            <w:vAlign w:val="bottom"/>
            <w:hideMark/>
          </w:tcPr>
          <w:p w14:paraId="58677F7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159228C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71980E0F" w14:textId="77777777">
        <w:trPr>
          <w:divId w:val="1630670300"/>
        </w:trPr>
        <w:tc>
          <w:tcPr>
            <w:tcW w:w="1068" w:type="pct"/>
            <w:shd w:val="clear" w:color="auto" w:fill="CFF0FC"/>
            <w:tcMar>
              <w:top w:w="15" w:type="dxa"/>
              <w:left w:w="0" w:type="dxa"/>
              <w:bottom w:w="0" w:type="dxa"/>
              <w:right w:w="15" w:type="dxa"/>
            </w:tcMar>
            <w:hideMark/>
          </w:tcPr>
          <w:p w14:paraId="67145A80" w14:textId="77777777" w:rsidR="00000000" w:rsidRDefault="00582324">
            <w:pPr>
              <w:pStyle w:val="a3"/>
              <w:spacing w:before="0" w:beforeAutospacing="0" w:after="0" w:afterAutospacing="0"/>
              <w:rPr>
                <w:color w:val="000000"/>
                <w:sz w:val="18"/>
                <w:szCs w:val="18"/>
              </w:rPr>
            </w:pPr>
            <w:r>
              <w:rPr>
                <w:color w:val="000000"/>
                <w:sz w:val="18"/>
                <w:szCs w:val="18"/>
              </w:rPr>
              <w:t>Cost of revenue</w:t>
            </w:r>
          </w:p>
        </w:tc>
        <w:tc>
          <w:tcPr>
            <w:tcW w:w="47" w:type="pct"/>
            <w:shd w:val="clear" w:color="auto" w:fill="CFF0FC"/>
            <w:tcMar>
              <w:top w:w="15" w:type="dxa"/>
              <w:left w:w="0" w:type="dxa"/>
              <w:bottom w:w="0" w:type="dxa"/>
              <w:right w:w="15" w:type="dxa"/>
            </w:tcMar>
            <w:vAlign w:val="bottom"/>
            <w:hideMark/>
          </w:tcPr>
          <w:p w14:paraId="12E0E0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136B5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C090A6B" w14:textId="77777777" w:rsidR="00000000" w:rsidRDefault="00582324">
            <w:pPr>
              <w:pStyle w:val="a3"/>
              <w:spacing w:before="0" w:beforeAutospacing="0" w:after="0" w:afterAutospacing="0"/>
              <w:jc w:val="right"/>
              <w:rPr>
                <w:color w:val="000000"/>
                <w:sz w:val="18"/>
                <w:szCs w:val="18"/>
              </w:rPr>
            </w:pPr>
            <w:r>
              <w:rPr>
                <w:color w:val="000000"/>
                <w:sz w:val="18"/>
                <w:szCs w:val="18"/>
              </w:rPr>
              <w:t>290</w:t>
            </w:r>
          </w:p>
        </w:tc>
        <w:tc>
          <w:tcPr>
            <w:tcW w:w="50" w:type="pct"/>
            <w:shd w:val="clear" w:color="auto" w:fill="CFF0FC"/>
            <w:noWrap/>
            <w:tcMar>
              <w:top w:w="15" w:type="dxa"/>
              <w:left w:w="0" w:type="dxa"/>
              <w:bottom w:w="0" w:type="dxa"/>
              <w:right w:w="15" w:type="dxa"/>
            </w:tcMar>
            <w:vAlign w:val="bottom"/>
            <w:hideMark/>
          </w:tcPr>
          <w:p w14:paraId="01E19E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47927F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21659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E42A44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DA5E7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09CD5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AC07D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1B524F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D58B0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2E82F5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1179B7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1B488EA" w14:textId="77777777" w:rsidR="00000000" w:rsidRDefault="00582324">
            <w:pPr>
              <w:pStyle w:val="a3"/>
              <w:spacing w:before="0" w:beforeAutospacing="0" w:after="0" w:afterAutospacing="0"/>
              <w:jc w:val="right"/>
              <w:rPr>
                <w:color w:val="000000"/>
                <w:sz w:val="18"/>
                <w:szCs w:val="18"/>
              </w:rPr>
            </w:pPr>
            <w:r>
              <w:rPr>
                <w:color w:val="000000"/>
                <w:sz w:val="18"/>
                <w:szCs w:val="18"/>
              </w:rPr>
              <w:t>290</w:t>
            </w:r>
          </w:p>
        </w:tc>
        <w:tc>
          <w:tcPr>
            <w:tcW w:w="50" w:type="pct"/>
            <w:shd w:val="clear" w:color="auto" w:fill="CFF0FC"/>
            <w:noWrap/>
            <w:tcMar>
              <w:top w:w="15" w:type="dxa"/>
              <w:left w:w="0" w:type="dxa"/>
              <w:bottom w:w="0" w:type="dxa"/>
              <w:right w:w="15" w:type="dxa"/>
            </w:tcMar>
            <w:vAlign w:val="bottom"/>
            <w:hideMark/>
          </w:tcPr>
          <w:p w14:paraId="75F53A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5BD4CA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65C9D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14FC9FE3" w14:textId="77777777" w:rsidR="00000000" w:rsidRDefault="00582324">
            <w:pPr>
              <w:pStyle w:val="a3"/>
              <w:spacing w:before="0" w:beforeAutospacing="0" w:after="0" w:afterAutospacing="0"/>
              <w:jc w:val="right"/>
              <w:rPr>
                <w:color w:val="000000"/>
                <w:sz w:val="18"/>
                <w:szCs w:val="18"/>
              </w:rPr>
            </w:pPr>
            <w:r>
              <w:rPr>
                <w:color w:val="000000"/>
                <w:sz w:val="18"/>
                <w:szCs w:val="18"/>
              </w:rPr>
              <w:t>342</w:t>
            </w:r>
          </w:p>
        </w:tc>
        <w:tc>
          <w:tcPr>
            <w:tcW w:w="50" w:type="pct"/>
            <w:shd w:val="clear" w:color="auto" w:fill="CFF0FC"/>
            <w:noWrap/>
            <w:tcMar>
              <w:top w:w="15" w:type="dxa"/>
              <w:left w:w="0" w:type="dxa"/>
              <w:bottom w:w="0" w:type="dxa"/>
              <w:right w:w="15" w:type="dxa"/>
            </w:tcMar>
            <w:vAlign w:val="bottom"/>
            <w:hideMark/>
          </w:tcPr>
          <w:p w14:paraId="3A8E81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07FAF6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D3EC2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A169AE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042A0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271C30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7E465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2A5C6FC3" w14:textId="77777777" w:rsidR="00000000" w:rsidRDefault="00582324">
            <w:pPr>
              <w:pStyle w:val="a3"/>
              <w:spacing w:before="0" w:beforeAutospacing="0" w:after="0" w:afterAutospacing="0"/>
              <w:jc w:val="right"/>
              <w:rPr>
                <w:color w:val="000000"/>
                <w:sz w:val="18"/>
                <w:szCs w:val="18"/>
              </w:rPr>
            </w:pPr>
            <w:r>
              <w:rPr>
                <w:color w:val="000000"/>
                <w:sz w:val="18"/>
                <w:szCs w:val="18"/>
              </w:rPr>
              <w:t>61</w:t>
            </w:r>
          </w:p>
        </w:tc>
        <w:tc>
          <w:tcPr>
            <w:tcW w:w="50" w:type="pct"/>
            <w:shd w:val="clear" w:color="auto" w:fill="CFF0FC"/>
            <w:noWrap/>
            <w:tcMar>
              <w:top w:w="15" w:type="dxa"/>
              <w:left w:w="0" w:type="dxa"/>
              <w:bottom w:w="0" w:type="dxa"/>
              <w:right w:w="15" w:type="dxa"/>
            </w:tcMar>
            <w:vAlign w:val="bottom"/>
            <w:hideMark/>
          </w:tcPr>
          <w:p w14:paraId="373859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07D5AA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FDA9F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06F078E" w14:textId="77777777" w:rsidR="00000000" w:rsidRDefault="00582324">
            <w:pPr>
              <w:pStyle w:val="a3"/>
              <w:spacing w:before="0" w:beforeAutospacing="0" w:after="0" w:afterAutospacing="0"/>
              <w:jc w:val="right"/>
              <w:rPr>
                <w:color w:val="000000"/>
                <w:sz w:val="18"/>
                <w:szCs w:val="18"/>
              </w:rPr>
            </w:pPr>
            <w:r>
              <w:rPr>
                <w:color w:val="000000"/>
                <w:sz w:val="18"/>
                <w:szCs w:val="18"/>
              </w:rPr>
              <w:t>403</w:t>
            </w:r>
          </w:p>
        </w:tc>
        <w:tc>
          <w:tcPr>
            <w:tcW w:w="50" w:type="pct"/>
            <w:shd w:val="clear" w:color="auto" w:fill="CFF0FC"/>
            <w:noWrap/>
            <w:tcMar>
              <w:top w:w="15" w:type="dxa"/>
              <w:left w:w="0" w:type="dxa"/>
              <w:bottom w:w="0" w:type="dxa"/>
              <w:right w:w="15" w:type="dxa"/>
            </w:tcMar>
            <w:vAlign w:val="bottom"/>
            <w:hideMark/>
          </w:tcPr>
          <w:p w14:paraId="1E81B8B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10104438" w14:textId="77777777">
        <w:trPr>
          <w:divId w:val="1630670300"/>
        </w:trPr>
        <w:tc>
          <w:tcPr>
            <w:tcW w:w="1068" w:type="pct"/>
            <w:shd w:val="clear" w:color="auto" w:fill="FFFFFF"/>
            <w:tcMar>
              <w:top w:w="15" w:type="dxa"/>
              <w:left w:w="0" w:type="dxa"/>
              <w:bottom w:w="0" w:type="dxa"/>
              <w:right w:w="15" w:type="dxa"/>
            </w:tcMar>
            <w:hideMark/>
          </w:tcPr>
          <w:p w14:paraId="71603D86" w14:textId="77777777" w:rsidR="00000000" w:rsidRDefault="00582324">
            <w:pPr>
              <w:pStyle w:val="a3"/>
              <w:spacing w:before="0" w:beforeAutospacing="0" w:after="0" w:afterAutospacing="0"/>
              <w:rPr>
                <w:color w:val="000000"/>
                <w:sz w:val="18"/>
                <w:szCs w:val="18"/>
              </w:rPr>
            </w:pPr>
            <w:r>
              <w:rPr>
                <w:color w:val="000000"/>
                <w:sz w:val="18"/>
                <w:szCs w:val="18"/>
              </w:rPr>
              <w:t>Selling, general and</w:t>
            </w:r>
          </w:p>
          <w:p w14:paraId="14252310" w14:textId="77777777" w:rsidR="00000000" w:rsidRDefault="00582324">
            <w:pPr>
              <w:pStyle w:val="a3"/>
              <w:spacing w:before="0" w:beforeAutospacing="0" w:after="0" w:afterAutospacing="0"/>
              <w:rPr>
                <w:color w:val="000000"/>
                <w:sz w:val="18"/>
                <w:szCs w:val="18"/>
              </w:rPr>
            </w:pPr>
            <w:r>
              <w:rPr>
                <w:color w:val="000000"/>
                <w:sz w:val="18"/>
                <w:szCs w:val="18"/>
              </w:rPr>
              <w:t>   administrative expense</w:t>
            </w:r>
          </w:p>
        </w:tc>
        <w:tc>
          <w:tcPr>
            <w:tcW w:w="47" w:type="pct"/>
            <w:shd w:val="clear" w:color="auto" w:fill="FFFFFF"/>
            <w:tcMar>
              <w:top w:w="15" w:type="dxa"/>
              <w:left w:w="0" w:type="dxa"/>
              <w:bottom w:w="0" w:type="dxa"/>
              <w:right w:w="15" w:type="dxa"/>
            </w:tcMar>
            <w:vAlign w:val="bottom"/>
            <w:hideMark/>
          </w:tcPr>
          <w:p w14:paraId="6FBEC7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EAC8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3E144251" w14:textId="77777777" w:rsidR="00000000" w:rsidRDefault="00582324">
            <w:pPr>
              <w:pStyle w:val="a3"/>
              <w:spacing w:before="0" w:beforeAutospacing="0" w:after="0" w:afterAutospacing="0"/>
              <w:jc w:val="right"/>
              <w:rPr>
                <w:color w:val="000000"/>
                <w:sz w:val="18"/>
                <w:szCs w:val="18"/>
              </w:rPr>
            </w:pPr>
            <w:r>
              <w:rPr>
                <w:color w:val="000000"/>
                <w:sz w:val="18"/>
                <w:szCs w:val="18"/>
              </w:rPr>
              <w:t>1,790</w:t>
            </w:r>
          </w:p>
        </w:tc>
        <w:tc>
          <w:tcPr>
            <w:tcW w:w="50" w:type="pct"/>
            <w:shd w:val="clear" w:color="auto" w:fill="FFFFFF"/>
            <w:noWrap/>
            <w:tcMar>
              <w:top w:w="15" w:type="dxa"/>
              <w:left w:w="0" w:type="dxa"/>
              <w:bottom w:w="0" w:type="dxa"/>
              <w:right w:w="15" w:type="dxa"/>
            </w:tcMar>
            <w:vAlign w:val="bottom"/>
            <w:hideMark/>
          </w:tcPr>
          <w:p w14:paraId="2A40E4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6837E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893E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253FECA1" w14:textId="77777777" w:rsidR="00000000" w:rsidRDefault="00582324">
            <w:pPr>
              <w:pStyle w:val="a3"/>
              <w:spacing w:before="0" w:beforeAutospacing="0" w:after="0" w:afterAutospacing="0"/>
              <w:jc w:val="right"/>
              <w:rPr>
                <w:color w:val="000000"/>
                <w:sz w:val="18"/>
                <w:szCs w:val="18"/>
              </w:rPr>
            </w:pPr>
            <w:r>
              <w:rPr>
                <w:color w:val="000000"/>
                <w:sz w:val="18"/>
                <w:szCs w:val="18"/>
              </w:rPr>
              <w:t>330</w:t>
            </w:r>
          </w:p>
        </w:tc>
        <w:tc>
          <w:tcPr>
            <w:tcW w:w="50" w:type="pct"/>
            <w:shd w:val="clear" w:color="auto" w:fill="FFFFFF"/>
            <w:noWrap/>
            <w:tcMar>
              <w:top w:w="15" w:type="dxa"/>
              <w:left w:w="0" w:type="dxa"/>
              <w:bottom w:w="0" w:type="dxa"/>
              <w:right w:w="15" w:type="dxa"/>
            </w:tcMar>
            <w:vAlign w:val="bottom"/>
            <w:hideMark/>
          </w:tcPr>
          <w:p w14:paraId="2065B0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83EAF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E486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35148C71"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705C8B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295A5C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9F4B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1C169EC8" w14:textId="77777777" w:rsidR="00000000" w:rsidRDefault="00582324">
            <w:pPr>
              <w:pStyle w:val="a3"/>
              <w:spacing w:before="0" w:beforeAutospacing="0" w:after="0" w:afterAutospacing="0"/>
              <w:jc w:val="right"/>
              <w:rPr>
                <w:color w:val="000000"/>
                <w:sz w:val="18"/>
                <w:szCs w:val="18"/>
              </w:rPr>
            </w:pPr>
            <w:r>
              <w:rPr>
                <w:color w:val="000000"/>
                <w:sz w:val="18"/>
                <w:szCs w:val="18"/>
              </w:rPr>
              <w:t>2,126</w:t>
            </w:r>
          </w:p>
        </w:tc>
        <w:tc>
          <w:tcPr>
            <w:tcW w:w="50" w:type="pct"/>
            <w:shd w:val="clear" w:color="auto" w:fill="FFFFFF"/>
            <w:noWrap/>
            <w:tcMar>
              <w:top w:w="15" w:type="dxa"/>
              <w:left w:w="0" w:type="dxa"/>
              <w:bottom w:w="0" w:type="dxa"/>
              <w:right w:w="15" w:type="dxa"/>
            </w:tcMar>
            <w:vAlign w:val="bottom"/>
            <w:hideMark/>
          </w:tcPr>
          <w:p w14:paraId="2AD631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6453D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4945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6AF0FC4F" w14:textId="77777777" w:rsidR="00000000" w:rsidRDefault="00582324">
            <w:pPr>
              <w:pStyle w:val="a3"/>
              <w:spacing w:before="0" w:beforeAutospacing="0" w:after="0" w:afterAutospacing="0"/>
              <w:jc w:val="right"/>
              <w:rPr>
                <w:color w:val="000000"/>
                <w:sz w:val="18"/>
                <w:szCs w:val="18"/>
              </w:rPr>
            </w:pPr>
            <w:r>
              <w:rPr>
                <w:color w:val="000000"/>
                <w:sz w:val="18"/>
                <w:szCs w:val="18"/>
              </w:rPr>
              <w:t>299</w:t>
            </w:r>
          </w:p>
        </w:tc>
        <w:tc>
          <w:tcPr>
            <w:tcW w:w="50" w:type="pct"/>
            <w:shd w:val="clear" w:color="auto" w:fill="FFFFFF"/>
            <w:noWrap/>
            <w:tcMar>
              <w:top w:w="15" w:type="dxa"/>
              <w:left w:w="0" w:type="dxa"/>
              <w:bottom w:w="0" w:type="dxa"/>
              <w:right w:w="15" w:type="dxa"/>
            </w:tcMar>
            <w:vAlign w:val="bottom"/>
            <w:hideMark/>
          </w:tcPr>
          <w:p w14:paraId="3A0C5E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79CF0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CAFF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48AF66F6" w14:textId="77777777" w:rsidR="00000000" w:rsidRDefault="00582324">
            <w:pPr>
              <w:pStyle w:val="a3"/>
              <w:spacing w:before="0" w:beforeAutospacing="0" w:after="0" w:afterAutospacing="0"/>
              <w:jc w:val="right"/>
              <w:rPr>
                <w:color w:val="000000"/>
                <w:sz w:val="18"/>
                <w:szCs w:val="18"/>
              </w:rPr>
            </w:pPr>
            <w:r>
              <w:rPr>
                <w:color w:val="000000"/>
                <w:sz w:val="18"/>
                <w:szCs w:val="18"/>
              </w:rPr>
              <w:t>370</w:t>
            </w:r>
          </w:p>
        </w:tc>
        <w:tc>
          <w:tcPr>
            <w:tcW w:w="50" w:type="pct"/>
            <w:shd w:val="clear" w:color="auto" w:fill="FFFFFF"/>
            <w:noWrap/>
            <w:tcMar>
              <w:top w:w="15" w:type="dxa"/>
              <w:left w:w="0" w:type="dxa"/>
              <w:bottom w:w="0" w:type="dxa"/>
              <w:right w:w="15" w:type="dxa"/>
            </w:tcMar>
            <w:vAlign w:val="bottom"/>
            <w:hideMark/>
          </w:tcPr>
          <w:p w14:paraId="0C0DB8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57EC9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F218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419B6C96" w14:textId="77777777" w:rsidR="00000000" w:rsidRDefault="00582324">
            <w:pPr>
              <w:pStyle w:val="a3"/>
              <w:spacing w:before="0" w:beforeAutospacing="0" w:after="0" w:afterAutospacing="0"/>
              <w:jc w:val="right"/>
              <w:rPr>
                <w:color w:val="000000"/>
                <w:sz w:val="18"/>
                <w:szCs w:val="18"/>
              </w:rPr>
            </w:pPr>
            <w:r>
              <w:rPr>
                <w:color w:val="000000"/>
                <w:sz w:val="18"/>
                <w:szCs w:val="18"/>
              </w:rPr>
              <w:t>68</w:t>
            </w:r>
          </w:p>
        </w:tc>
        <w:tc>
          <w:tcPr>
            <w:tcW w:w="50" w:type="pct"/>
            <w:shd w:val="clear" w:color="auto" w:fill="FFFFFF"/>
            <w:noWrap/>
            <w:tcMar>
              <w:top w:w="15" w:type="dxa"/>
              <w:left w:w="0" w:type="dxa"/>
              <w:bottom w:w="0" w:type="dxa"/>
              <w:right w:w="15" w:type="dxa"/>
            </w:tcMar>
            <w:vAlign w:val="bottom"/>
            <w:hideMark/>
          </w:tcPr>
          <w:p w14:paraId="02A180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8DAB9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FF6B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66BE027B" w14:textId="77777777" w:rsidR="00000000" w:rsidRDefault="00582324">
            <w:pPr>
              <w:pStyle w:val="a3"/>
              <w:spacing w:before="0" w:beforeAutospacing="0" w:after="0" w:afterAutospacing="0"/>
              <w:jc w:val="right"/>
              <w:rPr>
                <w:color w:val="000000"/>
                <w:sz w:val="18"/>
                <w:szCs w:val="18"/>
              </w:rPr>
            </w:pPr>
            <w:r>
              <w:rPr>
                <w:color w:val="000000"/>
                <w:sz w:val="18"/>
                <w:szCs w:val="18"/>
              </w:rPr>
              <w:t>737</w:t>
            </w:r>
          </w:p>
        </w:tc>
        <w:tc>
          <w:tcPr>
            <w:tcW w:w="50" w:type="pct"/>
            <w:shd w:val="clear" w:color="auto" w:fill="FFFFFF"/>
            <w:noWrap/>
            <w:tcMar>
              <w:top w:w="15" w:type="dxa"/>
              <w:left w:w="0" w:type="dxa"/>
              <w:bottom w:w="0" w:type="dxa"/>
              <w:right w:w="15" w:type="dxa"/>
            </w:tcMar>
            <w:vAlign w:val="bottom"/>
            <w:hideMark/>
          </w:tcPr>
          <w:p w14:paraId="2272255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30D3ADAF" w14:textId="77777777">
        <w:trPr>
          <w:divId w:val="1630670300"/>
        </w:trPr>
        <w:tc>
          <w:tcPr>
            <w:tcW w:w="1068" w:type="pct"/>
            <w:shd w:val="clear" w:color="auto" w:fill="CFF0FC"/>
            <w:tcMar>
              <w:top w:w="15" w:type="dxa"/>
              <w:left w:w="0" w:type="dxa"/>
              <w:bottom w:w="0" w:type="dxa"/>
              <w:right w:w="15" w:type="dxa"/>
            </w:tcMar>
            <w:hideMark/>
          </w:tcPr>
          <w:p w14:paraId="5B15CD3E"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47" w:type="pct"/>
            <w:shd w:val="clear" w:color="auto" w:fill="CFF0FC"/>
            <w:tcMar>
              <w:top w:w="15" w:type="dxa"/>
              <w:left w:w="0" w:type="dxa"/>
              <w:bottom w:w="0" w:type="dxa"/>
              <w:right w:w="15" w:type="dxa"/>
            </w:tcMar>
            <w:vAlign w:val="bottom"/>
            <w:hideMark/>
          </w:tcPr>
          <w:p w14:paraId="6E6FA6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537AA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963A8E" w14:textId="77777777" w:rsidR="00000000" w:rsidRDefault="00582324">
            <w:pPr>
              <w:pStyle w:val="a3"/>
              <w:spacing w:before="0" w:beforeAutospacing="0" w:after="0" w:afterAutospacing="0"/>
              <w:jc w:val="right"/>
              <w:rPr>
                <w:color w:val="000000"/>
                <w:sz w:val="18"/>
                <w:szCs w:val="18"/>
              </w:rPr>
            </w:pPr>
            <w:r>
              <w:rPr>
                <w:color w:val="000000"/>
                <w:sz w:val="18"/>
                <w:szCs w:val="18"/>
              </w:rPr>
              <w:t>2,080</w:t>
            </w:r>
          </w:p>
        </w:tc>
        <w:tc>
          <w:tcPr>
            <w:tcW w:w="50" w:type="pct"/>
            <w:shd w:val="clear" w:color="auto" w:fill="CFF0FC"/>
            <w:noWrap/>
            <w:tcMar>
              <w:top w:w="15" w:type="dxa"/>
              <w:left w:w="0" w:type="dxa"/>
              <w:bottom w:w="0" w:type="dxa"/>
              <w:right w:w="15" w:type="dxa"/>
            </w:tcMar>
            <w:vAlign w:val="bottom"/>
            <w:hideMark/>
          </w:tcPr>
          <w:p w14:paraId="53512F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6C8AD5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32D2B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C9892C" w14:textId="77777777" w:rsidR="00000000" w:rsidRDefault="00582324">
            <w:pPr>
              <w:pStyle w:val="a3"/>
              <w:spacing w:before="0" w:beforeAutospacing="0" w:after="0" w:afterAutospacing="0"/>
              <w:jc w:val="right"/>
              <w:rPr>
                <w:color w:val="000000"/>
                <w:sz w:val="18"/>
                <w:szCs w:val="18"/>
              </w:rPr>
            </w:pPr>
            <w:r>
              <w:rPr>
                <w:color w:val="000000"/>
                <w:sz w:val="18"/>
                <w:szCs w:val="18"/>
              </w:rPr>
              <w:t>330</w:t>
            </w:r>
          </w:p>
        </w:tc>
        <w:tc>
          <w:tcPr>
            <w:tcW w:w="50" w:type="pct"/>
            <w:shd w:val="clear" w:color="auto" w:fill="CFF0FC"/>
            <w:noWrap/>
            <w:tcMar>
              <w:top w:w="15" w:type="dxa"/>
              <w:left w:w="0" w:type="dxa"/>
              <w:bottom w:w="0" w:type="dxa"/>
              <w:right w:w="15" w:type="dxa"/>
            </w:tcMar>
            <w:vAlign w:val="bottom"/>
            <w:hideMark/>
          </w:tcPr>
          <w:p w14:paraId="33A031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239DB7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8BD51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7A87BB"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7EB5E9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23CE81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51723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983DF8" w14:textId="77777777" w:rsidR="00000000" w:rsidRDefault="00582324">
            <w:pPr>
              <w:pStyle w:val="a3"/>
              <w:spacing w:before="0" w:beforeAutospacing="0" w:after="0" w:afterAutospacing="0"/>
              <w:jc w:val="right"/>
              <w:rPr>
                <w:color w:val="000000"/>
                <w:sz w:val="18"/>
                <w:szCs w:val="18"/>
              </w:rPr>
            </w:pPr>
            <w:r>
              <w:rPr>
                <w:color w:val="000000"/>
                <w:sz w:val="18"/>
                <w:szCs w:val="18"/>
              </w:rPr>
              <w:t>2,416</w:t>
            </w:r>
          </w:p>
        </w:tc>
        <w:tc>
          <w:tcPr>
            <w:tcW w:w="50" w:type="pct"/>
            <w:shd w:val="clear" w:color="auto" w:fill="CFF0FC"/>
            <w:noWrap/>
            <w:tcMar>
              <w:top w:w="15" w:type="dxa"/>
              <w:left w:w="0" w:type="dxa"/>
              <w:bottom w:w="0" w:type="dxa"/>
              <w:right w:w="15" w:type="dxa"/>
            </w:tcMar>
            <w:vAlign w:val="bottom"/>
            <w:hideMark/>
          </w:tcPr>
          <w:p w14:paraId="028E02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CF828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2B81D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2157B1" w14:textId="77777777" w:rsidR="00000000" w:rsidRDefault="00582324">
            <w:pPr>
              <w:pStyle w:val="a3"/>
              <w:spacing w:before="0" w:beforeAutospacing="0" w:after="0" w:afterAutospacing="0"/>
              <w:jc w:val="right"/>
              <w:rPr>
                <w:color w:val="000000"/>
                <w:sz w:val="18"/>
                <w:szCs w:val="18"/>
              </w:rPr>
            </w:pPr>
            <w:r>
              <w:rPr>
                <w:color w:val="000000"/>
                <w:sz w:val="18"/>
                <w:szCs w:val="18"/>
              </w:rPr>
              <w:t>641</w:t>
            </w:r>
          </w:p>
        </w:tc>
        <w:tc>
          <w:tcPr>
            <w:tcW w:w="50" w:type="pct"/>
            <w:shd w:val="clear" w:color="auto" w:fill="CFF0FC"/>
            <w:noWrap/>
            <w:tcMar>
              <w:top w:w="15" w:type="dxa"/>
              <w:left w:w="0" w:type="dxa"/>
              <w:bottom w:w="0" w:type="dxa"/>
              <w:right w:w="15" w:type="dxa"/>
            </w:tcMar>
            <w:vAlign w:val="bottom"/>
            <w:hideMark/>
          </w:tcPr>
          <w:p w14:paraId="292E16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682FF5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F95BB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3F2E55" w14:textId="77777777" w:rsidR="00000000" w:rsidRDefault="00582324">
            <w:pPr>
              <w:pStyle w:val="a3"/>
              <w:spacing w:before="0" w:beforeAutospacing="0" w:after="0" w:afterAutospacing="0"/>
              <w:jc w:val="right"/>
              <w:rPr>
                <w:color w:val="000000"/>
                <w:sz w:val="18"/>
                <w:szCs w:val="18"/>
              </w:rPr>
            </w:pPr>
            <w:r>
              <w:rPr>
                <w:color w:val="000000"/>
                <w:sz w:val="18"/>
                <w:szCs w:val="18"/>
              </w:rPr>
              <w:t>370</w:t>
            </w:r>
          </w:p>
        </w:tc>
        <w:tc>
          <w:tcPr>
            <w:tcW w:w="50" w:type="pct"/>
            <w:shd w:val="clear" w:color="auto" w:fill="CFF0FC"/>
            <w:noWrap/>
            <w:tcMar>
              <w:top w:w="15" w:type="dxa"/>
              <w:left w:w="0" w:type="dxa"/>
              <w:bottom w:w="0" w:type="dxa"/>
              <w:right w:w="15" w:type="dxa"/>
            </w:tcMar>
            <w:vAlign w:val="bottom"/>
            <w:hideMark/>
          </w:tcPr>
          <w:p w14:paraId="29E119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3BA098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0F9EE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504934" w14:textId="77777777" w:rsidR="00000000" w:rsidRDefault="00582324">
            <w:pPr>
              <w:pStyle w:val="a3"/>
              <w:spacing w:before="0" w:beforeAutospacing="0" w:after="0" w:afterAutospacing="0"/>
              <w:jc w:val="right"/>
              <w:rPr>
                <w:color w:val="000000"/>
                <w:sz w:val="18"/>
                <w:szCs w:val="18"/>
              </w:rPr>
            </w:pPr>
            <w:r>
              <w:rPr>
                <w:color w:val="000000"/>
                <w:sz w:val="18"/>
                <w:szCs w:val="18"/>
              </w:rPr>
              <w:t>129</w:t>
            </w:r>
          </w:p>
        </w:tc>
        <w:tc>
          <w:tcPr>
            <w:tcW w:w="50" w:type="pct"/>
            <w:shd w:val="clear" w:color="auto" w:fill="CFF0FC"/>
            <w:noWrap/>
            <w:tcMar>
              <w:top w:w="15" w:type="dxa"/>
              <w:left w:w="0" w:type="dxa"/>
              <w:bottom w:w="0" w:type="dxa"/>
              <w:right w:w="15" w:type="dxa"/>
            </w:tcMar>
            <w:vAlign w:val="bottom"/>
            <w:hideMark/>
          </w:tcPr>
          <w:p w14:paraId="401533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086D0B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5B632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F7CF38" w14:textId="77777777" w:rsidR="00000000" w:rsidRDefault="00582324">
            <w:pPr>
              <w:pStyle w:val="a3"/>
              <w:spacing w:before="0" w:beforeAutospacing="0" w:after="0" w:afterAutospacing="0"/>
              <w:jc w:val="right"/>
              <w:rPr>
                <w:color w:val="000000"/>
                <w:sz w:val="18"/>
                <w:szCs w:val="18"/>
              </w:rPr>
            </w:pPr>
            <w:r>
              <w:rPr>
                <w:color w:val="000000"/>
                <w:sz w:val="18"/>
                <w:szCs w:val="18"/>
              </w:rPr>
              <w:t>1,140</w:t>
            </w:r>
          </w:p>
        </w:tc>
        <w:tc>
          <w:tcPr>
            <w:tcW w:w="50" w:type="pct"/>
            <w:shd w:val="clear" w:color="auto" w:fill="CFF0FC"/>
            <w:noWrap/>
            <w:tcMar>
              <w:top w:w="15" w:type="dxa"/>
              <w:left w:w="0" w:type="dxa"/>
              <w:bottom w:w="0" w:type="dxa"/>
              <w:right w:w="15" w:type="dxa"/>
            </w:tcMar>
            <w:vAlign w:val="bottom"/>
            <w:hideMark/>
          </w:tcPr>
          <w:p w14:paraId="03D5817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252AEC3" w14:textId="77777777">
        <w:trPr>
          <w:divId w:val="1630670300"/>
        </w:trPr>
        <w:tc>
          <w:tcPr>
            <w:tcW w:w="1068" w:type="pct"/>
            <w:shd w:val="clear" w:color="auto" w:fill="FFFFFF"/>
            <w:tcMar>
              <w:top w:w="15" w:type="dxa"/>
              <w:left w:w="0" w:type="dxa"/>
              <w:bottom w:w="0" w:type="dxa"/>
              <w:right w:w="15" w:type="dxa"/>
            </w:tcMar>
            <w:hideMark/>
          </w:tcPr>
          <w:p w14:paraId="43BAE0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33225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5D62E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64B4F8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A327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7298B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FDC65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651FD3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0CC6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225E9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38E82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3D2993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F0598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4B4FC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E425E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53291D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68E2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1D7FE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65E01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1F5B6B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34F9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84D14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024ED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23BDAA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46EA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18EED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338AC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5049DB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6E5C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0EB2A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8BCA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48AF43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C8D9A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5CD4AB77" w14:textId="77777777">
        <w:trPr>
          <w:divId w:val="1630670300"/>
        </w:trPr>
        <w:tc>
          <w:tcPr>
            <w:tcW w:w="1068" w:type="pct"/>
            <w:shd w:val="clear" w:color="auto" w:fill="FFFFFF"/>
            <w:tcMar>
              <w:top w:w="15" w:type="dxa"/>
              <w:left w:w="0" w:type="dxa"/>
              <w:bottom w:w="0" w:type="dxa"/>
              <w:right w:w="15" w:type="dxa"/>
            </w:tcMar>
            <w:hideMark/>
          </w:tcPr>
          <w:p w14:paraId="190759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A02CF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EA24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799614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A1F0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89ED4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3963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4BDD1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1642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DFCD8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0E7E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F1B16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49C6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250F3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9FBD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9464E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2FBC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74C23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F87E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7E29C1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E4EA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2FDC8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FE84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B1C65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6703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9FE3F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9C7E7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7506C4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BF66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CB96E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C20D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F7A8B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50262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6CA06E5F" w14:textId="77777777">
        <w:trPr>
          <w:divId w:val="1630670300"/>
        </w:trPr>
        <w:tc>
          <w:tcPr>
            <w:tcW w:w="1068" w:type="pct"/>
            <w:shd w:val="clear" w:color="auto" w:fill="FFFFFF"/>
            <w:tcMar>
              <w:top w:w="15" w:type="dxa"/>
              <w:left w:w="0" w:type="dxa"/>
              <w:bottom w:w="0" w:type="dxa"/>
              <w:right w:w="15" w:type="dxa"/>
            </w:tcMar>
            <w:hideMark/>
          </w:tcPr>
          <w:p w14:paraId="65C2D3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E3471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E101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EF990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2384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8A282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6312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0CDB98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7349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4D639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58FF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6506F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D94D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9806D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E6E4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AD508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AE42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D42D8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86CF5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70C07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8D98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2A1518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5D7C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B7569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256F5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D0BF0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0A74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22501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BD87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1F436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EB02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2CEA6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CFD80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8DB041D" w14:textId="77777777">
        <w:trPr>
          <w:divId w:val="1630670300"/>
        </w:trPr>
        <w:tc>
          <w:tcPr>
            <w:tcW w:w="1068" w:type="pct"/>
            <w:shd w:val="clear" w:color="auto" w:fill="FFFFFF"/>
            <w:tcMar>
              <w:top w:w="15" w:type="dxa"/>
              <w:left w:w="0" w:type="dxa"/>
              <w:bottom w:w="0" w:type="dxa"/>
              <w:right w:w="15" w:type="dxa"/>
            </w:tcMar>
            <w:hideMark/>
          </w:tcPr>
          <w:p w14:paraId="61B711D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473380E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34" w:type="pct"/>
            <w:gridSpan w:val="30"/>
            <w:tcBorders>
              <w:bottom w:val="single" w:sz="6" w:space="0" w:color="000000"/>
            </w:tcBorders>
            <w:shd w:val="clear" w:color="auto" w:fill="FFFFFF"/>
            <w:tcMar>
              <w:top w:w="15" w:type="dxa"/>
              <w:left w:w="0" w:type="dxa"/>
              <w:bottom w:w="0" w:type="dxa"/>
              <w:right w:w="15" w:type="dxa"/>
            </w:tcMar>
            <w:vAlign w:val="bottom"/>
            <w:hideMark/>
          </w:tcPr>
          <w:p w14:paraId="1DE5E38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1757A82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2679FA1" w14:textId="77777777">
        <w:trPr>
          <w:divId w:val="1630670300"/>
        </w:trPr>
        <w:tc>
          <w:tcPr>
            <w:tcW w:w="1068" w:type="pct"/>
            <w:shd w:val="clear" w:color="auto" w:fill="FFFFFF"/>
            <w:tcMar>
              <w:top w:w="15" w:type="dxa"/>
              <w:left w:w="0" w:type="dxa"/>
              <w:bottom w:w="0" w:type="dxa"/>
              <w:right w:w="15" w:type="dxa"/>
            </w:tcMar>
            <w:hideMark/>
          </w:tcPr>
          <w:p w14:paraId="2539907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2C69285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868"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3C462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785D004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22E01B5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868" w:type="pct"/>
            <w:gridSpan w:val="14"/>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852B4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31D9FA6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09146CD" w14:textId="77777777">
        <w:trPr>
          <w:divId w:val="1630670300"/>
        </w:trPr>
        <w:tc>
          <w:tcPr>
            <w:tcW w:w="1068" w:type="pct"/>
            <w:shd w:val="clear" w:color="auto" w:fill="FFFFFF"/>
            <w:tcMar>
              <w:top w:w="15" w:type="dxa"/>
              <w:left w:w="0" w:type="dxa"/>
              <w:bottom w:w="0" w:type="dxa"/>
              <w:right w:w="15" w:type="dxa"/>
            </w:tcMar>
            <w:hideMark/>
          </w:tcPr>
          <w:p w14:paraId="2C639A0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04192E1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0A655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0ADDFE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01826D7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AED2D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64DB3CB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49B4860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D85F9A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07C7705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2D3F9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27EDBEC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8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BD9FB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2017 plan</w:t>
            </w:r>
          </w:p>
        </w:tc>
        <w:tc>
          <w:tcPr>
            <w:tcW w:w="50" w:type="pct"/>
            <w:shd w:val="clear" w:color="auto" w:fill="FFFFFF"/>
            <w:noWrap/>
            <w:tcMar>
              <w:top w:w="15" w:type="dxa"/>
              <w:left w:w="0" w:type="dxa"/>
              <w:bottom w:w="0" w:type="dxa"/>
              <w:right w:w="15" w:type="dxa"/>
            </w:tcMar>
            <w:vAlign w:val="bottom"/>
            <w:hideMark/>
          </w:tcPr>
          <w:p w14:paraId="13A599E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530F26D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52B93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2013 plan</w:t>
            </w:r>
          </w:p>
        </w:tc>
        <w:tc>
          <w:tcPr>
            <w:tcW w:w="50" w:type="pct"/>
            <w:shd w:val="clear" w:color="auto" w:fill="FFFFFF"/>
            <w:noWrap/>
            <w:tcMar>
              <w:top w:w="15" w:type="dxa"/>
              <w:left w:w="0" w:type="dxa"/>
              <w:bottom w:w="0" w:type="dxa"/>
              <w:right w:w="15" w:type="dxa"/>
            </w:tcMar>
            <w:vAlign w:val="bottom"/>
            <w:hideMark/>
          </w:tcPr>
          <w:p w14:paraId="0B9921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0CA896C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AE375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488E3B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87ECB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AB39237" w14:textId="77777777">
        <w:trPr>
          <w:divId w:val="1630670300"/>
        </w:trPr>
        <w:tc>
          <w:tcPr>
            <w:tcW w:w="1068" w:type="pct"/>
            <w:shd w:val="clear" w:color="auto" w:fill="FFFFFF"/>
            <w:tcMar>
              <w:top w:w="15" w:type="dxa"/>
              <w:left w:w="0" w:type="dxa"/>
              <w:bottom w:w="0" w:type="dxa"/>
              <w:right w:w="15" w:type="dxa"/>
            </w:tcMar>
            <w:hideMark/>
          </w:tcPr>
          <w:p w14:paraId="40561F4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42F9F95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DEB08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1C2720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2426336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8EEF6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Restricted Stock</w:t>
            </w:r>
          </w:p>
        </w:tc>
        <w:tc>
          <w:tcPr>
            <w:tcW w:w="50" w:type="pct"/>
            <w:shd w:val="clear" w:color="auto" w:fill="FFFFFF"/>
            <w:noWrap/>
            <w:tcMar>
              <w:top w:w="15" w:type="dxa"/>
              <w:left w:w="0" w:type="dxa"/>
              <w:bottom w:w="0" w:type="dxa"/>
              <w:right w:w="15" w:type="dxa"/>
            </w:tcMar>
            <w:vAlign w:val="bottom"/>
            <w:hideMark/>
          </w:tcPr>
          <w:p w14:paraId="4E840FD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B60DD3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13313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1154DC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7F8BF32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bottom w:val="single" w:sz="6" w:space="0" w:color="000000"/>
            </w:tcBorders>
            <w:shd w:val="clear" w:color="auto" w:fill="FFFFFF"/>
            <w:tcMar>
              <w:top w:w="15" w:type="dxa"/>
              <w:left w:w="0" w:type="dxa"/>
              <w:bottom w:w="0" w:type="dxa"/>
              <w:right w:w="15" w:type="dxa"/>
            </w:tcMar>
            <w:vAlign w:val="bottom"/>
            <w:hideMark/>
          </w:tcPr>
          <w:p w14:paraId="36FD3EF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2C64A0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2B7DB9B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49E49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5AD24EA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5120AE3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C95C3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Restricted Stock</w:t>
            </w:r>
          </w:p>
        </w:tc>
        <w:tc>
          <w:tcPr>
            <w:tcW w:w="50" w:type="pct"/>
            <w:shd w:val="clear" w:color="auto" w:fill="FFFFFF"/>
            <w:noWrap/>
            <w:tcMar>
              <w:top w:w="15" w:type="dxa"/>
              <w:left w:w="0" w:type="dxa"/>
              <w:bottom w:w="0" w:type="dxa"/>
              <w:right w:w="15" w:type="dxa"/>
            </w:tcMar>
            <w:vAlign w:val="bottom"/>
            <w:hideMark/>
          </w:tcPr>
          <w:p w14:paraId="60E4503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1E6803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D25C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p>
        </w:tc>
        <w:tc>
          <w:tcPr>
            <w:tcW w:w="50" w:type="pct"/>
            <w:shd w:val="clear" w:color="auto" w:fill="FFFFFF"/>
            <w:noWrap/>
            <w:tcMar>
              <w:top w:w="15" w:type="dxa"/>
              <w:left w:w="0" w:type="dxa"/>
              <w:bottom w:w="0" w:type="dxa"/>
              <w:right w:w="15" w:type="dxa"/>
            </w:tcMar>
            <w:vAlign w:val="bottom"/>
            <w:hideMark/>
          </w:tcPr>
          <w:p w14:paraId="0B2DF1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7C9FC20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4" w:type="pct"/>
            <w:gridSpan w:val="2"/>
            <w:tcBorders>
              <w:bottom w:val="single" w:sz="6" w:space="0" w:color="000000"/>
            </w:tcBorders>
            <w:shd w:val="clear" w:color="auto" w:fill="FFFFFF"/>
            <w:tcMar>
              <w:top w:w="15" w:type="dxa"/>
              <w:left w:w="0" w:type="dxa"/>
              <w:bottom w:w="0" w:type="dxa"/>
              <w:right w:w="15" w:type="dxa"/>
            </w:tcMar>
            <w:vAlign w:val="bottom"/>
            <w:hideMark/>
          </w:tcPr>
          <w:p w14:paraId="17E3E66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1D0BD9E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3DDA8CBF" w14:textId="77777777">
        <w:trPr>
          <w:divId w:val="1630670300"/>
        </w:trPr>
        <w:tc>
          <w:tcPr>
            <w:tcW w:w="1068" w:type="pct"/>
            <w:shd w:val="clear" w:color="auto" w:fill="FFFFFF"/>
            <w:tcMar>
              <w:top w:w="15" w:type="dxa"/>
              <w:left w:w="0" w:type="dxa"/>
              <w:bottom w:w="0" w:type="dxa"/>
              <w:right w:w="15" w:type="dxa"/>
            </w:tcMar>
            <w:hideMark/>
          </w:tcPr>
          <w:p w14:paraId="05FD2844" w14:textId="77777777" w:rsidR="00000000" w:rsidRDefault="00582324">
            <w:pPr>
              <w:pStyle w:val="a3"/>
              <w:spacing w:before="0" w:beforeAutospacing="0" w:after="0" w:afterAutospacing="0"/>
              <w:rPr>
                <w:color w:val="000000"/>
                <w:sz w:val="18"/>
                <w:szCs w:val="18"/>
              </w:rPr>
            </w:pPr>
            <w:r>
              <w:rPr>
                <w:color w:val="000000"/>
                <w:sz w:val="18"/>
                <w:szCs w:val="18"/>
              </w:rPr>
              <w:t>Cost of revenue</w:t>
            </w:r>
          </w:p>
        </w:tc>
        <w:tc>
          <w:tcPr>
            <w:tcW w:w="47" w:type="pct"/>
            <w:shd w:val="clear" w:color="auto" w:fill="FFFFFF"/>
            <w:tcMar>
              <w:top w:w="15" w:type="dxa"/>
              <w:left w:w="0" w:type="dxa"/>
              <w:bottom w:w="0" w:type="dxa"/>
              <w:right w:w="15" w:type="dxa"/>
            </w:tcMar>
            <w:vAlign w:val="bottom"/>
            <w:hideMark/>
          </w:tcPr>
          <w:p w14:paraId="5BFE7B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CE1B75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0A43E625" w14:textId="77777777" w:rsidR="00000000" w:rsidRDefault="00582324">
            <w:pPr>
              <w:pStyle w:val="a3"/>
              <w:spacing w:before="0" w:beforeAutospacing="0" w:after="0" w:afterAutospacing="0"/>
              <w:jc w:val="right"/>
              <w:rPr>
                <w:color w:val="000000"/>
                <w:sz w:val="18"/>
                <w:szCs w:val="18"/>
              </w:rPr>
            </w:pPr>
            <w:r>
              <w:rPr>
                <w:color w:val="000000"/>
                <w:sz w:val="18"/>
                <w:szCs w:val="18"/>
              </w:rPr>
              <w:t>896</w:t>
            </w:r>
          </w:p>
        </w:tc>
        <w:tc>
          <w:tcPr>
            <w:tcW w:w="50" w:type="pct"/>
            <w:shd w:val="clear" w:color="auto" w:fill="FFFFFF"/>
            <w:noWrap/>
            <w:tcMar>
              <w:top w:w="15" w:type="dxa"/>
              <w:left w:w="0" w:type="dxa"/>
              <w:bottom w:w="0" w:type="dxa"/>
              <w:right w:w="15" w:type="dxa"/>
            </w:tcMar>
            <w:vAlign w:val="bottom"/>
            <w:hideMark/>
          </w:tcPr>
          <w:p w14:paraId="69E0C2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EA0F6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018830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3767D91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6004B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746FA2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CCB6B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3D89D55B" w14:textId="77777777" w:rsidR="00000000" w:rsidRDefault="00582324">
            <w:pPr>
              <w:pStyle w:val="a3"/>
              <w:spacing w:before="0" w:beforeAutospacing="0" w:after="0" w:afterAutospacing="0"/>
              <w:jc w:val="right"/>
              <w:rPr>
                <w:color w:val="000000"/>
                <w:sz w:val="18"/>
                <w:szCs w:val="18"/>
              </w:rPr>
            </w:pPr>
            <w:r>
              <w:rPr>
                <w:color w:val="000000"/>
                <w:sz w:val="18"/>
                <w:szCs w:val="18"/>
              </w:rPr>
              <w:t>10</w:t>
            </w:r>
          </w:p>
        </w:tc>
        <w:tc>
          <w:tcPr>
            <w:tcW w:w="50" w:type="pct"/>
            <w:shd w:val="clear" w:color="auto" w:fill="FFFFFF"/>
            <w:noWrap/>
            <w:tcMar>
              <w:top w:w="15" w:type="dxa"/>
              <w:left w:w="0" w:type="dxa"/>
              <w:bottom w:w="0" w:type="dxa"/>
              <w:right w:w="15" w:type="dxa"/>
            </w:tcMar>
            <w:vAlign w:val="bottom"/>
            <w:hideMark/>
          </w:tcPr>
          <w:p w14:paraId="6BCAE6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1F183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957E85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0C7A178C" w14:textId="77777777" w:rsidR="00000000" w:rsidRDefault="00582324">
            <w:pPr>
              <w:pStyle w:val="a3"/>
              <w:spacing w:before="0" w:beforeAutospacing="0" w:after="0" w:afterAutospacing="0"/>
              <w:jc w:val="right"/>
              <w:rPr>
                <w:color w:val="000000"/>
                <w:sz w:val="18"/>
                <w:szCs w:val="18"/>
              </w:rPr>
            </w:pPr>
            <w:r>
              <w:rPr>
                <w:color w:val="000000"/>
                <w:sz w:val="18"/>
                <w:szCs w:val="18"/>
              </w:rPr>
              <w:t>906</w:t>
            </w:r>
          </w:p>
        </w:tc>
        <w:tc>
          <w:tcPr>
            <w:tcW w:w="50" w:type="pct"/>
            <w:shd w:val="clear" w:color="auto" w:fill="FFFFFF"/>
            <w:noWrap/>
            <w:tcMar>
              <w:top w:w="15" w:type="dxa"/>
              <w:left w:w="0" w:type="dxa"/>
              <w:bottom w:w="0" w:type="dxa"/>
              <w:right w:w="15" w:type="dxa"/>
            </w:tcMar>
            <w:vAlign w:val="bottom"/>
            <w:hideMark/>
          </w:tcPr>
          <w:p w14:paraId="42E60E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ECA30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DC153B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7CB68878" w14:textId="77777777" w:rsidR="00000000" w:rsidRDefault="00582324">
            <w:pPr>
              <w:pStyle w:val="a3"/>
              <w:spacing w:before="0" w:beforeAutospacing="0" w:after="0" w:afterAutospacing="0"/>
              <w:jc w:val="right"/>
              <w:rPr>
                <w:color w:val="000000"/>
                <w:sz w:val="18"/>
                <w:szCs w:val="18"/>
              </w:rPr>
            </w:pPr>
            <w:r>
              <w:rPr>
                <w:color w:val="000000"/>
                <w:sz w:val="18"/>
                <w:szCs w:val="18"/>
              </w:rPr>
              <w:t>697</w:t>
            </w:r>
          </w:p>
        </w:tc>
        <w:tc>
          <w:tcPr>
            <w:tcW w:w="50" w:type="pct"/>
            <w:shd w:val="clear" w:color="auto" w:fill="FFFFFF"/>
            <w:noWrap/>
            <w:tcMar>
              <w:top w:w="15" w:type="dxa"/>
              <w:left w:w="0" w:type="dxa"/>
              <w:bottom w:w="0" w:type="dxa"/>
              <w:right w:w="15" w:type="dxa"/>
            </w:tcMar>
            <w:vAlign w:val="bottom"/>
            <w:hideMark/>
          </w:tcPr>
          <w:p w14:paraId="019E6B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59DCC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1CA101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3FD8D9D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D29D4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8CA9A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9242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490098C0" w14:textId="77777777" w:rsidR="00000000" w:rsidRDefault="00582324">
            <w:pPr>
              <w:pStyle w:val="a3"/>
              <w:spacing w:before="0" w:beforeAutospacing="0" w:after="0" w:afterAutospacing="0"/>
              <w:jc w:val="right"/>
              <w:rPr>
                <w:color w:val="000000"/>
                <w:sz w:val="18"/>
                <w:szCs w:val="18"/>
              </w:rPr>
            </w:pPr>
            <w:r>
              <w:rPr>
                <w:color w:val="000000"/>
                <w:sz w:val="18"/>
                <w:szCs w:val="18"/>
              </w:rPr>
              <w:t>131</w:t>
            </w:r>
          </w:p>
        </w:tc>
        <w:tc>
          <w:tcPr>
            <w:tcW w:w="50" w:type="pct"/>
            <w:shd w:val="clear" w:color="auto" w:fill="FFFFFF"/>
            <w:noWrap/>
            <w:tcMar>
              <w:top w:w="15" w:type="dxa"/>
              <w:left w:w="0" w:type="dxa"/>
              <w:bottom w:w="0" w:type="dxa"/>
              <w:right w:w="15" w:type="dxa"/>
            </w:tcMar>
            <w:vAlign w:val="bottom"/>
            <w:hideMark/>
          </w:tcPr>
          <w:p w14:paraId="36F0DB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126C6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79BA38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08DD5481" w14:textId="77777777" w:rsidR="00000000" w:rsidRDefault="00582324">
            <w:pPr>
              <w:pStyle w:val="a3"/>
              <w:spacing w:before="0" w:beforeAutospacing="0" w:after="0" w:afterAutospacing="0"/>
              <w:jc w:val="right"/>
              <w:rPr>
                <w:color w:val="000000"/>
                <w:sz w:val="18"/>
                <w:szCs w:val="18"/>
              </w:rPr>
            </w:pPr>
            <w:r>
              <w:rPr>
                <w:color w:val="000000"/>
                <w:sz w:val="18"/>
                <w:szCs w:val="18"/>
              </w:rPr>
              <w:t>828</w:t>
            </w:r>
          </w:p>
        </w:tc>
        <w:tc>
          <w:tcPr>
            <w:tcW w:w="50" w:type="pct"/>
            <w:shd w:val="clear" w:color="auto" w:fill="FFFFFF"/>
            <w:noWrap/>
            <w:tcMar>
              <w:top w:w="15" w:type="dxa"/>
              <w:left w:w="0" w:type="dxa"/>
              <w:bottom w:w="0" w:type="dxa"/>
              <w:right w:w="15" w:type="dxa"/>
            </w:tcMar>
            <w:vAlign w:val="bottom"/>
            <w:hideMark/>
          </w:tcPr>
          <w:p w14:paraId="2DFF7FE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10E50F0A" w14:textId="77777777">
        <w:trPr>
          <w:divId w:val="1630670300"/>
        </w:trPr>
        <w:tc>
          <w:tcPr>
            <w:tcW w:w="1068" w:type="pct"/>
            <w:shd w:val="clear" w:color="auto" w:fill="CFF0FC"/>
            <w:tcMar>
              <w:top w:w="15" w:type="dxa"/>
              <w:left w:w="0" w:type="dxa"/>
              <w:bottom w:w="0" w:type="dxa"/>
              <w:right w:w="15" w:type="dxa"/>
            </w:tcMar>
            <w:hideMark/>
          </w:tcPr>
          <w:p w14:paraId="04564E56" w14:textId="77777777" w:rsidR="00000000" w:rsidRDefault="00582324">
            <w:pPr>
              <w:pStyle w:val="a3"/>
              <w:spacing w:before="0" w:beforeAutospacing="0" w:after="0" w:afterAutospacing="0"/>
              <w:rPr>
                <w:color w:val="000000"/>
                <w:sz w:val="18"/>
                <w:szCs w:val="18"/>
              </w:rPr>
            </w:pPr>
            <w:r>
              <w:rPr>
                <w:color w:val="000000"/>
                <w:sz w:val="18"/>
                <w:szCs w:val="18"/>
              </w:rPr>
              <w:t>Selling, general and</w:t>
            </w:r>
          </w:p>
          <w:p w14:paraId="7E07EFA3" w14:textId="77777777" w:rsidR="00000000" w:rsidRDefault="00582324">
            <w:pPr>
              <w:pStyle w:val="a3"/>
              <w:spacing w:before="0" w:beforeAutospacing="0" w:after="0" w:afterAutospacing="0"/>
              <w:rPr>
                <w:color w:val="000000"/>
                <w:sz w:val="18"/>
                <w:szCs w:val="18"/>
              </w:rPr>
            </w:pPr>
            <w:r>
              <w:rPr>
                <w:color w:val="000000"/>
                <w:sz w:val="18"/>
                <w:szCs w:val="18"/>
              </w:rPr>
              <w:t>   administrative expense</w:t>
            </w:r>
          </w:p>
        </w:tc>
        <w:tc>
          <w:tcPr>
            <w:tcW w:w="47" w:type="pct"/>
            <w:shd w:val="clear" w:color="auto" w:fill="CFF0FC"/>
            <w:tcMar>
              <w:top w:w="15" w:type="dxa"/>
              <w:left w:w="0" w:type="dxa"/>
              <w:bottom w:w="0" w:type="dxa"/>
              <w:right w:w="15" w:type="dxa"/>
            </w:tcMar>
            <w:vAlign w:val="bottom"/>
            <w:hideMark/>
          </w:tcPr>
          <w:p w14:paraId="11813B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D363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398FB2F9" w14:textId="77777777" w:rsidR="00000000" w:rsidRDefault="00582324">
            <w:pPr>
              <w:pStyle w:val="a3"/>
              <w:spacing w:before="0" w:beforeAutospacing="0" w:after="0" w:afterAutospacing="0"/>
              <w:jc w:val="right"/>
              <w:rPr>
                <w:color w:val="000000"/>
                <w:sz w:val="18"/>
                <w:szCs w:val="18"/>
              </w:rPr>
            </w:pPr>
            <w:r>
              <w:rPr>
                <w:color w:val="000000"/>
                <w:sz w:val="18"/>
                <w:szCs w:val="18"/>
              </w:rPr>
              <w:t>2,794</w:t>
            </w:r>
          </w:p>
        </w:tc>
        <w:tc>
          <w:tcPr>
            <w:tcW w:w="50" w:type="pct"/>
            <w:shd w:val="clear" w:color="auto" w:fill="CFF0FC"/>
            <w:noWrap/>
            <w:tcMar>
              <w:top w:w="15" w:type="dxa"/>
              <w:left w:w="0" w:type="dxa"/>
              <w:bottom w:w="0" w:type="dxa"/>
              <w:right w:w="15" w:type="dxa"/>
            </w:tcMar>
            <w:vAlign w:val="bottom"/>
            <w:hideMark/>
          </w:tcPr>
          <w:p w14:paraId="58D1D2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0479BC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50C3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E6CFB69" w14:textId="77777777" w:rsidR="00000000" w:rsidRDefault="00582324">
            <w:pPr>
              <w:pStyle w:val="a3"/>
              <w:spacing w:before="0" w:beforeAutospacing="0" w:after="0" w:afterAutospacing="0"/>
              <w:jc w:val="right"/>
              <w:rPr>
                <w:color w:val="000000"/>
                <w:sz w:val="18"/>
                <w:szCs w:val="18"/>
              </w:rPr>
            </w:pPr>
            <w:r>
              <w:rPr>
                <w:color w:val="000000"/>
                <w:sz w:val="18"/>
                <w:szCs w:val="18"/>
              </w:rPr>
              <w:t>512</w:t>
            </w:r>
          </w:p>
        </w:tc>
        <w:tc>
          <w:tcPr>
            <w:tcW w:w="50" w:type="pct"/>
            <w:shd w:val="clear" w:color="auto" w:fill="CFF0FC"/>
            <w:noWrap/>
            <w:tcMar>
              <w:top w:w="15" w:type="dxa"/>
              <w:left w:w="0" w:type="dxa"/>
              <w:bottom w:w="0" w:type="dxa"/>
              <w:right w:w="15" w:type="dxa"/>
            </w:tcMar>
            <w:vAlign w:val="bottom"/>
            <w:hideMark/>
          </w:tcPr>
          <w:p w14:paraId="25F5A6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5BFDFD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057F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7FF321CA" w14:textId="77777777" w:rsidR="00000000" w:rsidRDefault="00582324">
            <w:pPr>
              <w:pStyle w:val="a3"/>
              <w:spacing w:before="0" w:beforeAutospacing="0" w:after="0" w:afterAutospacing="0"/>
              <w:jc w:val="right"/>
              <w:rPr>
                <w:color w:val="000000"/>
                <w:sz w:val="18"/>
                <w:szCs w:val="18"/>
              </w:rPr>
            </w:pPr>
            <w:r>
              <w:rPr>
                <w:color w:val="000000"/>
                <w:sz w:val="18"/>
                <w:szCs w:val="18"/>
              </w:rPr>
              <w:t>9</w:t>
            </w:r>
          </w:p>
        </w:tc>
        <w:tc>
          <w:tcPr>
            <w:tcW w:w="50" w:type="pct"/>
            <w:shd w:val="clear" w:color="auto" w:fill="CFF0FC"/>
            <w:noWrap/>
            <w:tcMar>
              <w:top w:w="15" w:type="dxa"/>
              <w:left w:w="0" w:type="dxa"/>
              <w:bottom w:w="0" w:type="dxa"/>
              <w:right w:w="15" w:type="dxa"/>
            </w:tcMar>
            <w:vAlign w:val="bottom"/>
            <w:hideMark/>
          </w:tcPr>
          <w:p w14:paraId="2D6445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7AD9C0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BCA5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762DEB7D" w14:textId="77777777" w:rsidR="00000000" w:rsidRDefault="00582324">
            <w:pPr>
              <w:pStyle w:val="a3"/>
              <w:spacing w:before="0" w:beforeAutospacing="0" w:after="0" w:afterAutospacing="0"/>
              <w:jc w:val="right"/>
              <w:rPr>
                <w:color w:val="000000"/>
                <w:sz w:val="18"/>
                <w:szCs w:val="18"/>
              </w:rPr>
            </w:pPr>
            <w:r>
              <w:rPr>
                <w:color w:val="000000"/>
                <w:sz w:val="18"/>
                <w:szCs w:val="18"/>
              </w:rPr>
              <w:t>3,315</w:t>
            </w:r>
          </w:p>
        </w:tc>
        <w:tc>
          <w:tcPr>
            <w:tcW w:w="50" w:type="pct"/>
            <w:shd w:val="clear" w:color="auto" w:fill="CFF0FC"/>
            <w:noWrap/>
            <w:tcMar>
              <w:top w:w="15" w:type="dxa"/>
              <w:left w:w="0" w:type="dxa"/>
              <w:bottom w:w="0" w:type="dxa"/>
              <w:right w:w="15" w:type="dxa"/>
            </w:tcMar>
            <w:vAlign w:val="bottom"/>
            <w:hideMark/>
          </w:tcPr>
          <w:p w14:paraId="5AB019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30C8ED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3B12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04AE901" w14:textId="77777777" w:rsidR="00000000" w:rsidRDefault="00582324">
            <w:pPr>
              <w:pStyle w:val="a3"/>
              <w:spacing w:before="0" w:beforeAutospacing="0" w:after="0" w:afterAutospacing="0"/>
              <w:jc w:val="right"/>
              <w:rPr>
                <w:color w:val="000000"/>
                <w:sz w:val="18"/>
                <w:szCs w:val="18"/>
              </w:rPr>
            </w:pPr>
            <w:r>
              <w:rPr>
                <w:color w:val="000000"/>
                <w:sz w:val="18"/>
                <w:szCs w:val="18"/>
              </w:rPr>
              <w:t>586</w:t>
            </w:r>
          </w:p>
        </w:tc>
        <w:tc>
          <w:tcPr>
            <w:tcW w:w="50" w:type="pct"/>
            <w:shd w:val="clear" w:color="auto" w:fill="CFF0FC"/>
            <w:noWrap/>
            <w:tcMar>
              <w:top w:w="15" w:type="dxa"/>
              <w:left w:w="0" w:type="dxa"/>
              <w:bottom w:w="0" w:type="dxa"/>
              <w:right w:w="15" w:type="dxa"/>
            </w:tcMar>
            <w:vAlign w:val="bottom"/>
            <w:hideMark/>
          </w:tcPr>
          <w:p w14:paraId="74D987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581D21A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A1F4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103AB3C6" w14:textId="77777777" w:rsidR="00000000" w:rsidRDefault="00582324">
            <w:pPr>
              <w:pStyle w:val="a3"/>
              <w:spacing w:before="0" w:beforeAutospacing="0" w:after="0" w:afterAutospacing="0"/>
              <w:jc w:val="right"/>
              <w:rPr>
                <w:color w:val="000000"/>
                <w:sz w:val="18"/>
                <w:szCs w:val="18"/>
              </w:rPr>
            </w:pPr>
            <w:r>
              <w:rPr>
                <w:color w:val="000000"/>
                <w:sz w:val="18"/>
                <w:szCs w:val="18"/>
              </w:rPr>
              <w:t>740</w:t>
            </w:r>
          </w:p>
        </w:tc>
        <w:tc>
          <w:tcPr>
            <w:tcW w:w="50" w:type="pct"/>
            <w:shd w:val="clear" w:color="auto" w:fill="CFF0FC"/>
            <w:noWrap/>
            <w:tcMar>
              <w:top w:w="15" w:type="dxa"/>
              <w:left w:w="0" w:type="dxa"/>
              <w:bottom w:w="0" w:type="dxa"/>
              <w:right w:w="15" w:type="dxa"/>
            </w:tcMar>
            <w:vAlign w:val="bottom"/>
            <w:hideMark/>
          </w:tcPr>
          <w:p w14:paraId="370F7A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67DAD2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D597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D1771F9" w14:textId="77777777" w:rsidR="00000000" w:rsidRDefault="00582324">
            <w:pPr>
              <w:pStyle w:val="a3"/>
              <w:spacing w:before="0" w:beforeAutospacing="0" w:after="0" w:afterAutospacing="0"/>
              <w:jc w:val="right"/>
              <w:rPr>
                <w:color w:val="000000"/>
                <w:sz w:val="18"/>
                <w:szCs w:val="18"/>
              </w:rPr>
            </w:pPr>
            <w:r>
              <w:rPr>
                <w:color w:val="000000"/>
                <w:sz w:val="18"/>
                <w:szCs w:val="18"/>
              </w:rPr>
              <w:t>136</w:t>
            </w:r>
          </w:p>
        </w:tc>
        <w:tc>
          <w:tcPr>
            <w:tcW w:w="50" w:type="pct"/>
            <w:shd w:val="clear" w:color="auto" w:fill="CFF0FC"/>
            <w:noWrap/>
            <w:tcMar>
              <w:top w:w="15" w:type="dxa"/>
              <w:left w:w="0" w:type="dxa"/>
              <w:bottom w:w="0" w:type="dxa"/>
              <w:right w:w="15" w:type="dxa"/>
            </w:tcMar>
            <w:vAlign w:val="bottom"/>
            <w:hideMark/>
          </w:tcPr>
          <w:p w14:paraId="777C38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73902E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D49B1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0F3C7326" w14:textId="77777777" w:rsidR="00000000" w:rsidRDefault="00582324">
            <w:pPr>
              <w:pStyle w:val="a3"/>
              <w:spacing w:before="0" w:beforeAutospacing="0" w:after="0" w:afterAutospacing="0"/>
              <w:jc w:val="right"/>
              <w:rPr>
                <w:color w:val="000000"/>
                <w:sz w:val="18"/>
                <w:szCs w:val="18"/>
              </w:rPr>
            </w:pPr>
            <w:r>
              <w:rPr>
                <w:color w:val="000000"/>
                <w:sz w:val="18"/>
                <w:szCs w:val="18"/>
              </w:rPr>
              <w:t>1,462</w:t>
            </w:r>
          </w:p>
        </w:tc>
        <w:tc>
          <w:tcPr>
            <w:tcW w:w="50" w:type="pct"/>
            <w:shd w:val="clear" w:color="auto" w:fill="CFF0FC"/>
            <w:noWrap/>
            <w:tcMar>
              <w:top w:w="15" w:type="dxa"/>
              <w:left w:w="0" w:type="dxa"/>
              <w:bottom w:w="0" w:type="dxa"/>
              <w:right w:w="15" w:type="dxa"/>
            </w:tcMar>
            <w:vAlign w:val="bottom"/>
            <w:hideMark/>
          </w:tcPr>
          <w:p w14:paraId="1D1A316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38B25CCD" w14:textId="77777777">
        <w:trPr>
          <w:divId w:val="1630670300"/>
        </w:trPr>
        <w:tc>
          <w:tcPr>
            <w:tcW w:w="1068" w:type="pct"/>
            <w:shd w:val="clear" w:color="auto" w:fill="FFFFFF"/>
            <w:tcMar>
              <w:top w:w="15" w:type="dxa"/>
              <w:left w:w="0" w:type="dxa"/>
              <w:bottom w:w="0" w:type="dxa"/>
              <w:right w:w="15" w:type="dxa"/>
            </w:tcMar>
            <w:hideMark/>
          </w:tcPr>
          <w:p w14:paraId="3E7E99F8"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47" w:type="pct"/>
            <w:shd w:val="clear" w:color="auto" w:fill="FFFFFF"/>
            <w:tcMar>
              <w:top w:w="15" w:type="dxa"/>
              <w:left w:w="0" w:type="dxa"/>
              <w:bottom w:w="0" w:type="dxa"/>
              <w:right w:w="15" w:type="dxa"/>
            </w:tcMar>
            <w:vAlign w:val="bottom"/>
            <w:hideMark/>
          </w:tcPr>
          <w:p w14:paraId="19E5A6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3CA29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35994D" w14:textId="77777777" w:rsidR="00000000" w:rsidRDefault="00582324">
            <w:pPr>
              <w:pStyle w:val="a3"/>
              <w:spacing w:before="0" w:beforeAutospacing="0" w:after="0" w:afterAutospacing="0"/>
              <w:jc w:val="right"/>
              <w:rPr>
                <w:color w:val="000000"/>
                <w:sz w:val="18"/>
                <w:szCs w:val="18"/>
              </w:rPr>
            </w:pPr>
            <w:r>
              <w:rPr>
                <w:color w:val="000000"/>
                <w:sz w:val="18"/>
                <w:szCs w:val="18"/>
              </w:rPr>
              <w:t>3,690</w:t>
            </w:r>
          </w:p>
        </w:tc>
        <w:tc>
          <w:tcPr>
            <w:tcW w:w="50" w:type="pct"/>
            <w:shd w:val="clear" w:color="auto" w:fill="FFFFFF"/>
            <w:noWrap/>
            <w:tcMar>
              <w:top w:w="15" w:type="dxa"/>
              <w:left w:w="0" w:type="dxa"/>
              <w:bottom w:w="0" w:type="dxa"/>
              <w:right w:w="15" w:type="dxa"/>
            </w:tcMar>
            <w:vAlign w:val="bottom"/>
            <w:hideMark/>
          </w:tcPr>
          <w:p w14:paraId="5A46E5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CE9F6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9267F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AB043D" w14:textId="77777777" w:rsidR="00000000" w:rsidRDefault="00582324">
            <w:pPr>
              <w:pStyle w:val="a3"/>
              <w:spacing w:before="0" w:beforeAutospacing="0" w:after="0" w:afterAutospacing="0"/>
              <w:jc w:val="right"/>
              <w:rPr>
                <w:color w:val="000000"/>
                <w:sz w:val="18"/>
                <w:szCs w:val="18"/>
              </w:rPr>
            </w:pPr>
            <w:r>
              <w:rPr>
                <w:color w:val="000000"/>
                <w:sz w:val="18"/>
                <w:szCs w:val="18"/>
              </w:rPr>
              <w:t>512</w:t>
            </w:r>
          </w:p>
        </w:tc>
        <w:tc>
          <w:tcPr>
            <w:tcW w:w="50" w:type="pct"/>
            <w:shd w:val="clear" w:color="auto" w:fill="FFFFFF"/>
            <w:noWrap/>
            <w:tcMar>
              <w:top w:w="15" w:type="dxa"/>
              <w:left w:w="0" w:type="dxa"/>
              <w:bottom w:w="0" w:type="dxa"/>
              <w:right w:w="15" w:type="dxa"/>
            </w:tcMar>
            <w:vAlign w:val="bottom"/>
            <w:hideMark/>
          </w:tcPr>
          <w:p w14:paraId="50CE50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15F915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AFFD8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9E0B5E" w14:textId="77777777" w:rsidR="00000000" w:rsidRDefault="00582324">
            <w:pPr>
              <w:pStyle w:val="a3"/>
              <w:spacing w:before="0" w:beforeAutospacing="0" w:after="0" w:afterAutospacing="0"/>
              <w:jc w:val="right"/>
              <w:rPr>
                <w:color w:val="000000"/>
                <w:sz w:val="18"/>
                <w:szCs w:val="18"/>
              </w:rPr>
            </w:pPr>
            <w:r>
              <w:rPr>
                <w:color w:val="000000"/>
                <w:sz w:val="18"/>
                <w:szCs w:val="18"/>
              </w:rPr>
              <w:t>19</w:t>
            </w:r>
          </w:p>
        </w:tc>
        <w:tc>
          <w:tcPr>
            <w:tcW w:w="50" w:type="pct"/>
            <w:shd w:val="clear" w:color="auto" w:fill="FFFFFF"/>
            <w:noWrap/>
            <w:tcMar>
              <w:top w:w="15" w:type="dxa"/>
              <w:left w:w="0" w:type="dxa"/>
              <w:bottom w:w="0" w:type="dxa"/>
              <w:right w:w="15" w:type="dxa"/>
            </w:tcMar>
            <w:vAlign w:val="bottom"/>
            <w:hideMark/>
          </w:tcPr>
          <w:p w14:paraId="632701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A7131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8FE5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5AC469" w14:textId="77777777" w:rsidR="00000000" w:rsidRDefault="00582324">
            <w:pPr>
              <w:pStyle w:val="a3"/>
              <w:spacing w:before="0" w:beforeAutospacing="0" w:after="0" w:afterAutospacing="0"/>
              <w:jc w:val="right"/>
              <w:rPr>
                <w:color w:val="000000"/>
                <w:sz w:val="18"/>
                <w:szCs w:val="18"/>
              </w:rPr>
            </w:pPr>
            <w:r>
              <w:rPr>
                <w:color w:val="000000"/>
                <w:sz w:val="18"/>
                <w:szCs w:val="18"/>
              </w:rPr>
              <w:t>4,221</w:t>
            </w:r>
          </w:p>
        </w:tc>
        <w:tc>
          <w:tcPr>
            <w:tcW w:w="50" w:type="pct"/>
            <w:shd w:val="clear" w:color="auto" w:fill="FFFFFF"/>
            <w:noWrap/>
            <w:tcMar>
              <w:top w:w="15" w:type="dxa"/>
              <w:left w:w="0" w:type="dxa"/>
              <w:bottom w:w="0" w:type="dxa"/>
              <w:right w:w="15" w:type="dxa"/>
            </w:tcMar>
            <w:vAlign w:val="bottom"/>
            <w:hideMark/>
          </w:tcPr>
          <w:p w14:paraId="3F2DA2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4CB3D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10DAE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AB3379" w14:textId="77777777" w:rsidR="00000000" w:rsidRDefault="00582324">
            <w:pPr>
              <w:pStyle w:val="a3"/>
              <w:spacing w:before="0" w:beforeAutospacing="0" w:after="0" w:afterAutospacing="0"/>
              <w:jc w:val="right"/>
              <w:rPr>
                <w:color w:val="000000"/>
                <w:sz w:val="18"/>
                <w:szCs w:val="18"/>
              </w:rPr>
            </w:pPr>
            <w:r>
              <w:rPr>
                <w:color w:val="000000"/>
                <w:sz w:val="18"/>
                <w:szCs w:val="18"/>
              </w:rPr>
              <w:t>1,283</w:t>
            </w:r>
          </w:p>
        </w:tc>
        <w:tc>
          <w:tcPr>
            <w:tcW w:w="50" w:type="pct"/>
            <w:shd w:val="clear" w:color="auto" w:fill="FFFFFF"/>
            <w:noWrap/>
            <w:tcMar>
              <w:top w:w="15" w:type="dxa"/>
              <w:left w:w="0" w:type="dxa"/>
              <w:bottom w:w="0" w:type="dxa"/>
              <w:right w:w="15" w:type="dxa"/>
            </w:tcMar>
            <w:vAlign w:val="bottom"/>
            <w:hideMark/>
          </w:tcPr>
          <w:p w14:paraId="73E29B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77253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EFF12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031C2B" w14:textId="77777777" w:rsidR="00000000" w:rsidRDefault="00582324">
            <w:pPr>
              <w:pStyle w:val="a3"/>
              <w:spacing w:before="0" w:beforeAutospacing="0" w:after="0" w:afterAutospacing="0"/>
              <w:jc w:val="right"/>
              <w:rPr>
                <w:color w:val="000000"/>
                <w:sz w:val="18"/>
                <w:szCs w:val="18"/>
              </w:rPr>
            </w:pPr>
            <w:r>
              <w:rPr>
                <w:color w:val="000000"/>
                <w:sz w:val="18"/>
                <w:szCs w:val="18"/>
              </w:rPr>
              <w:t>740</w:t>
            </w:r>
          </w:p>
        </w:tc>
        <w:tc>
          <w:tcPr>
            <w:tcW w:w="50" w:type="pct"/>
            <w:shd w:val="clear" w:color="auto" w:fill="FFFFFF"/>
            <w:noWrap/>
            <w:tcMar>
              <w:top w:w="15" w:type="dxa"/>
              <w:left w:w="0" w:type="dxa"/>
              <w:bottom w:w="0" w:type="dxa"/>
              <w:right w:w="15" w:type="dxa"/>
            </w:tcMar>
            <w:vAlign w:val="bottom"/>
            <w:hideMark/>
          </w:tcPr>
          <w:p w14:paraId="315C5D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F7D28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7F585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6D5AC0" w14:textId="77777777" w:rsidR="00000000" w:rsidRDefault="00582324">
            <w:pPr>
              <w:pStyle w:val="a3"/>
              <w:spacing w:before="0" w:beforeAutospacing="0" w:after="0" w:afterAutospacing="0"/>
              <w:jc w:val="right"/>
              <w:rPr>
                <w:color w:val="000000"/>
                <w:sz w:val="18"/>
                <w:szCs w:val="18"/>
              </w:rPr>
            </w:pPr>
            <w:r>
              <w:rPr>
                <w:color w:val="000000"/>
                <w:sz w:val="18"/>
                <w:szCs w:val="18"/>
              </w:rPr>
              <w:t>267</w:t>
            </w:r>
          </w:p>
        </w:tc>
        <w:tc>
          <w:tcPr>
            <w:tcW w:w="50" w:type="pct"/>
            <w:shd w:val="clear" w:color="auto" w:fill="FFFFFF"/>
            <w:noWrap/>
            <w:tcMar>
              <w:top w:w="15" w:type="dxa"/>
              <w:left w:w="0" w:type="dxa"/>
              <w:bottom w:w="0" w:type="dxa"/>
              <w:right w:w="15" w:type="dxa"/>
            </w:tcMar>
            <w:vAlign w:val="bottom"/>
            <w:hideMark/>
          </w:tcPr>
          <w:p w14:paraId="653F3A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45AEC7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2CDD5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33ACB2" w14:textId="77777777" w:rsidR="00000000" w:rsidRDefault="00582324">
            <w:pPr>
              <w:pStyle w:val="a3"/>
              <w:spacing w:before="0" w:beforeAutospacing="0" w:after="0" w:afterAutospacing="0"/>
              <w:jc w:val="right"/>
              <w:rPr>
                <w:color w:val="000000"/>
                <w:sz w:val="18"/>
                <w:szCs w:val="18"/>
              </w:rPr>
            </w:pPr>
            <w:r>
              <w:rPr>
                <w:color w:val="000000"/>
                <w:sz w:val="18"/>
                <w:szCs w:val="18"/>
              </w:rPr>
              <w:t>2,290</w:t>
            </w:r>
          </w:p>
        </w:tc>
        <w:tc>
          <w:tcPr>
            <w:tcW w:w="50" w:type="pct"/>
            <w:shd w:val="clear" w:color="auto" w:fill="FFFFFF"/>
            <w:noWrap/>
            <w:tcMar>
              <w:top w:w="15" w:type="dxa"/>
              <w:left w:w="0" w:type="dxa"/>
              <w:bottom w:w="0" w:type="dxa"/>
              <w:right w:w="15" w:type="dxa"/>
            </w:tcMar>
            <w:vAlign w:val="bottom"/>
            <w:hideMark/>
          </w:tcPr>
          <w:p w14:paraId="6274DF96"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D9F001D" w14:textId="77777777" w:rsidR="00000000" w:rsidRDefault="00582324">
      <w:pPr>
        <w:pStyle w:val="a3"/>
        <w:shd w:val="clear" w:color="auto" w:fill="FFFFFF"/>
        <w:spacing w:before="0" w:beforeAutospacing="0" w:after="0" w:afterAutospacing="0"/>
        <w:rPr>
          <w:sz w:val="20"/>
          <w:szCs w:val="20"/>
        </w:rPr>
      </w:pPr>
      <w:r>
        <w:rPr>
          <w:sz w:val="20"/>
          <w:szCs w:val="20"/>
        </w:rPr>
        <w:t> </w:t>
      </w:r>
    </w:p>
    <w:p w14:paraId="47D411A1" w14:textId="77777777" w:rsidR="00000000" w:rsidRDefault="00582324">
      <w:pPr>
        <w:pStyle w:val="a3"/>
        <w:shd w:val="clear" w:color="auto" w:fill="FFFFFF"/>
        <w:spacing w:before="160" w:beforeAutospacing="0" w:after="0" w:afterAutospacing="0"/>
        <w:rPr>
          <w:b/>
          <w:bCs/>
          <w:i/>
          <w:iCs/>
          <w:sz w:val="20"/>
          <w:szCs w:val="20"/>
        </w:rPr>
      </w:pPr>
      <w:r>
        <w:rPr>
          <w:b/>
          <w:bCs/>
          <w:i/>
          <w:iCs/>
          <w:sz w:val="20"/>
          <w:szCs w:val="20"/>
        </w:rPr>
        <w:t>Montrose Amended &amp; Restated 2017 Stock Incentive Plan</w:t>
      </w:r>
    </w:p>
    <w:p w14:paraId="2DB53710" w14:textId="77777777" w:rsidR="00000000" w:rsidRDefault="00582324">
      <w:pPr>
        <w:pStyle w:val="a3"/>
        <w:shd w:val="clear" w:color="auto" w:fill="FFFFFF"/>
        <w:spacing w:before="120" w:beforeAutospacing="0" w:after="0" w:afterAutospacing="0"/>
        <w:ind w:firstLine="416"/>
        <w:rPr>
          <w:b/>
          <w:bCs/>
          <w:i/>
          <w:iCs/>
          <w:sz w:val="20"/>
          <w:szCs w:val="20"/>
        </w:rPr>
      </w:pPr>
      <w:r>
        <w:rPr>
          <w:b/>
          <w:bCs/>
          <w:i/>
          <w:iCs/>
          <w:sz w:val="20"/>
          <w:szCs w:val="20"/>
        </w:rPr>
        <w:t>Restricted Stock—</w:t>
      </w:r>
      <w:r>
        <w:rPr>
          <w:sz w:val="20"/>
          <w:szCs w:val="20"/>
        </w:rPr>
        <w:t>The Company issues restricted stock to certain 2017 Plan participants as Director’s compensation. These shares of restricted stock granted in the three and six months ended June 3</w:t>
      </w:r>
      <w:r>
        <w:rPr>
          <w:sz w:val="20"/>
          <w:szCs w:val="20"/>
        </w:rPr>
        <w:t>0, 2021 and June 30, 2020 vest one year from the date of grant, or, in each case, in full upon a change in control, subject to the participant’s continued service as a Director throughout such date, or upon retirement. Members of the Board of Directors tha</w:t>
      </w:r>
      <w:r>
        <w:rPr>
          <w:sz w:val="20"/>
          <w:szCs w:val="20"/>
        </w:rPr>
        <w:t xml:space="preserve">t receive stock-based compensation are treated as employees for accounting purposes. Restricted stock activity was as follows: </w:t>
      </w:r>
    </w:p>
    <w:p w14:paraId="1C0E3808" w14:textId="77777777" w:rsidR="00000000" w:rsidRDefault="00582324">
      <w:pPr>
        <w:pStyle w:val="a3"/>
        <w:shd w:val="clear" w:color="auto" w:fill="FFFFFF"/>
        <w:spacing w:before="120" w:beforeAutospacing="0" w:after="0" w:afterAutospacing="0"/>
        <w:ind w:firstLine="41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628"/>
        <w:gridCol w:w="69"/>
        <w:gridCol w:w="679"/>
        <w:gridCol w:w="69"/>
        <w:gridCol w:w="82"/>
        <w:gridCol w:w="106"/>
        <w:gridCol w:w="679"/>
        <w:gridCol w:w="69"/>
        <w:gridCol w:w="82"/>
        <w:gridCol w:w="106"/>
        <w:gridCol w:w="830"/>
        <w:gridCol w:w="69"/>
        <w:gridCol w:w="82"/>
        <w:gridCol w:w="69"/>
        <w:gridCol w:w="679"/>
        <w:gridCol w:w="69"/>
        <w:gridCol w:w="82"/>
        <w:gridCol w:w="106"/>
        <w:gridCol w:w="679"/>
        <w:gridCol w:w="69"/>
        <w:gridCol w:w="82"/>
        <w:gridCol w:w="106"/>
        <w:gridCol w:w="833"/>
        <w:gridCol w:w="69"/>
        <w:gridCol w:w="82"/>
      </w:tblGrid>
      <w:tr w:rsidR="00000000" w14:paraId="2821BFE3" w14:textId="77777777">
        <w:trPr>
          <w:divId w:val="1342243251"/>
        </w:trPr>
        <w:tc>
          <w:tcPr>
            <w:tcW w:w="1093" w:type="pct"/>
            <w:shd w:val="clear" w:color="auto" w:fill="FFFFFF"/>
            <w:tcMar>
              <w:top w:w="15" w:type="dxa"/>
              <w:left w:w="0" w:type="dxa"/>
              <w:bottom w:w="0" w:type="dxa"/>
              <w:right w:w="15" w:type="dxa"/>
            </w:tcMar>
            <w:vAlign w:val="bottom"/>
            <w:hideMark/>
          </w:tcPr>
          <w:p w14:paraId="68884ED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3797" w:type="pct"/>
            <w:gridSpan w:val="22"/>
            <w:tcBorders>
              <w:bottom w:val="single" w:sz="6" w:space="0" w:color="000000"/>
            </w:tcBorders>
            <w:shd w:val="clear" w:color="auto" w:fill="FFFFFF"/>
            <w:tcMar>
              <w:top w:w="15" w:type="dxa"/>
              <w:left w:w="0" w:type="dxa"/>
              <w:bottom w:w="0" w:type="dxa"/>
              <w:right w:w="15" w:type="dxa"/>
            </w:tcMar>
            <w:vAlign w:val="bottom"/>
            <w:hideMark/>
          </w:tcPr>
          <w:p w14:paraId="50466AD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bottom"/>
            <w:hideMark/>
          </w:tcPr>
          <w:p w14:paraId="387CE1C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29EDF02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6E4AE67D" w14:textId="77777777">
        <w:trPr>
          <w:divId w:val="1342243251"/>
        </w:trPr>
        <w:tc>
          <w:tcPr>
            <w:tcW w:w="1093" w:type="pct"/>
            <w:shd w:val="clear" w:color="auto" w:fill="FFFFFF"/>
            <w:tcMar>
              <w:top w:w="15" w:type="dxa"/>
              <w:left w:w="0" w:type="dxa"/>
              <w:bottom w:w="0" w:type="dxa"/>
              <w:right w:w="15" w:type="dxa"/>
            </w:tcMar>
            <w:vAlign w:val="bottom"/>
            <w:hideMark/>
          </w:tcPr>
          <w:p w14:paraId="31CB2D2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4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8FE1C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CD6248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1E442B9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4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48B31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580C646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6E73DF5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014308E1" w14:textId="77777777">
        <w:trPr>
          <w:divId w:val="1342243251"/>
        </w:trPr>
        <w:tc>
          <w:tcPr>
            <w:tcW w:w="1093" w:type="pct"/>
            <w:shd w:val="clear" w:color="auto" w:fill="FFFFFF"/>
            <w:tcMar>
              <w:top w:w="15" w:type="dxa"/>
              <w:left w:w="0" w:type="dxa"/>
              <w:bottom w:w="0" w:type="dxa"/>
              <w:right w:w="15" w:type="dxa"/>
            </w:tcMar>
            <w:vAlign w:val="bottom"/>
            <w:hideMark/>
          </w:tcPr>
          <w:p w14:paraId="4A792EF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0A8BD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7DA2E0E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C9C355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B863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1FD913F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5E01E4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F5ABE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28D0CCA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6D47252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5D698C9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42FF2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6644536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63FE85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C1103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5599150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CC8AD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A46B3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63B241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4896E66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6010D83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B107A22" w14:textId="77777777">
        <w:trPr>
          <w:divId w:val="1342243251"/>
        </w:trPr>
        <w:tc>
          <w:tcPr>
            <w:tcW w:w="1093" w:type="pct"/>
            <w:shd w:val="clear" w:color="auto" w:fill="CFF0FC"/>
            <w:tcMar>
              <w:top w:w="15" w:type="dxa"/>
              <w:left w:w="0" w:type="dxa"/>
              <w:bottom w:w="0" w:type="dxa"/>
              <w:right w:w="15" w:type="dxa"/>
            </w:tcMar>
            <w:hideMark/>
          </w:tcPr>
          <w:p w14:paraId="03B845E1" w14:textId="77777777" w:rsidR="00000000" w:rsidRDefault="00582324">
            <w:pPr>
              <w:pStyle w:val="a3"/>
              <w:spacing w:before="0" w:beforeAutospacing="0" w:after="0" w:afterAutospacing="0"/>
              <w:rPr>
                <w:color w:val="000000"/>
                <w:sz w:val="18"/>
                <w:szCs w:val="18"/>
              </w:rPr>
            </w:pPr>
            <w:r>
              <w:rPr>
                <w:color w:val="000000"/>
                <w:sz w:val="18"/>
                <w:szCs w:val="18"/>
              </w:rPr>
              <w:t>Shares granted</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5D8D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5310E904" w14:textId="77777777" w:rsidR="00000000" w:rsidRDefault="00582324">
            <w:pPr>
              <w:pStyle w:val="a3"/>
              <w:spacing w:before="0" w:beforeAutospacing="0" w:after="0" w:afterAutospacing="0"/>
              <w:jc w:val="right"/>
              <w:rPr>
                <w:color w:val="000000"/>
                <w:sz w:val="18"/>
                <w:szCs w:val="18"/>
              </w:rPr>
            </w:pPr>
            <w:r>
              <w:rPr>
                <w:color w:val="000000"/>
                <w:sz w:val="18"/>
                <w:szCs w:val="18"/>
              </w:rPr>
              <w:t>4,534</w:t>
            </w:r>
          </w:p>
        </w:tc>
        <w:tc>
          <w:tcPr>
            <w:tcW w:w="50" w:type="pct"/>
            <w:shd w:val="clear" w:color="auto" w:fill="CFF0FC"/>
            <w:noWrap/>
            <w:tcMar>
              <w:top w:w="15" w:type="dxa"/>
              <w:left w:w="0" w:type="dxa"/>
              <w:bottom w:w="0" w:type="dxa"/>
              <w:right w:w="15" w:type="dxa"/>
            </w:tcMar>
            <w:vAlign w:val="bottom"/>
            <w:hideMark/>
          </w:tcPr>
          <w:p w14:paraId="4AC81D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7A2A9D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E830C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19A42C05" w14:textId="77777777" w:rsidR="00000000" w:rsidRDefault="00582324">
            <w:pPr>
              <w:pStyle w:val="a3"/>
              <w:spacing w:before="0" w:beforeAutospacing="0" w:after="0" w:afterAutospacing="0"/>
              <w:jc w:val="right"/>
              <w:rPr>
                <w:color w:val="000000"/>
                <w:sz w:val="18"/>
                <w:szCs w:val="18"/>
              </w:rPr>
            </w:pPr>
            <w:r>
              <w:rPr>
                <w:color w:val="000000"/>
                <w:sz w:val="18"/>
                <w:szCs w:val="18"/>
              </w:rPr>
              <w:t>56.31</w:t>
            </w:r>
          </w:p>
        </w:tc>
        <w:tc>
          <w:tcPr>
            <w:tcW w:w="50" w:type="pct"/>
            <w:shd w:val="clear" w:color="auto" w:fill="CFF0FC"/>
            <w:noWrap/>
            <w:tcMar>
              <w:top w:w="15" w:type="dxa"/>
              <w:left w:w="0" w:type="dxa"/>
              <w:bottom w:w="0" w:type="dxa"/>
              <w:right w:w="15" w:type="dxa"/>
            </w:tcMar>
            <w:vAlign w:val="bottom"/>
            <w:hideMark/>
          </w:tcPr>
          <w:p w14:paraId="4A397A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1A216E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94C34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57" w:type="pct"/>
            <w:tcBorders>
              <w:top w:val="single" w:sz="6" w:space="0" w:color="000000"/>
            </w:tcBorders>
            <w:shd w:val="clear" w:color="auto" w:fill="CFF0FC"/>
            <w:noWrap/>
            <w:tcMar>
              <w:top w:w="15" w:type="dxa"/>
              <w:left w:w="0" w:type="dxa"/>
              <w:bottom w:w="0" w:type="dxa"/>
              <w:right w:w="15" w:type="dxa"/>
            </w:tcMar>
            <w:vAlign w:val="bottom"/>
            <w:hideMark/>
          </w:tcPr>
          <w:p w14:paraId="59134EAE" w14:textId="77777777" w:rsidR="00000000" w:rsidRDefault="00582324">
            <w:pPr>
              <w:pStyle w:val="a3"/>
              <w:spacing w:before="0" w:beforeAutospacing="0" w:after="0" w:afterAutospacing="0"/>
              <w:jc w:val="right"/>
              <w:rPr>
                <w:color w:val="000000"/>
                <w:sz w:val="18"/>
                <w:szCs w:val="18"/>
              </w:rPr>
            </w:pPr>
            <w:r>
              <w:rPr>
                <w:color w:val="000000"/>
                <w:sz w:val="18"/>
                <w:szCs w:val="18"/>
              </w:rPr>
              <w:t>255</w:t>
            </w:r>
          </w:p>
        </w:tc>
        <w:tc>
          <w:tcPr>
            <w:tcW w:w="50" w:type="pct"/>
            <w:shd w:val="clear" w:color="auto" w:fill="CFF0FC"/>
            <w:noWrap/>
            <w:tcMar>
              <w:top w:w="15" w:type="dxa"/>
              <w:left w:w="0" w:type="dxa"/>
              <w:bottom w:w="0" w:type="dxa"/>
              <w:right w:w="15" w:type="dxa"/>
            </w:tcMar>
            <w:vAlign w:val="bottom"/>
            <w:hideMark/>
          </w:tcPr>
          <w:p w14:paraId="54BE60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268E88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102D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18BD72F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6EF96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205CD0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A7A18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70EC811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2179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6B4849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4A375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57" w:type="pct"/>
            <w:tcBorders>
              <w:top w:val="single" w:sz="6" w:space="0" w:color="000000"/>
            </w:tcBorders>
            <w:shd w:val="clear" w:color="auto" w:fill="CFF0FC"/>
            <w:noWrap/>
            <w:tcMar>
              <w:top w:w="15" w:type="dxa"/>
              <w:left w:w="0" w:type="dxa"/>
              <w:bottom w:w="0" w:type="dxa"/>
              <w:right w:w="15" w:type="dxa"/>
            </w:tcMar>
            <w:vAlign w:val="bottom"/>
            <w:hideMark/>
          </w:tcPr>
          <w:p w14:paraId="6D39B77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A40D0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0385476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BABC997" w14:textId="77777777">
        <w:trPr>
          <w:divId w:val="1342243251"/>
        </w:trPr>
        <w:tc>
          <w:tcPr>
            <w:tcW w:w="1093" w:type="pct"/>
            <w:shd w:val="clear" w:color="auto" w:fill="FFFFFF"/>
            <w:tcMar>
              <w:top w:w="15" w:type="dxa"/>
              <w:left w:w="0" w:type="dxa"/>
              <w:bottom w:w="0" w:type="dxa"/>
              <w:right w:w="15" w:type="dxa"/>
            </w:tcMar>
            <w:vAlign w:val="bottom"/>
            <w:hideMark/>
          </w:tcPr>
          <w:p w14:paraId="322A23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A755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shd w:val="clear" w:color="auto" w:fill="FFFFFF"/>
            <w:noWrap/>
            <w:tcMar>
              <w:top w:w="15" w:type="dxa"/>
              <w:left w:w="0" w:type="dxa"/>
              <w:bottom w:w="0" w:type="dxa"/>
              <w:right w:w="15" w:type="dxa"/>
            </w:tcMar>
            <w:vAlign w:val="bottom"/>
            <w:hideMark/>
          </w:tcPr>
          <w:p w14:paraId="4F8BBF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49E0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103893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81A4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shd w:val="clear" w:color="auto" w:fill="FFFFFF"/>
            <w:noWrap/>
            <w:tcMar>
              <w:top w:w="15" w:type="dxa"/>
              <w:left w:w="0" w:type="dxa"/>
              <w:bottom w:w="0" w:type="dxa"/>
              <w:right w:w="15" w:type="dxa"/>
            </w:tcMar>
            <w:vAlign w:val="bottom"/>
            <w:hideMark/>
          </w:tcPr>
          <w:p w14:paraId="39A2BDF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5FBB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AB46A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7912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57" w:type="pct"/>
            <w:shd w:val="clear" w:color="auto" w:fill="FFFFFF"/>
            <w:noWrap/>
            <w:tcMar>
              <w:top w:w="15" w:type="dxa"/>
              <w:left w:w="0" w:type="dxa"/>
              <w:bottom w:w="0" w:type="dxa"/>
              <w:right w:w="15" w:type="dxa"/>
            </w:tcMar>
            <w:vAlign w:val="bottom"/>
            <w:hideMark/>
          </w:tcPr>
          <w:p w14:paraId="1DBEE14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D4E5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08813C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0AF3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shd w:val="clear" w:color="auto" w:fill="FFFFFF"/>
            <w:noWrap/>
            <w:tcMar>
              <w:top w:w="15" w:type="dxa"/>
              <w:left w:w="0" w:type="dxa"/>
              <w:bottom w:w="0" w:type="dxa"/>
              <w:right w:w="15" w:type="dxa"/>
            </w:tcMar>
            <w:vAlign w:val="bottom"/>
            <w:hideMark/>
          </w:tcPr>
          <w:p w14:paraId="7C394B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0805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7BE5A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B493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shd w:val="clear" w:color="auto" w:fill="FFFFFF"/>
            <w:noWrap/>
            <w:tcMar>
              <w:top w:w="15" w:type="dxa"/>
              <w:left w:w="0" w:type="dxa"/>
              <w:bottom w:w="0" w:type="dxa"/>
              <w:right w:w="15" w:type="dxa"/>
            </w:tcMar>
            <w:vAlign w:val="bottom"/>
            <w:hideMark/>
          </w:tcPr>
          <w:p w14:paraId="167BBF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7941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AC3A6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E16D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57" w:type="pct"/>
            <w:shd w:val="clear" w:color="auto" w:fill="FFFFFF"/>
            <w:noWrap/>
            <w:tcMar>
              <w:top w:w="15" w:type="dxa"/>
              <w:left w:w="0" w:type="dxa"/>
              <w:bottom w:w="0" w:type="dxa"/>
              <w:right w:w="15" w:type="dxa"/>
            </w:tcMar>
            <w:vAlign w:val="bottom"/>
            <w:hideMark/>
          </w:tcPr>
          <w:p w14:paraId="49380E8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917A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1618421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71507E2" w14:textId="77777777">
        <w:trPr>
          <w:divId w:val="1342243251"/>
        </w:trPr>
        <w:tc>
          <w:tcPr>
            <w:tcW w:w="1093" w:type="pct"/>
            <w:shd w:val="clear" w:color="auto" w:fill="FFFFFF"/>
            <w:tcMar>
              <w:top w:w="15" w:type="dxa"/>
              <w:left w:w="0" w:type="dxa"/>
              <w:bottom w:w="0" w:type="dxa"/>
              <w:right w:w="15" w:type="dxa"/>
            </w:tcMar>
            <w:vAlign w:val="bottom"/>
            <w:hideMark/>
          </w:tcPr>
          <w:p w14:paraId="486174E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3797" w:type="pct"/>
            <w:gridSpan w:val="22"/>
            <w:tcBorders>
              <w:bottom w:val="single" w:sz="6" w:space="0" w:color="000000"/>
            </w:tcBorders>
            <w:shd w:val="clear" w:color="auto" w:fill="FFFFFF"/>
            <w:tcMar>
              <w:top w:w="15" w:type="dxa"/>
              <w:left w:w="0" w:type="dxa"/>
              <w:bottom w:w="0" w:type="dxa"/>
              <w:right w:w="15" w:type="dxa"/>
            </w:tcMar>
            <w:vAlign w:val="bottom"/>
            <w:hideMark/>
          </w:tcPr>
          <w:p w14:paraId="5DCEB3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5DDAA96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28A0ACE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6B545C30" w14:textId="77777777">
        <w:trPr>
          <w:divId w:val="1342243251"/>
        </w:trPr>
        <w:tc>
          <w:tcPr>
            <w:tcW w:w="1093" w:type="pct"/>
            <w:shd w:val="clear" w:color="auto" w:fill="FFFFFF"/>
            <w:tcMar>
              <w:top w:w="15" w:type="dxa"/>
              <w:left w:w="0" w:type="dxa"/>
              <w:bottom w:w="0" w:type="dxa"/>
              <w:right w:w="15" w:type="dxa"/>
            </w:tcMar>
            <w:vAlign w:val="bottom"/>
            <w:hideMark/>
          </w:tcPr>
          <w:p w14:paraId="3CDC424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4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E70A6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028650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75BB007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84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0E5A2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1BA4A70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16A8F89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11B4BD35" w14:textId="77777777">
        <w:trPr>
          <w:divId w:val="1342243251"/>
        </w:trPr>
        <w:tc>
          <w:tcPr>
            <w:tcW w:w="1093" w:type="pct"/>
            <w:shd w:val="clear" w:color="auto" w:fill="FFFFFF"/>
            <w:tcMar>
              <w:top w:w="15" w:type="dxa"/>
              <w:left w:w="0" w:type="dxa"/>
              <w:bottom w:w="0" w:type="dxa"/>
              <w:right w:w="15" w:type="dxa"/>
            </w:tcMar>
            <w:vAlign w:val="bottom"/>
            <w:hideMark/>
          </w:tcPr>
          <w:p w14:paraId="1E61A04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4E09E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26DDA0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1F653AA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890FE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6A342A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E47787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E5DC7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7B480D6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16374DD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62B2CD2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75686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Shares</w:t>
            </w:r>
          </w:p>
        </w:tc>
        <w:tc>
          <w:tcPr>
            <w:tcW w:w="50" w:type="pct"/>
            <w:shd w:val="clear" w:color="auto" w:fill="FFFFFF"/>
            <w:noWrap/>
            <w:tcMar>
              <w:top w:w="15" w:type="dxa"/>
              <w:left w:w="0" w:type="dxa"/>
              <w:bottom w:w="0" w:type="dxa"/>
              <w:right w:w="15" w:type="dxa"/>
            </w:tcMar>
            <w:vAlign w:val="bottom"/>
            <w:hideMark/>
          </w:tcPr>
          <w:p w14:paraId="3331F37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1E568FE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DB443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 Price per Share</w:t>
            </w:r>
          </w:p>
        </w:tc>
        <w:tc>
          <w:tcPr>
            <w:tcW w:w="50" w:type="pct"/>
            <w:shd w:val="clear" w:color="auto" w:fill="FFFFFF"/>
            <w:noWrap/>
            <w:tcMar>
              <w:top w:w="15" w:type="dxa"/>
              <w:left w:w="0" w:type="dxa"/>
              <w:bottom w:w="0" w:type="dxa"/>
              <w:right w:w="15" w:type="dxa"/>
            </w:tcMar>
            <w:vAlign w:val="bottom"/>
            <w:hideMark/>
          </w:tcPr>
          <w:p w14:paraId="6BD478A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5126C87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E6211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p w14:paraId="328FC28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thousands)</w:t>
            </w:r>
          </w:p>
        </w:tc>
        <w:tc>
          <w:tcPr>
            <w:tcW w:w="50" w:type="pct"/>
            <w:shd w:val="clear" w:color="auto" w:fill="FFFFFF"/>
            <w:noWrap/>
            <w:tcMar>
              <w:top w:w="15" w:type="dxa"/>
              <w:left w:w="0" w:type="dxa"/>
              <w:bottom w:w="0" w:type="dxa"/>
              <w:right w:w="15" w:type="dxa"/>
            </w:tcMar>
            <w:vAlign w:val="bottom"/>
            <w:hideMark/>
          </w:tcPr>
          <w:p w14:paraId="50275D3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1130A19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825289F" w14:textId="77777777">
        <w:trPr>
          <w:divId w:val="1342243251"/>
        </w:trPr>
        <w:tc>
          <w:tcPr>
            <w:tcW w:w="1093" w:type="pct"/>
            <w:shd w:val="clear" w:color="auto" w:fill="CFF0FC"/>
            <w:tcMar>
              <w:top w:w="15" w:type="dxa"/>
              <w:left w:w="0" w:type="dxa"/>
              <w:bottom w:w="0" w:type="dxa"/>
              <w:right w:w="15" w:type="dxa"/>
            </w:tcMar>
            <w:hideMark/>
          </w:tcPr>
          <w:p w14:paraId="5DCB646E" w14:textId="77777777" w:rsidR="00000000" w:rsidRDefault="00582324">
            <w:pPr>
              <w:pStyle w:val="a3"/>
              <w:spacing w:before="0" w:beforeAutospacing="0" w:after="0" w:afterAutospacing="0"/>
              <w:rPr>
                <w:color w:val="000000"/>
                <w:sz w:val="18"/>
                <w:szCs w:val="18"/>
              </w:rPr>
            </w:pPr>
            <w:r>
              <w:rPr>
                <w:color w:val="000000"/>
                <w:sz w:val="18"/>
                <w:szCs w:val="18"/>
              </w:rPr>
              <w:t>Shares granted</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D8C9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3DB3F892" w14:textId="77777777" w:rsidR="00000000" w:rsidRDefault="00582324">
            <w:pPr>
              <w:pStyle w:val="a3"/>
              <w:spacing w:before="0" w:beforeAutospacing="0" w:after="0" w:afterAutospacing="0"/>
              <w:jc w:val="right"/>
              <w:rPr>
                <w:color w:val="000000"/>
                <w:sz w:val="18"/>
                <w:szCs w:val="18"/>
              </w:rPr>
            </w:pPr>
            <w:r>
              <w:rPr>
                <w:color w:val="000000"/>
                <w:sz w:val="18"/>
                <w:szCs w:val="18"/>
              </w:rPr>
              <w:t>19,066</w:t>
            </w:r>
          </w:p>
        </w:tc>
        <w:tc>
          <w:tcPr>
            <w:tcW w:w="50" w:type="pct"/>
            <w:shd w:val="clear" w:color="auto" w:fill="CFF0FC"/>
            <w:noWrap/>
            <w:tcMar>
              <w:top w:w="15" w:type="dxa"/>
              <w:left w:w="0" w:type="dxa"/>
              <w:bottom w:w="0" w:type="dxa"/>
              <w:right w:w="15" w:type="dxa"/>
            </w:tcMar>
            <w:vAlign w:val="bottom"/>
            <w:hideMark/>
          </w:tcPr>
          <w:p w14:paraId="3C53C5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74D3EA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CB6FC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178BFE63" w14:textId="77777777" w:rsidR="00000000" w:rsidRDefault="00582324">
            <w:pPr>
              <w:pStyle w:val="a3"/>
              <w:spacing w:before="0" w:beforeAutospacing="0" w:after="0" w:afterAutospacing="0"/>
              <w:jc w:val="right"/>
              <w:rPr>
                <w:color w:val="000000"/>
                <w:sz w:val="18"/>
                <w:szCs w:val="18"/>
              </w:rPr>
            </w:pPr>
            <w:r>
              <w:rPr>
                <w:color w:val="000000"/>
                <w:sz w:val="18"/>
                <w:szCs w:val="18"/>
              </w:rPr>
              <w:t>36.99</w:t>
            </w:r>
          </w:p>
        </w:tc>
        <w:tc>
          <w:tcPr>
            <w:tcW w:w="50" w:type="pct"/>
            <w:shd w:val="clear" w:color="auto" w:fill="CFF0FC"/>
            <w:noWrap/>
            <w:tcMar>
              <w:top w:w="15" w:type="dxa"/>
              <w:left w:w="0" w:type="dxa"/>
              <w:bottom w:w="0" w:type="dxa"/>
              <w:right w:w="15" w:type="dxa"/>
            </w:tcMar>
            <w:vAlign w:val="bottom"/>
            <w:hideMark/>
          </w:tcPr>
          <w:p w14:paraId="70AACE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63B9E1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FFE17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57" w:type="pct"/>
            <w:tcBorders>
              <w:top w:val="single" w:sz="6" w:space="0" w:color="000000"/>
            </w:tcBorders>
            <w:shd w:val="clear" w:color="auto" w:fill="CFF0FC"/>
            <w:noWrap/>
            <w:tcMar>
              <w:top w:w="15" w:type="dxa"/>
              <w:left w:w="0" w:type="dxa"/>
              <w:bottom w:w="0" w:type="dxa"/>
              <w:right w:w="15" w:type="dxa"/>
            </w:tcMar>
            <w:vAlign w:val="bottom"/>
            <w:hideMark/>
          </w:tcPr>
          <w:p w14:paraId="2F7AABCA" w14:textId="77777777" w:rsidR="00000000" w:rsidRDefault="00582324">
            <w:pPr>
              <w:pStyle w:val="a3"/>
              <w:spacing w:before="0" w:beforeAutospacing="0" w:after="0" w:afterAutospacing="0"/>
              <w:jc w:val="right"/>
              <w:rPr>
                <w:color w:val="000000"/>
                <w:sz w:val="18"/>
                <w:szCs w:val="18"/>
              </w:rPr>
            </w:pPr>
            <w:r>
              <w:rPr>
                <w:color w:val="000000"/>
                <w:sz w:val="18"/>
                <w:szCs w:val="18"/>
              </w:rPr>
              <w:t>705</w:t>
            </w:r>
          </w:p>
        </w:tc>
        <w:tc>
          <w:tcPr>
            <w:tcW w:w="50" w:type="pct"/>
            <w:shd w:val="clear" w:color="auto" w:fill="CFF0FC"/>
            <w:noWrap/>
            <w:tcMar>
              <w:top w:w="15" w:type="dxa"/>
              <w:left w:w="0" w:type="dxa"/>
              <w:bottom w:w="0" w:type="dxa"/>
              <w:right w:w="15" w:type="dxa"/>
            </w:tcMar>
            <w:vAlign w:val="bottom"/>
            <w:hideMark/>
          </w:tcPr>
          <w:p w14:paraId="101D38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4C0E6C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5A0C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79AF2B4D" w14:textId="77777777" w:rsidR="00000000" w:rsidRDefault="00582324">
            <w:pPr>
              <w:pStyle w:val="a3"/>
              <w:spacing w:before="0" w:beforeAutospacing="0" w:after="0" w:afterAutospacing="0"/>
              <w:jc w:val="right"/>
              <w:rPr>
                <w:color w:val="000000"/>
                <w:sz w:val="18"/>
                <w:szCs w:val="18"/>
              </w:rPr>
            </w:pPr>
            <w:r>
              <w:rPr>
                <w:color w:val="000000"/>
                <w:sz w:val="18"/>
                <w:szCs w:val="18"/>
              </w:rPr>
              <w:t>33,229</w:t>
            </w:r>
          </w:p>
        </w:tc>
        <w:tc>
          <w:tcPr>
            <w:tcW w:w="50" w:type="pct"/>
            <w:shd w:val="clear" w:color="auto" w:fill="CFF0FC"/>
            <w:noWrap/>
            <w:tcMar>
              <w:top w:w="15" w:type="dxa"/>
              <w:left w:w="0" w:type="dxa"/>
              <w:bottom w:w="0" w:type="dxa"/>
              <w:right w:w="15" w:type="dxa"/>
            </w:tcMar>
            <w:vAlign w:val="bottom"/>
            <w:hideMark/>
          </w:tcPr>
          <w:p w14:paraId="501D1A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07828E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B33FF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15A8F2D2" w14:textId="77777777" w:rsidR="00000000" w:rsidRDefault="00582324">
            <w:pPr>
              <w:pStyle w:val="a3"/>
              <w:spacing w:before="0" w:beforeAutospacing="0" w:after="0" w:afterAutospacing="0"/>
              <w:jc w:val="right"/>
              <w:rPr>
                <w:color w:val="000000"/>
                <w:sz w:val="18"/>
                <w:szCs w:val="18"/>
              </w:rPr>
            </w:pPr>
            <w:r>
              <w:rPr>
                <w:color w:val="000000"/>
                <w:sz w:val="18"/>
                <w:szCs w:val="18"/>
              </w:rPr>
              <w:t>31.60</w:t>
            </w:r>
          </w:p>
        </w:tc>
        <w:tc>
          <w:tcPr>
            <w:tcW w:w="50" w:type="pct"/>
            <w:shd w:val="clear" w:color="auto" w:fill="CFF0FC"/>
            <w:noWrap/>
            <w:tcMar>
              <w:top w:w="15" w:type="dxa"/>
              <w:left w:w="0" w:type="dxa"/>
              <w:bottom w:w="0" w:type="dxa"/>
              <w:right w:w="15" w:type="dxa"/>
            </w:tcMar>
            <w:vAlign w:val="bottom"/>
            <w:hideMark/>
          </w:tcPr>
          <w:p w14:paraId="0D7815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52EAB1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B1C1A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57" w:type="pct"/>
            <w:tcBorders>
              <w:top w:val="single" w:sz="6" w:space="0" w:color="000000"/>
            </w:tcBorders>
            <w:shd w:val="clear" w:color="auto" w:fill="CFF0FC"/>
            <w:noWrap/>
            <w:tcMar>
              <w:top w:w="15" w:type="dxa"/>
              <w:left w:w="0" w:type="dxa"/>
              <w:bottom w:w="0" w:type="dxa"/>
              <w:right w:w="15" w:type="dxa"/>
            </w:tcMar>
            <w:vAlign w:val="bottom"/>
            <w:hideMark/>
          </w:tcPr>
          <w:p w14:paraId="0E5F18A2" w14:textId="77777777" w:rsidR="00000000" w:rsidRDefault="00582324">
            <w:pPr>
              <w:pStyle w:val="a3"/>
              <w:spacing w:before="0" w:beforeAutospacing="0" w:after="0" w:afterAutospacing="0"/>
              <w:jc w:val="right"/>
              <w:rPr>
                <w:color w:val="000000"/>
                <w:sz w:val="18"/>
                <w:szCs w:val="18"/>
              </w:rPr>
            </w:pPr>
            <w:r>
              <w:rPr>
                <w:color w:val="000000"/>
                <w:sz w:val="18"/>
                <w:szCs w:val="18"/>
              </w:rPr>
              <w:t>1,050</w:t>
            </w:r>
          </w:p>
        </w:tc>
        <w:tc>
          <w:tcPr>
            <w:tcW w:w="50" w:type="pct"/>
            <w:shd w:val="clear" w:color="auto" w:fill="CFF0FC"/>
            <w:noWrap/>
            <w:tcMar>
              <w:top w:w="15" w:type="dxa"/>
              <w:left w:w="0" w:type="dxa"/>
              <w:bottom w:w="0" w:type="dxa"/>
              <w:right w:w="15" w:type="dxa"/>
            </w:tcMar>
            <w:vAlign w:val="bottom"/>
            <w:hideMark/>
          </w:tcPr>
          <w:p w14:paraId="7140C7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5D224E5D" w14:textId="77777777" w:rsidR="00000000" w:rsidRDefault="00582324">
            <w:pPr>
              <w:pStyle w:val="a3"/>
              <w:spacing w:before="0" w:beforeAutospacing="0" w:after="0" w:afterAutospacing="0"/>
              <w:rPr>
                <w:color w:val="000000"/>
                <w:sz w:val="18"/>
                <w:szCs w:val="18"/>
              </w:rPr>
            </w:pPr>
            <w:r>
              <w:rPr>
                <w:color w:val="000000"/>
                <w:sz w:val="18"/>
                <w:szCs w:val="18"/>
              </w:rPr>
              <w:t> </w:t>
            </w:r>
          </w:p>
        </w:tc>
      </w:tr>
    </w:tbl>
    <w:p w14:paraId="1493FF48" w14:textId="77777777" w:rsidR="00000000" w:rsidRDefault="00582324">
      <w:pPr>
        <w:pStyle w:val="a3"/>
        <w:shd w:val="clear" w:color="auto" w:fill="FFFFFF"/>
        <w:spacing w:before="120" w:beforeAutospacing="0" w:after="0" w:afterAutospacing="0"/>
        <w:rPr>
          <w:sz w:val="20"/>
          <w:szCs w:val="20"/>
        </w:rPr>
      </w:pPr>
      <w:r>
        <w:rPr>
          <w:sz w:val="20"/>
          <w:szCs w:val="20"/>
        </w:rPr>
        <w:t xml:space="preserve">          There were no forfeitures of restricted shares during the six months ended June 30, 2021 and June 30, 2020. </w:t>
      </w:r>
    </w:p>
    <w:p w14:paraId="0CB52462" w14:textId="77777777" w:rsidR="00000000" w:rsidRDefault="00582324">
      <w:pPr>
        <w:pStyle w:val="a3"/>
        <w:shd w:val="clear" w:color="auto" w:fill="FFFFFF"/>
        <w:spacing w:before="120" w:beforeAutospacing="0" w:after="0" w:afterAutospacing="0"/>
        <w:ind w:firstLine="416"/>
        <w:rPr>
          <w:sz w:val="20"/>
          <w:szCs w:val="20"/>
        </w:rPr>
      </w:pPr>
      <w:r>
        <w:rPr>
          <w:sz w:val="20"/>
          <w:szCs w:val="20"/>
        </w:rPr>
        <w:t>There were 2,112 and 38,929 shares of restricted sto</w:t>
      </w:r>
      <w:r>
        <w:rPr>
          <w:sz w:val="20"/>
          <w:szCs w:val="20"/>
        </w:rPr>
        <w:t>ck that became fully vested and were released as unrestricted shares of common stock during the three and six months ended June 30, 2021, respectively. No restricted shares vested and were released as unrestricted shares of common stock during the three or</w:t>
      </w:r>
      <w:r>
        <w:rPr>
          <w:sz w:val="20"/>
          <w:szCs w:val="20"/>
        </w:rPr>
        <w:t xml:space="preserve"> six months ended June 30, 2020. There was an aggregate of 286,239 and 273,122 restricted shares outstanding as of June 30, 2021 and June 30, 2020, respectively. </w:t>
      </w:r>
      <w:r>
        <w:t>          </w:t>
      </w:r>
    </w:p>
    <w:p w14:paraId="1C41720F" w14:textId="77777777" w:rsidR="00000000" w:rsidRDefault="00582324">
      <w:pPr>
        <w:pStyle w:val="a3"/>
        <w:spacing w:before="240" w:beforeAutospacing="0" w:after="0" w:afterAutospacing="0"/>
        <w:jc w:val="center"/>
        <w:rPr>
          <w:sz w:val="20"/>
          <w:szCs w:val="20"/>
        </w:rPr>
      </w:pPr>
      <w:r>
        <w:rPr>
          <w:sz w:val="20"/>
          <w:szCs w:val="20"/>
        </w:rPr>
        <w:t>25</w:t>
      </w:r>
    </w:p>
    <w:p w14:paraId="15C1749B" w14:textId="77777777" w:rsidR="00000000" w:rsidRDefault="00582324">
      <w:pPr>
        <w:rPr>
          <w:rFonts w:eastAsia="Times New Roman"/>
        </w:rPr>
      </w:pPr>
      <w:r>
        <w:rPr>
          <w:rFonts w:eastAsia="Times New Roman"/>
        </w:rPr>
        <w:pict w14:anchorId="6BE16B38">
          <v:rect id="_x0000_i1051" style="width:0;height:1.5pt" o:hralign="center" o:hrstd="t" o:hr="t" fillcolor="#a0a0a0" stroked="f"/>
        </w:pict>
      </w:r>
    </w:p>
    <w:p w14:paraId="39A318E7" w14:textId="77777777" w:rsidR="00000000" w:rsidRDefault="00582324">
      <w:pPr>
        <w:pStyle w:val="a3"/>
        <w:spacing w:before="0" w:beforeAutospacing="0" w:after="0" w:afterAutospacing="0"/>
        <w:rPr>
          <w:sz w:val="20"/>
          <w:szCs w:val="20"/>
        </w:rPr>
      </w:pPr>
      <w:r>
        <w:rPr>
          <w:sz w:val="20"/>
          <w:szCs w:val="20"/>
        </w:rPr>
        <w:t> </w:t>
      </w:r>
    </w:p>
    <w:p w14:paraId="40FF3168" w14:textId="77777777" w:rsidR="00000000" w:rsidRDefault="00582324">
      <w:pPr>
        <w:pStyle w:val="a3"/>
        <w:shd w:val="clear" w:color="auto" w:fill="FFFFFF"/>
        <w:spacing w:before="240" w:beforeAutospacing="0" w:after="0" w:afterAutospacing="0"/>
        <w:ind w:firstLine="416"/>
        <w:rPr>
          <w:b/>
          <w:bCs/>
          <w:i/>
          <w:iCs/>
          <w:sz w:val="20"/>
          <w:szCs w:val="20"/>
        </w:rPr>
      </w:pPr>
      <w:r>
        <w:rPr>
          <w:b/>
          <w:bCs/>
          <w:i/>
          <w:iCs/>
          <w:sz w:val="20"/>
          <w:szCs w:val="20"/>
        </w:rPr>
        <w:t>Options</w:t>
      </w:r>
      <w:r>
        <w:rPr>
          <w:sz w:val="20"/>
          <w:szCs w:val="20"/>
        </w:rPr>
        <w:t>—</w:t>
      </w:r>
      <w:r>
        <w:rPr>
          <w:sz w:val="20"/>
          <w:szCs w:val="20"/>
        </w:rPr>
        <w:t>Options issued to all optionees under the 2017 Plan vest over four years from the date of issuance (or earlier vesting start date, as determined by the Board of Directors) as follows: one</w:t>
      </w:r>
      <w:r>
        <w:rPr>
          <w:sz w:val="20"/>
          <w:szCs w:val="20"/>
        </w:rPr>
        <w:t xml:space="preserve"> </w:t>
      </w:r>
      <w:r>
        <w:rPr>
          <w:sz w:val="20"/>
          <w:szCs w:val="20"/>
        </w:rPr>
        <w:t>hal</w:t>
      </w:r>
      <w:r>
        <w:rPr>
          <w:sz w:val="20"/>
          <w:szCs w:val="20"/>
        </w:rPr>
        <w:t>f</w:t>
      </w:r>
      <w:r>
        <w:rPr>
          <w:sz w:val="20"/>
          <w:szCs w:val="20"/>
        </w:rPr>
        <w:t xml:space="preserve"> on the second anniversary of date of grant and the remaining</w:t>
      </w:r>
      <w:r>
        <w:rPr>
          <w:sz w:val="20"/>
          <w:szCs w:val="20"/>
        </w:rPr>
        <w:t xml:space="preserve"> </w:t>
      </w:r>
      <w:r>
        <w:rPr>
          <w:sz w:val="20"/>
          <w:szCs w:val="20"/>
        </w:rPr>
        <w:t>ha</w:t>
      </w:r>
      <w:r>
        <w:rPr>
          <w:sz w:val="20"/>
          <w:szCs w:val="20"/>
        </w:rPr>
        <w:t>l</w:t>
      </w:r>
      <w:r>
        <w:rPr>
          <w:sz w:val="20"/>
          <w:szCs w:val="20"/>
        </w:rPr>
        <w:t>f</w:t>
      </w:r>
      <w:r>
        <w:rPr>
          <w:sz w:val="20"/>
          <w:szCs w:val="20"/>
        </w:rPr>
        <w:t xml:space="preserve"> on the fourth anniversary of the date of grant, with the exception of certain annual grants to certain executive officers, which vest annually over a 3-year and 1-year period. The following summarizes the options activity of the 2017 Plan:</w:t>
      </w:r>
    </w:p>
    <w:p w14:paraId="1917344E"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69"/>
        <w:gridCol w:w="60"/>
        <w:gridCol w:w="60"/>
        <w:gridCol w:w="735"/>
        <w:gridCol w:w="75"/>
        <w:gridCol w:w="60"/>
        <w:gridCol w:w="106"/>
        <w:gridCol w:w="718"/>
        <w:gridCol w:w="60"/>
        <w:gridCol w:w="60"/>
        <w:gridCol w:w="106"/>
        <w:gridCol w:w="665"/>
        <w:gridCol w:w="60"/>
        <w:gridCol w:w="60"/>
        <w:gridCol w:w="84"/>
        <w:gridCol w:w="772"/>
        <w:gridCol w:w="60"/>
        <w:gridCol w:w="60"/>
        <w:gridCol w:w="106"/>
        <w:gridCol w:w="839"/>
        <w:gridCol w:w="60"/>
      </w:tblGrid>
      <w:tr w:rsidR="00000000" w14:paraId="6A31A083" w14:textId="77777777">
        <w:trPr>
          <w:divId w:val="531305830"/>
        </w:trPr>
        <w:tc>
          <w:tcPr>
            <w:tcW w:w="2127" w:type="pct"/>
            <w:shd w:val="clear" w:color="auto" w:fill="FFFFFF"/>
            <w:tcMar>
              <w:top w:w="15" w:type="dxa"/>
              <w:left w:w="0" w:type="dxa"/>
              <w:bottom w:w="0" w:type="dxa"/>
              <w:right w:w="15" w:type="dxa"/>
            </w:tcMar>
            <w:vAlign w:val="bottom"/>
            <w:hideMark/>
          </w:tcPr>
          <w:p w14:paraId="2A3E5FCA" w14:textId="77777777" w:rsidR="00000000" w:rsidRDefault="00582324">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35ED9ED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21" w:type="pct"/>
            <w:gridSpan w:val="2"/>
            <w:tcBorders>
              <w:bottom w:val="single" w:sz="6" w:space="0" w:color="000000"/>
            </w:tcBorders>
            <w:shd w:val="clear" w:color="auto" w:fill="FFFFFF"/>
            <w:tcMar>
              <w:top w:w="15" w:type="dxa"/>
              <w:left w:w="0" w:type="dxa"/>
              <w:bottom w:w="0" w:type="dxa"/>
              <w:right w:w="15" w:type="dxa"/>
            </w:tcMar>
            <w:vAlign w:val="bottom"/>
            <w:hideMark/>
          </w:tcPr>
          <w:p w14:paraId="77F3DC3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w:t>
            </w:r>
            <w:r>
              <w:rPr>
                <w:b/>
                <w:bCs/>
                <w:color w:val="000000"/>
                <w:sz w:val="18"/>
                <w:szCs w:val="18"/>
              </w:rPr>
              <w:t xml:space="preserve"> to</w:t>
            </w:r>
          </w:p>
          <w:p w14:paraId="6153638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571ED59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Common</w:t>
            </w:r>
          </w:p>
          <w:p w14:paraId="54F4D2A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Stock</w:t>
            </w:r>
          </w:p>
        </w:tc>
        <w:tc>
          <w:tcPr>
            <w:tcW w:w="50" w:type="pct"/>
            <w:shd w:val="clear" w:color="auto" w:fill="FFFFFF"/>
            <w:noWrap/>
            <w:tcMar>
              <w:top w:w="15" w:type="dxa"/>
              <w:left w:w="0" w:type="dxa"/>
              <w:bottom w:w="0" w:type="dxa"/>
              <w:right w:w="15" w:type="dxa"/>
            </w:tcMar>
            <w:vAlign w:val="bottom"/>
            <w:hideMark/>
          </w:tcPr>
          <w:p w14:paraId="4F413CF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FFFFFF"/>
            <w:tcMar>
              <w:top w:w="15" w:type="dxa"/>
              <w:left w:w="0" w:type="dxa"/>
              <w:bottom w:w="0" w:type="dxa"/>
              <w:right w:w="15" w:type="dxa"/>
            </w:tcMar>
            <w:vAlign w:val="bottom"/>
            <w:hideMark/>
          </w:tcPr>
          <w:p w14:paraId="14CD68D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21" w:type="pct"/>
            <w:gridSpan w:val="2"/>
            <w:tcBorders>
              <w:bottom w:val="single" w:sz="6" w:space="0" w:color="000000"/>
            </w:tcBorders>
            <w:shd w:val="clear" w:color="auto" w:fill="FFFFFF"/>
            <w:tcMar>
              <w:top w:w="15" w:type="dxa"/>
              <w:left w:w="0" w:type="dxa"/>
              <w:bottom w:w="0" w:type="dxa"/>
              <w:right w:w="15" w:type="dxa"/>
            </w:tcMar>
            <w:vAlign w:val="bottom"/>
            <w:hideMark/>
          </w:tcPr>
          <w:p w14:paraId="273CAD8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5DDA7D5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2208711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Exercise</w:t>
            </w:r>
          </w:p>
          <w:p w14:paraId="38E849F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 per</w:t>
            </w:r>
          </w:p>
          <w:p w14:paraId="4269655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w:t>
            </w:r>
          </w:p>
        </w:tc>
        <w:tc>
          <w:tcPr>
            <w:tcW w:w="50" w:type="pct"/>
            <w:shd w:val="clear" w:color="auto" w:fill="FFFFFF"/>
            <w:noWrap/>
            <w:tcMar>
              <w:top w:w="15" w:type="dxa"/>
              <w:left w:w="0" w:type="dxa"/>
              <w:bottom w:w="0" w:type="dxa"/>
              <w:right w:w="15" w:type="dxa"/>
            </w:tcMar>
            <w:vAlign w:val="bottom"/>
            <w:hideMark/>
          </w:tcPr>
          <w:p w14:paraId="606081D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FFFFFF"/>
            <w:tcMar>
              <w:top w:w="15" w:type="dxa"/>
              <w:left w:w="0" w:type="dxa"/>
              <w:bottom w:w="0" w:type="dxa"/>
              <w:right w:w="15" w:type="dxa"/>
            </w:tcMar>
            <w:vAlign w:val="bottom"/>
            <w:hideMark/>
          </w:tcPr>
          <w:p w14:paraId="7161A51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21" w:type="pct"/>
            <w:gridSpan w:val="2"/>
            <w:tcBorders>
              <w:bottom w:val="single" w:sz="6" w:space="0" w:color="000000"/>
            </w:tcBorders>
            <w:shd w:val="clear" w:color="auto" w:fill="FFFFFF"/>
            <w:tcMar>
              <w:top w:w="15" w:type="dxa"/>
              <w:left w:w="0" w:type="dxa"/>
              <w:bottom w:w="0" w:type="dxa"/>
              <w:right w:w="15" w:type="dxa"/>
            </w:tcMar>
            <w:vAlign w:val="bottom"/>
            <w:hideMark/>
          </w:tcPr>
          <w:p w14:paraId="4A064B1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6E7BFAA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254D0E6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Grant Date</w:t>
            </w:r>
          </w:p>
          <w:p w14:paraId="182E3E9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Fair Value</w:t>
            </w:r>
          </w:p>
          <w:p w14:paraId="4123F10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per Share</w:t>
            </w:r>
          </w:p>
        </w:tc>
        <w:tc>
          <w:tcPr>
            <w:tcW w:w="50" w:type="pct"/>
            <w:shd w:val="clear" w:color="auto" w:fill="FFFFFF"/>
            <w:noWrap/>
            <w:tcMar>
              <w:top w:w="15" w:type="dxa"/>
              <w:left w:w="0" w:type="dxa"/>
              <w:bottom w:w="0" w:type="dxa"/>
              <w:right w:w="15" w:type="dxa"/>
            </w:tcMar>
            <w:vAlign w:val="bottom"/>
            <w:hideMark/>
          </w:tcPr>
          <w:p w14:paraId="1AE2B95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FFFFFF"/>
            <w:tcMar>
              <w:top w:w="15" w:type="dxa"/>
              <w:left w:w="0" w:type="dxa"/>
              <w:bottom w:w="0" w:type="dxa"/>
              <w:right w:w="15" w:type="dxa"/>
            </w:tcMar>
            <w:vAlign w:val="bottom"/>
            <w:hideMark/>
          </w:tcPr>
          <w:p w14:paraId="06EE0F7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11" w:type="pct"/>
            <w:gridSpan w:val="2"/>
            <w:tcBorders>
              <w:bottom w:val="single" w:sz="6" w:space="0" w:color="000000"/>
            </w:tcBorders>
            <w:shd w:val="clear" w:color="auto" w:fill="FFFFFF"/>
            <w:tcMar>
              <w:top w:w="15" w:type="dxa"/>
              <w:left w:w="0" w:type="dxa"/>
              <w:bottom w:w="0" w:type="dxa"/>
              <w:right w:w="15" w:type="dxa"/>
            </w:tcMar>
            <w:vAlign w:val="bottom"/>
            <w:hideMark/>
          </w:tcPr>
          <w:p w14:paraId="75D4D4B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00F0A9E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2BB2B28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Remaining</w:t>
            </w:r>
          </w:p>
          <w:p w14:paraId="0176991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Contract Life</w:t>
            </w:r>
          </w:p>
          <w:p w14:paraId="3DDBDC5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Years)</w:t>
            </w:r>
          </w:p>
        </w:tc>
        <w:tc>
          <w:tcPr>
            <w:tcW w:w="50" w:type="pct"/>
            <w:shd w:val="clear" w:color="auto" w:fill="FFFFFF"/>
            <w:noWrap/>
            <w:tcMar>
              <w:top w:w="15" w:type="dxa"/>
              <w:left w:w="0" w:type="dxa"/>
              <w:bottom w:w="0" w:type="dxa"/>
              <w:right w:w="15" w:type="dxa"/>
            </w:tcMar>
            <w:vAlign w:val="bottom"/>
            <w:hideMark/>
          </w:tcPr>
          <w:p w14:paraId="36A1A52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FFFFFF"/>
            <w:tcMar>
              <w:top w:w="15" w:type="dxa"/>
              <w:left w:w="0" w:type="dxa"/>
              <w:bottom w:w="0" w:type="dxa"/>
              <w:right w:w="15" w:type="dxa"/>
            </w:tcMar>
            <w:vAlign w:val="bottom"/>
            <w:hideMark/>
          </w:tcPr>
          <w:p w14:paraId="724AA4A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5" w:type="pct"/>
            <w:gridSpan w:val="2"/>
            <w:tcBorders>
              <w:bottom w:val="single" w:sz="6" w:space="0" w:color="000000"/>
            </w:tcBorders>
            <w:shd w:val="clear" w:color="auto" w:fill="FFFFFF"/>
            <w:tcMar>
              <w:top w:w="15" w:type="dxa"/>
              <w:left w:w="0" w:type="dxa"/>
              <w:bottom w:w="0" w:type="dxa"/>
              <w:right w:w="15" w:type="dxa"/>
            </w:tcMar>
            <w:vAlign w:val="bottom"/>
            <w:hideMark/>
          </w:tcPr>
          <w:p w14:paraId="349CB8A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Aggregate</w:t>
            </w:r>
          </w:p>
          <w:p w14:paraId="7B6481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Intrinsic</w:t>
            </w:r>
          </w:p>
          <w:p w14:paraId="59C943D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Value</w:t>
            </w:r>
          </w:p>
          <w:p w14:paraId="193BC93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of In-The-</w:t>
            </w:r>
          </w:p>
          <w:p w14:paraId="25A2715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Money</w:t>
            </w:r>
          </w:p>
          <w:p w14:paraId="63E1BDF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 (in</w:t>
            </w:r>
          </w:p>
          <w:p w14:paraId="6642680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Thousands)</w:t>
            </w:r>
          </w:p>
        </w:tc>
        <w:tc>
          <w:tcPr>
            <w:tcW w:w="50" w:type="pct"/>
            <w:shd w:val="clear" w:color="auto" w:fill="FFFFFF"/>
            <w:noWrap/>
            <w:tcMar>
              <w:top w:w="15" w:type="dxa"/>
              <w:left w:w="0" w:type="dxa"/>
              <w:bottom w:w="0" w:type="dxa"/>
              <w:right w:w="15" w:type="dxa"/>
            </w:tcMar>
            <w:vAlign w:val="bottom"/>
            <w:hideMark/>
          </w:tcPr>
          <w:p w14:paraId="1C9DBB9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AA99569" w14:textId="77777777">
        <w:trPr>
          <w:divId w:val="531305830"/>
        </w:trPr>
        <w:tc>
          <w:tcPr>
            <w:tcW w:w="2127" w:type="pct"/>
            <w:shd w:val="clear" w:color="auto" w:fill="CFF0FC"/>
            <w:tcMar>
              <w:top w:w="15" w:type="dxa"/>
              <w:left w:w="0" w:type="dxa"/>
              <w:bottom w:w="0" w:type="dxa"/>
              <w:right w:w="15" w:type="dxa"/>
            </w:tcMar>
            <w:hideMark/>
          </w:tcPr>
          <w:p w14:paraId="0CE79E94" w14:textId="77777777" w:rsidR="00000000" w:rsidRDefault="00582324">
            <w:pPr>
              <w:pStyle w:val="a3"/>
              <w:spacing w:before="0" w:beforeAutospacing="0" w:after="0" w:afterAutospacing="0"/>
              <w:rPr>
                <w:color w:val="000000"/>
                <w:sz w:val="18"/>
                <w:szCs w:val="18"/>
              </w:rPr>
            </w:pPr>
            <w:r>
              <w:rPr>
                <w:color w:val="000000"/>
                <w:sz w:val="18"/>
                <w:szCs w:val="18"/>
              </w:rPr>
              <w:t>Outstanding at January 1, 2020</w:t>
            </w:r>
          </w:p>
        </w:tc>
        <w:tc>
          <w:tcPr>
            <w:tcW w:w="50" w:type="pct"/>
            <w:shd w:val="clear" w:color="auto" w:fill="CFF0FC"/>
            <w:tcMar>
              <w:top w:w="15" w:type="dxa"/>
              <w:left w:w="0" w:type="dxa"/>
              <w:bottom w:w="0" w:type="dxa"/>
              <w:right w:w="15" w:type="dxa"/>
            </w:tcMar>
            <w:vAlign w:val="bottom"/>
            <w:hideMark/>
          </w:tcPr>
          <w:p w14:paraId="2CBB57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0D2B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56505D44" w14:textId="77777777" w:rsidR="00000000" w:rsidRDefault="00582324">
            <w:pPr>
              <w:pStyle w:val="a3"/>
              <w:spacing w:before="0" w:beforeAutospacing="0" w:after="0" w:afterAutospacing="0"/>
              <w:jc w:val="right"/>
              <w:rPr>
                <w:color w:val="000000"/>
                <w:sz w:val="18"/>
                <w:szCs w:val="18"/>
              </w:rPr>
            </w:pPr>
            <w:r>
              <w:rPr>
                <w:color w:val="000000"/>
                <w:sz w:val="18"/>
                <w:szCs w:val="18"/>
              </w:rPr>
              <w:t>617,852</w:t>
            </w:r>
          </w:p>
        </w:tc>
        <w:tc>
          <w:tcPr>
            <w:tcW w:w="50" w:type="pct"/>
            <w:shd w:val="clear" w:color="auto" w:fill="CFF0FC"/>
            <w:noWrap/>
            <w:tcMar>
              <w:top w:w="15" w:type="dxa"/>
              <w:left w:w="0" w:type="dxa"/>
              <w:bottom w:w="0" w:type="dxa"/>
              <w:right w:w="15" w:type="dxa"/>
            </w:tcMar>
            <w:vAlign w:val="bottom"/>
            <w:hideMark/>
          </w:tcPr>
          <w:p w14:paraId="6416CB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9769B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481C7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07793E34" w14:textId="77777777" w:rsidR="00000000" w:rsidRDefault="00582324">
            <w:pPr>
              <w:pStyle w:val="a3"/>
              <w:spacing w:before="0" w:beforeAutospacing="0" w:after="0" w:afterAutospacing="0"/>
              <w:jc w:val="right"/>
              <w:rPr>
                <w:color w:val="000000"/>
                <w:sz w:val="18"/>
                <w:szCs w:val="18"/>
              </w:rPr>
            </w:pPr>
            <w:r>
              <w:rPr>
                <w:color w:val="000000"/>
                <w:sz w:val="18"/>
                <w:szCs w:val="18"/>
              </w:rPr>
              <w:t>24</w:t>
            </w:r>
          </w:p>
        </w:tc>
        <w:tc>
          <w:tcPr>
            <w:tcW w:w="50" w:type="pct"/>
            <w:shd w:val="clear" w:color="auto" w:fill="CFF0FC"/>
            <w:noWrap/>
            <w:tcMar>
              <w:top w:w="15" w:type="dxa"/>
              <w:left w:w="0" w:type="dxa"/>
              <w:bottom w:w="0" w:type="dxa"/>
              <w:right w:w="15" w:type="dxa"/>
            </w:tcMar>
            <w:vAlign w:val="bottom"/>
            <w:hideMark/>
          </w:tcPr>
          <w:p w14:paraId="515408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1FC815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E80F3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369C6B93" w14:textId="77777777" w:rsidR="00000000" w:rsidRDefault="00582324">
            <w:pPr>
              <w:pStyle w:val="a3"/>
              <w:spacing w:before="0" w:beforeAutospacing="0" w:after="0" w:afterAutospacing="0"/>
              <w:jc w:val="right"/>
              <w:rPr>
                <w:color w:val="000000"/>
                <w:sz w:val="18"/>
                <w:szCs w:val="18"/>
              </w:rPr>
            </w:pPr>
            <w:r>
              <w:rPr>
                <w:color w:val="000000"/>
                <w:sz w:val="18"/>
                <w:szCs w:val="18"/>
              </w:rPr>
              <w:t>12</w:t>
            </w:r>
          </w:p>
        </w:tc>
        <w:tc>
          <w:tcPr>
            <w:tcW w:w="50" w:type="pct"/>
            <w:shd w:val="clear" w:color="auto" w:fill="CFF0FC"/>
            <w:noWrap/>
            <w:tcMar>
              <w:top w:w="15" w:type="dxa"/>
              <w:left w:w="0" w:type="dxa"/>
              <w:bottom w:w="0" w:type="dxa"/>
              <w:right w:w="15" w:type="dxa"/>
            </w:tcMar>
            <w:vAlign w:val="bottom"/>
            <w:hideMark/>
          </w:tcPr>
          <w:p w14:paraId="29D7C1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53619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775D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14:paraId="593D5145" w14:textId="77777777" w:rsidR="00000000" w:rsidRDefault="00582324">
            <w:pPr>
              <w:pStyle w:val="a3"/>
              <w:spacing w:before="0" w:beforeAutospacing="0" w:after="0" w:afterAutospacing="0"/>
              <w:jc w:val="right"/>
              <w:rPr>
                <w:color w:val="000000"/>
                <w:sz w:val="18"/>
                <w:szCs w:val="18"/>
              </w:rPr>
            </w:pPr>
            <w:r>
              <w:rPr>
                <w:color w:val="000000"/>
                <w:sz w:val="18"/>
                <w:szCs w:val="18"/>
              </w:rPr>
              <w:t>7.8</w:t>
            </w:r>
            <w:r>
              <w:rPr>
                <w:color w:val="000000"/>
                <w:sz w:val="18"/>
                <w:szCs w:val="18"/>
              </w:rPr>
              <w:t>2</w:t>
            </w:r>
          </w:p>
        </w:tc>
        <w:tc>
          <w:tcPr>
            <w:tcW w:w="50" w:type="pct"/>
            <w:shd w:val="clear" w:color="auto" w:fill="CFF0FC"/>
            <w:noWrap/>
            <w:tcMar>
              <w:top w:w="15" w:type="dxa"/>
              <w:left w:w="0" w:type="dxa"/>
              <w:bottom w:w="0" w:type="dxa"/>
              <w:right w:w="15" w:type="dxa"/>
            </w:tcMar>
            <w:vAlign w:val="bottom"/>
            <w:hideMark/>
          </w:tcPr>
          <w:p w14:paraId="2063B5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2C3436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15B1B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45" w:type="pct"/>
            <w:tcBorders>
              <w:top w:val="single" w:sz="6" w:space="0" w:color="000000"/>
            </w:tcBorders>
            <w:shd w:val="clear" w:color="auto" w:fill="CFF0FC"/>
            <w:noWrap/>
            <w:tcMar>
              <w:top w:w="15" w:type="dxa"/>
              <w:left w:w="0" w:type="dxa"/>
              <w:bottom w:w="0" w:type="dxa"/>
              <w:right w:w="15" w:type="dxa"/>
            </w:tcMar>
            <w:vAlign w:val="bottom"/>
            <w:hideMark/>
          </w:tcPr>
          <w:p w14:paraId="5D4EF0CC" w14:textId="77777777" w:rsidR="00000000" w:rsidRDefault="00582324">
            <w:pPr>
              <w:pStyle w:val="a3"/>
              <w:spacing w:before="0" w:beforeAutospacing="0" w:after="0" w:afterAutospacing="0"/>
              <w:jc w:val="right"/>
              <w:rPr>
                <w:color w:val="000000"/>
                <w:sz w:val="18"/>
                <w:szCs w:val="18"/>
              </w:rPr>
            </w:pPr>
            <w:r>
              <w:rPr>
                <w:color w:val="000000"/>
                <w:sz w:val="18"/>
                <w:szCs w:val="18"/>
              </w:rPr>
              <w:t>4,696</w:t>
            </w:r>
          </w:p>
        </w:tc>
        <w:tc>
          <w:tcPr>
            <w:tcW w:w="50" w:type="pct"/>
            <w:shd w:val="clear" w:color="auto" w:fill="CFF0FC"/>
            <w:noWrap/>
            <w:tcMar>
              <w:top w:w="15" w:type="dxa"/>
              <w:left w:w="0" w:type="dxa"/>
              <w:bottom w:w="0" w:type="dxa"/>
              <w:right w:w="15" w:type="dxa"/>
            </w:tcMar>
            <w:vAlign w:val="bottom"/>
            <w:hideMark/>
          </w:tcPr>
          <w:p w14:paraId="3878BAF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5647119" w14:textId="77777777">
        <w:trPr>
          <w:divId w:val="531305830"/>
        </w:trPr>
        <w:tc>
          <w:tcPr>
            <w:tcW w:w="2127" w:type="pct"/>
            <w:shd w:val="clear" w:color="auto" w:fill="FFFFFF"/>
            <w:tcMar>
              <w:top w:w="15" w:type="dxa"/>
              <w:left w:w="0" w:type="dxa"/>
              <w:bottom w:w="0" w:type="dxa"/>
              <w:right w:w="15" w:type="dxa"/>
            </w:tcMar>
            <w:hideMark/>
          </w:tcPr>
          <w:p w14:paraId="26D5A467" w14:textId="77777777" w:rsidR="00000000" w:rsidRDefault="00582324">
            <w:pPr>
              <w:pStyle w:val="a3"/>
              <w:spacing w:before="0" w:beforeAutospacing="0" w:after="0" w:afterAutospacing="0"/>
              <w:ind w:left="274"/>
              <w:rPr>
                <w:color w:val="000000"/>
                <w:sz w:val="18"/>
                <w:szCs w:val="18"/>
              </w:rPr>
            </w:pPr>
            <w:r>
              <w:rPr>
                <w:color w:val="000000"/>
                <w:sz w:val="18"/>
                <w:szCs w:val="18"/>
              </w:rPr>
              <w:t>Granted</w:t>
            </w:r>
          </w:p>
        </w:tc>
        <w:tc>
          <w:tcPr>
            <w:tcW w:w="50" w:type="pct"/>
            <w:shd w:val="clear" w:color="auto" w:fill="FFFFFF"/>
            <w:tcMar>
              <w:top w:w="15" w:type="dxa"/>
              <w:left w:w="0" w:type="dxa"/>
              <w:bottom w:w="0" w:type="dxa"/>
              <w:right w:w="15" w:type="dxa"/>
            </w:tcMar>
            <w:vAlign w:val="bottom"/>
            <w:hideMark/>
          </w:tcPr>
          <w:p w14:paraId="6D10D3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986AF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7F14FC4F" w14:textId="77777777" w:rsidR="00000000" w:rsidRDefault="00582324">
            <w:pPr>
              <w:pStyle w:val="a3"/>
              <w:spacing w:before="0" w:beforeAutospacing="0" w:after="0" w:afterAutospacing="0"/>
              <w:jc w:val="right"/>
              <w:rPr>
                <w:color w:val="000000"/>
                <w:sz w:val="18"/>
                <w:szCs w:val="18"/>
              </w:rPr>
            </w:pPr>
            <w:r>
              <w:rPr>
                <w:color w:val="000000"/>
                <w:sz w:val="18"/>
                <w:szCs w:val="18"/>
              </w:rPr>
              <w:t>160,712</w:t>
            </w:r>
          </w:p>
        </w:tc>
        <w:tc>
          <w:tcPr>
            <w:tcW w:w="50" w:type="pct"/>
            <w:shd w:val="clear" w:color="auto" w:fill="FFFFFF"/>
            <w:noWrap/>
            <w:tcMar>
              <w:top w:w="15" w:type="dxa"/>
              <w:left w:w="0" w:type="dxa"/>
              <w:bottom w:w="0" w:type="dxa"/>
              <w:right w:w="15" w:type="dxa"/>
            </w:tcMar>
            <w:vAlign w:val="bottom"/>
            <w:hideMark/>
          </w:tcPr>
          <w:p w14:paraId="632052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6A1505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7CD0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26614685" w14:textId="77777777" w:rsidR="00000000" w:rsidRDefault="00582324">
            <w:pPr>
              <w:pStyle w:val="a3"/>
              <w:spacing w:before="0" w:beforeAutospacing="0" w:after="0" w:afterAutospacing="0"/>
              <w:jc w:val="right"/>
              <w:rPr>
                <w:color w:val="000000"/>
                <w:sz w:val="18"/>
                <w:szCs w:val="18"/>
              </w:rPr>
            </w:pPr>
            <w:r>
              <w:rPr>
                <w:color w:val="000000"/>
                <w:sz w:val="18"/>
                <w:szCs w:val="18"/>
              </w:rPr>
              <w:t>32</w:t>
            </w:r>
          </w:p>
        </w:tc>
        <w:tc>
          <w:tcPr>
            <w:tcW w:w="50" w:type="pct"/>
            <w:shd w:val="clear" w:color="auto" w:fill="FFFFFF"/>
            <w:noWrap/>
            <w:tcMar>
              <w:top w:w="15" w:type="dxa"/>
              <w:left w:w="0" w:type="dxa"/>
              <w:bottom w:w="0" w:type="dxa"/>
              <w:right w:w="15" w:type="dxa"/>
            </w:tcMar>
            <w:vAlign w:val="bottom"/>
            <w:hideMark/>
          </w:tcPr>
          <w:p w14:paraId="7CDB1D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7D18F7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EDFF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627638D5" w14:textId="77777777" w:rsidR="00000000" w:rsidRDefault="00582324">
            <w:pPr>
              <w:pStyle w:val="a3"/>
              <w:spacing w:before="0" w:beforeAutospacing="0" w:after="0" w:afterAutospacing="0"/>
              <w:jc w:val="right"/>
              <w:rPr>
                <w:color w:val="000000"/>
                <w:sz w:val="18"/>
                <w:szCs w:val="18"/>
              </w:rPr>
            </w:pPr>
            <w:r>
              <w:rPr>
                <w:color w:val="000000"/>
                <w:sz w:val="18"/>
                <w:szCs w:val="18"/>
              </w:rPr>
              <w:t>12</w:t>
            </w:r>
          </w:p>
        </w:tc>
        <w:tc>
          <w:tcPr>
            <w:tcW w:w="50" w:type="pct"/>
            <w:shd w:val="clear" w:color="auto" w:fill="FFFFFF"/>
            <w:noWrap/>
            <w:tcMar>
              <w:top w:w="15" w:type="dxa"/>
              <w:left w:w="0" w:type="dxa"/>
              <w:bottom w:w="0" w:type="dxa"/>
              <w:right w:w="15" w:type="dxa"/>
            </w:tcMar>
            <w:vAlign w:val="bottom"/>
            <w:hideMark/>
          </w:tcPr>
          <w:p w14:paraId="6C6F2A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7FCEC7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C287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FFFFFF"/>
            <w:noWrap/>
            <w:tcMar>
              <w:top w:w="15" w:type="dxa"/>
              <w:left w:w="0" w:type="dxa"/>
              <w:bottom w:w="0" w:type="dxa"/>
              <w:right w:w="15" w:type="dxa"/>
            </w:tcMar>
            <w:vAlign w:val="bottom"/>
            <w:hideMark/>
          </w:tcPr>
          <w:p w14:paraId="53E4C2B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A0FEF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206BAF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44E6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FFFFFF"/>
            <w:noWrap/>
            <w:tcMar>
              <w:top w:w="15" w:type="dxa"/>
              <w:left w:w="0" w:type="dxa"/>
              <w:bottom w:w="0" w:type="dxa"/>
              <w:right w:w="15" w:type="dxa"/>
            </w:tcMar>
            <w:vAlign w:val="bottom"/>
            <w:hideMark/>
          </w:tcPr>
          <w:p w14:paraId="144D923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EEEACB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503AC54" w14:textId="77777777">
        <w:trPr>
          <w:divId w:val="531305830"/>
        </w:trPr>
        <w:tc>
          <w:tcPr>
            <w:tcW w:w="2127" w:type="pct"/>
            <w:shd w:val="clear" w:color="auto" w:fill="CFF0FC"/>
            <w:tcMar>
              <w:top w:w="15" w:type="dxa"/>
              <w:left w:w="0" w:type="dxa"/>
              <w:bottom w:w="0" w:type="dxa"/>
              <w:right w:w="15" w:type="dxa"/>
            </w:tcMar>
            <w:hideMark/>
          </w:tcPr>
          <w:p w14:paraId="1953A1BA" w14:textId="77777777" w:rsidR="00000000" w:rsidRDefault="00582324">
            <w:pPr>
              <w:pStyle w:val="a3"/>
              <w:spacing w:before="0" w:beforeAutospacing="0" w:after="0" w:afterAutospacing="0"/>
              <w:ind w:left="274"/>
              <w:rPr>
                <w:color w:val="000000"/>
                <w:sz w:val="18"/>
                <w:szCs w:val="18"/>
              </w:rPr>
            </w:pPr>
            <w:r>
              <w:rPr>
                <w:color w:val="000000"/>
                <w:sz w:val="18"/>
                <w:szCs w:val="18"/>
              </w:rPr>
              <w:t>Forfeited/ cancelled</w:t>
            </w:r>
          </w:p>
        </w:tc>
        <w:tc>
          <w:tcPr>
            <w:tcW w:w="50" w:type="pct"/>
            <w:shd w:val="clear" w:color="auto" w:fill="CFF0FC"/>
            <w:tcMar>
              <w:top w:w="15" w:type="dxa"/>
              <w:left w:w="0" w:type="dxa"/>
              <w:bottom w:w="0" w:type="dxa"/>
              <w:right w:w="15" w:type="dxa"/>
            </w:tcMar>
            <w:vAlign w:val="bottom"/>
            <w:hideMark/>
          </w:tcPr>
          <w:p w14:paraId="387027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ADE5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CFF0FC"/>
            <w:noWrap/>
            <w:tcMar>
              <w:top w:w="15" w:type="dxa"/>
              <w:left w:w="0" w:type="dxa"/>
              <w:bottom w:w="0" w:type="dxa"/>
              <w:right w:w="15" w:type="dxa"/>
            </w:tcMar>
            <w:vAlign w:val="bottom"/>
            <w:hideMark/>
          </w:tcPr>
          <w:p w14:paraId="47424DDB" w14:textId="77777777" w:rsidR="00000000" w:rsidRDefault="00582324">
            <w:pPr>
              <w:pStyle w:val="a3"/>
              <w:spacing w:before="0" w:beforeAutospacing="0" w:after="0" w:afterAutospacing="0"/>
              <w:jc w:val="right"/>
              <w:rPr>
                <w:color w:val="000000"/>
                <w:sz w:val="18"/>
                <w:szCs w:val="18"/>
              </w:rPr>
            </w:pPr>
            <w:r>
              <w:rPr>
                <w:color w:val="000000"/>
                <w:sz w:val="18"/>
                <w:szCs w:val="18"/>
              </w:rPr>
              <w:t>(5,500</w:t>
            </w:r>
          </w:p>
        </w:tc>
        <w:tc>
          <w:tcPr>
            <w:tcW w:w="50" w:type="pct"/>
            <w:shd w:val="clear" w:color="auto" w:fill="CFF0FC"/>
            <w:noWrap/>
            <w:tcMar>
              <w:top w:w="15" w:type="dxa"/>
              <w:left w:w="0" w:type="dxa"/>
              <w:bottom w:w="0" w:type="dxa"/>
              <w:right w:w="15" w:type="dxa"/>
            </w:tcMar>
            <w:vAlign w:val="bottom"/>
            <w:hideMark/>
          </w:tcPr>
          <w:p w14:paraId="55B19BB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CFF0FC"/>
            <w:tcMar>
              <w:top w:w="15" w:type="dxa"/>
              <w:left w:w="0" w:type="dxa"/>
              <w:bottom w:w="0" w:type="dxa"/>
              <w:right w:w="15" w:type="dxa"/>
            </w:tcMar>
            <w:vAlign w:val="bottom"/>
            <w:hideMark/>
          </w:tcPr>
          <w:p w14:paraId="19AF3D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DFF3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CFF0FC"/>
            <w:noWrap/>
            <w:tcMar>
              <w:top w:w="15" w:type="dxa"/>
              <w:left w:w="0" w:type="dxa"/>
              <w:bottom w:w="0" w:type="dxa"/>
              <w:right w:w="15" w:type="dxa"/>
            </w:tcMar>
            <w:vAlign w:val="bottom"/>
            <w:hideMark/>
          </w:tcPr>
          <w:p w14:paraId="1492CA13" w14:textId="77777777" w:rsidR="00000000" w:rsidRDefault="00582324">
            <w:pPr>
              <w:pStyle w:val="a3"/>
              <w:spacing w:before="0" w:beforeAutospacing="0" w:after="0" w:afterAutospacing="0"/>
              <w:jc w:val="right"/>
              <w:rPr>
                <w:color w:val="000000"/>
                <w:sz w:val="18"/>
                <w:szCs w:val="18"/>
              </w:rPr>
            </w:pPr>
            <w:r>
              <w:rPr>
                <w:color w:val="000000"/>
                <w:sz w:val="18"/>
                <w:szCs w:val="18"/>
              </w:rPr>
              <w:t>20</w:t>
            </w:r>
          </w:p>
        </w:tc>
        <w:tc>
          <w:tcPr>
            <w:tcW w:w="50" w:type="pct"/>
            <w:shd w:val="clear" w:color="auto" w:fill="CFF0FC"/>
            <w:noWrap/>
            <w:tcMar>
              <w:top w:w="15" w:type="dxa"/>
              <w:left w:w="0" w:type="dxa"/>
              <w:bottom w:w="0" w:type="dxa"/>
              <w:right w:w="15" w:type="dxa"/>
            </w:tcMar>
            <w:vAlign w:val="bottom"/>
            <w:hideMark/>
          </w:tcPr>
          <w:p w14:paraId="5E5EF9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7C89BE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55E4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CFF0FC"/>
            <w:noWrap/>
            <w:tcMar>
              <w:top w:w="15" w:type="dxa"/>
              <w:left w:w="0" w:type="dxa"/>
              <w:bottom w:w="0" w:type="dxa"/>
              <w:right w:w="15" w:type="dxa"/>
            </w:tcMar>
            <w:vAlign w:val="bottom"/>
            <w:hideMark/>
          </w:tcPr>
          <w:p w14:paraId="3923C8C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CD9F7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4107ED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2486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tcBorders>
              <w:bottom w:val="single" w:sz="6" w:space="0" w:color="000000"/>
            </w:tcBorders>
            <w:shd w:val="clear" w:color="auto" w:fill="CFF0FC"/>
            <w:noWrap/>
            <w:tcMar>
              <w:top w:w="15" w:type="dxa"/>
              <w:left w:w="0" w:type="dxa"/>
              <w:bottom w:w="0" w:type="dxa"/>
              <w:right w:w="15" w:type="dxa"/>
            </w:tcMar>
            <w:vAlign w:val="bottom"/>
            <w:hideMark/>
          </w:tcPr>
          <w:p w14:paraId="5C3BC6A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C410D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66A516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62E1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tcBorders>
              <w:bottom w:val="single" w:sz="6" w:space="0" w:color="000000"/>
            </w:tcBorders>
            <w:shd w:val="clear" w:color="auto" w:fill="CFF0FC"/>
            <w:noWrap/>
            <w:tcMar>
              <w:top w:w="15" w:type="dxa"/>
              <w:left w:w="0" w:type="dxa"/>
              <w:bottom w:w="0" w:type="dxa"/>
              <w:right w:w="15" w:type="dxa"/>
            </w:tcMar>
            <w:vAlign w:val="bottom"/>
            <w:hideMark/>
          </w:tcPr>
          <w:p w14:paraId="7A71EDB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FB9C69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66F01C5" w14:textId="77777777">
        <w:trPr>
          <w:divId w:val="531305830"/>
        </w:trPr>
        <w:tc>
          <w:tcPr>
            <w:tcW w:w="2127" w:type="pct"/>
            <w:shd w:val="clear" w:color="auto" w:fill="FFFFFF"/>
            <w:tcMar>
              <w:top w:w="15" w:type="dxa"/>
              <w:left w:w="0" w:type="dxa"/>
              <w:bottom w:w="0" w:type="dxa"/>
              <w:right w:w="15" w:type="dxa"/>
            </w:tcMar>
            <w:hideMark/>
          </w:tcPr>
          <w:p w14:paraId="48F6CB89" w14:textId="77777777" w:rsidR="00000000" w:rsidRDefault="00582324">
            <w:pPr>
              <w:pStyle w:val="a3"/>
              <w:spacing w:before="0" w:beforeAutospacing="0" w:after="0" w:afterAutospacing="0"/>
              <w:rPr>
                <w:color w:val="000000"/>
                <w:sz w:val="18"/>
                <w:szCs w:val="18"/>
              </w:rPr>
            </w:pPr>
            <w:r>
              <w:rPr>
                <w:color w:val="000000"/>
                <w:sz w:val="18"/>
                <w:szCs w:val="18"/>
              </w:rPr>
              <w:t>Outstanding at June 30, 2020</w:t>
            </w:r>
          </w:p>
        </w:tc>
        <w:tc>
          <w:tcPr>
            <w:tcW w:w="50" w:type="pct"/>
            <w:shd w:val="clear" w:color="auto" w:fill="FFFFFF"/>
            <w:tcMar>
              <w:top w:w="15" w:type="dxa"/>
              <w:left w:w="0" w:type="dxa"/>
              <w:bottom w:w="0" w:type="dxa"/>
              <w:right w:w="15" w:type="dxa"/>
            </w:tcMar>
            <w:vAlign w:val="bottom"/>
            <w:hideMark/>
          </w:tcPr>
          <w:p w14:paraId="3EEB29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E9F23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FFFFFF"/>
            <w:noWrap/>
            <w:tcMar>
              <w:top w:w="15" w:type="dxa"/>
              <w:left w:w="0" w:type="dxa"/>
              <w:bottom w:w="0" w:type="dxa"/>
              <w:right w:w="15" w:type="dxa"/>
            </w:tcMar>
            <w:vAlign w:val="bottom"/>
            <w:hideMark/>
          </w:tcPr>
          <w:p w14:paraId="1A16B892" w14:textId="77777777" w:rsidR="00000000" w:rsidRDefault="00582324">
            <w:pPr>
              <w:pStyle w:val="a3"/>
              <w:spacing w:before="0" w:beforeAutospacing="0" w:after="0" w:afterAutospacing="0"/>
              <w:jc w:val="right"/>
              <w:rPr>
                <w:color w:val="000000"/>
                <w:sz w:val="18"/>
                <w:szCs w:val="18"/>
              </w:rPr>
            </w:pPr>
            <w:r>
              <w:rPr>
                <w:color w:val="000000"/>
                <w:sz w:val="18"/>
                <w:szCs w:val="18"/>
              </w:rPr>
              <w:t>773,064</w:t>
            </w:r>
          </w:p>
        </w:tc>
        <w:tc>
          <w:tcPr>
            <w:tcW w:w="50" w:type="pct"/>
            <w:shd w:val="clear" w:color="auto" w:fill="FFFFFF"/>
            <w:noWrap/>
            <w:tcMar>
              <w:top w:w="15" w:type="dxa"/>
              <w:left w:w="0" w:type="dxa"/>
              <w:bottom w:w="0" w:type="dxa"/>
              <w:right w:w="15" w:type="dxa"/>
            </w:tcMar>
            <w:vAlign w:val="bottom"/>
            <w:hideMark/>
          </w:tcPr>
          <w:p w14:paraId="74B366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216B20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5C049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FFFFFF"/>
            <w:noWrap/>
            <w:tcMar>
              <w:top w:w="15" w:type="dxa"/>
              <w:left w:w="0" w:type="dxa"/>
              <w:bottom w:w="0" w:type="dxa"/>
              <w:right w:w="15" w:type="dxa"/>
            </w:tcMar>
            <w:vAlign w:val="bottom"/>
            <w:hideMark/>
          </w:tcPr>
          <w:p w14:paraId="5CCFC98D" w14:textId="77777777" w:rsidR="00000000" w:rsidRDefault="00582324">
            <w:pPr>
              <w:pStyle w:val="a3"/>
              <w:spacing w:before="0" w:beforeAutospacing="0" w:after="0" w:afterAutospacing="0"/>
              <w:jc w:val="right"/>
              <w:rPr>
                <w:color w:val="000000"/>
                <w:sz w:val="18"/>
                <w:szCs w:val="18"/>
              </w:rPr>
            </w:pPr>
            <w:r>
              <w:rPr>
                <w:color w:val="000000"/>
                <w:sz w:val="18"/>
                <w:szCs w:val="18"/>
              </w:rPr>
              <w:t>26</w:t>
            </w:r>
          </w:p>
        </w:tc>
        <w:tc>
          <w:tcPr>
            <w:tcW w:w="50" w:type="pct"/>
            <w:shd w:val="clear" w:color="auto" w:fill="FFFFFF"/>
            <w:noWrap/>
            <w:tcMar>
              <w:top w:w="15" w:type="dxa"/>
              <w:left w:w="0" w:type="dxa"/>
              <w:bottom w:w="0" w:type="dxa"/>
              <w:right w:w="15" w:type="dxa"/>
            </w:tcMar>
            <w:vAlign w:val="bottom"/>
            <w:hideMark/>
          </w:tcPr>
          <w:p w14:paraId="2A7406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401EEC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D7254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FFFFFF"/>
            <w:noWrap/>
            <w:tcMar>
              <w:top w:w="15" w:type="dxa"/>
              <w:left w:w="0" w:type="dxa"/>
              <w:bottom w:w="0" w:type="dxa"/>
              <w:right w:w="15" w:type="dxa"/>
            </w:tcMar>
            <w:vAlign w:val="bottom"/>
            <w:hideMark/>
          </w:tcPr>
          <w:p w14:paraId="261F6C8B" w14:textId="77777777" w:rsidR="00000000" w:rsidRDefault="00582324">
            <w:pPr>
              <w:pStyle w:val="a3"/>
              <w:spacing w:before="0" w:beforeAutospacing="0" w:after="0" w:afterAutospacing="0"/>
              <w:jc w:val="right"/>
              <w:rPr>
                <w:color w:val="000000"/>
                <w:sz w:val="18"/>
                <w:szCs w:val="18"/>
              </w:rPr>
            </w:pPr>
            <w:r>
              <w:rPr>
                <w:color w:val="000000"/>
                <w:sz w:val="18"/>
                <w:szCs w:val="18"/>
              </w:rPr>
              <w:t>12</w:t>
            </w:r>
          </w:p>
        </w:tc>
        <w:tc>
          <w:tcPr>
            <w:tcW w:w="50" w:type="pct"/>
            <w:shd w:val="clear" w:color="auto" w:fill="FFFFFF"/>
            <w:noWrap/>
            <w:tcMar>
              <w:top w:w="15" w:type="dxa"/>
              <w:left w:w="0" w:type="dxa"/>
              <w:bottom w:w="0" w:type="dxa"/>
              <w:right w:w="15" w:type="dxa"/>
            </w:tcMar>
            <w:vAlign w:val="bottom"/>
            <w:hideMark/>
          </w:tcPr>
          <w:p w14:paraId="1E93C8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2672F1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2B66A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tcBorders>
              <w:top w:val="single" w:sz="6" w:space="0" w:color="000000"/>
            </w:tcBorders>
            <w:shd w:val="clear" w:color="auto" w:fill="FFFFFF"/>
            <w:noWrap/>
            <w:tcMar>
              <w:top w:w="15" w:type="dxa"/>
              <w:left w:w="0" w:type="dxa"/>
              <w:bottom w:w="0" w:type="dxa"/>
              <w:right w:w="15" w:type="dxa"/>
            </w:tcMar>
            <w:vAlign w:val="bottom"/>
            <w:hideMark/>
          </w:tcPr>
          <w:p w14:paraId="4B1722D1" w14:textId="77777777" w:rsidR="00000000" w:rsidRDefault="00582324">
            <w:pPr>
              <w:pStyle w:val="a3"/>
              <w:spacing w:before="0" w:beforeAutospacing="0" w:after="0" w:afterAutospacing="0"/>
              <w:jc w:val="right"/>
              <w:rPr>
                <w:color w:val="000000"/>
                <w:sz w:val="18"/>
                <w:szCs w:val="18"/>
              </w:rPr>
            </w:pPr>
            <w:r>
              <w:rPr>
                <w:color w:val="000000"/>
                <w:sz w:val="18"/>
                <w:szCs w:val="18"/>
              </w:rPr>
              <w:t>8.0</w:t>
            </w:r>
            <w:r>
              <w:rPr>
                <w:color w:val="000000"/>
                <w:sz w:val="18"/>
                <w:szCs w:val="18"/>
              </w:rPr>
              <w:t>3</w:t>
            </w:r>
          </w:p>
        </w:tc>
        <w:tc>
          <w:tcPr>
            <w:tcW w:w="50" w:type="pct"/>
            <w:shd w:val="clear" w:color="auto" w:fill="FFFFFF"/>
            <w:noWrap/>
            <w:tcMar>
              <w:top w:w="15" w:type="dxa"/>
              <w:left w:w="0" w:type="dxa"/>
              <w:bottom w:w="0" w:type="dxa"/>
              <w:right w:w="15" w:type="dxa"/>
            </w:tcMar>
            <w:vAlign w:val="bottom"/>
            <w:hideMark/>
          </w:tcPr>
          <w:p w14:paraId="519F98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72AFE1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6284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tcBorders>
              <w:top w:val="single" w:sz="6" w:space="0" w:color="000000"/>
            </w:tcBorders>
            <w:shd w:val="clear" w:color="auto" w:fill="FFFFFF"/>
            <w:noWrap/>
            <w:tcMar>
              <w:top w:w="15" w:type="dxa"/>
              <w:left w:w="0" w:type="dxa"/>
              <w:bottom w:w="0" w:type="dxa"/>
              <w:right w:w="15" w:type="dxa"/>
            </w:tcMar>
            <w:vAlign w:val="bottom"/>
            <w:hideMark/>
          </w:tcPr>
          <w:p w14:paraId="3E76EB9A" w14:textId="77777777" w:rsidR="00000000" w:rsidRDefault="00582324">
            <w:pPr>
              <w:pStyle w:val="a3"/>
              <w:spacing w:before="0" w:beforeAutospacing="0" w:after="0" w:afterAutospacing="0"/>
              <w:jc w:val="right"/>
              <w:rPr>
                <w:color w:val="000000"/>
                <w:sz w:val="18"/>
                <w:szCs w:val="18"/>
              </w:rPr>
            </w:pPr>
            <w:r>
              <w:rPr>
                <w:color w:val="000000"/>
                <w:sz w:val="18"/>
                <w:szCs w:val="18"/>
              </w:rPr>
              <w:t>4,651</w:t>
            </w:r>
          </w:p>
        </w:tc>
        <w:tc>
          <w:tcPr>
            <w:tcW w:w="50" w:type="pct"/>
            <w:shd w:val="clear" w:color="auto" w:fill="FFFFFF"/>
            <w:noWrap/>
            <w:tcMar>
              <w:top w:w="15" w:type="dxa"/>
              <w:left w:w="0" w:type="dxa"/>
              <w:bottom w:w="0" w:type="dxa"/>
              <w:right w:w="15" w:type="dxa"/>
            </w:tcMar>
            <w:vAlign w:val="bottom"/>
            <w:hideMark/>
          </w:tcPr>
          <w:p w14:paraId="7339409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B81A436" w14:textId="77777777">
        <w:trPr>
          <w:divId w:val="531305830"/>
        </w:trPr>
        <w:tc>
          <w:tcPr>
            <w:tcW w:w="2127" w:type="pct"/>
            <w:shd w:val="clear" w:color="auto" w:fill="CFF0FC"/>
            <w:tcMar>
              <w:top w:w="15" w:type="dxa"/>
              <w:left w:w="0" w:type="dxa"/>
              <w:bottom w:w="0" w:type="dxa"/>
              <w:right w:w="15" w:type="dxa"/>
            </w:tcMar>
            <w:hideMark/>
          </w:tcPr>
          <w:p w14:paraId="1BA3CF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765F92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B8106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2FDFC79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F866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726E54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ABF9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1986152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E600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DB9F3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B671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0F28BC3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C8FD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41B391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E15A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CFF0FC"/>
            <w:noWrap/>
            <w:tcMar>
              <w:top w:w="15" w:type="dxa"/>
              <w:left w:w="0" w:type="dxa"/>
              <w:bottom w:w="0" w:type="dxa"/>
              <w:right w:w="15" w:type="dxa"/>
            </w:tcMar>
            <w:vAlign w:val="bottom"/>
            <w:hideMark/>
          </w:tcPr>
          <w:p w14:paraId="004699E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8BF0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2694D7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0DE3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CFF0FC"/>
            <w:noWrap/>
            <w:tcMar>
              <w:top w:w="15" w:type="dxa"/>
              <w:left w:w="0" w:type="dxa"/>
              <w:bottom w:w="0" w:type="dxa"/>
              <w:right w:w="15" w:type="dxa"/>
            </w:tcMar>
            <w:vAlign w:val="bottom"/>
            <w:hideMark/>
          </w:tcPr>
          <w:p w14:paraId="2AD60AC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067DC7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C798F98" w14:textId="77777777">
        <w:trPr>
          <w:divId w:val="531305830"/>
        </w:trPr>
        <w:tc>
          <w:tcPr>
            <w:tcW w:w="2127" w:type="pct"/>
            <w:shd w:val="clear" w:color="auto" w:fill="FFFFFF"/>
            <w:tcMar>
              <w:top w:w="15" w:type="dxa"/>
              <w:left w:w="0" w:type="dxa"/>
              <w:bottom w:w="0" w:type="dxa"/>
              <w:right w:w="15" w:type="dxa"/>
            </w:tcMar>
            <w:hideMark/>
          </w:tcPr>
          <w:p w14:paraId="17858383" w14:textId="77777777" w:rsidR="00000000" w:rsidRDefault="00582324">
            <w:pPr>
              <w:pStyle w:val="a3"/>
              <w:spacing w:before="0" w:beforeAutospacing="0" w:after="0" w:afterAutospacing="0"/>
              <w:rPr>
                <w:color w:val="000000"/>
                <w:sz w:val="18"/>
                <w:szCs w:val="18"/>
              </w:rPr>
            </w:pPr>
            <w:r>
              <w:rPr>
                <w:color w:val="000000"/>
                <w:sz w:val="18"/>
                <w:szCs w:val="18"/>
              </w:rPr>
              <w:t>Outstanding at January 1, 2021</w:t>
            </w:r>
          </w:p>
        </w:tc>
        <w:tc>
          <w:tcPr>
            <w:tcW w:w="50" w:type="pct"/>
            <w:shd w:val="clear" w:color="auto" w:fill="FFFFFF"/>
            <w:tcMar>
              <w:top w:w="15" w:type="dxa"/>
              <w:left w:w="0" w:type="dxa"/>
              <w:bottom w:w="0" w:type="dxa"/>
              <w:right w:w="15" w:type="dxa"/>
            </w:tcMar>
            <w:vAlign w:val="bottom"/>
            <w:hideMark/>
          </w:tcPr>
          <w:p w14:paraId="7812EE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55F5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41BB19B0" w14:textId="77777777" w:rsidR="00000000" w:rsidRDefault="00582324">
            <w:pPr>
              <w:pStyle w:val="a3"/>
              <w:spacing w:before="0" w:beforeAutospacing="0" w:after="0" w:afterAutospacing="0"/>
              <w:jc w:val="right"/>
              <w:rPr>
                <w:color w:val="000000"/>
                <w:sz w:val="18"/>
                <w:szCs w:val="18"/>
              </w:rPr>
            </w:pPr>
            <w:r>
              <w:rPr>
                <w:color w:val="000000"/>
                <w:sz w:val="18"/>
                <w:szCs w:val="18"/>
              </w:rPr>
              <w:t>1,840,229</w:t>
            </w:r>
          </w:p>
        </w:tc>
        <w:tc>
          <w:tcPr>
            <w:tcW w:w="50" w:type="pct"/>
            <w:shd w:val="clear" w:color="auto" w:fill="FFFFFF"/>
            <w:noWrap/>
            <w:tcMar>
              <w:top w:w="15" w:type="dxa"/>
              <w:left w:w="0" w:type="dxa"/>
              <w:bottom w:w="0" w:type="dxa"/>
              <w:right w:w="15" w:type="dxa"/>
            </w:tcMar>
            <w:vAlign w:val="bottom"/>
            <w:hideMark/>
          </w:tcPr>
          <w:p w14:paraId="41D556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30640C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45EC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5A9C825F" w14:textId="77777777" w:rsidR="00000000" w:rsidRDefault="00582324">
            <w:pPr>
              <w:pStyle w:val="a3"/>
              <w:spacing w:before="0" w:beforeAutospacing="0" w:after="0" w:afterAutospacing="0"/>
              <w:jc w:val="right"/>
              <w:rPr>
                <w:color w:val="000000"/>
                <w:sz w:val="18"/>
                <w:szCs w:val="18"/>
              </w:rPr>
            </w:pPr>
            <w:r>
              <w:rPr>
                <w:color w:val="000000"/>
                <w:sz w:val="18"/>
                <w:szCs w:val="18"/>
              </w:rPr>
              <w:t>23</w:t>
            </w:r>
          </w:p>
        </w:tc>
        <w:tc>
          <w:tcPr>
            <w:tcW w:w="50" w:type="pct"/>
            <w:shd w:val="clear" w:color="auto" w:fill="FFFFFF"/>
            <w:noWrap/>
            <w:tcMar>
              <w:top w:w="15" w:type="dxa"/>
              <w:left w:w="0" w:type="dxa"/>
              <w:bottom w:w="0" w:type="dxa"/>
              <w:right w:w="15" w:type="dxa"/>
            </w:tcMar>
            <w:vAlign w:val="bottom"/>
            <w:hideMark/>
          </w:tcPr>
          <w:p w14:paraId="414257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2916F2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65B9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098D9FD0" w14:textId="77777777" w:rsidR="00000000" w:rsidRDefault="00582324">
            <w:pPr>
              <w:pStyle w:val="a3"/>
              <w:spacing w:before="0" w:beforeAutospacing="0" w:after="0" w:afterAutospacing="0"/>
              <w:jc w:val="right"/>
              <w:rPr>
                <w:color w:val="000000"/>
                <w:sz w:val="18"/>
                <w:szCs w:val="18"/>
              </w:rPr>
            </w:pPr>
            <w:r>
              <w:rPr>
                <w:color w:val="000000"/>
                <w:sz w:val="18"/>
                <w:szCs w:val="18"/>
              </w:rPr>
              <w:t>12</w:t>
            </w:r>
          </w:p>
        </w:tc>
        <w:tc>
          <w:tcPr>
            <w:tcW w:w="50" w:type="pct"/>
            <w:shd w:val="clear" w:color="auto" w:fill="FFFFFF"/>
            <w:noWrap/>
            <w:tcMar>
              <w:top w:w="15" w:type="dxa"/>
              <w:left w:w="0" w:type="dxa"/>
              <w:bottom w:w="0" w:type="dxa"/>
              <w:right w:w="15" w:type="dxa"/>
            </w:tcMar>
            <w:vAlign w:val="bottom"/>
            <w:hideMark/>
          </w:tcPr>
          <w:p w14:paraId="1938AC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2E4B18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FEB8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FFFFFF"/>
            <w:noWrap/>
            <w:tcMar>
              <w:top w:w="15" w:type="dxa"/>
              <w:left w:w="0" w:type="dxa"/>
              <w:bottom w:w="0" w:type="dxa"/>
              <w:right w:w="15" w:type="dxa"/>
            </w:tcMar>
            <w:vAlign w:val="bottom"/>
            <w:hideMark/>
          </w:tcPr>
          <w:p w14:paraId="740B52FE" w14:textId="77777777" w:rsidR="00000000" w:rsidRDefault="00582324">
            <w:pPr>
              <w:pStyle w:val="a3"/>
              <w:spacing w:before="0" w:beforeAutospacing="0" w:after="0" w:afterAutospacing="0"/>
              <w:jc w:val="right"/>
              <w:rPr>
                <w:color w:val="000000"/>
                <w:sz w:val="18"/>
                <w:szCs w:val="18"/>
              </w:rPr>
            </w:pPr>
            <w:r>
              <w:rPr>
                <w:color w:val="000000"/>
                <w:sz w:val="18"/>
                <w:szCs w:val="18"/>
              </w:rPr>
              <w:t>9.0</w:t>
            </w:r>
            <w:r>
              <w:rPr>
                <w:color w:val="000000"/>
                <w:sz w:val="18"/>
                <w:szCs w:val="18"/>
              </w:rPr>
              <w:t>9</w:t>
            </w:r>
          </w:p>
        </w:tc>
        <w:tc>
          <w:tcPr>
            <w:tcW w:w="50" w:type="pct"/>
            <w:shd w:val="clear" w:color="auto" w:fill="FFFFFF"/>
            <w:noWrap/>
            <w:tcMar>
              <w:top w:w="15" w:type="dxa"/>
              <w:left w:w="0" w:type="dxa"/>
              <w:bottom w:w="0" w:type="dxa"/>
              <w:right w:w="15" w:type="dxa"/>
            </w:tcMar>
            <w:vAlign w:val="bottom"/>
            <w:hideMark/>
          </w:tcPr>
          <w:p w14:paraId="717BC3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341AF2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E3F1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FFFFFF"/>
            <w:noWrap/>
            <w:tcMar>
              <w:top w:w="15" w:type="dxa"/>
              <w:left w:w="0" w:type="dxa"/>
              <w:bottom w:w="0" w:type="dxa"/>
              <w:right w:w="15" w:type="dxa"/>
            </w:tcMar>
            <w:vAlign w:val="bottom"/>
            <w:hideMark/>
          </w:tcPr>
          <w:p w14:paraId="2BB11CEA" w14:textId="77777777" w:rsidR="00000000" w:rsidRDefault="00582324">
            <w:pPr>
              <w:pStyle w:val="a3"/>
              <w:spacing w:before="0" w:beforeAutospacing="0" w:after="0" w:afterAutospacing="0"/>
              <w:jc w:val="right"/>
              <w:rPr>
                <w:color w:val="000000"/>
                <w:sz w:val="18"/>
                <w:szCs w:val="18"/>
              </w:rPr>
            </w:pPr>
            <w:r>
              <w:rPr>
                <w:color w:val="000000"/>
                <w:sz w:val="18"/>
                <w:szCs w:val="18"/>
              </w:rPr>
              <w:t>15,598</w:t>
            </w:r>
          </w:p>
        </w:tc>
        <w:tc>
          <w:tcPr>
            <w:tcW w:w="50" w:type="pct"/>
            <w:shd w:val="clear" w:color="auto" w:fill="FFFFFF"/>
            <w:noWrap/>
            <w:tcMar>
              <w:top w:w="15" w:type="dxa"/>
              <w:left w:w="0" w:type="dxa"/>
              <w:bottom w:w="0" w:type="dxa"/>
              <w:right w:w="15" w:type="dxa"/>
            </w:tcMar>
            <w:vAlign w:val="bottom"/>
            <w:hideMark/>
          </w:tcPr>
          <w:p w14:paraId="44AF19B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E96B76B" w14:textId="77777777">
        <w:trPr>
          <w:divId w:val="531305830"/>
        </w:trPr>
        <w:tc>
          <w:tcPr>
            <w:tcW w:w="2127" w:type="pct"/>
            <w:shd w:val="clear" w:color="auto" w:fill="CFF0FC"/>
            <w:tcMar>
              <w:top w:w="15" w:type="dxa"/>
              <w:left w:w="0" w:type="dxa"/>
              <w:bottom w:w="0" w:type="dxa"/>
              <w:right w:w="15" w:type="dxa"/>
            </w:tcMar>
            <w:hideMark/>
          </w:tcPr>
          <w:p w14:paraId="2E866A19" w14:textId="77777777" w:rsidR="00000000" w:rsidRDefault="00582324">
            <w:pPr>
              <w:pStyle w:val="a3"/>
              <w:spacing w:before="0" w:beforeAutospacing="0" w:after="0" w:afterAutospacing="0"/>
              <w:ind w:left="274"/>
              <w:rPr>
                <w:color w:val="000000"/>
                <w:sz w:val="18"/>
                <w:szCs w:val="18"/>
              </w:rPr>
            </w:pPr>
            <w:r>
              <w:rPr>
                <w:color w:val="000000"/>
                <w:sz w:val="18"/>
                <w:szCs w:val="18"/>
              </w:rPr>
              <w:t>Granted</w:t>
            </w:r>
          </w:p>
        </w:tc>
        <w:tc>
          <w:tcPr>
            <w:tcW w:w="50" w:type="pct"/>
            <w:shd w:val="clear" w:color="auto" w:fill="CFF0FC"/>
            <w:tcMar>
              <w:top w:w="15" w:type="dxa"/>
              <w:left w:w="0" w:type="dxa"/>
              <w:bottom w:w="0" w:type="dxa"/>
              <w:right w:w="15" w:type="dxa"/>
            </w:tcMar>
            <w:vAlign w:val="bottom"/>
            <w:hideMark/>
          </w:tcPr>
          <w:p w14:paraId="75A11D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F73C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67E7666B" w14:textId="77777777" w:rsidR="00000000" w:rsidRDefault="00582324">
            <w:pPr>
              <w:pStyle w:val="a3"/>
              <w:spacing w:before="0" w:beforeAutospacing="0" w:after="0" w:afterAutospacing="0"/>
              <w:jc w:val="right"/>
              <w:rPr>
                <w:color w:val="000000"/>
                <w:sz w:val="18"/>
                <w:szCs w:val="18"/>
              </w:rPr>
            </w:pPr>
            <w:r>
              <w:rPr>
                <w:color w:val="000000"/>
                <w:sz w:val="18"/>
                <w:szCs w:val="18"/>
              </w:rPr>
              <w:t>232,470</w:t>
            </w:r>
          </w:p>
        </w:tc>
        <w:tc>
          <w:tcPr>
            <w:tcW w:w="50" w:type="pct"/>
            <w:shd w:val="clear" w:color="auto" w:fill="CFF0FC"/>
            <w:noWrap/>
            <w:tcMar>
              <w:top w:w="15" w:type="dxa"/>
              <w:left w:w="0" w:type="dxa"/>
              <w:bottom w:w="0" w:type="dxa"/>
              <w:right w:w="15" w:type="dxa"/>
            </w:tcMar>
            <w:vAlign w:val="bottom"/>
            <w:hideMark/>
          </w:tcPr>
          <w:p w14:paraId="3350F9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447419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F6A7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75818611" w14:textId="77777777" w:rsidR="00000000" w:rsidRDefault="00582324">
            <w:pPr>
              <w:pStyle w:val="a3"/>
              <w:spacing w:before="0" w:beforeAutospacing="0" w:after="0" w:afterAutospacing="0"/>
              <w:jc w:val="right"/>
              <w:rPr>
                <w:color w:val="000000"/>
                <w:sz w:val="18"/>
                <w:szCs w:val="18"/>
              </w:rPr>
            </w:pPr>
            <w:r>
              <w:rPr>
                <w:color w:val="000000"/>
                <w:sz w:val="18"/>
                <w:szCs w:val="18"/>
              </w:rPr>
              <w:t>38</w:t>
            </w:r>
          </w:p>
        </w:tc>
        <w:tc>
          <w:tcPr>
            <w:tcW w:w="50" w:type="pct"/>
            <w:shd w:val="clear" w:color="auto" w:fill="CFF0FC"/>
            <w:noWrap/>
            <w:tcMar>
              <w:top w:w="15" w:type="dxa"/>
              <w:left w:w="0" w:type="dxa"/>
              <w:bottom w:w="0" w:type="dxa"/>
              <w:right w:w="15" w:type="dxa"/>
            </w:tcMar>
            <w:vAlign w:val="bottom"/>
            <w:hideMark/>
          </w:tcPr>
          <w:p w14:paraId="05011D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16E7FD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053B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2CC76AA6" w14:textId="77777777" w:rsidR="00000000" w:rsidRDefault="00582324">
            <w:pPr>
              <w:pStyle w:val="a3"/>
              <w:spacing w:before="0" w:beforeAutospacing="0" w:after="0" w:afterAutospacing="0"/>
              <w:jc w:val="right"/>
              <w:rPr>
                <w:color w:val="000000"/>
                <w:sz w:val="18"/>
                <w:szCs w:val="18"/>
              </w:rPr>
            </w:pPr>
            <w:r>
              <w:rPr>
                <w:color w:val="000000"/>
                <w:sz w:val="18"/>
                <w:szCs w:val="18"/>
              </w:rPr>
              <w:t>21</w:t>
            </w:r>
          </w:p>
        </w:tc>
        <w:tc>
          <w:tcPr>
            <w:tcW w:w="50" w:type="pct"/>
            <w:shd w:val="clear" w:color="auto" w:fill="CFF0FC"/>
            <w:noWrap/>
            <w:tcMar>
              <w:top w:w="15" w:type="dxa"/>
              <w:left w:w="0" w:type="dxa"/>
              <w:bottom w:w="0" w:type="dxa"/>
              <w:right w:w="15" w:type="dxa"/>
            </w:tcMar>
            <w:vAlign w:val="bottom"/>
            <w:hideMark/>
          </w:tcPr>
          <w:p w14:paraId="795326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05E72F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0D11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CFF0FC"/>
            <w:noWrap/>
            <w:tcMar>
              <w:top w:w="15" w:type="dxa"/>
              <w:left w:w="0" w:type="dxa"/>
              <w:bottom w:w="0" w:type="dxa"/>
              <w:right w:w="15" w:type="dxa"/>
            </w:tcMar>
            <w:vAlign w:val="bottom"/>
            <w:hideMark/>
          </w:tcPr>
          <w:p w14:paraId="3D5BC46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48987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2B3106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C261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CFF0FC"/>
            <w:noWrap/>
            <w:tcMar>
              <w:top w:w="15" w:type="dxa"/>
              <w:left w:w="0" w:type="dxa"/>
              <w:bottom w:w="0" w:type="dxa"/>
              <w:right w:w="15" w:type="dxa"/>
            </w:tcMar>
            <w:vAlign w:val="bottom"/>
            <w:hideMark/>
          </w:tcPr>
          <w:p w14:paraId="4629860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207C17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4188A56" w14:textId="77777777">
        <w:trPr>
          <w:divId w:val="531305830"/>
        </w:trPr>
        <w:tc>
          <w:tcPr>
            <w:tcW w:w="2127" w:type="pct"/>
            <w:shd w:val="clear" w:color="auto" w:fill="FFFFFF"/>
            <w:tcMar>
              <w:top w:w="15" w:type="dxa"/>
              <w:left w:w="0" w:type="dxa"/>
              <w:bottom w:w="0" w:type="dxa"/>
              <w:right w:w="15" w:type="dxa"/>
            </w:tcMar>
            <w:hideMark/>
          </w:tcPr>
          <w:p w14:paraId="37076A00" w14:textId="77777777" w:rsidR="00000000" w:rsidRDefault="00582324">
            <w:pPr>
              <w:pStyle w:val="a3"/>
              <w:spacing w:before="0" w:beforeAutospacing="0" w:after="0" w:afterAutospacing="0"/>
              <w:ind w:left="274"/>
              <w:rPr>
                <w:color w:val="000000"/>
                <w:sz w:val="18"/>
                <w:szCs w:val="18"/>
              </w:rPr>
            </w:pPr>
            <w:r>
              <w:rPr>
                <w:color w:val="000000"/>
                <w:sz w:val="18"/>
                <w:szCs w:val="18"/>
              </w:rPr>
              <w:t>Forfeited/ cancelled</w:t>
            </w:r>
          </w:p>
        </w:tc>
        <w:tc>
          <w:tcPr>
            <w:tcW w:w="50" w:type="pct"/>
            <w:shd w:val="clear" w:color="auto" w:fill="FFFFFF"/>
            <w:tcMar>
              <w:top w:w="15" w:type="dxa"/>
              <w:left w:w="0" w:type="dxa"/>
              <w:bottom w:w="0" w:type="dxa"/>
              <w:right w:w="15" w:type="dxa"/>
            </w:tcMar>
            <w:vAlign w:val="bottom"/>
            <w:hideMark/>
          </w:tcPr>
          <w:p w14:paraId="327A4B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8B254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0C6DA169" w14:textId="77777777" w:rsidR="00000000" w:rsidRDefault="00582324">
            <w:pPr>
              <w:pStyle w:val="a3"/>
              <w:spacing w:before="0" w:beforeAutospacing="0" w:after="0" w:afterAutospacing="0"/>
              <w:jc w:val="right"/>
              <w:rPr>
                <w:color w:val="000000"/>
                <w:sz w:val="18"/>
                <w:szCs w:val="18"/>
              </w:rPr>
            </w:pPr>
            <w:r>
              <w:rPr>
                <w:color w:val="000000"/>
                <w:sz w:val="18"/>
                <w:szCs w:val="18"/>
              </w:rPr>
              <w:t>(13,425</w:t>
            </w:r>
          </w:p>
        </w:tc>
        <w:tc>
          <w:tcPr>
            <w:tcW w:w="50" w:type="pct"/>
            <w:shd w:val="clear" w:color="auto" w:fill="FFFFFF"/>
            <w:noWrap/>
            <w:tcMar>
              <w:top w:w="15" w:type="dxa"/>
              <w:left w:w="0" w:type="dxa"/>
              <w:bottom w:w="0" w:type="dxa"/>
              <w:right w:w="15" w:type="dxa"/>
            </w:tcMar>
            <w:vAlign w:val="bottom"/>
            <w:hideMark/>
          </w:tcPr>
          <w:p w14:paraId="64D602C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FFFFFF"/>
            <w:tcMar>
              <w:top w:w="15" w:type="dxa"/>
              <w:left w:w="0" w:type="dxa"/>
              <w:bottom w:w="0" w:type="dxa"/>
              <w:right w:w="15" w:type="dxa"/>
            </w:tcMar>
            <w:vAlign w:val="bottom"/>
            <w:hideMark/>
          </w:tcPr>
          <w:p w14:paraId="01363B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88828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3A80CEBA" w14:textId="77777777" w:rsidR="00000000" w:rsidRDefault="00582324">
            <w:pPr>
              <w:pStyle w:val="a3"/>
              <w:spacing w:before="0" w:beforeAutospacing="0" w:after="0" w:afterAutospacing="0"/>
              <w:jc w:val="right"/>
              <w:rPr>
                <w:color w:val="000000"/>
                <w:sz w:val="18"/>
                <w:szCs w:val="18"/>
              </w:rPr>
            </w:pPr>
            <w:r>
              <w:rPr>
                <w:color w:val="000000"/>
                <w:sz w:val="18"/>
                <w:szCs w:val="18"/>
              </w:rPr>
              <w:t>27</w:t>
            </w:r>
          </w:p>
        </w:tc>
        <w:tc>
          <w:tcPr>
            <w:tcW w:w="50" w:type="pct"/>
            <w:shd w:val="clear" w:color="auto" w:fill="FFFFFF"/>
            <w:noWrap/>
            <w:tcMar>
              <w:top w:w="15" w:type="dxa"/>
              <w:left w:w="0" w:type="dxa"/>
              <w:bottom w:w="0" w:type="dxa"/>
              <w:right w:w="15" w:type="dxa"/>
            </w:tcMar>
            <w:vAlign w:val="bottom"/>
            <w:hideMark/>
          </w:tcPr>
          <w:p w14:paraId="7A8786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3C3560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CB6F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258CA48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F8F8F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6184DD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2936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FFFFFF"/>
            <w:noWrap/>
            <w:tcMar>
              <w:top w:w="15" w:type="dxa"/>
              <w:left w:w="0" w:type="dxa"/>
              <w:bottom w:w="0" w:type="dxa"/>
              <w:right w:w="15" w:type="dxa"/>
            </w:tcMar>
            <w:vAlign w:val="bottom"/>
            <w:hideMark/>
          </w:tcPr>
          <w:p w14:paraId="6526FED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40AED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525927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4B62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FFFFFF"/>
            <w:noWrap/>
            <w:tcMar>
              <w:top w:w="15" w:type="dxa"/>
              <w:left w:w="0" w:type="dxa"/>
              <w:bottom w:w="0" w:type="dxa"/>
              <w:right w:w="15" w:type="dxa"/>
            </w:tcMar>
            <w:vAlign w:val="bottom"/>
            <w:hideMark/>
          </w:tcPr>
          <w:p w14:paraId="040E049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8D3E58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66C3621" w14:textId="77777777">
        <w:trPr>
          <w:divId w:val="531305830"/>
        </w:trPr>
        <w:tc>
          <w:tcPr>
            <w:tcW w:w="2127" w:type="pct"/>
            <w:shd w:val="clear" w:color="auto" w:fill="CFF0FC"/>
            <w:tcMar>
              <w:top w:w="15" w:type="dxa"/>
              <w:left w:w="0" w:type="dxa"/>
              <w:bottom w:w="0" w:type="dxa"/>
              <w:right w:w="15" w:type="dxa"/>
            </w:tcMar>
            <w:hideMark/>
          </w:tcPr>
          <w:p w14:paraId="1C7FE47B" w14:textId="77777777" w:rsidR="00000000" w:rsidRDefault="00582324">
            <w:pPr>
              <w:pStyle w:val="a3"/>
              <w:spacing w:before="0" w:beforeAutospacing="0" w:after="0" w:afterAutospacing="0"/>
              <w:ind w:left="274"/>
              <w:rPr>
                <w:color w:val="000000"/>
                <w:sz w:val="18"/>
                <w:szCs w:val="18"/>
              </w:rPr>
            </w:pPr>
            <w:r>
              <w:rPr>
                <w:color w:val="000000"/>
                <w:sz w:val="18"/>
                <w:szCs w:val="18"/>
              </w:rPr>
              <w:t>Expired</w:t>
            </w:r>
          </w:p>
        </w:tc>
        <w:tc>
          <w:tcPr>
            <w:tcW w:w="50" w:type="pct"/>
            <w:shd w:val="clear" w:color="auto" w:fill="CFF0FC"/>
            <w:tcMar>
              <w:top w:w="15" w:type="dxa"/>
              <w:left w:w="0" w:type="dxa"/>
              <w:bottom w:w="0" w:type="dxa"/>
              <w:right w:w="15" w:type="dxa"/>
            </w:tcMar>
            <w:vAlign w:val="bottom"/>
            <w:hideMark/>
          </w:tcPr>
          <w:p w14:paraId="716CF0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65FD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12BA8DB0" w14:textId="77777777" w:rsidR="00000000" w:rsidRDefault="00582324">
            <w:pPr>
              <w:pStyle w:val="a3"/>
              <w:spacing w:before="0" w:beforeAutospacing="0" w:after="0" w:afterAutospacing="0"/>
              <w:jc w:val="right"/>
              <w:rPr>
                <w:color w:val="000000"/>
                <w:sz w:val="18"/>
                <w:szCs w:val="18"/>
              </w:rPr>
            </w:pPr>
            <w:r>
              <w:rPr>
                <w:color w:val="000000"/>
                <w:sz w:val="18"/>
                <w:szCs w:val="18"/>
              </w:rPr>
              <w:t>(1,250</w:t>
            </w:r>
          </w:p>
        </w:tc>
        <w:tc>
          <w:tcPr>
            <w:tcW w:w="50" w:type="pct"/>
            <w:shd w:val="clear" w:color="auto" w:fill="CFF0FC"/>
            <w:noWrap/>
            <w:tcMar>
              <w:top w:w="15" w:type="dxa"/>
              <w:left w:w="0" w:type="dxa"/>
              <w:bottom w:w="0" w:type="dxa"/>
              <w:right w:w="15" w:type="dxa"/>
            </w:tcMar>
            <w:vAlign w:val="bottom"/>
            <w:hideMark/>
          </w:tcPr>
          <w:p w14:paraId="19DA545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CFF0FC"/>
            <w:tcMar>
              <w:top w:w="15" w:type="dxa"/>
              <w:left w:w="0" w:type="dxa"/>
              <w:bottom w:w="0" w:type="dxa"/>
              <w:right w:w="15" w:type="dxa"/>
            </w:tcMar>
            <w:vAlign w:val="bottom"/>
            <w:hideMark/>
          </w:tcPr>
          <w:p w14:paraId="67E302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E2A6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341ABF2A" w14:textId="77777777" w:rsidR="00000000" w:rsidRDefault="00582324">
            <w:pPr>
              <w:pStyle w:val="a3"/>
              <w:spacing w:before="0" w:beforeAutospacing="0" w:after="0" w:afterAutospacing="0"/>
              <w:jc w:val="right"/>
              <w:rPr>
                <w:color w:val="000000"/>
                <w:sz w:val="18"/>
                <w:szCs w:val="18"/>
              </w:rPr>
            </w:pPr>
            <w:r>
              <w:rPr>
                <w:color w:val="000000"/>
                <w:sz w:val="18"/>
                <w:szCs w:val="18"/>
              </w:rPr>
              <w:t>18</w:t>
            </w:r>
          </w:p>
        </w:tc>
        <w:tc>
          <w:tcPr>
            <w:tcW w:w="50" w:type="pct"/>
            <w:shd w:val="clear" w:color="auto" w:fill="CFF0FC"/>
            <w:noWrap/>
            <w:tcMar>
              <w:top w:w="15" w:type="dxa"/>
              <w:left w:w="0" w:type="dxa"/>
              <w:bottom w:w="0" w:type="dxa"/>
              <w:right w:w="15" w:type="dxa"/>
            </w:tcMar>
            <w:vAlign w:val="bottom"/>
            <w:hideMark/>
          </w:tcPr>
          <w:p w14:paraId="012484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70F63F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1E42E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19EACD9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FDCF5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3AC75B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1CAA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CFF0FC"/>
            <w:noWrap/>
            <w:tcMar>
              <w:top w:w="15" w:type="dxa"/>
              <w:left w:w="0" w:type="dxa"/>
              <w:bottom w:w="0" w:type="dxa"/>
              <w:right w:w="15" w:type="dxa"/>
            </w:tcMar>
            <w:vAlign w:val="bottom"/>
            <w:hideMark/>
          </w:tcPr>
          <w:p w14:paraId="1FC1AE8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45014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6F3909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A1D28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CFF0FC"/>
            <w:noWrap/>
            <w:tcMar>
              <w:top w:w="15" w:type="dxa"/>
              <w:left w:w="0" w:type="dxa"/>
              <w:bottom w:w="0" w:type="dxa"/>
              <w:right w:w="15" w:type="dxa"/>
            </w:tcMar>
            <w:vAlign w:val="bottom"/>
            <w:hideMark/>
          </w:tcPr>
          <w:p w14:paraId="4BB58AE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E9F0AC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A117B31" w14:textId="77777777">
        <w:trPr>
          <w:divId w:val="531305830"/>
        </w:trPr>
        <w:tc>
          <w:tcPr>
            <w:tcW w:w="2127" w:type="pct"/>
            <w:shd w:val="clear" w:color="auto" w:fill="FFFFFF"/>
            <w:tcMar>
              <w:top w:w="15" w:type="dxa"/>
              <w:left w:w="0" w:type="dxa"/>
              <w:bottom w:w="0" w:type="dxa"/>
              <w:right w:w="15" w:type="dxa"/>
            </w:tcMar>
            <w:hideMark/>
          </w:tcPr>
          <w:p w14:paraId="00654352" w14:textId="77777777" w:rsidR="00000000" w:rsidRDefault="00582324">
            <w:pPr>
              <w:pStyle w:val="a3"/>
              <w:spacing w:before="0" w:beforeAutospacing="0" w:after="0" w:afterAutospacing="0"/>
              <w:ind w:left="274"/>
              <w:rPr>
                <w:color w:val="000000"/>
                <w:sz w:val="18"/>
                <w:szCs w:val="18"/>
              </w:rPr>
            </w:pPr>
            <w:r>
              <w:rPr>
                <w:color w:val="000000"/>
                <w:sz w:val="18"/>
                <w:szCs w:val="18"/>
              </w:rPr>
              <w:t>Exercised</w:t>
            </w:r>
          </w:p>
        </w:tc>
        <w:tc>
          <w:tcPr>
            <w:tcW w:w="50" w:type="pct"/>
            <w:shd w:val="clear" w:color="auto" w:fill="FFFFFF"/>
            <w:tcMar>
              <w:top w:w="15" w:type="dxa"/>
              <w:left w:w="0" w:type="dxa"/>
              <w:bottom w:w="0" w:type="dxa"/>
              <w:right w:w="15" w:type="dxa"/>
            </w:tcMar>
            <w:vAlign w:val="bottom"/>
            <w:hideMark/>
          </w:tcPr>
          <w:p w14:paraId="47D43E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618C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FFFFFF"/>
            <w:noWrap/>
            <w:tcMar>
              <w:top w:w="15" w:type="dxa"/>
              <w:left w:w="0" w:type="dxa"/>
              <w:bottom w:w="0" w:type="dxa"/>
              <w:right w:w="15" w:type="dxa"/>
            </w:tcMar>
            <w:vAlign w:val="bottom"/>
            <w:hideMark/>
          </w:tcPr>
          <w:p w14:paraId="1D58F2E8" w14:textId="77777777" w:rsidR="00000000" w:rsidRDefault="00582324">
            <w:pPr>
              <w:pStyle w:val="a3"/>
              <w:spacing w:before="0" w:beforeAutospacing="0" w:after="0" w:afterAutospacing="0"/>
              <w:jc w:val="right"/>
              <w:rPr>
                <w:color w:val="000000"/>
                <w:sz w:val="18"/>
                <w:szCs w:val="18"/>
              </w:rPr>
            </w:pPr>
            <w:r>
              <w:rPr>
                <w:color w:val="000000"/>
                <w:sz w:val="18"/>
                <w:szCs w:val="18"/>
              </w:rPr>
              <w:t>(33,918</w:t>
            </w:r>
          </w:p>
        </w:tc>
        <w:tc>
          <w:tcPr>
            <w:tcW w:w="50" w:type="pct"/>
            <w:shd w:val="clear" w:color="auto" w:fill="FFFFFF"/>
            <w:noWrap/>
            <w:tcMar>
              <w:top w:w="15" w:type="dxa"/>
              <w:left w:w="0" w:type="dxa"/>
              <w:bottom w:w="0" w:type="dxa"/>
              <w:right w:w="15" w:type="dxa"/>
            </w:tcMar>
            <w:vAlign w:val="bottom"/>
            <w:hideMark/>
          </w:tcPr>
          <w:p w14:paraId="786B7C4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FFFFFF"/>
            <w:tcMar>
              <w:top w:w="15" w:type="dxa"/>
              <w:left w:w="0" w:type="dxa"/>
              <w:bottom w:w="0" w:type="dxa"/>
              <w:right w:w="15" w:type="dxa"/>
            </w:tcMar>
            <w:vAlign w:val="bottom"/>
            <w:hideMark/>
          </w:tcPr>
          <w:p w14:paraId="4E8BB3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6CF5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FFFFFF"/>
            <w:noWrap/>
            <w:tcMar>
              <w:top w:w="15" w:type="dxa"/>
              <w:left w:w="0" w:type="dxa"/>
              <w:bottom w:w="0" w:type="dxa"/>
              <w:right w:w="15" w:type="dxa"/>
            </w:tcMar>
            <w:vAlign w:val="bottom"/>
            <w:hideMark/>
          </w:tcPr>
          <w:p w14:paraId="4F129C2B" w14:textId="77777777" w:rsidR="00000000" w:rsidRDefault="00582324">
            <w:pPr>
              <w:pStyle w:val="a3"/>
              <w:spacing w:before="0" w:beforeAutospacing="0" w:after="0" w:afterAutospacing="0"/>
              <w:jc w:val="right"/>
              <w:rPr>
                <w:color w:val="000000"/>
                <w:sz w:val="18"/>
                <w:szCs w:val="18"/>
              </w:rPr>
            </w:pPr>
            <w:r>
              <w:rPr>
                <w:color w:val="000000"/>
                <w:sz w:val="18"/>
                <w:szCs w:val="18"/>
              </w:rPr>
              <w:t>20</w:t>
            </w:r>
          </w:p>
        </w:tc>
        <w:tc>
          <w:tcPr>
            <w:tcW w:w="50" w:type="pct"/>
            <w:shd w:val="clear" w:color="auto" w:fill="FFFFFF"/>
            <w:noWrap/>
            <w:tcMar>
              <w:top w:w="15" w:type="dxa"/>
              <w:left w:w="0" w:type="dxa"/>
              <w:bottom w:w="0" w:type="dxa"/>
              <w:right w:w="15" w:type="dxa"/>
            </w:tcMar>
            <w:vAlign w:val="bottom"/>
            <w:hideMark/>
          </w:tcPr>
          <w:p w14:paraId="17FDFC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05D472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38EA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bottom w:val="single" w:sz="6" w:space="0" w:color="000000"/>
            </w:tcBorders>
            <w:shd w:val="clear" w:color="auto" w:fill="FFFFFF"/>
            <w:noWrap/>
            <w:tcMar>
              <w:top w:w="15" w:type="dxa"/>
              <w:left w:w="0" w:type="dxa"/>
              <w:bottom w:w="0" w:type="dxa"/>
              <w:right w:w="15" w:type="dxa"/>
            </w:tcMar>
            <w:vAlign w:val="bottom"/>
            <w:hideMark/>
          </w:tcPr>
          <w:p w14:paraId="1C972F1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EF6B3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095F00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AA9D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tcBorders>
              <w:bottom w:val="single" w:sz="6" w:space="0" w:color="000000"/>
            </w:tcBorders>
            <w:shd w:val="clear" w:color="auto" w:fill="FFFFFF"/>
            <w:noWrap/>
            <w:tcMar>
              <w:top w:w="15" w:type="dxa"/>
              <w:left w:w="0" w:type="dxa"/>
              <w:bottom w:w="0" w:type="dxa"/>
              <w:right w:w="15" w:type="dxa"/>
            </w:tcMar>
            <w:vAlign w:val="bottom"/>
            <w:hideMark/>
          </w:tcPr>
          <w:p w14:paraId="586C2CB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8FBCB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7EBA22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CD22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tcBorders>
              <w:bottom w:val="single" w:sz="6" w:space="0" w:color="000000"/>
            </w:tcBorders>
            <w:shd w:val="clear" w:color="auto" w:fill="FFFFFF"/>
            <w:noWrap/>
            <w:tcMar>
              <w:top w:w="15" w:type="dxa"/>
              <w:left w:w="0" w:type="dxa"/>
              <w:bottom w:w="0" w:type="dxa"/>
              <w:right w:w="15" w:type="dxa"/>
            </w:tcMar>
            <w:vAlign w:val="bottom"/>
            <w:hideMark/>
          </w:tcPr>
          <w:p w14:paraId="69B7B5B0" w14:textId="77777777" w:rsidR="00000000" w:rsidRDefault="00582324">
            <w:pPr>
              <w:pStyle w:val="a3"/>
              <w:spacing w:before="0" w:beforeAutospacing="0" w:after="0" w:afterAutospacing="0"/>
              <w:jc w:val="right"/>
              <w:rPr>
                <w:color w:val="000000"/>
                <w:sz w:val="18"/>
                <w:szCs w:val="18"/>
              </w:rPr>
            </w:pPr>
            <w:r>
              <w:rPr>
                <w:color w:val="000000"/>
                <w:sz w:val="18"/>
                <w:szCs w:val="18"/>
              </w:rPr>
              <w:t>1,014</w:t>
            </w:r>
          </w:p>
        </w:tc>
        <w:tc>
          <w:tcPr>
            <w:tcW w:w="50" w:type="pct"/>
            <w:shd w:val="clear" w:color="auto" w:fill="FFFFFF"/>
            <w:noWrap/>
            <w:tcMar>
              <w:top w:w="15" w:type="dxa"/>
              <w:left w:w="0" w:type="dxa"/>
              <w:bottom w:w="0" w:type="dxa"/>
              <w:right w:w="15" w:type="dxa"/>
            </w:tcMar>
            <w:vAlign w:val="bottom"/>
            <w:hideMark/>
          </w:tcPr>
          <w:p w14:paraId="47C20A49"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966D981" w14:textId="77777777">
        <w:trPr>
          <w:divId w:val="531305830"/>
        </w:trPr>
        <w:tc>
          <w:tcPr>
            <w:tcW w:w="2127" w:type="pct"/>
            <w:shd w:val="clear" w:color="auto" w:fill="CFF0FC"/>
            <w:tcMar>
              <w:top w:w="15" w:type="dxa"/>
              <w:left w:w="0" w:type="dxa"/>
              <w:bottom w:w="0" w:type="dxa"/>
              <w:right w:w="15" w:type="dxa"/>
            </w:tcMar>
            <w:hideMark/>
          </w:tcPr>
          <w:p w14:paraId="0BAFFD7E" w14:textId="77777777" w:rsidR="00000000" w:rsidRDefault="00582324">
            <w:pPr>
              <w:pStyle w:val="a3"/>
              <w:spacing w:before="0" w:beforeAutospacing="0" w:after="0" w:afterAutospacing="0"/>
              <w:rPr>
                <w:color w:val="000000"/>
                <w:sz w:val="18"/>
                <w:szCs w:val="18"/>
              </w:rPr>
            </w:pPr>
            <w:r>
              <w:rPr>
                <w:color w:val="000000"/>
                <w:sz w:val="18"/>
                <w:szCs w:val="18"/>
              </w:rPr>
              <w:t>Outstanding at June 30, 2021</w:t>
            </w:r>
          </w:p>
        </w:tc>
        <w:tc>
          <w:tcPr>
            <w:tcW w:w="50" w:type="pct"/>
            <w:shd w:val="clear" w:color="auto" w:fill="CFF0FC"/>
            <w:tcMar>
              <w:top w:w="15" w:type="dxa"/>
              <w:left w:w="0" w:type="dxa"/>
              <w:bottom w:w="0" w:type="dxa"/>
              <w:right w:w="15" w:type="dxa"/>
            </w:tcMar>
            <w:vAlign w:val="bottom"/>
            <w:hideMark/>
          </w:tcPr>
          <w:p w14:paraId="799C73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0641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450D5D05" w14:textId="77777777" w:rsidR="00000000" w:rsidRDefault="00582324">
            <w:pPr>
              <w:pStyle w:val="a3"/>
              <w:spacing w:before="0" w:beforeAutospacing="0" w:after="0" w:afterAutospacing="0"/>
              <w:jc w:val="right"/>
              <w:rPr>
                <w:color w:val="000000"/>
                <w:sz w:val="18"/>
                <w:szCs w:val="18"/>
              </w:rPr>
            </w:pPr>
            <w:r>
              <w:rPr>
                <w:color w:val="000000"/>
                <w:sz w:val="18"/>
                <w:szCs w:val="18"/>
              </w:rPr>
              <w:t>2,024,106</w:t>
            </w:r>
          </w:p>
        </w:tc>
        <w:tc>
          <w:tcPr>
            <w:tcW w:w="50" w:type="pct"/>
            <w:shd w:val="clear" w:color="auto" w:fill="CFF0FC"/>
            <w:noWrap/>
            <w:tcMar>
              <w:top w:w="15" w:type="dxa"/>
              <w:left w:w="0" w:type="dxa"/>
              <w:bottom w:w="0" w:type="dxa"/>
              <w:right w:w="15" w:type="dxa"/>
            </w:tcMar>
            <w:vAlign w:val="bottom"/>
            <w:hideMark/>
          </w:tcPr>
          <w:p w14:paraId="2CB655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69F6E6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F94C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59F5F16D" w14:textId="77777777" w:rsidR="00000000" w:rsidRDefault="00582324">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CFF0FC"/>
            <w:noWrap/>
            <w:tcMar>
              <w:top w:w="15" w:type="dxa"/>
              <w:left w:w="0" w:type="dxa"/>
              <w:bottom w:w="0" w:type="dxa"/>
              <w:right w:w="15" w:type="dxa"/>
            </w:tcMar>
            <w:vAlign w:val="bottom"/>
            <w:hideMark/>
          </w:tcPr>
          <w:p w14:paraId="4B3BB7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4D06AE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5C8B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tcBorders>
              <w:top w:val="single" w:sz="6" w:space="0" w:color="000000"/>
            </w:tcBorders>
            <w:shd w:val="clear" w:color="auto" w:fill="CFF0FC"/>
            <w:noWrap/>
            <w:tcMar>
              <w:top w:w="15" w:type="dxa"/>
              <w:left w:w="0" w:type="dxa"/>
              <w:bottom w:w="0" w:type="dxa"/>
              <w:right w:w="15" w:type="dxa"/>
            </w:tcMar>
            <w:vAlign w:val="bottom"/>
            <w:hideMark/>
          </w:tcPr>
          <w:p w14:paraId="3D63FD37" w14:textId="77777777" w:rsidR="00000000" w:rsidRDefault="00582324">
            <w:pPr>
              <w:pStyle w:val="a3"/>
              <w:spacing w:before="0" w:beforeAutospacing="0" w:after="0" w:afterAutospacing="0"/>
              <w:jc w:val="right"/>
              <w:rPr>
                <w:color w:val="000000"/>
                <w:sz w:val="18"/>
                <w:szCs w:val="18"/>
              </w:rPr>
            </w:pPr>
            <w:r>
              <w:rPr>
                <w:color w:val="000000"/>
                <w:sz w:val="18"/>
                <w:szCs w:val="18"/>
              </w:rPr>
              <w:t>13</w:t>
            </w:r>
          </w:p>
        </w:tc>
        <w:tc>
          <w:tcPr>
            <w:tcW w:w="50" w:type="pct"/>
            <w:shd w:val="clear" w:color="auto" w:fill="CFF0FC"/>
            <w:noWrap/>
            <w:tcMar>
              <w:top w:w="15" w:type="dxa"/>
              <w:left w:w="0" w:type="dxa"/>
              <w:bottom w:w="0" w:type="dxa"/>
              <w:right w:w="15" w:type="dxa"/>
            </w:tcMar>
            <w:vAlign w:val="bottom"/>
            <w:hideMark/>
          </w:tcPr>
          <w:p w14:paraId="3FF60D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D6774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ECE5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14:paraId="6F31515C" w14:textId="77777777" w:rsidR="00000000" w:rsidRDefault="00582324">
            <w:pPr>
              <w:pStyle w:val="a3"/>
              <w:spacing w:before="0" w:beforeAutospacing="0" w:after="0" w:afterAutospacing="0"/>
              <w:jc w:val="right"/>
              <w:rPr>
                <w:color w:val="000000"/>
                <w:sz w:val="18"/>
                <w:szCs w:val="18"/>
              </w:rPr>
            </w:pPr>
            <w:r>
              <w:rPr>
                <w:color w:val="000000"/>
                <w:sz w:val="18"/>
                <w:szCs w:val="18"/>
              </w:rPr>
              <w:t>8.7</w:t>
            </w:r>
            <w:r>
              <w:rPr>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520B1F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0FC051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1536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tcBorders>
              <w:top w:val="single" w:sz="6" w:space="0" w:color="000000"/>
            </w:tcBorders>
            <w:shd w:val="clear" w:color="auto" w:fill="CFF0FC"/>
            <w:noWrap/>
            <w:tcMar>
              <w:top w:w="15" w:type="dxa"/>
              <w:left w:w="0" w:type="dxa"/>
              <w:bottom w:w="0" w:type="dxa"/>
              <w:right w:w="15" w:type="dxa"/>
            </w:tcMar>
            <w:vAlign w:val="bottom"/>
            <w:hideMark/>
          </w:tcPr>
          <w:p w14:paraId="28CF97C3" w14:textId="77777777" w:rsidR="00000000" w:rsidRDefault="00582324">
            <w:pPr>
              <w:pStyle w:val="a3"/>
              <w:spacing w:before="0" w:beforeAutospacing="0" w:after="0" w:afterAutospacing="0"/>
              <w:jc w:val="right"/>
              <w:rPr>
                <w:color w:val="000000"/>
                <w:sz w:val="18"/>
                <w:szCs w:val="18"/>
              </w:rPr>
            </w:pPr>
            <w:r>
              <w:rPr>
                <w:color w:val="000000"/>
                <w:sz w:val="18"/>
                <w:szCs w:val="18"/>
              </w:rPr>
              <w:t>58,785</w:t>
            </w:r>
          </w:p>
        </w:tc>
        <w:tc>
          <w:tcPr>
            <w:tcW w:w="50" w:type="pct"/>
            <w:shd w:val="clear" w:color="auto" w:fill="CFF0FC"/>
            <w:noWrap/>
            <w:tcMar>
              <w:top w:w="15" w:type="dxa"/>
              <w:left w:w="0" w:type="dxa"/>
              <w:bottom w:w="0" w:type="dxa"/>
              <w:right w:w="15" w:type="dxa"/>
            </w:tcMar>
            <w:vAlign w:val="bottom"/>
            <w:hideMark/>
          </w:tcPr>
          <w:p w14:paraId="3EFDCB2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FD2807F" w14:textId="77777777">
        <w:trPr>
          <w:divId w:val="531305830"/>
        </w:trPr>
        <w:tc>
          <w:tcPr>
            <w:tcW w:w="2127" w:type="pct"/>
            <w:shd w:val="clear" w:color="auto" w:fill="FFFFFF"/>
            <w:tcMar>
              <w:top w:w="15" w:type="dxa"/>
              <w:left w:w="0" w:type="dxa"/>
              <w:bottom w:w="0" w:type="dxa"/>
              <w:right w:w="15" w:type="dxa"/>
            </w:tcMar>
            <w:hideMark/>
          </w:tcPr>
          <w:p w14:paraId="69B2F0E5" w14:textId="77777777" w:rsidR="00000000" w:rsidRDefault="00582324">
            <w:pPr>
              <w:pStyle w:val="a3"/>
              <w:spacing w:before="0" w:beforeAutospacing="0" w:after="0" w:afterAutospacing="0"/>
              <w:rPr>
                <w:color w:val="000000"/>
                <w:sz w:val="18"/>
                <w:szCs w:val="18"/>
              </w:rPr>
            </w:pPr>
            <w:r>
              <w:rPr>
                <w:color w:val="000000"/>
                <w:sz w:val="18"/>
                <w:szCs w:val="18"/>
              </w:rPr>
              <w:t>Exercisable at June 30, 2021</w:t>
            </w:r>
          </w:p>
        </w:tc>
        <w:tc>
          <w:tcPr>
            <w:tcW w:w="50" w:type="pct"/>
            <w:shd w:val="clear" w:color="auto" w:fill="FFFFFF"/>
            <w:tcMar>
              <w:top w:w="15" w:type="dxa"/>
              <w:left w:w="0" w:type="dxa"/>
              <w:bottom w:w="0" w:type="dxa"/>
              <w:right w:w="15" w:type="dxa"/>
            </w:tcMar>
            <w:vAlign w:val="bottom"/>
            <w:hideMark/>
          </w:tcPr>
          <w:p w14:paraId="10D062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6086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031A4B3A" w14:textId="77777777" w:rsidR="00000000" w:rsidRDefault="00582324">
            <w:pPr>
              <w:pStyle w:val="a3"/>
              <w:spacing w:before="0" w:beforeAutospacing="0" w:after="0" w:afterAutospacing="0"/>
              <w:jc w:val="right"/>
              <w:rPr>
                <w:color w:val="000000"/>
                <w:sz w:val="18"/>
                <w:szCs w:val="18"/>
              </w:rPr>
            </w:pPr>
            <w:r>
              <w:rPr>
                <w:color w:val="000000"/>
                <w:sz w:val="18"/>
                <w:szCs w:val="18"/>
              </w:rPr>
              <w:t>293,299</w:t>
            </w:r>
          </w:p>
        </w:tc>
        <w:tc>
          <w:tcPr>
            <w:tcW w:w="50" w:type="pct"/>
            <w:shd w:val="clear" w:color="auto" w:fill="FFFFFF"/>
            <w:noWrap/>
            <w:tcMar>
              <w:top w:w="15" w:type="dxa"/>
              <w:left w:w="0" w:type="dxa"/>
              <w:bottom w:w="0" w:type="dxa"/>
              <w:right w:w="15" w:type="dxa"/>
            </w:tcMar>
            <w:vAlign w:val="bottom"/>
            <w:hideMark/>
          </w:tcPr>
          <w:p w14:paraId="22C497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6AE2F9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7C55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5CD7F3D8" w14:textId="77777777" w:rsidR="00000000" w:rsidRDefault="00582324">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FFFFFF"/>
            <w:noWrap/>
            <w:tcMar>
              <w:top w:w="15" w:type="dxa"/>
              <w:left w:w="0" w:type="dxa"/>
              <w:bottom w:w="0" w:type="dxa"/>
              <w:right w:w="15" w:type="dxa"/>
            </w:tcMar>
            <w:vAlign w:val="bottom"/>
            <w:hideMark/>
          </w:tcPr>
          <w:p w14:paraId="63B285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52BF20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49FD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FFFFFF"/>
            <w:noWrap/>
            <w:tcMar>
              <w:top w:w="15" w:type="dxa"/>
              <w:left w:w="0" w:type="dxa"/>
              <w:bottom w:w="0" w:type="dxa"/>
              <w:right w:w="15" w:type="dxa"/>
            </w:tcMar>
            <w:vAlign w:val="bottom"/>
            <w:hideMark/>
          </w:tcPr>
          <w:p w14:paraId="7693116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30E89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5FC00C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A074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FFFFFF"/>
            <w:noWrap/>
            <w:tcMar>
              <w:top w:w="15" w:type="dxa"/>
              <w:left w:w="0" w:type="dxa"/>
              <w:bottom w:w="0" w:type="dxa"/>
              <w:right w:w="15" w:type="dxa"/>
            </w:tcMar>
            <w:vAlign w:val="bottom"/>
            <w:hideMark/>
          </w:tcPr>
          <w:p w14:paraId="5792815A" w14:textId="77777777" w:rsidR="00000000" w:rsidRDefault="00582324">
            <w:pPr>
              <w:pStyle w:val="a3"/>
              <w:spacing w:before="0" w:beforeAutospacing="0" w:after="0" w:afterAutospacing="0"/>
              <w:jc w:val="right"/>
              <w:rPr>
                <w:color w:val="000000"/>
                <w:sz w:val="18"/>
                <w:szCs w:val="18"/>
              </w:rPr>
            </w:pPr>
            <w:r>
              <w:rPr>
                <w:color w:val="000000"/>
                <w:sz w:val="18"/>
                <w:szCs w:val="18"/>
              </w:rPr>
              <w:t>7.6</w:t>
            </w:r>
            <w:r>
              <w:rPr>
                <w:color w:val="000000"/>
                <w:sz w:val="18"/>
                <w:szCs w:val="18"/>
              </w:rPr>
              <w:t>5</w:t>
            </w:r>
          </w:p>
        </w:tc>
        <w:tc>
          <w:tcPr>
            <w:tcW w:w="50" w:type="pct"/>
            <w:shd w:val="clear" w:color="auto" w:fill="FFFFFF"/>
            <w:noWrap/>
            <w:tcMar>
              <w:top w:w="15" w:type="dxa"/>
              <w:left w:w="0" w:type="dxa"/>
              <w:bottom w:w="0" w:type="dxa"/>
              <w:right w:w="15" w:type="dxa"/>
            </w:tcMar>
            <w:vAlign w:val="bottom"/>
            <w:hideMark/>
          </w:tcPr>
          <w:p w14:paraId="2A7942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tcMar>
              <w:top w:w="15" w:type="dxa"/>
              <w:left w:w="0" w:type="dxa"/>
              <w:bottom w:w="0" w:type="dxa"/>
              <w:right w:w="15" w:type="dxa"/>
            </w:tcMar>
            <w:vAlign w:val="bottom"/>
            <w:hideMark/>
          </w:tcPr>
          <w:p w14:paraId="08EE47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2A3B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FFFFFF"/>
            <w:noWrap/>
            <w:tcMar>
              <w:top w:w="15" w:type="dxa"/>
              <w:left w:w="0" w:type="dxa"/>
              <w:bottom w:w="0" w:type="dxa"/>
              <w:right w:w="15" w:type="dxa"/>
            </w:tcMar>
            <w:vAlign w:val="bottom"/>
            <w:hideMark/>
          </w:tcPr>
          <w:p w14:paraId="4726AD05" w14:textId="77777777" w:rsidR="00000000" w:rsidRDefault="00582324">
            <w:pPr>
              <w:pStyle w:val="a3"/>
              <w:spacing w:before="0" w:beforeAutospacing="0" w:after="0" w:afterAutospacing="0"/>
              <w:jc w:val="right"/>
              <w:rPr>
                <w:color w:val="000000"/>
                <w:sz w:val="18"/>
                <w:szCs w:val="18"/>
              </w:rPr>
            </w:pPr>
            <w:r>
              <w:rPr>
                <w:color w:val="000000"/>
                <w:sz w:val="18"/>
                <w:szCs w:val="18"/>
              </w:rPr>
              <w:t>8,396</w:t>
            </w:r>
          </w:p>
        </w:tc>
        <w:tc>
          <w:tcPr>
            <w:tcW w:w="50" w:type="pct"/>
            <w:shd w:val="clear" w:color="auto" w:fill="FFFFFF"/>
            <w:noWrap/>
            <w:tcMar>
              <w:top w:w="15" w:type="dxa"/>
              <w:left w:w="0" w:type="dxa"/>
              <w:bottom w:w="0" w:type="dxa"/>
              <w:right w:w="15" w:type="dxa"/>
            </w:tcMar>
            <w:vAlign w:val="bottom"/>
            <w:hideMark/>
          </w:tcPr>
          <w:p w14:paraId="31C864D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37608BA" w14:textId="77777777">
        <w:trPr>
          <w:divId w:val="531305830"/>
        </w:trPr>
        <w:tc>
          <w:tcPr>
            <w:tcW w:w="2127" w:type="pct"/>
            <w:shd w:val="clear" w:color="auto" w:fill="CFF0FC"/>
            <w:tcMar>
              <w:top w:w="15" w:type="dxa"/>
              <w:left w:w="0" w:type="dxa"/>
              <w:bottom w:w="0" w:type="dxa"/>
              <w:right w:w="15" w:type="dxa"/>
            </w:tcMar>
            <w:vAlign w:val="bottom"/>
            <w:hideMark/>
          </w:tcPr>
          <w:p w14:paraId="79987EE5" w14:textId="77777777" w:rsidR="00000000" w:rsidRDefault="00582324">
            <w:pPr>
              <w:pStyle w:val="a3"/>
              <w:spacing w:before="0" w:beforeAutospacing="0" w:after="0" w:afterAutospacing="0"/>
              <w:rPr>
                <w:color w:val="000000"/>
                <w:sz w:val="18"/>
                <w:szCs w:val="18"/>
              </w:rPr>
            </w:pPr>
            <w:r>
              <w:rPr>
                <w:color w:val="000000"/>
                <w:sz w:val="18"/>
                <w:szCs w:val="18"/>
              </w:rPr>
              <w:t>Options vested and expected to vest</w:t>
            </w:r>
          </w:p>
        </w:tc>
        <w:tc>
          <w:tcPr>
            <w:tcW w:w="50" w:type="pct"/>
            <w:shd w:val="clear" w:color="auto" w:fill="CFF0FC"/>
            <w:tcMar>
              <w:top w:w="15" w:type="dxa"/>
              <w:left w:w="0" w:type="dxa"/>
              <w:bottom w:w="0" w:type="dxa"/>
              <w:right w:w="15" w:type="dxa"/>
            </w:tcMar>
            <w:vAlign w:val="bottom"/>
            <w:hideMark/>
          </w:tcPr>
          <w:p w14:paraId="6A4913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08395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231AAD84" w14:textId="77777777" w:rsidR="00000000" w:rsidRDefault="00582324">
            <w:pPr>
              <w:pStyle w:val="a3"/>
              <w:spacing w:before="0" w:beforeAutospacing="0" w:after="0" w:afterAutospacing="0"/>
              <w:jc w:val="right"/>
              <w:rPr>
                <w:color w:val="000000"/>
                <w:sz w:val="18"/>
                <w:szCs w:val="18"/>
              </w:rPr>
            </w:pPr>
            <w:r>
              <w:rPr>
                <w:color w:val="000000"/>
                <w:sz w:val="18"/>
                <w:szCs w:val="18"/>
              </w:rPr>
              <w:t>2,024,106</w:t>
            </w:r>
          </w:p>
        </w:tc>
        <w:tc>
          <w:tcPr>
            <w:tcW w:w="50" w:type="pct"/>
            <w:shd w:val="clear" w:color="auto" w:fill="CFF0FC"/>
            <w:noWrap/>
            <w:tcMar>
              <w:top w:w="15" w:type="dxa"/>
              <w:left w:w="0" w:type="dxa"/>
              <w:bottom w:w="0" w:type="dxa"/>
              <w:right w:w="15" w:type="dxa"/>
            </w:tcMar>
            <w:vAlign w:val="bottom"/>
            <w:hideMark/>
          </w:tcPr>
          <w:p w14:paraId="517F58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1D6C4A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828F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51CA1C4B" w14:textId="77777777" w:rsidR="00000000" w:rsidRDefault="00582324">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CFF0FC"/>
            <w:noWrap/>
            <w:tcMar>
              <w:top w:w="15" w:type="dxa"/>
              <w:left w:w="0" w:type="dxa"/>
              <w:bottom w:w="0" w:type="dxa"/>
              <w:right w:w="15" w:type="dxa"/>
            </w:tcMar>
            <w:vAlign w:val="bottom"/>
            <w:hideMark/>
          </w:tcPr>
          <w:p w14:paraId="51AC3D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7C77D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38AF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71" w:type="pct"/>
            <w:shd w:val="clear" w:color="auto" w:fill="CFF0FC"/>
            <w:noWrap/>
            <w:tcMar>
              <w:top w:w="15" w:type="dxa"/>
              <w:left w:w="0" w:type="dxa"/>
              <w:bottom w:w="0" w:type="dxa"/>
              <w:right w:w="15" w:type="dxa"/>
            </w:tcMar>
            <w:vAlign w:val="bottom"/>
            <w:hideMark/>
          </w:tcPr>
          <w:p w14:paraId="689F2C6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D785B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4D4B67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BF6A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1" w:type="pct"/>
            <w:shd w:val="clear" w:color="auto" w:fill="CFF0FC"/>
            <w:noWrap/>
            <w:tcMar>
              <w:top w:w="15" w:type="dxa"/>
              <w:left w:w="0" w:type="dxa"/>
              <w:bottom w:w="0" w:type="dxa"/>
              <w:right w:w="15" w:type="dxa"/>
            </w:tcMar>
            <w:vAlign w:val="bottom"/>
            <w:hideMark/>
          </w:tcPr>
          <w:p w14:paraId="2A5CD5C0" w14:textId="77777777" w:rsidR="00000000" w:rsidRDefault="00582324">
            <w:pPr>
              <w:pStyle w:val="a3"/>
              <w:spacing w:before="0" w:beforeAutospacing="0" w:after="0" w:afterAutospacing="0"/>
              <w:jc w:val="right"/>
              <w:rPr>
                <w:color w:val="000000"/>
                <w:sz w:val="18"/>
                <w:szCs w:val="18"/>
              </w:rPr>
            </w:pPr>
            <w:r>
              <w:rPr>
                <w:color w:val="000000"/>
                <w:sz w:val="18"/>
                <w:szCs w:val="18"/>
              </w:rPr>
              <w:t>8.7</w:t>
            </w:r>
            <w:r>
              <w:rPr>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4680E3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tcMar>
              <w:top w:w="15" w:type="dxa"/>
              <w:left w:w="0" w:type="dxa"/>
              <w:bottom w:w="0" w:type="dxa"/>
              <w:right w:w="15" w:type="dxa"/>
            </w:tcMar>
            <w:vAlign w:val="bottom"/>
            <w:hideMark/>
          </w:tcPr>
          <w:p w14:paraId="59B0A4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897A8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5" w:type="pct"/>
            <w:shd w:val="clear" w:color="auto" w:fill="CFF0FC"/>
            <w:noWrap/>
            <w:tcMar>
              <w:top w:w="15" w:type="dxa"/>
              <w:left w:w="0" w:type="dxa"/>
              <w:bottom w:w="0" w:type="dxa"/>
              <w:right w:w="15" w:type="dxa"/>
            </w:tcMar>
            <w:vAlign w:val="bottom"/>
            <w:hideMark/>
          </w:tcPr>
          <w:p w14:paraId="1D24E8B1" w14:textId="77777777" w:rsidR="00000000" w:rsidRDefault="00582324">
            <w:pPr>
              <w:pStyle w:val="a3"/>
              <w:spacing w:before="0" w:beforeAutospacing="0" w:after="0" w:afterAutospacing="0"/>
              <w:jc w:val="right"/>
              <w:rPr>
                <w:color w:val="000000"/>
                <w:sz w:val="18"/>
                <w:szCs w:val="18"/>
              </w:rPr>
            </w:pPr>
            <w:r>
              <w:rPr>
                <w:color w:val="000000"/>
                <w:sz w:val="18"/>
                <w:szCs w:val="18"/>
              </w:rPr>
              <w:t>58,785</w:t>
            </w:r>
          </w:p>
        </w:tc>
        <w:tc>
          <w:tcPr>
            <w:tcW w:w="50" w:type="pct"/>
            <w:shd w:val="clear" w:color="auto" w:fill="CFF0FC"/>
            <w:noWrap/>
            <w:tcMar>
              <w:top w:w="15" w:type="dxa"/>
              <w:left w:w="0" w:type="dxa"/>
              <w:bottom w:w="0" w:type="dxa"/>
              <w:right w:w="15" w:type="dxa"/>
            </w:tcMar>
            <w:vAlign w:val="bottom"/>
            <w:hideMark/>
          </w:tcPr>
          <w:p w14:paraId="2BFF7D48"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62398BAE" w14:textId="77777777" w:rsidR="00000000" w:rsidRDefault="00582324">
      <w:pPr>
        <w:pStyle w:val="a3"/>
        <w:shd w:val="clear" w:color="auto" w:fill="FFFFFF"/>
        <w:spacing w:before="0" w:beforeAutospacing="0" w:after="0" w:afterAutospacing="0"/>
        <w:rPr>
          <w:sz w:val="20"/>
          <w:szCs w:val="20"/>
        </w:rPr>
      </w:pPr>
      <w:r>
        <w:rPr>
          <w:sz w:val="20"/>
          <w:szCs w:val="20"/>
        </w:rPr>
        <w:t> </w:t>
      </w:r>
    </w:p>
    <w:p w14:paraId="54B07052" w14:textId="77777777" w:rsidR="00000000" w:rsidRDefault="00582324">
      <w:pPr>
        <w:pStyle w:val="a3"/>
        <w:shd w:val="clear" w:color="auto" w:fill="FFFFFF"/>
        <w:spacing w:before="40" w:beforeAutospacing="0" w:after="0" w:afterAutospacing="0"/>
        <w:ind w:firstLine="416"/>
        <w:rPr>
          <w:sz w:val="20"/>
          <w:szCs w:val="20"/>
        </w:rPr>
      </w:pPr>
      <w:r>
        <w:rPr>
          <w:sz w:val="20"/>
          <w:szCs w:val="20"/>
        </w:rPr>
        <w:t>The following weighted-average assumptions were used in the Black-Sholes option-pricing model calculation:</w:t>
      </w:r>
    </w:p>
    <w:p w14:paraId="0FD1D907"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790"/>
        <w:gridCol w:w="142"/>
        <w:gridCol w:w="106"/>
        <w:gridCol w:w="1175"/>
        <w:gridCol w:w="165"/>
        <w:gridCol w:w="61"/>
        <w:gridCol w:w="1210"/>
        <w:gridCol w:w="165"/>
      </w:tblGrid>
      <w:tr w:rsidR="00000000" w14:paraId="14F9CA1A" w14:textId="77777777">
        <w:trPr>
          <w:divId w:val="1556356601"/>
        </w:trPr>
        <w:tc>
          <w:tcPr>
            <w:tcW w:w="2455" w:type="pct"/>
            <w:shd w:val="clear" w:color="auto" w:fill="FFFFFF"/>
            <w:tcMar>
              <w:top w:w="15" w:type="dxa"/>
              <w:left w:w="0" w:type="dxa"/>
              <w:bottom w:w="0" w:type="dxa"/>
              <w:right w:w="15" w:type="dxa"/>
            </w:tcMar>
            <w:vAlign w:val="bottom"/>
            <w:hideMark/>
          </w:tcPr>
          <w:p w14:paraId="007F8FDA" w14:textId="77777777" w:rsidR="00000000" w:rsidRDefault="00582324">
            <w:pPr>
              <w:pStyle w:val="a3"/>
              <w:spacing w:before="0" w:beforeAutospacing="0" w:after="0" w:afterAutospacing="0"/>
              <w:jc w:val="center"/>
              <w:rPr>
                <w:sz w:val="20"/>
                <w:szCs w:val="20"/>
              </w:rPr>
            </w:pPr>
            <w:r>
              <w:rPr>
                <w:sz w:val="20"/>
                <w:szCs w:val="20"/>
              </w:rPr>
              <w:t> </w:t>
            </w:r>
          </w:p>
        </w:tc>
        <w:tc>
          <w:tcPr>
            <w:tcW w:w="179" w:type="pct"/>
            <w:shd w:val="clear" w:color="auto" w:fill="FFFFFF"/>
            <w:tcMar>
              <w:top w:w="15" w:type="dxa"/>
              <w:left w:w="0" w:type="dxa"/>
              <w:bottom w:w="0" w:type="dxa"/>
              <w:right w:w="15" w:type="dxa"/>
            </w:tcMar>
            <w:vAlign w:val="bottom"/>
            <w:hideMark/>
          </w:tcPr>
          <w:p w14:paraId="38BE5B6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7" w:type="pct"/>
            <w:gridSpan w:val="2"/>
            <w:shd w:val="clear" w:color="auto" w:fill="FFFFFF"/>
            <w:tcMar>
              <w:top w:w="15" w:type="dxa"/>
              <w:left w:w="0" w:type="dxa"/>
              <w:bottom w:w="0" w:type="dxa"/>
              <w:right w:w="15" w:type="dxa"/>
            </w:tcMar>
            <w:vAlign w:val="bottom"/>
            <w:hideMark/>
          </w:tcPr>
          <w:p w14:paraId="79C5B45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30A47A2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47" w:type="pct"/>
            <w:gridSpan w:val="2"/>
            <w:shd w:val="clear" w:color="auto" w:fill="FFFFFF"/>
            <w:tcMar>
              <w:top w:w="15" w:type="dxa"/>
              <w:left w:w="0" w:type="dxa"/>
              <w:bottom w:w="0" w:type="dxa"/>
              <w:right w:w="15" w:type="dxa"/>
            </w:tcMar>
            <w:vAlign w:val="bottom"/>
            <w:hideMark/>
          </w:tcPr>
          <w:p w14:paraId="30EFBA8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77D3D75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DD5EC58" w14:textId="77777777">
        <w:trPr>
          <w:divId w:val="1556356601"/>
        </w:trPr>
        <w:tc>
          <w:tcPr>
            <w:tcW w:w="2455" w:type="pct"/>
            <w:shd w:val="clear" w:color="auto" w:fill="FFFFFF"/>
            <w:tcMar>
              <w:top w:w="15" w:type="dxa"/>
              <w:left w:w="0" w:type="dxa"/>
              <w:bottom w:w="0" w:type="dxa"/>
              <w:right w:w="15" w:type="dxa"/>
            </w:tcMar>
            <w:vAlign w:val="bottom"/>
            <w:hideMark/>
          </w:tcPr>
          <w:p w14:paraId="4DCB0DA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79" w:type="pct"/>
            <w:shd w:val="clear" w:color="auto" w:fill="FFFFFF"/>
            <w:tcMar>
              <w:top w:w="15" w:type="dxa"/>
              <w:left w:w="0" w:type="dxa"/>
              <w:bottom w:w="0" w:type="dxa"/>
              <w:right w:w="15" w:type="dxa"/>
            </w:tcMar>
            <w:vAlign w:val="bottom"/>
            <w:hideMark/>
          </w:tcPr>
          <w:p w14:paraId="01D7A11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7" w:type="pct"/>
            <w:gridSpan w:val="2"/>
            <w:tcBorders>
              <w:bottom w:val="single" w:sz="6" w:space="0" w:color="000000"/>
            </w:tcBorders>
            <w:shd w:val="clear" w:color="auto" w:fill="FFFFFF"/>
            <w:tcMar>
              <w:top w:w="15" w:type="dxa"/>
              <w:left w:w="0" w:type="dxa"/>
              <w:bottom w:w="0" w:type="dxa"/>
              <w:right w:w="15" w:type="dxa"/>
            </w:tcMar>
            <w:vAlign w:val="bottom"/>
            <w:hideMark/>
          </w:tcPr>
          <w:p w14:paraId="484B34D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36D4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47" w:type="pct"/>
            <w:gridSpan w:val="2"/>
            <w:tcBorders>
              <w:bottom w:val="single" w:sz="6" w:space="0" w:color="000000"/>
            </w:tcBorders>
            <w:shd w:val="clear" w:color="auto" w:fill="FFFFFF"/>
            <w:tcMar>
              <w:top w:w="15" w:type="dxa"/>
              <w:left w:w="0" w:type="dxa"/>
              <w:bottom w:w="0" w:type="dxa"/>
              <w:right w:w="15" w:type="dxa"/>
            </w:tcMar>
            <w:vAlign w:val="bottom"/>
            <w:hideMark/>
          </w:tcPr>
          <w:p w14:paraId="3A92869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243606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EE91598" w14:textId="77777777">
        <w:trPr>
          <w:divId w:val="1556356601"/>
        </w:trPr>
        <w:tc>
          <w:tcPr>
            <w:tcW w:w="2455" w:type="pct"/>
            <w:shd w:val="clear" w:color="auto" w:fill="CFF0FC"/>
            <w:tcMar>
              <w:top w:w="15" w:type="dxa"/>
              <w:left w:w="0" w:type="dxa"/>
              <w:bottom w:w="0" w:type="dxa"/>
              <w:right w:w="15" w:type="dxa"/>
            </w:tcMar>
            <w:hideMark/>
          </w:tcPr>
          <w:p w14:paraId="62D8A3CA" w14:textId="77777777" w:rsidR="00000000" w:rsidRDefault="00582324">
            <w:pPr>
              <w:pStyle w:val="a3"/>
              <w:spacing w:before="0" w:beforeAutospacing="0" w:after="0" w:afterAutospacing="0"/>
              <w:rPr>
                <w:color w:val="000000"/>
                <w:sz w:val="18"/>
                <w:szCs w:val="18"/>
              </w:rPr>
            </w:pPr>
            <w:r>
              <w:rPr>
                <w:color w:val="000000"/>
                <w:sz w:val="18"/>
                <w:szCs w:val="18"/>
              </w:rPr>
              <w:t>Common stock value (per share)</w:t>
            </w:r>
          </w:p>
        </w:tc>
        <w:tc>
          <w:tcPr>
            <w:tcW w:w="179" w:type="pct"/>
            <w:shd w:val="clear" w:color="auto" w:fill="CFF0FC"/>
            <w:tcMar>
              <w:top w:w="15" w:type="dxa"/>
              <w:left w:w="0" w:type="dxa"/>
              <w:bottom w:w="0" w:type="dxa"/>
              <w:right w:w="15" w:type="dxa"/>
            </w:tcMar>
            <w:vAlign w:val="bottom"/>
            <w:hideMark/>
          </w:tcPr>
          <w:p w14:paraId="2C1062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A2E50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067" w:type="pct"/>
            <w:tcBorders>
              <w:top w:val="single" w:sz="6" w:space="0" w:color="000000"/>
            </w:tcBorders>
            <w:shd w:val="clear" w:color="auto" w:fill="CFF0FC"/>
            <w:noWrap/>
            <w:tcMar>
              <w:top w:w="15" w:type="dxa"/>
              <w:left w:w="0" w:type="dxa"/>
              <w:bottom w:w="0" w:type="dxa"/>
              <w:right w:w="15" w:type="dxa"/>
            </w:tcMar>
            <w:vAlign w:val="bottom"/>
            <w:hideMark/>
          </w:tcPr>
          <w:p w14:paraId="03399497" w14:textId="77777777" w:rsidR="00000000" w:rsidRDefault="00582324">
            <w:pPr>
              <w:pStyle w:val="a3"/>
              <w:spacing w:before="0" w:beforeAutospacing="0" w:after="0" w:afterAutospacing="0"/>
              <w:jc w:val="right"/>
              <w:rPr>
                <w:color w:val="000000"/>
                <w:sz w:val="18"/>
                <w:szCs w:val="18"/>
              </w:rPr>
            </w:pPr>
            <w:r>
              <w:rPr>
                <w:color w:val="000000"/>
                <w:sz w:val="18"/>
                <w:szCs w:val="18"/>
              </w:rPr>
              <w:t>38.23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0624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7" w:type="pct"/>
            <w:gridSpan w:val="2"/>
            <w:tcBorders>
              <w:top w:val="single" w:sz="6" w:space="0" w:color="000000"/>
            </w:tcBorders>
            <w:shd w:val="clear" w:color="auto" w:fill="CFF0FC"/>
            <w:tcMar>
              <w:top w:w="15" w:type="dxa"/>
              <w:left w:w="0" w:type="dxa"/>
              <w:bottom w:w="0" w:type="dxa"/>
              <w:right w:w="15" w:type="dxa"/>
            </w:tcMar>
            <w:vAlign w:val="bottom"/>
            <w:hideMark/>
          </w:tcPr>
          <w:p w14:paraId="2DA6721F" w14:textId="77777777" w:rsidR="00000000" w:rsidRDefault="00582324">
            <w:pPr>
              <w:pStyle w:val="a3"/>
              <w:spacing w:before="0" w:beforeAutospacing="0" w:after="0" w:afterAutospacing="0"/>
              <w:jc w:val="right"/>
              <w:rPr>
                <w:color w:val="000000"/>
                <w:sz w:val="18"/>
                <w:szCs w:val="18"/>
              </w:rPr>
            </w:pPr>
            <w:r>
              <w:rPr>
                <w:color w:val="000000"/>
                <w:sz w:val="18"/>
                <w:szCs w:val="18"/>
              </w:rPr>
              <w:t>$ 31.60</w:t>
            </w:r>
          </w:p>
        </w:tc>
        <w:tc>
          <w:tcPr>
            <w:tcW w:w="50" w:type="pct"/>
            <w:shd w:val="clear" w:color="auto" w:fill="CFF0FC"/>
            <w:noWrap/>
            <w:tcMar>
              <w:top w:w="15" w:type="dxa"/>
              <w:left w:w="0" w:type="dxa"/>
              <w:bottom w:w="0" w:type="dxa"/>
              <w:right w:w="15" w:type="dxa"/>
            </w:tcMar>
            <w:vAlign w:val="bottom"/>
            <w:hideMark/>
          </w:tcPr>
          <w:p w14:paraId="6574DA5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D2C3C82" w14:textId="77777777">
        <w:trPr>
          <w:divId w:val="1556356601"/>
        </w:trPr>
        <w:tc>
          <w:tcPr>
            <w:tcW w:w="2455" w:type="pct"/>
            <w:shd w:val="clear" w:color="auto" w:fill="FFFFFF"/>
            <w:tcMar>
              <w:top w:w="15" w:type="dxa"/>
              <w:left w:w="0" w:type="dxa"/>
              <w:bottom w:w="0" w:type="dxa"/>
              <w:right w:w="15" w:type="dxa"/>
            </w:tcMar>
            <w:hideMark/>
          </w:tcPr>
          <w:p w14:paraId="5EEE47D3" w14:textId="77777777" w:rsidR="00000000" w:rsidRDefault="00582324">
            <w:pPr>
              <w:pStyle w:val="a3"/>
              <w:spacing w:before="0" w:beforeAutospacing="0" w:after="0" w:afterAutospacing="0"/>
              <w:rPr>
                <w:color w:val="000000"/>
                <w:sz w:val="18"/>
                <w:szCs w:val="18"/>
              </w:rPr>
            </w:pPr>
            <w:r>
              <w:rPr>
                <w:color w:val="000000"/>
                <w:sz w:val="18"/>
                <w:szCs w:val="18"/>
              </w:rPr>
              <w:t>Expected volatility</w:t>
            </w:r>
          </w:p>
        </w:tc>
        <w:tc>
          <w:tcPr>
            <w:tcW w:w="179" w:type="pct"/>
            <w:shd w:val="clear" w:color="auto" w:fill="FFFFFF"/>
            <w:tcMar>
              <w:top w:w="15" w:type="dxa"/>
              <w:left w:w="0" w:type="dxa"/>
              <w:bottom w:w="0" w:type="dxa"/>
              <w:right w:w="15" w:type="dxa"/>
            </w:tcMar>
            <w:vAlign w:val="bottom"/>
            <w:hideMark/>
          </w:tcPr>
          <w:p w14:paraId="764661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0A57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7" w:type="pct"/>
            <w:shd w:val="clear" w:color="auto" w:fill="FFFFFF"/>
            <w:noWrap/>
            <w:tcMar>
              <w:top w:w="15" w:type="dxa"/>
              <w:left w:w="0" w:type="dxa"/>
              <w:bottom w:w="0" w:type="dxa"/>
              <w:right w:w="15" w:type="dxa"/>
            </w:tcMar>
            <w:vAlign w:val="bottom"/>
            <w:hideMark/>
          </w:tcPr>
          <w:p w14:paraId="78C15DA7" w14:textId="77777777" w:rsidR="00000000" w:rsidRDefault="00582324">
            <w:pPr>
              <w:pStyle w:val="a3"/>
              <w:spacing w:before="0" w:beforeAutospacing="0" w:after="0" w:afterAutospacing="0"/>
              <w:jc w:val="right"/>
              <w:rPr>
                <w:color w:val="000000"/>
                <w:sz w:val="18"/>
                <w:szCs w:val="18"/>
              </w:rPr>
            </w:pPr>
            <w:r>
              <w:rPr>
                <w:color w:val="000000"/>
                <w:sz w:val="18"/>
                <w:szCs w:val="18"/>
              </w:rPr>
              <w:t>58.22</w:t>
            </w:r>
          </w:p>
        </w:tc>
        <w:tc>
          <w:tcPr>
            <w:tcW w:w="50" w:type="pct"/>
            <w:shd w:val="clear" w:color="auto" w:fill="FFFFFF"/>
            <w:noWrap/>
            <w:tcMar>
              <w:top w:w="15" w:type="dxa"/>
              <w:left w:w="0" w:type="dxa"/>
              <w:bottom w:w="0" w:type="dxa"/>
              <w:right w:w="15" w:type="dxa"/>
            </w:tcMar>
            <w:vAlign w:val="bottom"/>
            <w:hideMark/>
          </w:tcPr>
          <w:p w14:paraId="2D32CD1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0F314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97" w:type="pct"/>
            <w:shd w:val="clear" w:color="auto" w:fill="FFFFFF"/>
            <w:noWrap/>
            <w:tcMar>
              <w:top w:w="15" w:type="dxa"/>
              <w:left w:w="0" w:type="dxa"/>
              <w:bottom w:w="0" w:type="dxa"/>
              <w:right w:w="15" w:type="dxa"/>
            </w:tcMar>
            <w:vAlign w:val="bottom"/>
            <w:hideMark/>
          </w:tcPr>
          <w:p w14:paraId="586AD7C0" w14:textId="77777777" w:rsidR="00000000" w:rsidRDefault="00582324">
            <w:pPr>
              <w:pStyle w:val="a3"/>
              <w:spacing w:before="0" w:beforeAutospacing="0" w:after="0" w:afterAutospacing="0"/>
              <w:jc w:val="right"/>
              <w:rPr>
                <w:color w:val="000000"/>
                <w:sz w:val="18"/>
                <w:szCs w:val="18"/>
              </w:rPr>
            </w:pPr>
            <w:r>
              <w:rPr>
                <w:color w:val="000000"/>
                <w:sz w:val="18"/>
                <w:szCs w:val="18"/>
              </w:rPr>
              <w:t>45.26</w:t>
            </w:r>
          </w:p>
        </w:tc>
        <w:tc>
          <w:tcPr>
            <w:tcW w:w="50" w:type="pct"/>
            <w:shd w:val="clear" w:color="auto" w:fill="FFFFFF"/>
            <w:noWrap/>
            <w:tcMar>
              <w:top w:w="15" w:type="dxa"/>
              <w:left w:w="0" w:type="dxa"/>
              <w:bottom w:w="0" w:type="dxa"/>
              <w:right w:w="15" w:type="dxa"/>
            </w:tcMar>
            <w:vAlign w:val="bottom"/>
            <w:hideMark/>
          </w:tcPr>
          <w:p w14:paraId="15E3BF3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D5E9855" w14:textId="77777777">
        <w:trPr>
          <w:divId w:val="1556356601"/>
        </w:trPr>
        <w:tc>
          <w:tcPr>
            <w:tcW w:w="2455" w:type="pct"/>
            <w:shd w:val="clear" w:color="auto" w:fill="CFF0FC"/>
            <w:tcMar>
              <w:top w:w="15" w:type="dxa"/>
              <w:left w:w="0" w:type="dxa"/>
              <w:bottom w:w="0" w:type="dxa"/>
              <w:right w:w="15" w:type="dxa"/>
            </w:tcMar>
            <w:hideMark/>
          </w:tcPr>
          <w:p w14:paraId="051A2DA8" w14:textId="77777777" w:rsidR="00000000" w:rsidRDefault="00582324">
            <w:pPr>
              <w:pStyle w:val="a3"/>
              <w:spacing w:before="0" w:beforeAutospacing="0" w:after="0" w:afterAutospacing="0"/>
              <w:rPr>
                <w:color w:val="000000"/>
                <w:sz w:val="18"/>
                <w:szCs w:val="18"/>
              </w:rPr>
            </w:pPr>
            <w:r>
              <w:rPr>
                <w:color w:val="000000"/>
                <w:sz w:val="18"/>
                <w:szCs w:val="18"/>
              </w:rPr>
              <w:t>Risk-free interest rate</w:t>
            </w:r>
          </w:p>
        </w:tc>
        <w:tc>
          <w:tcPr>
            <w:tcW w:w="179" w:type="pct"/>
            <w:shd w:val="clear" w:color="auto" w:fill="CFF0FC"/>
            <w:tcMar>
              <w:top w:w="15" w:type="dxa"/>
              <w:left w:w="0" w:type="dxa"/>
              <w:bottom w:w="0" w:type="dxa"/>
              <w:right w:w="15" w:type="dxa"/>
            </w:tcMar>
            <w:vAlign w:val="bottom"/>
            <w:hideMark/>
          </w:tcPr>
          <w:p w14:paraId="585645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A68D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67" w:type="pct"/>
            <w:shd w:val="clear" w:color="auto" w:fill="CFF0FC"/>
            <w:noWrap/>
            <w:tcMar>
              <w:top w:w="15" w:type="dxa"/>
              <w:left w:w="0" w:type="dxa"/>
              <w:bottom w:w="0" w:type="dxa"/>
              <w:right w:w="15" w:type="dxa"/>
            </w:tcMar>
            <w:vAlign w:val="bottom"/>
            <w:hideMark/>
          </w:tcPr>
          <w:p w14:paraId="109CCB00" w14:textId="77777777" w:rsidR="00000000" w:rsidRDefault="00582324">
            <w:pPr>
              <w:pStyle w:val="a3"/>
              <w:spacing w:before="0" w:beforeAutospacing="0" w:after="0" w:afterAutospacing="0"/>
              <w:jc w:val="right"/>
              <w:rPr>
                <w:color w:val="000000"/>
                <w:sz w:val="18"/>
                <w:szCs w:val="18"/>
              </w:rPr>
            </w:pPr>
            <w:r>
              <w:rPr>
                <w:color w:val="000000"/>
                <w:sz w:val="18"/>
                <w:szCs w:val="18"/>
              </w:rPr>
              <w:t>0.73</w:t>
            </w:r>
          </w:p>
        </w:tc>
        <w:tc>
          <w:tcPr>
            <w:tcW w:w="50" w:type="pct"/>
            <w:shd w:val="clear" w:color="auto" w:fill="CFF0FC"/>
            <w:noWrap/>
            <w:tcMar>
              <w:top w:w="15" w:type="dxa"/>
              <w:left w:w="0" w:type="dxa"/>
              <w:bottom w:w="0" w:type="dxa"/>
              <w:right w:w="15" w:type="dxa"/>
            </w:tcMar>
            <w:vAlign w:val="bottom"/>
            <w:hideMark/>
          </w:tcPr>
          <w:p w14:paraId="6A247A9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47F01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97" w:type="pct"/>
            <w:shd w:val="clear" w:color="auto" w:fill="CFF0FC"/>
            <w:noWrap/>
            <w:tcMar>
              <w:top w:w="15" w:type="dxa"/>
              <w:left w:w="0" w:type="dxa"/>
              <w:bottom w:w="0" w:type="dxa"/>
              <w:right w:w="15" w:type="dxa"/>
            </w:tcMar>
            <w:vAlign w:val="bottom"/>
            <w:hideMark/>
          </w:tcPr>
          <w:p w14:paraId="676A68F7" w14:textId="77777777" w:rsidR="00000000" w:rsidRDefault="00582324">
            <w:pPr>
              <w:pStyle w:val="a3"/>
              <w:spacing w:before="0" w:beforeAutospacing="0" w:after="0" w:afterAutospacing="0"/>
              <w:jc w:val="right"/>
              <w:rPr>
                <w:color w:val="000000"/>
                <w:sz w:val="18"/>
                <w:szCs w:val="18"/>
              </w:rPr>
            </w:pPr>
            <w:r>
              <w:rPr>
                <w:color w:val="000000"/>
                <w:sz w:val="18"/>
                <w:szCs w:val="18"/>
              </w:rPr>
              <w:t>0.49</w:t>
            </w:r>
          </w:p>
        </w:tc>
        <w:tc>
          <w:tcPr>
            <w:tcW w:w="50" w:type="pct"/>
            <w:shd w:val="clear" w:color="auto" w:fill="CFF0FC"/>
            <w:noWrap/>
            <w:tcMar>
              <w:top w:w="15" w:type="dxa"/>
              <w:left w:w="0" w:type="dxa"/>
              <w:bottom w:w="0" w:type="dxa"/>
              <w:right w:w="15" w:type="dxa"/>
            </w:tcMar>
            <w:vAlign w:val="bottom"/>
            <w:hideMark/>
          </w:tcPr>
          <w:p w14:paraId="7849AC29"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592B4280" w14:textId="77777777">
        <w:trPr>
          <w:divId w:val="1556356601"/>
        </w:trPr>
        <w:tc>
          <w:tcPr>
            <w:tcW w:w="2455" w:type="pct"/>
            <w:shd w:val="clear" w:color="auto" w:fill="FFFFFF"/>
            <w:tcMar>
              <w:top w:w="15" w:type="dxa"/>
              <w:left w:w="0" w:type="dxa"/>
              <w:bottom w:w="0" w:type="dxa"/>
              <w:right w:w="15" w:type="dxa"/>
            </w:tcMar>
            <w:hideMark/>
          </w:tcPr>
          <w:p w14:paraId="7106BD08" w14:textId="77777777" w:rsidR="00000000" w:rsidRDefault="00582324">
            <w:pPr>
              <w:pStyle w:val="a3"/>
              <w:spacing w:before="0" w:beforeAutospacing="0" w:after="0" w:afterAutospacing="0"/>
              <w:rPr>
                <w:color w:val="000000"/>
                <w:sz w:val="18"/>
                <w:szCs w:val="18"/>
              </w:rPr>
            </w:pPr>
            <w:r>
              <w:rPr>
                <w:color w:val="000000"/>
                <w:sz w:val="18"/>
                <w:szCs w:val="18"/>
              </w:rPr>
              <w:t>Expected life (years)</w:t>
            </w:r>
          </w:p>
        </w:tc>
        <w:tc>
          <w:tcPr>
            <w:tcW w:w="179" w:type="pct"/>
            <w:shd w:val="clear" w:color="auto" w:fill="FFFFFF"/>
            <w:tcMar>
              <w:top w:w="15" w:type="dxa"/>
              <w:left w:w="0" w:type="dxa"/>
              <w:bottom w:w="0" w:type="dxa"/>
              <w:right w:w="15" w:type="dxa"/>
            </w:tcMar>
            <w:vAlign w:val="bottom"/>
            <w:hideMark/>
          </w:tcPr>
          <w:p w14:paraId="2A8ED9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7" w:type="pct"/>
            <w:gridSpan w:val="2"/>
            <w:shd w:val="clear" w:color="auto" w:fill="FFFFFF"/>
            <w:tcMar>
              <w:top w:w="15" w:type="dxa"/>
              <w:left w:w="0" w:type="dxa"/>
              <w:bottom w:w="0" w:type="dxa"/>
              <w:right w:w="15" w:type="dxa"/>
            </w:tcMar>
            <w:vAlign w:val="bottom"/>
            <w:hideMark/>
          </w:tcPr>
          <w:p w14:paraId="4529154C" w14:textId="77777777" w:rsidR="00000000" w:rsidRDefault="00582324">
            <w:pPr>
              <w:pStyle w:val="a3"/>
              <w:spacing w:before="0" w:beforeAutospacing="0" w:after="0" w:afterAutospacing="0"/>
              <w:jc w:val="right"/>
              <w:rPr>
                <w:color w:val="000000"/>
                <w:sz w:val="18"/>
                <w:szCs w:val="18"/>
              </w:rPr>
            </w:pPr>
            <w:r>
              <w:rPr>
                <w:color w:val="000000"/>
                <w:sz w:val="18"/>
                <w:szCs w:val="18"/>
              </w:rPr>
              <w:t>5.5-7.0</w:t>
            </w:r>
          </w:p>
        </w:tc>
        <w:tc>
          <w:tcPr>
            <w:tcW w:w="50" w:type="pct"/>
            <w:shd w:val="clear" w:color="auto" w:fill="FFFFFF"/>
            <w:noWrap/>
            <w:tcMar>
              <w:top w:w="15" w:type="dxa"/>
              <w:left w:w="0" w:type="dxa"/>
              <w:bottom w:w="0" w:type="dxa"/>
              <w:right w:w="15" w:type="dxa"/>
            </w:tcMar>
            <w:vAlign w:val="bottom"/>
            <w:hideMark/>
          </w:tcPr>
          <w:p w14:paraId="5422D5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7" w:type="pct"/>
            <w:gridSpan w:val="2"/>
            <w:shd w:val="clear" w:color="auto" w:fill="FFFFFF"/>
            <w:tcMar>
              <w:top w:w="15" w:type="dxa"/>
              <w:left w:w="0" w:type="dxa"/>
              <w:bottom w:w="0" w:type="dxa"/>
              <w:right w:w="15" w:type="dxa"/>
            </w:tcMar>
            <w:vAlign w:val="bottom"/>
            <w:hideMark/>
          </w:tcPr>
          <w:p w14:paraId="5755639D" w14:textId="77777777" w:rsidR="00000000" w:rsidRDefault="00582324">
            <w:pPr>
              <w:pStyle w:val="a3"/>
              <w:spacing w:before="0" w:beforeAutospacing="0" w:after="0" w:afterAutospacing="0"/>
              <w:jc w:val="right"/>
              <w:rPr>
                <w:color w:val="000000"/>
                <w:sz w:val="18"/>
                <w:szCs w:val="18"/>
              </w:rPr>
            </w:pPr>
            <w:r>
              <w:rPr>
                <w:color w:val="000000"/>
                <w:sz w:val="18"/>
                <w:szCs w:val="18"/>
              </w:rPr>
              <w:t>7.</w:t>
            </w:r>
            <w:r>
              <w:rPr>
                <w:color w:val="000000"/>
                <w:sz w:val="18"/>
                <w:szCs w:val="18"/>
              </w:rPr>
              <w:t>0</w:t>
            </w:r>
          </w:p>
        </w:tc>
        <w:tc>
          <w:tcPr>
            <w:tcW w:w="50" w:type="pct"/>
            <w:shd w:val="clear" w:color="auto" w:fill="FFFFFF"/>
            <w:noWrap/>
            <w:tcMar>
              <w:top w:w="15" w:type="dxa"/>
              <w:left w:w="0" w:type="dxa"/>
              <w:bottom w:w="0" w:type="dxa"/>
              <w:right w:w="15" w:type="dxa"/>
            </w:tcMar>
            <w:vAlign w:val="bottom"/>
            <w:hideMark/>
          </w:tcPr>
          <w:p w14:paraId="01DB67D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FEF7783" w14:textId="77777777">
        <w:trPr>
          <w:divId w:val="1556356601"/>
        </w:trPr>
        <w:tc>
          <w:tcPr>
            <w:tcW w:w="2455" w:type="pct"/>
            <w:shd w:val="clear" w:color="auto" w:fill="CFF0FC"/>
            <w:tcMar>
              <w:top w:w="15" w:type="dxa"/>
              <w:left w:w="0" w:type="dxa"/>
              <w:bottom w:w="0" w:type="dxa"/>
              <w:right w:w="15" w:type="dxa"/>
            </w:tcMar>
            <w:hideMark/>
          </w:tcPr>
          <w:p w14:paraId="6BA30676" w14:textId="77777777" w:rsidR="00000000" w:rsidRDefault="00582324">
            <w:pPr>
              <w:pStyle w:val="a3"/>
              <w:spacing w:before="0" w:beforeAutospacing="0" w:after="0" w:afterAutospacing="0"/>
              <w:rPr>
                <w:color w:val="000000"/>
                <w:sz w:val="18"/>
                <w:szCs w:val="18"/>
              </w:rPr>
            </w:pPr>
            <w:r>
              <w:rPr>
                <w:color w:val="000000"/>
                <w:sz w:val="18"/>
                <w:szCs w:val="18"/>
              </w:rPr>
              <w:t>Forfeiture rate</w:t>
            </w:r>
          </w:p>
        </w:tc>
        <w:tc>
          <w:tcPr>
            <w:tcW w:w="179" w:type="pct"/>
            <w:shd w:val="clear" w:color="auto" w:fill="CFF0FC"/>
            <w:tcMar>
              <w:top w:w="15" w:type="dxa"/>
              <w:left w:w="0" w:type="dxa"/>
              <w:bottom w:w="0" w:type="dxa"/>
              <w:right w:w="15" w:type="dxa"/>
            </w:tcMar>
            <w:vAlign w:val="bottom"/>
            <w:hideMark/>
          </w:tcPr>
          <w:p w14:paraId="683BC5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7" w:type="pct"/>
            <w:gridSpan w:val="2"/>
            <w:shd w:val="clear" w:color="auto" w:fill="CFF0FC"/>
            <w:tcMar>
              <w:top w:w="15" w:type="dxa"/>
              <w:left w:w="0" w:type="dxa"/>
              <w:bottom w:w="0" w:type="dxa"/>
              <w:right w:w="15" w:type="dxa"/>
            </w:tcMar>
            <w:vAlign w:val="bottom"/>
            <w:hideMark/>
          </w:tcPr>
          <w:p w14:paraId="5807D677" w14:textId="77777777" w:rsidR="00000000" w:rsidRDefault="00582324">
            <w:pPr>
              <w:pStyle w:val="a3"/>
              <w:spacing w:before="0" w:beforeAutospacing="0" w:after="0" w:afterAutospacing="0"/>
              <w:jc w:val="right"/>
              <w:rPr>
                <w:color w:val="000000"/>
                <w:sz w:val="18"/>
                <w:szCs w:val="18"/>
              </w:rPr>
            </w:pPr>
            <w:r>
              <w:rPr>
                <w:color w:val="000000"/>
                <w:sz w:val="18"/>
                <w:szCs w:val="18"/>
              </w:rPr>
              <w:t>None</w:t>
            </w:r>
          </w:p>
        </w:tc>
        <w:tc>
          <w:tcPr>
            <w:tcW w:w="50" w:type="pct"/>
            <w:shd w:val="clear" w:color="auto" w:fill="CFF0FC"/>
            <w:noWrap/>
            <w:tcMar>
              <w:top w:w="15" w:type="dxa"/>
              <w:left w:w="0" w:type="dxa"/>
              <w:bottom w:w="0" w:type="dxa"/>
              <w:right w:w="15" w:type="dxa"/>
            </w:tcMar>
            <w:vAlign w:val="bottom"/>
            <w:hideMark/>
          </w:tcPr>
          <w:p w14:paraId="3FBB76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7" w:type="pct"/>
            <w:gridSpan w:val="2"/>
            <w:shd w:val="clear" w:color="auto" w:fill="CFF0FC"/>
            <w:tcMar>
              <w:top w:w="15" w:type="dxa"/>
              <w:left w:w="0" w:type="dxa"/>
              <w:bottom w:w="0" w:type="dxa"/>
              <w:right w:w="15" w:type="dxa"/>
            </w:tcMar>
            <w:vAlign w:val="bottom"/>
            <w:hideMark/>
          </w:tcPr>
          <w:p w14:paraId="15CCAC46" w14:textId="77777777" w:rsidR="00000000" w:rsidRDefault="00582324">
            <w:pPr>
              <w:pStyle w:val="a3"/>
              <w:spacing w:before="0" w:beforeAutospacing="0" w:after="0" w:afterAutospacing="0"/>
              <w:jc w:val="right"/>
              <w:rPr>
                <w:color w:val="000000"/>
                <w:sz w:val="18"/>
                <w:szCs w:val="18"/>
              </w:rPr>
            </w:pPr>
            <w:r>
              <w:rPr>
                <w:color w:val="000000"/>
                <w:sz w:val="18"/>
                <w:szCs w:val="18"/>
              </w:rPr>
              <w:t>None</w:t>
            </w:r>
          </w:p>
        </w:tc>
        <w:tc>
          <w:tcPr>
            <w:tcW w:w="50" w:type="pct"/>
            <w:shd w:val="clear" w:color="auto" w:fill="CFF0FC"/>
            <w:noWrap/>
            <w:tcMar>
              <w:top w:w="15" w:type="dxa"/>
              <w:left w:w="0" w:type="dxa"/>
              <w:bottom w:w="0" w:type="dxa"/>
              <w:right w:w="15" w:type="dxa"/>
            </w:tcMar>
            <w:vAlign w:val="bottom"/>
            <w:hideMark/>
          </w:tcPr>
          <w:p w14:paraId="67F9A9A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9CE2ED7" w14:textId="77777777">
        <w:trPr>
          <w:divId w:val="1556356601"/>
        </w:trPr>
        <w:tc>
          <w:tcPr>
            <w:tcW w:w="2455" w:type="pct"/>
            <w:shd w:val="clear" w:color="auto" w:fill="FFFFFF"/>
            <w:tcMar>
              <w:top w:w="15" w:type="dxa"/>
              <w:left w:w="0" w:type="dxa"/>
              <w:bottom w:w="0" w:type="dxa"/>
              <w:right w:w="15" w:type="dxa"/>
            </w:tcMar>
            <w:hideMark/>
          </w:tcPr>
          <w:p w14:paraId="50C8CDBB" w14:textId="77777777" w:rsidR="00000000" w:rsidRDefault="00582324">
            <w:pPr>
              <w:pStyle w:val="a3"/>
              <w:spacing w:before="0" w:beforeAutospacing="0" w:after="0" w:afterAutospacing="0"/>
              <w:rPr>
                <w:color w:val="000000"/>
                <w:sz w:val="18"/>
                <w:szCs w:val="18"/>
              </w:rPr>
            </w:pPr>
            <w:r>
              <w:rPr>
                <w:color w:val="000000"/>
                <w:sz w:val="18"/>
                <w:szCs w:val="18"/>
              </w:rPr>
              <w:t>Dividend rate</w:t>
            </w:r>
          </w:p>
        </w:tc>
        <w:tc>
          <w:tcPr>
            <w:tcW w:w="179" w:type="pct"/>
            <w:shd w:val="clear" w:color="auto" w:fill="FFFFFF"/>
            <w:tcMar>
              <w:top w:w="15" w:type="dxa"/>
              <w:left w:w="0" w:type="dxa"/>
              <w:bottom w:w="0" w:type="dxa"/>
              <w:right w:w="15" w:type="dxa"/>
            </w:tcMar>
            <w:vAlign w:val="bottom"/>
            <w:hideMark/>
          </w:tcPr>
          <w:p w14:paraId="428963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17" w:type="pct"/>
            <w:gridSpan w:val="2"/>
            <w:shd w:val="clear" w:color="auto" w:fill="FFFFFF"/>
            <w:tcMar>
              <w:top w:w="15" w:type="dxa"/>
              <w:left w:w="0" w:type="dxa"/>
              <w:bottom w:w="0" w:type="dxa"/>
              <w:right w:w="15" w:type="dxa"/>
            </w:tcMar>
            <w:vAlign w:val="bottom"/>
            <w:hideMark/>
          </w:tcPr>
          <w:p w14:paraId="2BBD62FB" w14:textId="77777777" w:rsidR="00000000" w:rsidRDefault="00582324">
            <w:pPr>
              <w:pStyle w:val="a3"/>
              <w:spacing w:before="0" w:beforeAutospacing="0" w:after="0" w:afterAutospacing="0"/>
              <w:jc w:val="right"/>
              <w:rPr>
                <w:color w:val="000000"/>
                <w:sz w:val="18"/>
                <w:szCs w:val="18"/>
              </w:rPr>
            </w:pPr>
            <w:r>
              <w:rPr>
                <w:color w:val="000000"/>
                <w:sz w:val="18"/>
                <w:szCs w:val="18"/>
              </w:rPr>
              <w:t>None</w:t>
            </w:r>
          </w:p>
        </w:tc>
        <w:tc>
          <w:tcPr>
            <w:tcW w:w="50" w:type="pct"/>
            <w:shd w:val="clear" w:color="auto" w:fill="FFFFFF"/>
            <w:noWrap/>
            <w:tcMar>
              <w:top w:w="15" w:type="dxa"/>
              <w:left w:w="0" w:type="dxa"/>
              <w:bottom w:w="0" w:type="dxa"/>
              <w:right w:w="15" w:type="dxa"/>
            </w:tcMar>
            <w:vAlign w:val="bottom"/>
            <w:hideMark/>
          </w:tcPr>
          <w:p w14:paraId="1B8AFE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147" w:type="pct"/>
            <w:gridSpan w:val="2"/>
            <w:shd w:val="clear" w:color="auto" w:fill="FFFFFF"/>
            <w:tcMar>
              <w:top w:w="15" w:type="dxa"/>
              <w:left w:w="0" w:type="dxa"/>
              <w:bottom w:w="0" w:type="dxa"/>
              <w:right w:w="15" w:type="dxa"/>
            </w:tcMar>
            <w:vAlign w:val="bottom"/>
            <w:hideMark/>
          </w:tcPr>
          <w:p w14:paraId="3E55C4AB" w14:textId="77777777" w:rsidR="00000000" w:rsidRDefault="00582324">
            <w:pPr>
              <w:pStyle w:val="a3"/>
              <w:spacing w:before="0" w:beforeAutospacing="0" w:after="0" w:afterAutospacing="0"/>
              <w:jc w:val="right"/>
              <w:rPr>
                <w:color w:val="000000"/>
                <w:sz w:val="18"/>
                <w:szCs w:val="18"/>
              </w:rPr>
            </w:pPr>
            <w:r>
              <w:rPr>
                <w:color w:val="000000"/>
                <w:sz w:val="18"/>
                <w:szCs w:val="18"/>
              </w:rPr>
              <w:t>None</w:t>
            </w:r>
          </w:p>
        </w:tc>
        <w:tc>
          <w:tcPr>
            <w:tcW w:w="50" w:type="pct"/>
            <w:shd w:val="clear" w:color="auto" w:fill="FFFFFF"/>
            <w:noWrap/>
            <w:tcMar>
              <w:top w:w="15" w:type="dxa"/>
              <w:left w:w="0" w:type="dxa"/>
              <w:bottom w:w="0" w:type="dxa"/>
              <w:right w:w="15" w:type="dxa"/>
            </w:tcMar>
            <w:vAlign w:val="bottom"/>
            <w:hideMark/>
          </w:tcPr>
          <w:p w14:paraId="7B66977A"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65E7A9F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3709452" w14:textId="77777777" w:rsidR="00000000" w:rsidRDefault="00582324">
      <w:pPr>
        <w:pStyle w:val="a3"/>
        <w:shd w:val="clear" w:color="auto" w:fill="FFFFFF"/>
        <w:spacing w:before="40" w:beforeAutospacing="0" w:after="0" w:afterAutospacing="0"/>
        <w:ind w:firstLine="416"/>
        <w:rPr>
          <w:b/>
          <w:bCs/>
          <w:i/>
          <w:iCs/>
          <w:sz w:val="20"/>
          <w:szCs w:val="20"/>
        </w:rPr>
      </w:pPr>
      <w:r>
        <w:rPr>
          <w:b/>
          <w:bCs/>
          <w:i/>
          <w:iCs/>
          <w:sz w:val="20"/>
          <w:szCs w:val="20"/>
        </w:rPr>
        <w:t xml:space="preserve">Montrose Amended &amp; </w:t>
      </w:r>
      <w:r>
        <w:rPr>
          <w:b/>
          <w:bCs/>
          <w:i/>
          <w:iCs/>
          <w:sz w:val="20"/>
          <w:szCs w:val="20"/>
        </w:rPr>
        <w:t>Restated 2013 Stock Option Plan</w:t>
      </w:r>
      <w:r>
        <w:rPr>
          <w:sz w:val="20"/>
          <w:szCs w:val="20"/>
        </w:rPr>
        <w:t>—The following summarizes the activity of the 2013 Plan:</w:t>
      </w:r>
    </w:p>
    <w:p w14:paraId="10F6BF9F" w14:textId="77777777" w:rsidR="00000000" w:rsidRDefault="00582324">
      <w:pPr>
        <w:pStyle w:val="a3"/>
        <w:shd w:val="clear" w:color="auto" w:fill="FFFFFF"/>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519"/>
        <w:gridCol w:w="60"/>
        <w:gridCol w:w="60"/>
        <w:gridCol w:w="735"/>
        <w:gridCol w:w="75"/>
        <w:gridCol w:w="60"/>
        <w:gridCol w:w="106"/>
        <w:gridCol w:w="723"/>
        <w:gridCol w:w="60"/>
        <w:gridCol w:w="60"/>
        <w:gridCol w:w="106"/>
        <w:gridCol w:w="670"/>
        <w:gridCol w:w="60"/>
        <w:gridCol w:w="60"/>
        <w:gridCol w:w="96"/>
        <w:gridCol w:w="760"/>
        <w:gridCol w:w="60"/>
        <w:gridCol w:w="60"/>
        <w:gridCol w:w="103"/>
        <w:gridCol w:w="813"/>
        <w:gridCol w:w="60"/>
      </w:tblGrid>
      <w:tr w:rsidR="00000000" w14:paraId="4E343EC9" w14:textId="77777777">
        <w:trPr>
          <w:divId w:val="796949298"/>
        </w:trPr>
        <w:tc>
          <w:tcPr>
            <w:tcW w:w="2239" w:type="pct"/>
            <w:shd w:val="clear" w:color="auto" w:fill="FFFFFF"/>
            <w:tcMar>
              <w:top w:w="15" w:type="dxa"/>
              <w:left w:w="0" w:type="dxa"/>
              <w:bottom w:w="0" w:type="dxa"/>
              <w:right w:w="15" w:type="dxa"/>
            </w:tcMar>
            <w:vAlign w:val="bottom"/>
            <w:hideMark/>
          </w:tcPr>
          <w:p w14:paraId="6521E238" w14:textId="77777777" w:rsidR="00000000" w:rsidRDefault="00582324">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14:paraId="5FF065A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24793D7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 to</w:t>
            </w:r>
          </w:p>
          <w:p w14:paraId="5A37F11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w:t>
            </w:r>
          </w:p>
          <w:p w14:paraId="2F29110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Common</w:t>
            </w:r>
          </w:p>
          <w:p w14:paraId="557EA47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Stock</w:t>
            </w:r>
          </w:p>
        </w:tc>
        <w:tc>
          <w:tcPr>
            <w:tcW w:w="50" w:type="pct"/>
            <w:shd w:val="clear" w:color="auto" w:fill="FFFFFF"/>
            <w:noWrap/>
            <w:tcMar>
              <w:top w:w="15" w:type="dxa"/>
              <w:left w:w="0" w:type="dxa"/>
              <w:bottom w:w="0" w:type="dxa"/>
              <w:right w:w="15" w:type="dxa"/>
            </w:tcMar>
            <w:vAlign w:val="bottom"/>
            <w:hideMark/>
          </w:tcPr>
          <w:p w14:paraId="767927A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20F3F0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963807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0945557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43EC7B1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Exercise</w:t>
            </w:r>
          </w:p>
          <w:p w14:paraId="623AF8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 per</w:t>
            </w:r>
          </w:p>
          <w:p w14:paraId="0B5923A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Share</w:t>
            </w:r>
          </w:p>
        </w:tc>
        <w:tc>
          <w:tcPr>
            <w:tcW w:w="50" w:type="pct"/>
            <w:shd w:val="clear" w:color="auto" w:fill="FFFFFF"/>
            <w:noWrap/>
            <w:tcMar>
              <w:top w:w="15" w:type="dxa"/>
              <w:left w:w="0" w:type="dxa"/>
              <w:bottom w:w="0" w:type="dxa"/>
              <w:right w:w="15" w:type="dxa"/>
            </w:tcMar>
            <w:vAlign w:val="bottom"/>
            <w:hideMark/>
          </w:tcPr>
          <w:p w14:paraId="75B8632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3DC19C1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478D5FF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15A66EA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2CEED44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Grant Date</w:t>
            </w:r>
          </w:p>
          <w:p w14:paraId="6153888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Fair Value</w:t>
            </w:r>
          </w:p>
          <w:p w14:paraId="5CAA8FB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per Share</w:t>
            </w:r>
          </w:p>
        </w:tc>
        <w:tc>
          <w:tcPr>
            <w:tcW w:w="50" w:type="pct"/>
            <w:shd w:val="clear" w:color="auto" w:fill="FFFFFF"/>
            <w:noWrap/>
            <w:tcMar>
              <w:top w:w="15" w:type="dxa"/>
              <w:left w:w="0" w:type="dxa"/>
              <w:bottom w:w="0" w:type="dxa"/>
              <w:right w:w="15" w:type="dxa"/>
            </w:tcMar>
            <w:vAlign w:val="bottom"/>
            <w:hideMark/>
          </w:tcPr>
          <w:p w14:paraId="1658616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579DAB4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56C063C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Weighted</w:t>
            </w:r>
          </w:p>
          <w:p w14:paraId="2DC006A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Average</w:t>
            </w:r>
          </w:p>
          <w:p w14:paraId="3ACD2F0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Remaining</w:t>
            </w:r>
          </w:p>
          <w:p w14:paraId="6C9310D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Contract Life</w:t>
            </w:r>
          </w:p>
          <w:p w14:paraId="60FAD3E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 Years)</w:t>
            </w:r>
          </w:p>
        </w:tc>
        <w:tc>
          <w:tcPr>
            <w:tcW w:w="50" w:type="pct"/>
            <w:shd w:val="clear" w:color="auto" w:fill="FFFFFF"/>
            <w:noWrap/>
            <w:tcMar>
              <w:top w:w="15" w:type="dxa"/>
              <w:left w:w="0" w:type="dxa"/>
              <w:bottom w:w="0" w:type="dxa"/>
              <w:right w:w="15" w:type="dxa"/>
            </w:tcMar>
            <w:vAlign w:val="bottom"/>
            <w:hideMark/>
          </w:tcPr>
          <w:p w14:paraId="119F90F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4" w:type="pct"/>
            <w:shd w:val="clear" w:color="auto" w:fill="FFFFFF"/>
            <w:tcMar>
              <w:top w:w="15" w:type="dxa"/>
              <w:left w:w="0" w:type="dxa"/>
              <w:bottom w:w="0" w:type="dxa"/>
              <w:right w:w="15" w:type="dxa"/>
            </w:tcMar>
            <w:vAlign w:val="bottom"/>
            <w:hideMark/>
          </w:tcPr>
          <w:p w14:paraId="318A3ED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14:paraId="1F99541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Aggregate</w:t>
            </w:r>
          </w:p>
          <w:p w14:paraId="583AA5C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Intrinsic</w:t>
            </w:r>
          </w:p>
          <w:p w14:paraId="5CF5C2F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Value</w:t>
            </w:r>
          </w:p>
          <w:p w14:paraId="5B446B9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of In-The-</w:t>
            </w:r>
          </w:p>
          <w:p w14:paraId="6AE184F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Money</w:t>
            </w:r>
          </w:p>
          <w:p w14:paraId="68B68EC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Options (in</w:t>
            </w:r>
          </w:p>
          <w:p w14:paraId="3E9172F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Thousands)</w:t>
            </w:r>
          </w:p>
        </w:tc>
        <w:tc>
          <w:tcPr>
            <w:tcW w:w="50" w:type="pct"/>
            <w:shd w:val="clear" w:color="auto" w:fill="FFFFFF"/>
            <w:noWrap/>
            <w:tcMar>
              <w:top w:w="15" w:type="dxa"/>
              <w:left w:w="0" w:type="dxa"/>
              <w:bottom w:w="0" w:type="dxa"/>
              <w:right w:w="15" w:type="dxa"/>
            </w:tcMar>
            <w:vAlign w:val="bottom"/>
            <w:hideMark/>
          </w:tcPr>
          <w:p w14:paraId="6CF355E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D53DA8" w14:textId="77777777">
        <w:trPr>
          <w:divId w:val="796949298"/>
        </w:trPr>
        <w:tc>
          <w:tcPr>
            <w:tcW w:w="2239" w:type="pct"/>
            <w:shd w:val="clear" w:color="auto" w:fill="CFF0FC"/>
            <w:tcMar>
              <w:top w:w="15" w:type="dxa"/>
              <w:left w:w="0" w:type="dxa"/>
              <w:bottom w:w="0" w:type="dxa"/>
              <w:right w:w="15" w:type="dxa"/>
            </w:tcMar>
            <w:hideMark/>
          </w:tcPr>
          <w:p w14:paraId="45598F31" w14:textId="77777777" w:rsidR="00000000" w:rsidRDefault="00582324">
            <w:pPr>
              <w:pStyle w:val="a3"/>
              <w:spacing w:before="0" w:beforeAutospacing="0" w:after="0" w:afterAutospacing="0"/>
              <w:rPr>
                <w:color w:val="000000"/>
                <w:sz w:val="18"/>
                <w:szCs w:val="18"/>
              </w:rPr>
            </w:pPr>
            <w:r>
              <w:rPr>
                <w:color w:val="000000"/>
                <w:sz w:val="18"/>
                <w:szCs w:val="18"/>
              </w:rPr>
              <w:t>Outstanding at January 1, 2020</w:t>
            </w:r>
          </w:p>
        </w:tc>
        <w:tc>
          <w:tcPr>
            <w:tcW w:w="54" w:type="pct"/>
            <w:shd w:val="clear" w:color="auto" w:fill="CFF0FC"/>
            <w:tcMar>
              <w:top w:w="15" w:type="dxa"/>
              <w:left w:w="0" w:type="dxa"/>
              <w:bottom w:w="0" w:type="dxa"/>
              <w:right w:w="15" w:type="dxa"/>
            </w:tcMar>
            <w:vAlign w:val="bottom"/>
            <w:hideMark/>
          </w:tcPr>
          <w:p w14:paraId="17D733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DBBF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A58E21A" w14:textId="77777777" w:rsidR="00000000" w:rsidRDefault="00582324">
            <w:pPr>
              <w:pStyle w:val="a3"/>
              <w:spacing w:before="0" w:beforeAutospacing="0" w:after="0" w:afterAutospacing="0"/>
              <w:jc w:val="right"/>
              <w:rPr>
                <w:color w:val="000000"/>
                <w:sz w:val="18"/>
                <w:szCs w:val="18"/>
              </w:rPr>
            </w:pPr>
            <w:r>
              <w:rPr>
                <w:color w:val="000000"/>
                <w:sz w:val="18"/>
                <w:szCs w:val="18"/>
              </w:rPr>
              <w:t>1,855,469</w:t>
            </w:r>
          </w:p>
        </w:tc>
        <w:tc>
          <w:tcPr>
            <w:tcW w:w="50" w:type="pct"/>
            <w:shd w:val="clear" w:color="auto" w:fill="CFF0FC"/>
            <w:noWrap/>
            <w:tcMar>
              <w:top w:w="15" w:type="dxa"/>
              <w:left w:w="0" w:type="dxa"/>
              <w:bottom w:w="0" w:type="dxa"/>
              <w:right w:w="15" w:type="dxa"/>
            </w:tcMar>
            <w:vAlign w:val="bottom"/>
            <w:hideMark/>
          </w:tcPr>
          <w:p w14:paraId="4EE6CA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06FCF0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9ACD6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DC6BAB1"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0BF4DC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4BC405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1CF26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38C7C51"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3F89DE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272BD11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0141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663DF659" w14:textId="77777777" w:rsidR="00000000" w:rsidRDefault="00582324">
            <w:pPr>
              <w:pStyle w:val="a3"/>
              <w:spacing w:before="0" w:beforeAutospacing="0" w:after="0" w:afterAutospacing="0"/>
              <w:jc w:val="right"/>
              <w:rPr>
                <w:color w:val="000000"/>
                <w:sz w:val="18"/>
                <w:szCs w:val="18"/>
              </w:rPr>
            </w:pPr>
            <w:r>
              <w:rPr>
                <w:color w:val="000000"/>
                <w:sz w:val="18"/>
                <w:szCs w:val="18"/>
              </w:rPr>
              <w:t>6.4</w:t>
            </w:r>
            <w:r>
              <w:rPr>
                <w:color w:val="000000"/>
                <w:sz w:val="18"/>
                <w:szCs w:val="18"/>
              </w:rPr>
              <w:t>0</w:t>
            </w:r>
          </w:p>
        </w:tc>
        <w:tc>
          <w:tcPr>
            <w:tcW w:w="50" w:type="pct"/>
            <w:shd w:val="clear" w:color="auto" w:fill="CFF0FC"/>
            <w:noWrap/>
            <w:tcMar>
              <w:top w:w="15" w:type="dxa"/>
              <w:left w:w="0" w:type="dxa"/>
              <w:bottom w:w="0" w:type="dxa"/>
              <w:right w:w="15" w:type="dxa"/>
            </w:tcMar>
            <w:vAlign w:val="bottom"/>
            <w:hideMark/>
          </w:tcPr>
          <w:p w14:paraId="7220B2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6B7B80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BF557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0E37E5E5" w14:textId="77777777" w:rsidR="00000000" w:rsidRDefault="00582324">
            <w:pPr>
              <w:pStyle w:val="a3"/>
              <w:spacing w:before="0" w:beforeAutospacing="0" w:after="0" w:afterAutospacing="0"/>
              <w:jc w:val="right"/>
              <w:rPr>
                <w:color w:val="000000"/>
                <w:sz w:val="18"/>
                <w:szCs w:val="18"/>
              </w:rPr>
            </w:pPr>
            <w:r>
              <w:rPr>
                <w:color w:val="000000"/>
                <w:sz w:val="18"/>
                <w:szCs w:val="18"/>
              </w:rPr>
              <w:t>46,617</w:t>
            </w:r>
          </w:p>
        </w:tc>
        <w:tc>
          <w:tcPr>
            <w:tcW w:w="50" w:type="pct"/>
            <w:shd w:val="clear" w:color="auto" w:fill="CFF0FC"/>
            <w:noWrap/>
            <w:tcMar>
              <w:top w:w="15" w:type="dxa"/>
              <w:left w:w="0" w:type="dxa"/>
              <w:bottom w:w="0" w:type="dxa"/>
              <w:right w:w="15" w:type="dxa"/>
            </w:tcMar>
            <w:vAlign w:val="bottom"/>
            <w:hideMark/>
          </w:tcPr>
          <w:p w14:paraId="117B2F6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4CB4E94" w14:textId="77777777">
        <w:trPr>
          <w:divId w:val="796949298"/>
        </w:trPr>
        <w:tc>
          <w:tcPr>
            <w:tcW w:w="2239" w:type="pct"/>
            <w:shd w:val="clear" w:color="auto" w:fill="FFFFFF"/>
            <w:tcMar>
              <w:top w:w="15" w:type="dxa"/>
              <w:left w:w="0" w:type="dxa"/>
              <w:bottom w:w="0" w:type="dxa"/>
              <w:right w:w="15" w:type="dxa"/>
            </w:tcMar>
            <w:hideMark/>
          </w:tcPr>
          <w:p w14:paraId="38AB3052" w14:textId="77777777" w:rsidR="00000000" w:rsidRDefault="00582324">
            <w:pPr>
              <w:pStyle w:val="a3"/>
              <w:spacing w:before="0" w:beforeAutospacing="0" w:after="0" w:afterAutospacing="0"/>
              <w:rPr>
                <w:color w:val="000000"/>
                <w:sz w:val="18"/>
                <w:szCs w:val="18"/>
              </w:rPr>
            </w:pPr>
            <w:r>
              <w:rPr>
                <w:color w:val="000000"/>
                <w:sz w:val="18"/>
                <w:szCs w:val="18"/>
              </w:rPr>
              <w:t>      Forfeited/ cancelled</w:t>
            </w:r>
          </w:p>
        </w:tc>
        <w:tc>
          <w:tcPr>
            <w:tcW w:w="54" w:type="pct"/>
            <w:shd w:val="clear" w:color="auto" w:fill="FFFFFF"/>
            <w:tcMar>
              <w:top w:w="15" w:type="dxa"/>
              <w:left w:w="0" w:type="dxa"/>
              <w:bottom w:w="0" w:type="dxa"/>
              <w:right w:w="15" w:type="dxa"/>
            </w:tcMar>
            <w:vAlign w:val="bottom"/>
            <w:hideMark/>
          </w:tcPr>
          <w:p w14:paraId="1A698E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9C41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2B82442C" w14:textId="77777777" w:rsidR="00000000" w:rsidRDefault="00582324">
            <w:pPr>
              <w:pStyle w:val="a3"/>
              <w:spacing w:before="0" w:beforeAutospacing="0" w:after="0" w:afterAutospacing="0"/>
              <w:jc w:val="right"/>
              <w:rPr>
                <w:color w:val="000000"/>
                <w:sz w:val="18"/>
                <w:szCs w:val="18"/>
              </w:rPr>
            </w:pPr>
            <w:r>
              <w:rPr>
                <w:color w:val="000000"/>
                <w:sz w:val="18"/>
                <w:szCs w:val="18"/>
              </w:rPr>
              <w:t>(1,250</w:t>
            </w:r>
          </w:p>
        </w:tc>
        <w:tc>
          <w:tcPr>
            <w:tcW w:w="50" w:type="pct"/>
            <w:shd w:val="clear" w:color="auto" w:fill="FFFFFF"/>
            <w:noWrap/>
            <w:tcMar>
              <w:top w:w="15" w:type="dxa"/>
              <w:left w:w="0" w:type="dxa"/>
              <w:bottom w:w="0" w:type="dxa"/>
              <w:right w:w="15" w:type="dxa"/>
            </w:tcMar>
            <w:vAlign w:val="bottom"/>
            <w:hideMark/>
          </w:tcPr>
          <w:p w14:paraId="3F7E28F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4" w:type="pct"/>
            <w:shd w:val="clear" w:color="auto" w:fill="FFFFFF"/>
            <w:tcMar>
              <w:top w:w="15" w:type="dxa"/>
              <w:left w:w="0" w:type="dxa"/>
              <w:bottom w:w="0" w:type="dxa"/>
              <w:right w:w="15" w:type="dxa"/>
            </w:tcMar>
            <w:vAlign w:val="bottom"/>
            <w:hideMark/>
          </w:tcPr>
          <w:p w14:paraId="65F69B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C765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3C9EF93D"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39CC6A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721CE7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E6B0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0207C39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E629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5ED30A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4918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4C4AEAD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2001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73F25B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BBC6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45B4DE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C23DD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8F14876" w14:textId="77777777">
        <w:trPr>
          <w:divId w:val="796949298"/>
        </w:trPr>
        <w:tc>
          <w:tcPr>
            <w:tcW w:w="2239" w:type="pct"/>
            <w:shd w:val="clear" w:color="auto" w:fill="CFF0FC"/>
            <w:tcMar>
              <w:top w:w="15" w:type="dxa"/>
              <w:left w:w="0" w:type="dxa"/>
              <w:bottom w:w="0" w:type="dxa"/>
              <w:right w:w="15" w:type="dxa"/>
            </w:tcMar>
            <w:hideMark/>
          </w:tcPr>
          <w:p w14:paraId="269245B4" w14:textId="77777777" w:rsidR="00000000" w:rsidRDefault="00582324">
            <w:pPr>
              <w:pStyle w:val="a3"/>
              <w:spacing w:before="0" w:beforeAutospacing="0" w:after="0" w:afterAutospacing="0"/>
              <w:ind w:left="274"/>
              <w:rPr>
                <w:color w:val="000000"/>
                <w:sz w:val="18"/>
                <w:szCs w:val="18"/>
              </w:rPr>
            </w:pPr>
            <w:r>
              <w:rPr>
                <w:color w:val="000000"/>
                <w:sz w:val="18"/>
                <w:szCs w:val="18"/>
              </w:rPr>
              <w:t>Expired</w:t>
            </w:r>
          </w:p>
        </w:tc>
        <w:tc>
          <w:tcPr>
            <w:tcW w:w="54" w:type="pct"/>
            <w:shd w:val="clear" w:color="auto" w:fill="CFF0FC"/>
            <w:tcMar>
              <w:top w:w="15" w:type="dxa"/>
              <w:left w:w="0" w:type="dxa"/>
              <w:bottom w:w="0" w:type="dxa"/>
              <w:right w:w="15" w:type="dxa"/>
            </w:tcMar>
            <w:vAlign w:val="bottom"/>
            <w:hideMark/>
          </w:tcPr>
          <w:p w14:paraId="5488DE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C287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3ED336F2" w14:textId="77777777" w:rsidR="00000000" w:rsidRDefault="00582324">
            <w:pPr>
              <w:pStyle w:val="a3"/>
              <w:spacing w:before="0" w:beforeAutospacing="0" w:after="0" w:afterAutospacing="0"/>
              <w:jc w:val="right"/>
              <w:rPr>
                <w:color w:val="000000"/>
                <w:sz w:val="18"/>
                <w:szCs w:val="18"/>
              </w:rPr>
            </w:pPr>
            <w:r>
              <w:rPr>
                <w:color w:val="000000"/>
                <w:sz w:val="18"/>
                <w:szCs w:val="18"/>
              </w:rPr>
              <w:t>(8,550</w:t>
            </w:r>
          </w:p>
        </w:tc>
        <w:tc>
          <w:tcPr>
            <w:tcW w:w="50" w:type="pct"/>
            <w:shd w:val="clear" w:color="auto" w:fill="CFF0FC"/>
            <w:noWrap/>
            <w:tcMar>
              <w:top w:w="15" w:type="dxa"/>
              <w:left w:w="0" w:type="dxa"/>
              <w:bottom w:w="0" w:type="dxa"/>
              <w:right w:w="15" w:type="dxa"/>
            </w:tcMar>
            <w:vAlign w:val="bottom"/>
            <w:hideMark/>
          </w:tcPr>
          <w:p w14:paraId="47EFB88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4" w:type="pct"/>
            <w:shd w:val="clear" w:color="auto" w:fill="CFF0FC"/>
            <w:tcMar>
              <w:top w:w="15" w:type="dxa"/>
              <w:left w:w="0" w:type="dxa"/>
              <w:bottom w:w="0" w:type="dxa"/>
              <w:right w:w="15" w:type="dxa"/>
            </w:tcMar>
            <w:vAlign w:val="bottom"/>
            <w:hideMark/>
          </w:tcPr>
          <w:p w14:paraId="528712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D7AB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46CC35A7"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233311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792F45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591E7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696917B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FBED7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575415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C02D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1A935F3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2B878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19EDF7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3AE0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42B2346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992346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DE01263" w14:textId="77777777">
        <w:trPr>
          <w:divId w:val="796949298"/>
        </w:trPr>
        <w:tc>
          <w:tcPr>
            <w:tcW w:w="2239" w:type="pct"/>
            <w:shd w:val="clear" w:color="auto" w:fill="FFFFFF"/>
            <w:tcMar>
              <w:top w:w="15" w:type="dxa"/>
              <w:left w:w="0" w:type="dxa"/>
              <w:bottom w:w="0" w:type="dxa"/>
              <w:right w:w="15" w:type="dxa"/>
            </w:tcMar>
            <w:hideMark/>
          </w:tcPr>
          <w:p w14:paraId="2B757FB4" w14:textId="77777777" w:rsidR="00000000" w:rsidRDefault="00582324">
            <w:pPr>
              <w:pStyle w:val="a3"/>
              <w:spacing w:before="0" w:beforeAutospacing="0" w:after="0" w:afterAutospacing="0"/>
              <w:ind w:left="274"/>
              <w:rPr>
                <w:color w:val="000000"/>
                <w:sz w:val="18"/>
                <w:szCs w:val="18"/>
              </w:rPr>
            </w:pPr>
            <w:r>
              <w:rPr>
                <w:color w:val="000000"/>
                <w:sz w:val="18"/>
                <w:szCs w:val="18"/>
              </w:rPr>
              <w:t>Exercised</w:t>
            </w:r>
          </w:p>
        </w:tc>
        <w:tc>
          <w:tcPr>
            <w:tcW w:w="54" w:type="pct"/>
            <w:shd w:val="clear" w:color="auto" w:fill="FFFFFF"/>
            <w:tcMar>
              <w:top w:w="15" w:type="dxa"/>
              <w:left w:w="0" w:type="dxa"/>
              <w:bottom w:w="0" w:type="dxa"/>
              <w:right w:w="15" w:type="dxa"/>
            </w:tcMar>
            <w:vAlign w:val="bottom"/>
            <w:hideMark/>
          </w:tcPr>
          <w:p w14:paraId="55B0F6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DA67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5C13286" w14:textId="77777777" w:rsidR="00000000" w:rsidRDefault="00582324">
            <w:pPr>
              <w:pStyle w:val="a3"/>
              <w:spacing w:before="0" w:beforeAutospacing="0" w:after="0" w:afterAutospacing="0"/>
              <w:jc w:val="right"/>
              <w:rPr>
                <w:color w:val="000000"/>
                <w:sz w:val="18"/>
                <w:szCs w:val="18"/>
              </w:rPr>
            </w:pPr>
            <w:r>
              <w:rPr>
                <w:color w:val="000000"/>
                <w:sz w:val="18"/>
                <w:szCs w:val="18"/>
              </w:rPr>
              <w:t>(3,500</w:t>
            </w:r>
          </w:p>
        </w:tc>
        <w:tc>
          <w:tcPr>
            <w:tcW w:w="50" w:type="pct"/>
            <w:shd w:val="clear" w:color="auto" w:fill="FFFFFF"/>
            <w:noWrap/>
            <w:tcMar>
              <w:top w:w="15" w:type="dxa"/>
              <w:left w:w="0" w:type="dxa"/>
              <w:bottom w:w="0" w:type="dxa"/>
              <w:right w:w="15" w:type="dxa"/>
            </w:tcMar>
            <w:vAlign w:val="bottom"/>
            <w:hideMark/>
          </w:tcPr>
          <w:p w14:paraId="6FBC322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4" w:type="pct"/>
            <w:shd w:val="clear" w:color="auto" w:fill="FFFFFF"/>
            <w:tcMar>
              <w:top w:w="15" w:type="dxa"/>
              <w:left w:w="0" w:type="dxa"/>
              <w:bottom w:w="0" w:type="dxa"/>
              <w:right w:w="15" w:type="dxa"/>
            </w:tcMar>
            <w:vAlign w:val="bottom"/>
            <w:hideMark/>
          </w:tcPr>
          <w:p w14:paraId="21DC97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A241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9ABECB0"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13A3E7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11F0BDC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AE06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E2D598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D180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3C3474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5A9B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05FFCE3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97B9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74A7C3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15EC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B0C37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AA147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3FB08F2" w14:textId="77777777">
        <w:trPr>
          <w:divId w:val="796949298"/>
        </w:trPr>
        <w:tc>
          <w:tcPr>
            <w:tcW w:w="2239" w:type="pct"/>
            <w:shd w:val="clear" w:color="auto" w:fill="CFF0FC"/>
            <w:tcMar>
              <w:top w:w="15" w:type="dxa"/>
              <w:left w:w="0" w:type="dxa"/>
              <w:bottom w:w="0" w:type="dxa"/>
              <w:right w:w="15" w:type="dxa"/>
            </w:tcMar>
            <w:hideMark/>
          </w:tcPr>
          <w:p w14:paraId="782E5539" w14:textId="77777777" w:rsidR="00000000" w:rsidRDefault="00582324">
            <w:pPr>
              <w:pStyle w:val="a3"/>
              <w:spacing w:before="0" w:beforeAutospacing="0" w:after="0" w:afterAutospacing="0"/>
              <w:rPr>
                <w:color w:val="000000"/>
                <w:sz w:val="18"/>
                <w:szCs w:val="18"/>
              </w:rPr>
            </w:pPr>
            <w:r>
              <w:rPr>
                <w:color w:val="000000"/>
                <w:sz w:val="18"/>
                <w:szCs w:val="18"/>
              </w:rPr>
              <w:t>Outstanding at June 30, 2020</w:t>
            </w:r>
          </w:p>
        </w:tc>
        <w:tc>
          <w:tcPr>
            <w:tcW w:w="54" w:type="pct"/>
            <w:shd w:val="clear" w:color="auto" w:fill="CFF0FC"/>
            <w:tcMar>
              <w:top w:w="15" w:type="dxa"/>
              <w:left w:w="0" w:type="dxa"/>
              <w:bottom w:w="0" w:type="dxa"/>
              <w:right w:w="15" w:type="dxa"/>
            </w:tcMar>
            <w:vAlign w:val="bottom"/>
            <w:hideMark/>
          </w:tcPr>
          <w:p w14:paraId="248876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2A69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5021F6D6" w14:textId="77777777" w:rsidR="00000000" w:rsidRDefault="00582324">
            <w:pPr>
              <w:pStyle w:val="a3"/>
              <w:spacing w:before="0" w:beforeAutospacing="0" w:after="0" w:afterAutospacing="0"/>
              <w:jc w:val="right"/>
              <w:rPr>
                <w:color w:val="000000"/>
                <w:sz w:val="18"/>
                <w:szCs w:val="18"/>
              </w:rPr>
            </w:pPr>
            <w:r>
              <w:rPr>
                <w:color w:val="000000"/>
                <w:sz w:val="18"/>
                <w:szCs w:val="18"/>
              </w:rPr>
              <w:t>1,842,169</w:t>
            </w:r>
          </w:p>
        </w:tc>
        <w:tc>
          <w:tcPr>
            <w:tcW w:w="50" w:type="pct"/>
            <w:shd w:val="clear" w:color="auto" w:fill="CFF0FC"/>
            <w:noWrap/>
            <w:tcMar>
              <w:top w:w="15" w:type="dxa"/>
              <w:left w:w="0" w:type="dxa"/>
              <w:bottom w:w="0" w:type="dxa"/>
              <w:right w:w="15" w:type="dxa"/>
            </w:tcMar>
            <w:vAlign w:val="bottom"/>
            <w:hideMark/>
          </w:tcPr>
          <w:p w14:paraId="42074A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2CD268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FEC5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EFAB729"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635178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479B34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30CA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2D85A3E"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710AEB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4AF91B1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900A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1DDCB65C" w14:textId="77777777" w:rsidR="00000000" w:rsidRDefault="00582324">
            <w:pPr>
              <w:pStyle w:val="a3"/>
              <w:spacing w:before="0" w:beforeAutospacing="0" w:after="0" w:afterAutospacing="0"/>
              <w:jc w:val="right"/>
              <w:rPr>
                <w:color w:val="000000"/>
                <w:sz w:val="18"/>
                <w:szCs w:val="18"/>
              </w:rPr>
            </w:pPr>
            <w:r>
              <w:rPr>
                <w:color w:val="000000"/>
                <w:sz w:val="18"/>
                <w:szCs w:val="18"/>
              </w:rPr>
              <w:t>5.9</w:t>
            </w: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374CB3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149990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414D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7E39F568" w14:textId="77777777" w:rsidR="00000000" w:rsidRDefault="00582324">
            <w:pPr>
              <w:pStyle w:val="a3"/>
              <w:spacing w:before="0" w:beforeAutospacing="0" w:after="0" w:afterAutospacing="0"/>
              <w:jc w:val="right"/>
              <w:rPr>
                <w:color w:val="000000"/>
                <w:sz w:val="18"/>
                <w:szCs w:val="18"/>
              </w:rPr>
            </w:pPr>
            <w:r>
              <w:rPr>
                <w:color w:val="000000"/>
                <w:sz w:val="18"/>
                <w:szCs w:val="18"/>
              </w:rPr>
              <w:t>46,276</w:t>
            </w:r>
          </w:p>
        </w:tc>
        <w:tc>
          <w:tcPr>
            <w:tcW w:w="50" w:type="pct"/>
            <w:shd w:val="clear" w:color="auto" w:fill="CFF0FC"/>
            <w:noWrap/>
            <w:tcMar>
              <w:top w:w="15" w:type="dxa"/>
              <w:left w:w="0" w:type="dxa"/>
              <w:bottom w:w="0" w:type="dxa"/>
              <w:right w:w="15" w:type="dxa"/>
            </w:tcMar>
            <w:vAlign w:val="bottom"/>
            <w:hideMark/>
          </w:tcPr>
          <w:p w14:paraId="10889CF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71FACD9" w14:textId="77777777">
        <w:trPr>
          <w:divId w:val="796949298"/>
        </w:trPr>
        <w:tc>
          <w:tcPr>
            <w:tcW w:w="2239" w:type="pct"/>
            <w:shd w:val="clear" w:color="auto" w:fill="FFFFFF"/>
            <w:tcMar>
              <w:top w:w="15" w:type="dxa"/>
              <w:left w:w="0" w:type="dxa"/>
              <w:bottom w:w="0" w:type="dxa"/>
              <w:right w:w="15" w:type="dxa"/>
            </w:tcMar>
            <w:hideMark/>
          </w:tcPr>
          <w:p w14:paraId="30931B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16A088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A694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3C8E8C3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A4D61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25B71E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09D5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7D56798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8209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0CA93C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73B4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18E5F9C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AD21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11F7EB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23C7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4ABBC7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F247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09B8BE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F7849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14A936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8F50E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76AE371" w14:textId="77777777">
        <w:trPr>
          <w:divId w:val="796949298"/>
        </w:trPr>
        <w:tc>
          <w:tcPr>
            <w:tcW w:w="2239" w:type="pct"/>
            <w:shd w:val="clear" w:color="auto" w:fill="CFF0FC"/>
            <w:tcMar>
              <w:top w:w="15" w:type="dxa"/>
              <w:left w:w="0" w:type="dxa"/>
              <w:bottom w:w="0" w:type="dxa"/>
              <w:right w:w="15" w:type="dxa"/>
            </w:tcMar>
            <w:hideMark/>
          </w:tcPr>
          <w:p w14:paraId="0536CF23" w14:textId="77777777" w:rsidR="00000000" w:rsidRDefault="00582324">
            <w:pPr>
              <w:pStyle w:val="a3"/>
              <w:spacing w:before="0" w:beforeAutospacing="0" w:after="0" w:afterAutospacing="0"/>
              <w:rPr>
                <w:color w:val="000000"/>
                <w:sz w:val="18"/>
                <w:szCs w:val="18"/>
              </w:rPr>
            </w:pPr>
            <w:r>
              <w:rPr>
                <w:color w:val="000000"/>
                <w:sz w:val="18"/>
                <w:szCs w:val="18"/>
              </w:rPr>
              <w:t>Outstanding at January 1, 2021</w:t>
            </w:r>
          </w:p>
        </w:tc>
        <w:tc>
          <w:tcPr>
            <w:tcW w:w="54" w:type="pct"/>
            <w:shd w:val="clear" w:color="auto" w:fill="CFF0FC"/>
            <w:tcMar>
              <w:top w:w="15" w:type="dxa"/>
              <w:left w:w="0" w:type="dxa"/>
              <w:bottom w:w="0" w:type="dxa"/>
              <w:right w:w="15" w:type="dxa"/>
            </w:tcMar>
            <w:vAlign w:val="bottom"/>
            <w:hideMark/>
          </w:tcPr>
          <w:p w14:paraId="22B51E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94F86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1AF1A1BC" w14:textId="77777777" w:rsidR="00000000" w:rsidRDefault="00582324">
            <w:pPr>
              <w:pStyle w:val="a3"/>
              <w:spacing w:before="0" w:beforeAutospacing="0" w:after="0" w:afterAutospacing="0"/>
              <w:jc w:val="right"/>
              <w:rPr>
                <w:color w:val="000000"/>
                <w:sz w:val="18"/>
                <w:szCs w:val="18"/>
              </w:rPr>
            </w:pPr>
            <w:r>
              <w:rPr>
                <w:color w:val="000000"/>
                <w:sz w:val="18"/>
                <w:szCs w:val="18"/>
              </w:rPr>
              <w:t>1,787,869</w:t>
            </w:r>
          </w:p>
        </w:tc>
        <w:tc>
          <w:tcPr>
            <w:tcW w:w="50" w:type="pct"/>
            <w:shd w:val="clear" w:color="auto" w:fill="CFF0FC"/>
            <w:noWrap/>
            <w:tcMar>
              <w:top w:w="15" w:type="dxa"/>
              <w:left w:w="0" w:type="dxa"/>
              <w:bottom w:w="0" w:type="dxa"/>
              <w:right w:w="15" w:type="dxa"/>
            </w:tcMar>
            <w:vAlign w:val="bottom"/>
            <w:hideMark/>
          </w:tcPr>
          <w:p w14:paraId="42D67A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391E76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BA8B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6F7D2B5B"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2FF52D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6BE839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F394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098D713F"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123E29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75CABC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9C89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794EF51F" w14:textId="77777777" w:rsidR="00000000" w:rsidRDefault="00582324">
            <w:pPr>
              <w:pStyle w:val="a3"/>
              <w:spacing w:before="0" w:beforeAutospacing="0" w:after="0" w:afterAutospacing="0"/>
              <w:jc w:val="right"/>
              <w:rPr>
                <w:color w:val="000000"/>
                <w:sz w:val="18"/>
                <w:szCs w:val="18"/>
              </w:rPr>
            </w:pPr>
            <w:r>
              <w:rPr>
                <w:color w:val="000000"/>
                <w:sz w:val="18"/>
                <w:szCs w:val="18"/>
              </w:rPr>
              <w:t>5.4</w:t>
            </w:r>
            <w:r>
              <w:rPr>
                <w:color w:val="000000"/>
                <w:sz w:val="18"/>
                <w:szCs w:val="18"/>
              </w:rPr>
              <w:t>0</w:t>
            </w:r>
          </w:p>
        </w:tc>
        <w:tc>
          <w:tcPr>
            <w:tcW w:w="50" w:type="pct"/>
            <w:shd w:val="clear" w:color="auto" w:fill="CFF0FC"/>
            <w:noWrap/>
            <w:tcMar>
              <w:top w:w="15" w:type="dxa"/>
              <w:left w:w="0" w:type="dxa"/>
              <w:bottom w:w="0" w:type="dxa"/>
              <w:right w:w="15" w:type="dxa"/>
            </w:tcMar>
            <w:vAlign w:val="bottom"/>
            <w:hideMark/>
          </w:tcPr>
          <w:p w14:paraId="651EB0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657762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018E3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45EABA34" w14:textId="77777777" w:rsidR="00000000" w:rsidRDefault="00582324">
            <w:pPr>
              <w:pStyle w:val="a3"/>
              <w:spacing w:before="0" w:beforeAutospacing="0" w:after="0" w:afterAutospacing="0"/>
              <w:jc w:val="right"/>
              <w:rPr>
                <w:color w:val="000000"/>
                <w:sz w:val="18"/>
                <w:szCs w:val="18"/>
              </w:rPr>
            </w:pPr>
            <w:r>
              <w:rPr>
                <w:color w:val="000000"/>
                <w:sz w:val="18"/>
                <w:szCs w:val="18"/>
              </w:rPr>
              <w:t>43,867</w:t>
            </w:r>
          </w:p>
        </w:tc>
        <w:tc>
          <w:tcPr>
            <w:tcW w:w="50" w:type="pct"/>
            <w:shd w:val="clear" w:color="auto" w:fill="CFF0FC"/>
            <w:noWrap/>
            <w:tcMar>
              <w:top w:w="15" w:type="dxa"/>
              <w:left w:w="0" w:type="dxa"/>
              <w:bottom w:w="0" w:type="dxa"/>
              <w:right w:w="15" w:type="dxa"/>
            </w:tcMar>
            <w:vAlign w:val="bottom"/>
            <w:hideMark/>
          </w:tcPr>
          <w:p w14:paraId="58F62EB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F649027" w14:textId="77777777">
        <w:trPr>
          <w:divId w:val="796949298"/>
        </w:trPr>
        <w:tc>
          <w:tcPr>
            <w:tcW w:w="2239" w:type="pct"/>
            <w:shd w:val="clear" w:color="auto" w:fill="FFFFFF"/>
            <w:tcMar>
              <w:top w:w="15" w:type="dxa"/>
              <w:left w:w="0" w:type="dxa"/>
              <w:bottom w:w="0" w:type="dxa"/>
              <w:right w:w="15" w:type="dxa"/>
            </w:tcMar>
            <w:hideMark/>
          </w:tcPr>
          <w:p w14:paraId="5AA45265" w14:textId="77777777" w:rsidR="00000000" w:rsidRDefault="00582324">
            <w:pPr>
              <w:pStyle w:val="a3"/>
              <w:spacing w:before="0" w:beforeAutospacing="0" w:after="0" w:afterAutospacing="0"/>
              <w:ind w:left="274"/>
              <w:rPr>
                <w:color w:val="000000"/>
                <w:sz w:val="18"/>
                <w:szCs w:val="18"/>
              </w:rPr>
            </w:pPr>
            <w:r>
              <w:rPr>
                <w:color w:val="000000"/>
                <w:sz w:val="18"/>
                <w:szCs w:val="18"/>
              </w:rPr>
              <w:t>Exercised</w:t>
            </w:r>
          </w:p>
        </w:tc>
        <w:tc>
          <w:tcPr>
            <w:tcW w:w="54" w:type="pct"/>
            <w:shd w:val="clear" w:color="auto" w:fill="FFFFFF"/>
            <w:tcMar>
              <w:top w:w="15" w:type="dxa"/>
              <w:left w:w="0" w:type="dxa"/>
              <w:bottom w:w="0" w:type="dxa"/>
              <w:right w:w="15" w:type="dxa"/>
            </w:tcMar>
            <w:vAlign w:val="bottom"/>
            <w:hideMark/>
          </w:tcPr>
          <w:p w14:paraId="6CF9DF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07F5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166D111" w14:textId="77777777" w:rsidR="00000000" w:rsidRDefault="00582324">
            <w:pPr>
              <w:pStyle w:val="a3"/>
              <w:spacing w:before="0" w:beforeAutospacing="0" w:after="0" w:afterAutospacing="0"/>
              <w:jc w:val="right"/>
              <w:rPr>
                <w:color w:val="000000"/>
                <w:sz w:val="18"/>
                <w:szCs w:val="18"/>
              </w:rPr>
            </w:pPr>
            <w:r>
              <w:rPr>
                <w:color w:val="000000"/>
                <w:sz w:val="18"/>
                <w:szCs w:val="18"/>
              </w:rPr>
              <w:t>(389,232</w:t>
            </w:r>
          </w:p>
        </w:tc>
        <w:tc>
          <w:tcPr>
            <w:tcW w:w="50" w:type="pct"/>
            <w:shd w:val="clear" w:color="auto" w:fill="FFFFFF"/>
            <w:noWrap/>
            <w:tcMar>
              <w:top w:w="15" w:type="dxa"/>
              <w:left w:w="0" w:type="dxa"/>
              <w:bottom w:w="0" w:type="dxa"/>
              <w:right w:w="15" w:type="dxa"/>
            </w:tcMar>
            <w:vAlign w:val="bottom"/>
            <w:hideMark/>
          </w:tcPr>
          <w:p w14:paraId="706F602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4" w:type="pct"/>
            <w:shd w:val="clear" w:color="auto" w:fill="FFFFFF"/>
            <w:tcMar>
              <w:top w:w="15" w:type="dxa"/>
              <w:left w:w="0" w:type="dxa"/>
              <w:bottom w:w="0" w:type="dxa"/>
              <w:right w:w="15" w:type="dxa"/>
            </w:tcMar>
            <w:vAlign w:val="bottom"/>
            <w:hideMark/>
          </w:tcPr>
          <w:p w14:paraId="7BC79B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A511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EAEAE1B"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6E5A34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159536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55E6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3271686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3BFDD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32A1C2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A065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5E682AA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D384B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53B3F1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33F5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14:paraId="194C4EA3" w14:textId="77777777" w:rsidR="00000000" w:rsidRDefault="00582324">
            <w:pPr>
              <w:pStyle w:val="a3"/>
              <w:spacing w:before="0" w:beforeAutospacing="0" w:after="0" w:afterAutospacing="0"/>
              <w:jc w:val="right"/>
              <w:rPr>
                <w:color w:val="000000"/>
                <w:sz w:val="18"/>
                <w:szCs w:val="18"/>
              </w:rPr>
            </w:pPr>
            <w:r>
              <w:rPr>
                <w:color w:val="000000"/>
                <w:sz w:val="18"/>
                <w:szCs w:val="18"/>
              </w:rPr>
              <w:t>15,922</w:t>
            </w:r>
          </w:p>
        </w:tc>
        <w:tc>
          <w:tcPr>
            <w:tcW w:w="50" w:type="pct"/>
            <w:shd w:val="clear" w:color="auto" w:fill="FFFFFF"/>
            <w:noWrap/>
            <w:tcMar>
              <w:top w:w="15" w:type="dxa"/>
              <w:left w:w="0" w:type="dxa"/>
              <w:bottom w:w="0" w:type="dxa"/>
              <w:right w:w="15" w:type="dxa"/>
            </w:tcMar>
            <w:vAlign w:val="bottom"/>
            <w:hideMark/>
          </w:tcPr>
          <w:p w14:paraId="1F717A1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259415D" w14:textId="77777777">
        <w:trPr>
          <w:divId w:val="796949298"/>
        </w:trPr>
        <w:tc>
          <w:tcPr>
            <w:tcW w:w="2239" w:type="pct"/>
            <w:shd w:val="clear" w:color="auto" w:fill="CFF0FC"/>
            <w:tcMar>
              <w:top w:w="15" w:type="dxa"/>
              <w:left w:w="0" w:type="dxa"/>
              <w:bottom w:w="0" w:type="dxa"/>
              <w:right w:w="15" w:type="dxa"/>
            </w:tcMar>
            <w:hideMark/>
          </w:tcPr>
          <w:p w14:paraId="2FFB07ED" w14:textId="77777777" w:rsidR="00000000" w:rsidRDefault="00582324">
            <w:pPr>
              <w:pStyle w:val="a3"/>
              <w:spacing w:before="0" w:beforeAutospacing="0" w:after="0" w:afterAutospacing="0"/>
              <w:rPr>
                <w:color w:val="000000"/>
                <w:sz w:val="18"/>
                <w:szCs w:val="18"/>
              </w:rPr>
            </w:pPr>
            <w:r>
              <w:rPr>
                <w:color w:val="000000"/>
                <w:sz w:val="18"/>
                <w:szCs w:val="18"/>
              </w:rPr>
              <w:t>Outstanding at June 30, 2021</w:t>
            </w:r>
          </w:p>
        </w:tc>
        <w:tc>
          <w:tcPr>
            <w:tcW w:w="54" w:type="pct"/>
            <w:shd w:val="clear" w:color="auto" w:fill="CFF0FC"/>
            <w:tcMar>
              <w:top w:w="15" w:type="dxa"/>
              <w:left w:w="0" w:type="dxa"/>
              <w:bottom w:w="0" w:type="dxa"/>
              <w:right w:w="15" w:type="dxa"/>
            </w:tcMar>
            <w:vAlign w:val="bottom"/>
            <w:hideMark/>
          </w:tcPr>
          <w:p w14:paraId="4C6BEE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9D47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23D895A9" w14:textId="77777777" w:rsidR="00000000" w:rsidRDefault="00582324">
            <w:pPr>
              <w:pStyle w:val="a3"/>
              <w:spacing w:before="0" w:beforeAutospacing="0" w:after="0" w:afterAutospacing="0"/>
              <w:jc w:val="right"/>
              <w:rPr>
                <w:color w:val="000000"/>
                <w:sz w:val="18"/>
                <w:szCs w:val="18"/>
              </w:rPr>
            </w:pPr>
            <w:r>
              <w:rPr>
                <w:color w:val="000000"/>
                <w:sz w:val="18"/>
                <w:szCs w:val="18"/>
              </w:rPr>
              <w:t>1,398,637</w:t>
            </w:r>
          </w:p>
        </w:tc>
        <w:tc>
          <w:tcPr>
            <w:tcW w:w="50" w:type="pct"/>
            <w:shd w:val="clear" w:color="auto" w:fill="CFF0FC"/>
            <w:noWrap/>
            <w:tcMar>
              <w:top w:w="15" w:type="dxa"/>
              <w:left w:w="0" w:type="dxa"/>
              <w:bottom w:w="0" w:type="dxa"/>
              <w:right w:w="15" w:type="dxa"/>
            </w:tcMar>
            <w:vAlign w:val="bottom"/>
            <w:hideMark/>
          </w:tcPr>
          <w:p w14:paraId="46F236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5520EE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6926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BFC527F"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59F5A1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3F4C7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CDE5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CD84BE8"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50E4E1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77B038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67DE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31D59173" w14:textId="77777777" w:rsidR="00000000" w:rsidRDefault="00582324">
            <w:pPr>
              <w:pStyle w:val="a3"/>
              <w:spacing w:before="0" w:beforeAutospacing="0" w:after="0" w:afterAutospacing="0"/>
              <w:jc w:val="right"/>
              <w:rPr>
                <w:color w:val="000000"/>
                <w:sz w:val="18"/>
                <w:szCs w:val="18"/>
              </w:rPr>
            </w:pPr>
            <w:r>
              <w:rPr>
                <w:color w:val="000000"/>
                <w:sz w:val="18"/>
                <w:szCs w:val="18"/>
              </w:rPr>
              <w:t>4.8</w:t>
            </w:r>
            <w:r>
              <w:rPr>
                <w:color w:val="000000"/>
                <w:sz w:val="18"/>
                <w:szCs w:val="18"/>
              </w:rPr>
              <w:t>8</w:t>
            </w:r>
          </w:p>
        </w:tc>
        <w:tc>
          <w:tcPr>
            <w:tcW w:w="50" w:type="pct"/>
            <w:shd w:val="clear" w:color="auto" w:fill="CFF0FC"/>
            <w:noWrap/>
            <w:tcMar>
              <w:top w:w="15" w:type="dxa"/>
              <w:left w:w="0" w:type="dxa"/>
              <w:bottom w:w="0" w:type="dxa"/>
              <w:right w:w="15" w:type="dxa"/>
            </w:tcMar>
            <w:vAlign w:val="bottom"/>
            <w:hideMark/>
          </w:tcPr>
          <w:p w14:paraId="6939A8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63EF86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1A29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14:paraId="41C040B4" w14:textId="77777777" w:rsidR="00000000" w:rsidRDefault="00582324">
            <w:pPr>
              <w:pStyle w:val="a3"/>
              <w:spacing w:before="0" w:beforeAutospacing="0" w:after="0" w:afterAutospacing="0"/>
              <w:jc w:val="right"/>
              <w:rPr>
                <w:color w:val="000000"/>
                <w:sz w:val="18"/>
                <w:szCs w:val="18"/>
              </w:rPr>
            </w:pPr>
            <w:r>
              <w:rPr>
                <w:color w:val="000000"/>
                <w:sz w:val="18"/>
                <w:szCs w:val="18"/>
              </w:rPr>
              <w:t>65,982</w:t>
            </w:r>
          </w:p>
        </w:tc>
        <w:tc>
          <w:tcPr>
            <w:tcW w:w="50" w:type="pct"/>
            <w:shd w:val="clear" w:color="auto" w:fill="CFF0FC"/>
            <w:noWrap/>
            <w:tcMar>
              <w:top w:w="15" w:type="dxa"/>
              <w:left w:w="0" w:type="dxa"/>
              <w:bottom w:w="0" w:type="dxa"/>
              <w:right w:w="15" w:type="dxa"/>
            </w:tcMar>
            <w:vAlign w:val="bottom"/>
            <w:hideMark/>
          </w:tcPr>
          <w:p w14:paraId="077F1BC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A414904" w14:textId="77777777">
        <w:trPr>
          <w:divId w:val="796949298"/>
        </w:trPr>
        <w:tc>
          <w:tcPr>
            <w:tcW w:w="2239" w:type="pct"/>
            <w:shd w:val="clear" w:color="auto" w:fill="FFFFFF"/>
            <w:tcMar>
              <w:top w:w="15" w:type="dxa"/>
              <w:left w:w="0" w:type="dxa"/>
              <w:bottom w:w="0" w:type="dxa"/>
              <w:right w:w="15" w:type="dxa"/>
            </w:tcMar>
            <w:hideMark/>
          </w:tcPr>
          <w:p w14:paraId="252D5CBC" w14:textId="77777777" w:rsidR="00000000" w:rsidRDefault="00582324">
            <w:pPr>
              <w:pStyle w:val="a3"/>
              <w:spacing w:before="0" w:beforeAutospacing="0" w:after="0" w:afterAutospacing="0"/>
              <w:rPr>
                <w:color w:val="000000"/>
                <w:sz w:val="18"/>
                <w:szCs w:val="18"/>
              </w:rPr>
            </w:pPr>
            <w:r>
              <w:rPr>
                <w:color w:val="000000"/>
                <w:sz w:val="18"/>
                <w:szCs w:val="18"/>
              </w:rPr>
              <w:t>Exercisable at June 30, 2021</w:t>
            </w:r>
          </w:p>
        </w:tc>
        <w:tc>
          <w:tcPr>
            <w:tcW w:w="54" w:type="pct"/>
            <w:shd w:val="clear" w:color="auto" w:fill="FFFFFF"/>
            <w:tcMar>
              <w:top w:w="15" w:type="dxa"/>
              <w:left w:w="0" w:type="dxa"/>
              <w:bottom w:w="0" w:type="dxa"/>
              <w:right w:w="15" w:type="dxa"/>
            </w:tcMar>
            <w:vAlign w:val="bottom"/>
            <w:hideMark/>
          </w:tcPr>
          <w:p w14:paraId="584B6A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4FA6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6AC3E1F5" w14:textId="77777777" w:rsidR="00000000" w:rsidRDefault="00582324">
            <w:pPr>
              <w:pStyle w:val="a3"/>
              <w:spacing w:before="0" w:beforeAutospacing="0" w:after="0" w:afterAutospacing="0"/>
              <w:jc w:val="right"/>
              <w:rPr>
                <w:color w:val="000000"/>
                <w:sz w:val="18"/>
                <w:szCs w:val="18"/>
              </w:rPr>
            </w:pPr>
            <w:r>
              <w:rPr>
                <w:color w:val="000000"/>
                <w:sz w:val="18"/>
                <w:szCs w:val="18"/>
              </w:rPr>
              <w:t>1,390,812</w:t>
            </w:r>
          </w:p>
        </w:tc>
        <w:tc>
          <w:tcPr>
            <w:tcW w:w="50" w:type="pct"/>
            <w:shd w:val="clear" w:color="auto" w:fill="FFFFFF"/>
            <w:noWrap/>
            <w:tcMar>
              <w:top w:w="15" w:type="dxa"/>
              <w:left w:w="0" w:type="dxa"/>
              <w:bottom w:w="0" w:type="dxa"/>
              <w:right w:w="15" w:type="dxa"/>
            </w:tcMar>
            <w:vAlign w:val="bottom"/>
            <w:hideMark/>
          </w:tcPr>
          <w:p w14:paraId="77C06A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2BC6F7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10F9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25458E6D"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7875A5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545BA2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740C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310C2069"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9442B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0756A7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668E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53712E5A" w14:textId="77777777" w:rsidR="00000000" w:rsidRDefault="00582324">
            <w:pPr>
              <w:pStyle w:val="a3"/>
              <w:spacing w:before="0" w:beforeAutospacing="0" w:after="0" w:afterAutospacing="0"/>
              <w:jc w:val="right"/>
              <w:rPr>
                <w:color w:val="000000"/>
                <w:sz w:val="18"/>
                <w:szCs w:val="18"/>
              </w:rPr>
            </w:pPr>
            <w:r>
              <w:rPr>
                <w:color w:val="000000"/>
                <w:sz w:val="18"/>
                <w:szCs w:val="18"/>
              </w:rPr>
              <w:t>4.8</w:t>
            </w:r>
            <w:r>
              <w:rPr>
                <w:color w:val="000000"/>
                <w:sz w:val="18"/>
                <w:szCs w:val="18"/>
              </w:rPr>
              <w:t>8</w:t>
            </w:r>
          </w:p>
        </w:tc>
        <w:tc>
          <w:tcPr>
            <w:tcW w:w="50" w:type="pct"/>
            <w:shd w:val="clear" w:color="auto" w:fill="FFFFFF"/>
            <w:noWrap/>
            <w:tcMar>
              <w:top w:w="15" w:type="dxa"/>
              <w:left w:w="0" w:type="dxa"/>
              <w:bottom w:w="0" w:type="dxa"/>
              <w:right w:w="15" w:type="dxa"/>
            </w:tcMar>
            <w:vAlign w:val="bottom"/>
            <w:hideMark/>
          </w:tcPr>
          <w:p w14:paraId="380C09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FFFFFF"/>
            <w:tcMar>
              <w:top w:w="15" w:type="dxa"/>
              <w:left w:w="0" w:type="dxa"/>
              <w:bottom w:w="0" w:type="dxa"/>
              <w:right w:w="15" w:type="dxa"/>
            </w:tcMar>
            <w:vAlign w:val="bottom"/>
            <w:hideMark/>
          </w:tcPr>
          <w:p w14:paraId="40E7F9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6879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FFFFFF"/>
            <w:noWrap/>
            <w:tcMar>
              <w:top w:w="15" w:type="dxa"/>
              <w:left w:w="0" w:type="dxa"/>
              <w:bottom w:w="0" w:type="dxa"/>
              <w:right w:w="15" w:type="dxa"/>
            </w:tcMar>
            <w:vAlign w:val="bottom"/>
            <w:hideMark/>
          </w:tcPr>
          <w:p w14:paraId="28FCDB62" w14:textId="77777777" w:rsidR="00000000" w:rsidRDefault="00582324">
            <w:pPr>
              <w:pStyle w:val="a3"/>
              <w:spacing w:before="0" w:beforeAutospacing="0" w:after="0" w:afterAutospacing="0"/>
              <w:jc w:val="right"/>
              <w:rPr>
                <w:color w:val="000000"/>
                <w:sz w:val="18"/>
                <w:szCs w:val="18"/>
              </w:rPr>
            </w:pPr>
            <w:r>
              <w:rPr>
                <w:color w:val="000000"/>
                <w:sz w:val="18"/>
                <w:szCs w:val="18"/>
              </w:rPr>
              <w:t>65,651</w:t>
            </w:r>
          </w:p>
        </w:tc>
        <w:tc>
          <w:tcPr>
            <w:tcW w:w="50" w:type="pct"/>
            <w:shd w:val="clear" w:color="auto" w:fill="FFFFFF"/>
            <w:noWrap/>
            <w:tcMar>
              <w:top w:w="15" w:type="dxa"/>
              <w:left w:w="0" w:type="dxa"/>
              <w:bottom w:w="0" w:type="dxa"/>
              <w:right w:w="15" w:type="dxa"/>
            </w:tcMar>
            <w:vAlign w:val="bottom"/>
            <w:hideMark/>
          </w:tcPr>
          <w:p w14:paraId="07790F0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A80D8F4" w14:textId="77777777">
        <w:trPr>
          <w:divId w:val="796949298"/>
        </w:trPr>
        <w:tc>
          <w:tcPr>
            <w:tcW w:w="2239" w:type="pct"/>
            <w:shd w:val="clear" w:color="auto" w:fill="CFF0FC"/>
            <w:tcMar>
              <w:top w:w="15" w:type="dxa"/>
              <w:left w:w="0" w:type="dxa"/>
              <w:bottom w:w="0" w:type="dxa"/>
              <w:right w:w="15" w:type="dxa"/>
            </w:tcMar>
            <w:hideMark/>
          </w:tcPr>
          <w:p w14:paraId="459B0C5F" w14:textId="77777777" w:rsidR="00000000" w:rsidRDefault="00582324">
            <w:pPr>
              <w:pStyle w:val="a3"/>
              <w:spacing w:before="0" w:beforeAutospacing="0" w:after="0" w:afterAutospacing="0"/>
              <w:rPr>
                <w:color w:val="000000"/>
                <w:sz w:val="18"/>
                <w:szCs w:val="18"/>
              </w:rPr>
            </w:pPr>
            <w:r>
              <w:rPr>
                <w:color w:val="000000"/>
                <w:sz w:val="18"/>
                <w:szCs w:val="18"/>
              </w:rPr>
              <w:t>Options vested and expected to vest</w:t>
            </w:r>
          </w:p>
        </w:tc>
        <w:tc>
          <w:tcPr>
            <w:tcW w:w="54" w:type="pct"/>
            <w:shd w:val="clear" w:color="auto" w:fill="CFF0FC"/>
            <w:tcMar>
              <w:top w:w="15" w:type="dxa"/>
              <w:left w:w="0" w:type="dxa"/>
              <w:bottom w:w="0" w:type="dxa"/>
              <w:right w:w="15" w:type="dxa"/>
            </w:tcMar>
            <w:vAlign w:val="bottom"/>
            <w:hideMark/>
          </w:tcPr>
          <w:p w14:paraId="683684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7CB9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61E3A368" w14:textId="77777777" w:rsidR="00000000" w:rsidRDefault="00582324">
            <w:pPr>
              <w:pStyle w:val="a3"/>
              <w:spacing w:before="0" w:beforeAutospacing="0" w:after="0" w:afterAutospacing="0"/>
              <w:jc w:val="right"/>
              <w:rPr>
                <w:color w:val="000000"/>
                <w:sz w:val="18"/>
                <w:szCs w:val="18"/>
              </w:rPr>
            </w:pPr>
            <w:r>
              <w:rPr>
                <w:color w:val="000000"/>
                <w:sz w:val="18"/>
                <w:szCs w:val="18"/>
              </w:rPr>
              <w:t>1,398,637</w:t>
            </w:r>
          </w:p>
        </w:tc>
        <w:tc>
          <w:tcPr>
            <w:tcW w:w="50" w:type="pct"/>
            <w:shd w:val="clear" w:color="auto" w:fill="CFF0FC"/>
            <w:noWrap/>
            <w:tcMar>
              <w:top w:w="15" w:type="dxa"/>
              <w:left w:w="0" w:type="dxa"/>
              <w:bottom w:w="0" w:type="dxa"/>
              <w:right w:w="15" w:type="dxa"/>
            </w:tcMar>
            <w:vAlign w:val="bottom"/>
            <w:hideMark/>
          </w:tcPr>
          <w:p w14:paraId="7500A7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3532F1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6261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1F3477B2" w14:textId="77777777" w:rsidR="00000000" w:rsidRDefault="00582324">
            <w:pPr>
              <w:pStyle w:val="a3"/>
              <w:spacing w:before="0" w:beforeAutospacing="0" w:after="0" w:afterAutospacing="0"/>
              <w:jc w:val="right"/>
              <w:rPr>
                <w:color w:val="000000"/>
                <w:sz w:val="18"/>
                <w:szCs w:val="18"/>
              </w:rPr>
            </w:pPr>
            <w:r>
              <w:rPr>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3AE099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556788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FA02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3548DE7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78A42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1E1BBF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916B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4AC4CD34" w14:textId="77777777" w:rsidR="00000000" w:rsidRDefault="00582324">
            <w:pPr>
              <w:pStyle w:val="a3"/>
              <w:spacing w:before="0" w:beforeAutospacing="0" w:after="0" w:afterAutospacing="0"/>
              <w:jc w:val="right"/>
              <w:rPr>
                <w:color w:val="000000"/>
                <w:sz w:val="18"/>
                <w:szCs w:val="18"/>
              </w:rPr>
            </w:pPr>
            <w:r>
              <w:rPr>
                <w:color w:val="000000"/>
                <w:sz w:val="18"/>
                <w:szCs w:val="18"/>
              </w:rPr>
              <w:t>4.8</w:t>
            </w:r>
            <w:r>
              <w:rPr>
                <w:color w:val="000000"/>
                <w:sz w:val="18"/>
                <w:szCs w:val="18"/>
              </w:rPr>
              <w:t>8</w:t>
            </w:r>
          </w:p>
        </w:tc>
        <w:tc>
          <w:tcPr>
            <w:tcW w:w="50" w:type="pct"/>
            <w:shd w:val="clear" w:color="auto" w:fill="CFF0FC"/>
            <w:noWrap/>
            <w:tcMar>
              <w:top w:w="15" w:type="dxa"/>
              <w:left w:w="0" w:type="dxa"/>
              <w:bottom w:w="0" w:type="dxa"/>
              <w:right w:w="15" w:type="dxa"/>
            </w:tcMar>
            <w:vAlign w:val="bottom"/>
            <w:hideMark/>
          </w:tcPr>
          <w:p w14:paraId="7B012A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4" w:type="pct"/>
            <w:shd w:val="clear" w:color="auto" w:fill="CFF0FC"/>
            <w:tcMar>
              <w:top w:w="15" w:type="dxa"/>
              <w:left w:w="0" w:type="dxa"/>
              <w:bottom w:w="0" w:type="dxa"/>
              <w:right w:w="15" w:type="dxa"/>
            </w:tcMar>
            <w:vAlign w:val="bottom"/>
            <w:hideMark/>
          </w:tcPr>
          <w:p w14:paraId="76D849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295C0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7" w:type="pct"/>
            <w:shd w:val="clear" w:color="auto" w:fill="CFF0FC"/>
            <w:noWrap/>
            <w:tcMar>
              <w:top w:w="15" w:type="dxa"/>
              <w:left w:w="0" w:type="dxa"/>
              <w:bottom w:w="0" w:type="dxa"/>
              <w:right w:w="15" w:type="dxa"/>
            </w:tcMar>
            <w:vAlign w:val="bottom"/>
            <w:hideMark/>
          </w:tcPr>
          <w:p w14:paraId="260ACBC2" w14:textId="77777777" w:rsidR="00000000" w:rsidRDefault="00582324">
            <w:pPr>
              <w:pStyle w:val="a3"/>
              <w:spacing w:before="0" w:beforeAutospacing="0" w:after="0" w:afterAutospacing="0"/>
              <w:jc w:val="right"/>
              <w:rPr>
                <w:color w:val="000000"/>
                <w:sz w:val="18"/>
                <w:szCs w:val="18"/>
              </w:rPr>
            </w:pPr>
            <w:r>
              <w:rPr>
                <w:color w:val="000000"/>
                <w:sz w:val="18"/>
                <w:szCs w:val="18"/>
              </w:rPr>
              <w:t>65,982</w:t>
            </w:r>
          </w:p>
        </w:tc>
        <w:tc>
          <w:tcPr>
            <w:tcW w:w="50" w:type="pct"/>
            <w:shd w:val="clear" w:color="auto" w:fill="CFF0FC"/>
            <w:noWrap/>
            <w:tcMar>
              <w:top w:w="15" w:type="dxa"/>
              <w:left w:w="0" w:type="dxa"/>
              <w:bottom w:w="0" w:type="dxa"/>
              <w:right w:w="15" w:type="dxa"/>
            </w:tcMar>
            <w:vAlign w:val="bottom"/>
            <w:hideMark/>
          </w:tcPr>
          <w:p w14:paraId="073795F7"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C0FF9A2" w14:textId="77777777" w:rsidR="00000000" w:rsidRDefault="00582324">
      <w:pPr>
        <w:pStyle w:val="a3"/>
        <w:shd w:val="clear" w:color="auto" w:fill="FFFFFF"/>
        <w:spacing w:before="0" w:beforeAutospacing="0" w:after="0" w:afterAutospacing="0"/>
        <w:rPr>
          <w:sz w:val="20"/>
          <w:szCs w:val="20"/>
        </w:rPr>
      </w:pPr>
      <w:r>
        <w:rPr>
          <w:sz w:val="20"/>
          <w:szCs w:val="20"/>
        </w:rPr>
        <w:t> </w:t>
      </w:r>
    </w:p>
    <w:p w14:paraId="4BE89265"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rPr>
        <w:t>Total shares outstanding from exercised options were 673,350 shares and 205,100 shares as of June 30, 2021 and June 30, 2020, respectively.</w:t>
      </w:r>
    </w:p>
    <w:p w14:paraId="3444FEAA" w14:textId="77777777" w:rsidR="00000000" w:rsidRDefault="00582324">
      <w:pPr>
        <w:pStyle w:val="a3"/>
        <w:shd w:val="clear" w:color="auto" w:fill="FFFFFF"/>
        <w:spacing w:before="0" w:beforeAutospacing="0" w:after="0" w:afterAutospacing="0"/>
        <w:rPr>
          <w:sz w:val="20"/>
          <w:szCs w:val="20"/>
        </w:rPr>
      </w:pPr>
      <w:r>
        <w:rPr>
          <w:sz w:val="20"/>
          <w:szCs w:val="20"/>
        </w:rPr>
        <w:t> </w:t>
      </w:r>
    </w:p>
    <w:p w14:paraId="55EA8EA8" w14:textId="77777777" w:rsidR="00000000" w:rsidRDefault="00582324">
      <w:pPr>
        <w:pStyle w:val="a3"/>
        <w:spacing w:before="240" w:beforeAutospacing="0" w:after="0" w:afterAutospacing="0"/>
        <w:jc w:val="center"/>
        <w:rPr>
          <w:sz w:val="20"/>
          <w:szCs w:val="20"/>
        </w:rPr>
      </w:pPr>
      <w:r>
        <w:rPr>
          <w:sz w:val="20"/>
          <w:szCs w:val="20"/>
        </w:rPr>
        <w:t>26</w:t>
      </w:r>
    </w:p>
    <w:p w14:paraId="226FA723" w14:textId="77777777" w:rsidR="00000000" w:rsidRDefault="00582324">
      <w:pPr>
        <w:rPr>
          <w:rFonts w:eastAsia="Times New Roman"/>
        </w:rPr>
      </w:pPr>
      <w:r>
        <w:rPr>
          <w:rFonts w:eastAsia="Times New Roman"/>
        </w:rPr>
        <w:pict w14:anchorId="41DB2BCB">
          <v:rect id="_x0000_i1052" style="width:0;height:1.5pt" o:hralign="center" o:hrstd="t" o:hr="t" fillcolor="#a0a0a0" stroked="f"/>
        </w:pict>
      </w:r>
    </w:p>
    <w:p w14:paraId="306BB6F8" w14:textId="77777777" w:rsidR="00000000" w:rsidRDefault="00582324">
      <w:pPr>
        <w:pStyle w:val="a3"/>
        <w:spacing w:before="0" w:beforeAutospacing="0" w:after="0" w:afterAutospacing="0"/>
        <w:rPr>
          <w:sz w:val="20"/>
          <w:szCs w:val="20"/>
        </w:rPr>
      </w:pPr>
      <w:r>
        <w:rPr>
          <w:sz w:val="20"/>
          <w:szCs w:val="20"/>
        </w:rPr>
        <w:t> </w:t>
      </w:r>
    </w:p>
    <w:p w14:paraId="2F5705FC" w14:textId="77777777" w:rsidR="00000000" w:rsidRDefault="00582324">
      <w:pPr>
        <w:pStyle w:val="a3"/>
        <w:spacing w:before="0" w:beforeAutospacing="0" w:after="0" w:afterAutospacing="0"/>
        <w:rPr>
          <w:sz w:val="20"/>
          <w:szCs w:val="20"/>
        </w:rPr>
      </w:pPr>
      <w:r>
        <w:rPr>
          <w:sz w:val="20"/>
          <w:szCs w:val="20"/>
        </w:rPr>
        <w:t> </w:t>
      </w:r>
    </w:p>
    <w:p w14:paraId="388D6FBC" w14:textId="77777777" w:rsidR="00000000" w:rsidRDefault="00582324">
      <w:pPr>
        <w:pStyle w:val="a3"/>
        <w:shd w:val="clear" w:color="auto" w:fill="FFFFFF"/>
        <w:spacing w:before="40" w:beforeAutospacing="0" w:after="0" w:afterAutospacing="0"/>
        <w:ind w:firstLine="416"/>
        <w:rPr>
          <w:b/>
          <w:bCs/>
          <w:sz w:val="20"/>
          <w:szCs w:val="20"/>
        </w:rPr>
      </w:pPr>
      <w:r>
        <w:rPr>
          <w:b/>
          <w:bCs/>
          <w:sz w:val="20"/>
          <w:szCs w:val="20"/>
        </w:rPr>
        <w:t>Common Stock Reserved for Future Issuances</w:t>
      </w:r>
      <w:r>
        <w:rPr>
          <w:sz w:val="20"/>
          <w:szCs w:val="20"/>
        </w:rPr>
        <w:t>—The Company has reserved certain stock of its authorized but unissued common stock for possible future issuance in connection with the following:</w:t>
      </w:r>
    </w:p>
    <w:p w14:paraId="25045B50"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92"/>
        <w:gridCol w:w="91"/>
        <w:gridCol w:w="60"/>
        <w:gridCol w:w="747"/>
        <w:gridCol w:w="60"/>
        <w:gridCol w:w="92"/>
        <w:gridCol w:w="60"/>
        <w:gridCol w:w="747"/>
        <w:gridCol w:w="65"/>
      </w:tblGrid>
      <w:tr w:rsidR="00000000" w14:paraId="0037C2B3" w14:textId="77777777">
        <w:trPr>
          <w:divId w:val="1232157601"/>
        </w:trPr>
        <w:tc>
          <w:tcPr>
            <w:tcW w:w="3349" w:type="pct"/>
            <w:shd w:val="clear" w:color="auto" w:fill="FFFFFF"/>
            <w:tcMar>
              <w:top w:w="15" w:type="dxa"/>
              <w:left w:w="0" w:type="dxa"/>
              <w:bottom w:w="0" w:type="dxa"/>
              <w:right w:w="15" w:type="dxa"/>
            </w:tcMar>
            <w:vAlign w:val="bottom"/>
            <w:hideMark/>
          </w:tcPr>
          <w:p w14:paraId="332FC1A3" w14:textId="77777777" w:rsidR="00000000" w:rsidRDefault="00582324">
            <w:pPr>
              <w:pStyle w:val="a3"/>
              <w:spacing w:before="0" w:beforeAutospacing="0" w:after="0" w:afterAutospacing="0"/>
              <w:jc w:val="center"/>
              <w:rPr>
                <w:sz w:val="18"/>
                <w:szCs w:val="18"/>
              </w:rPr>
            </w:pPr>
            <w:r>
              <w:rPr>
                <w:sz w:val="18"/>
                <w:szCs w:val="18"/>
              </w:rPr>
              <w:t> </w:t>
            </w:r>
          </w:p>
        </w:tc>
        <w:tc>
          <w:tcPr>
            <w:tcW w:w="81" w:type="pct"/>
            <w:shd w:val="clear" w:color="auto" w:fill="FFFFFF"/>
            <w:tcMar>
              <w:top w:w="15" w:type="dxa"/>
              <w:left w:w="0" w:type="dxa"/>
              <w:bottom w:w="0" w:type="dxa"/>
              <w:right w:w="15" w:type="dxa"/>
            </w:tcMar>
            <w:vAlign w:val="bottom"/>
            <w:hideMark/>
          </w:tcPr>
          <w:p w14:paraId="4A245F2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7064672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56D68EF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A7BFEB2" w14:textId="77777777">
        <w:trPr>
          <w:divId w:val="1232157601"/>
        </w:trPr>
        <w:tc>
          <w:tcPr>
            <w:tcW w:w="3349" w:type="pct"/>
            <w:shd w:val="clear" w:color="auto" w:fill="FFFFFF"/>
            <w:tcMar>
              <w:top w:w="15" w:type="dxa"/>
              <w:left w:w="0" w:type="dxa"/>
              <w:bottom w:w="0" w:type="dxa"/>
              <w:right w:w="15" w:type="dxa"/>
            </w:tcMar>
            <w:vAlign w:val="bottom"/>
            <w:hideMark/>
          </w:tcPr>
          <w:p w14:paraId="7634F12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81" w:type="pct"/>
            <w:shd w:val="clear" w:color="auto" w:fill="FFFFFF"/>
            <w:tcMar>
              <w:top w:w="15" w:type="dxa"/>
              <w:left w:w="0" w:type="dxa"/>
              <w:bottom w:w="0" w:type="dxa"/>
              <w:right w:w="15" w:type="dxa"/>
            </w:tcMar>
            <w:vAlign w:val="bottom"/>
            <w:hideMark/>
          </w:tcPr>
          <w:p w14:paraId="6813E10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AD720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FC939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31B6FD4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1F0BB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46126365" w14:textId="77777777" w:rsidR="00000000" w:rsidRDefault="00582324">
            <w:pPr>
              <w:pStyle w:val="a3"/>
              <w:spacing w:before="0" w:beforeAutospacing="0" w:after="0" w:afterAutospacing="0"/>
              <w:rPr>
                <w:b/>
                <w:bCs/>
                <w:color w:val="000000"/>
                <w:sz w:val="20"/>
                <w:szCs w:val="20"/>
              </w:rPr>
            </w:pPr>
            <w:r>
              <w:rPr>
                <w:b/>
                <w:bCs/>
                <w:color w:val="000000"/>
                <w:sz w:val="20"/>
                <w:szCs w:val="20"/>
              </w:rPr>
              <w:t> </w:t>
            </w:r>
          </w:p>
        </w:tc>
      </w:tr>
      <w:tr w:rsidR="00000000" w14:paraId="33471389" w14:textId="77777777">
        <w:trPr>
          <w:divId w:val="1232157601"/>
        </w:trPr>
        <w:tc>
          <w:tcPr>
            <w:tcW w:w="3349" w:type="pct"/>
            <w:shd w:val="clear" w:color="auto" w:fill="CFF0FC"/>
            <w:tcMar>
              <w:top w:w="15" w:type="dxa"/>
              <w:left w:w="0" w:type="dxa"/>
              <w:bottom w:w="0" w:type="dxa"/>
              <w:right w:w="15" w:type="dxa"/>
            </w:tcMar>
            <w:hideMark/>
          </w:tcPr>
          <w:p w14:paraId="11E6C6D0" w14:textId="77777777" w:rsidR="00000000" w:rsidRDefault="00582324">
            <w:pPr>
              <w:pStyle w:val="a3"/>
              <w:spacing w:before="0" w:beforeAutospacing="0" w:after="0" w:afterAutospacing="0"/>
              <w:rPr>
                <w:color w:val="000000"/>
                <w:sz w:val="18"/>
                <w:szCs w:val="18"/>
              </w:rPr>
            </w:pPr>
            <w:r>
              <w:rPr>
                <w:color w:val="000000"/>
                <w:sz w:val="18"/>
                <w:szCs w:val="18"/>
              </w:rPr>
              <w:t>Warrants</w:t>
            </w:r>
          </w:p>
        </w:tc>
        <w:tc>
          <w:tcPr>
            <w:tcW w:w="81" w:type="pct"/>
            <w:shd w:val="clear" w:color="auto" w:fill="CFF0FC"/>
            <w:tcMar>
              <w:top w:w="15" w:type="dxa"/>
              <w:left w:w="0" w:type="dxa"/>
              <w:bottom w:w="0" w:type="dxa"/>
              <w:right w:w="15" w:type="dxa"/>
            </w:tcMar>
            <w:vAlign w:val="bottom"/>
            <w:hideMark/>
          </w:tcPr>
          <w:p w14:paraId="5D65CC5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5DEB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1F1F32B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AE93A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308827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61C5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BD36CD5" w14:textId="77777777" w:rsidR="00000000" w:rsidRDefault="00582324">
            <w:pPr>
              <w:pStyle w:val="a3"/>
              <w:spacing w:before="0" w:beforeAutospacing="0" w:after="0" w:afterAutospacing="0"/>
              <w:jc w:val="right"/>
              <w:rPr>
                <w:color w:val="000000"/>
                <w:sz w:val="18"/>
                <w:szCs w:val="18"/>
              </w:rPr>
            </w:pPr>
            <w:r>
              <w:rPr>
                <w:color w:val="000000"/>
                <w:sz w:val="18"/>
                <w:szCs w:val="18"/>
              </w:rPr>
              <w:t>2,002,550</w:t>
            </w:r>
          </w:p>
        </w:tc>
        <w:tc>
          <w:tcPr>
            <w:tcW w:w="50" w:type="pct"/>
            <w:shd w:val="clear" w:color="auto" w:fill="CFF0FC"/>
            <w:noWrap/>
            <w:tcMar>
              <w:top w:w="15" w:type="dxa"/>
              <w:left w:w="0" w:type="dxa"/>
              <w:bottom w:w="0" w:type="dxa"/>
              <w:right w:w="15" w:type="dxa"/>
            </w:tcMar>
            <w:vAlign w:val="bottom"/>
            <w:hideMark/>
          </w:tcPr>
          <w:p w14:paraId="690300E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C33E8FC" w14:textId="77777777">
        <w:trPr>
          <w:divId w:val="1232157601"/>
        </w:trPr>
        <w:tc>
          <w:tcPr>
            <w:tcW w:w="3349" w:type="pct"/>
            <w:shd w:val="clear" w:color="auto" w:fill="FFFFFF"/>
            <w:tcMar>
              <w:top w:w="15" w:type="dxa"/>
              <w:left w:w="0" w:type="dxa"/>
              <w:bottom w:w="0" w:type="dxa"/>
              <w:right w:w="15" w:type="dxa"/>
            </w:tcMar>
            <w:hideMark/>
          </w:tcPr>
          <w:p w14:paraId="48C53248" w14:textId="77777777" w:rsidR="00000000" w:rsidRDefault="00582324">
            <w:pPr>
              <w:pStyle w:val="a3"/>
              <w:spacing w:before="0" w:beforeAutospacing="0" w:after="0" w:afterAutospacing="0"/>
              <w:rPr>
                <w:color w:val="000000"/>
                <w:sz w:val="18"/>
                <w:szCs w:val="18"/>
              </w:rPr>
            </w:pPr>
            <w:r>
              <w:rPr>
                <w:color w:val="000000"/>
                <w:sz w:val="18"/>
                <w:szCs w:val="18"/>
              </w:rPr>
              <w:t>Montrose 2013 Stock Incentive Plan</w:t>
            </w:r>
          </w:p>
        </w:tc>
        <w:tc>
          <w:tcPr>
            <w:tcW w:w="81" w:type="pct"/>
            <w:shd w:val="clear" w:color="auto" w:fill="FFFFFF"/>
            <w:tcMar>
              <w:top w:w="15" w:type="dxa"/>
              <w:left w:w="0" w:type="dxa"/>
              <w:bottom w:w="0" w:type="dxa"/>
              <w:right w:w="15" w:type="dxa"/>
            </w:tcMar>
            <w:vAlign w:val="bottom"/>
            <w:hideMark/>
          </w:tcPr>
          <w:p w14:paraId="5026C0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C277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34802A39" w14:textId="77777777" w:rsidR="00000000" w:rsidRDefault="00582324">
            <w:pPr>
              <w:pStyle w:val="a3"/>
              <w:spacing w:before="0" w:beforeAutospacing="0" w:after="0" w:afterAutospacing="0"/>
              <w:jc w:val="right"/>
              <w:rPr>
                <w:color w:val="000000"/>
                <w:sz w:val="18"/>
                <w:szCs w:val="18"/>
              </w:rPr>
            </w:pPr>
            <w:r>
              <w:rPr>
                <w:color w:val="000000"/>
                <w:sz w:val="18"/>
                <w:szCs w:val="18"/>
              </w:rPr>
              <w:t>2,047,269</w:t>
            </w:r>
          </w:p>
        </w:tc>
        <w:tc>
          <w:tcPr>
            <w:tcW w:w="50" w:type="pct"/>
            <w:shd w:val="clear" w:color="auto" w:fill="FFFFFF"/>
            <w:noWrap/>
            <w:tcMar>
              <w:top w:w="15" w:type="dxa"/>
              <w:left w:w="0" w:type="dxa"/>
              <w:bottom w:w="0" w:type="dxa"/>
              <w:right w:w="15" w:type="dxa"/>
            </w:tcMar>
            <w:vAlign w:val="bottom"/>
            <w:hideMark/>
          </w:tcPr>
          <w:p w14:paraId="33E0A6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4C569B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8705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23E09B87" w14:textId="77777777" w:rsidR="00000000" w:rsidRDefault="00582324">
            <w:pPr>
              <w:pStyle w:val="a3"/>
              <w:spacing w:before="0" w:beforeAutospacing="0" w:after="0" w:afterAutospacing="0"/>
              <w:jc w:val="right"/>
              <w:rPr>
                <w:color w:val="000000"/>
                <w:sz w:val="18"/>
                <w:szCs w:val="18"/>
              </w:rPr>
            </w:pPr>
            <w:r>
              <w:rPr>
                <w:color w:val="000000"/>
                <w:sz w:val="18"/>
                <w:szCs w:val="18"/>
              </w:rPr>
              <w:t>2,050,244</w:t>
            </w:r>
          </w:p>
        </w:tc>
        <w:tc>
          <w:tcPr>
            <w:tcW w:w="50" w:type="pct"/>
            <w:shd w:val="clear" w:color="auto" w:fill="FFFFFF"/>
            <w:noWrap/>
            <w:tcMar>
              <w:top w:w="15" w:type="dxa"/>
              <w:left w:w="0" w:type="dxa"/>
              <w:bottom w:w="0" w:type="dxa"/>
              <w:right w:w="15" w:type="dxa"/>
            </w:tcMar>
            <w:vAlign w:val="bottom"/>
            <w:hideMark/>
          </w:tcPr>
          <w:p w14:paraId="7ABB3D8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15C754F" w14:textId="77777777">
        <w:trPr>
          <w:divId w:val="1232157601"/>
        </w:trPr>
        <w:tc>
          <w:tcPr>
            <w:tcW w:w="3349" w:type="pct"/>
            <w:shd w:val="clear" w:color="auto" w:fill="CFF0FC"/>
            <w:tcMar>
              <w:top w:w="15" w:type="dxa"/>
              <w:left w:w="0" w:type="dxa"/>
              <w:bottom w:w="0" w:type="dxa"/>
              <w:right w:w="15" w:type="dxa"/>
            </w:tcMar>
            <w:hideMark/>
          </w:tcPr>
          <w:p w14:paraId="6E7E0B72" w14:textId="77777777" w:rsidR="00000000" w:rsidRDefault="00582324">
            <w:pPr>
              <w:pStyle w:val="a3"/>
              <w:spacing w:before="0" w:beforeAutospacing="0" w:after="0" w:afterAutospacing="0"/>
              <w:rPr>
                <w:color w:val="000000"/>
                <w:sz w:val="18"/>
                <w:szCs w:val="18"/>
              </w:rPr>
            </w:pPr>
            <w:r>
              <w:rPr>
                <w:color w:val="000000"/>
                <w:sz w:val="18"/>
                <w:szCs w:val="18"/>
              </w:rPr>
              <w:t>Montrose 2017 Stock Incentive Plan</w:t>
            </w:r>
          </w:p>
        </w:tc>
        <w:tc>
          <w:tcPr>
            <w:tcW w:w="81" w:type="pct"/>
            <w:shd w:val="clear" w:color="auto" w:fill="CFF0FC"/>
            <w:tcMar>
              <w:top w:w="15" w:type="dxa"/>
              <w:left w:w="0" w:type="dxa"/>
              <w:bottom w:w="0" w:type="dxa"/>
              <w:right w:w="15" w:type="dxa"/>
            </w:tcMar>
            <w:vAlign w:val="bottom"/>
            <w:hideMark/>
          </w:tcPr>
          <w:p w14:paraId="748A17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A1BF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8297F61" w14:textId="77777777" w:rsidR="00000000" w:rsidRDefault="00582324">
            <w:pPr>
              <w:pStyle w:val="a3"/>
              <w:spacing w:before="0" w:beforeAutospacing="0" w:after="0" w:afterAutospacing="0"/>
              <w:jc w:val="right"/>
              <w:rPr>
                <w:color w:val="000000"/>
                <w:sz w:val="18"/>
                <w:szCs w:val="18"/>
              </w:rPr>
            </w:pPr>
            <w:r>
              <w:rPr>
                <w:color w:val="000000"/>
                <w:sz w:val="18"/>
                <w:szCs w:val="18"/>
              </w:rPr>
              <w:t>3,944,750</w:t>
            </w:r>
          </w:p>
        </w:tc>
        <w:tc>
          <w:tcPr>
            <w:tcW w:w="50" w:type="pct"/>
            <w:shd w:val="clear" w:color="auto" w:fill="CFF0FC"/>
            <w:noWrap/>
            <w:tcMar>
              <w:top w:w="15" w:type="dxa"/>
              <w:left w:w="0" w:type="dxa"/>
              <w:bottom w:w="0" w:type="dxa"/>
              <w:right w:w="15" w:type="dxa"/>
            </w:tcMar>
            <w:vAlign w:val="bottom"/>
            <w:hideMark/>
          </w:tcPr>
          <w:p w14:paraId="3B0863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4BCB3B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B501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1110DB19" w14:textId="77777777" w:rsidR="00000000" w:rsidRDefault="00582324">
            <w:pPr>
              <w:pStyle w:val="a3"/>
              <w:spacing w:before="0" w:beforeAutospacing="0" w:after="0" w:afterAutospacing="0"/>
              <w:jc w:val="right"/>
              <w:rPr>
                <w:color w:val="000000"/>
                <w:sz w:val="18"/>
                <w:szCs w:val="18"/>
              </w:rPr>
            </w:pPr>
            <w:r>
              <w:rPr>
                <w:color w:val="000000"/>
                <w:sz w:val="18"/>
                <w:szCs w:val="18"/>
              </w:rPr>
              <w:t>1,066,160</w:t>
            </w:r>
          </w:p>
        </w:tc>
        <w:tc>
          <w:tcPr>
            <w:tcW w:w="50" w:type="pct"/>
            <w:shd w:val="clear" w:color="auto" w:fill="CFF0FC"/>
            <w:noWrap/>
            <w:tcMar>
              <w:top w:w="15" w:type="dxa"/>
              <w:left w:w="0" w:type="dxa"/>
              <w:bottom w:w="0" w:type="dxa"/>
              <w:right w:w="15" w:type="dxa"/>
            </w:tcMar>
            <w:vAlign w:val="bottom"/>
            <w:hideMark/>
          </w:tcPr>
          <w:p w14:paraId="4EB2185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BC44A8B" w14:textId="77777777">
        <w:trPr>
          <w:divId w:val="1232157601"/>
        </w:trPr>
        <w:tc>
          <w:tcPr>
            <w:tcW w:w="3349" w:type="pct"/>
            <w:shd w:val="clear" w:color="auto" w:fill="FFFFFF"/>
            <w:tcMar>
              <w:top w:w="15" w:type="dxa"/>
              <w:left w:w="0" w:type="dxa"/>
              <w:bottom w:w="0" w:type="dxa"/>
              <w:right w:w="15" w:type="dxa"/>
            </w:tcMar>
            <w:hideMark/>
          </w:tcPr>
          <w:p w14:paraId="730D17E9" w14:textId="77777777" w:rsidR="00000000" w:rsidRDefault="00582324">
            <w:pPr>
              <w:pStyle w:val="a3"/>
              <w:spacing w:before="0" w:beforeAutospacing="0" w:after="0" w:afterAutospacing="0"/>
              <w:rPr>
                <w:color w:val="000000"/>
                <w:sz w:val="18"/>
                <w:szCs w:val="18"/>
              </w:rPr>
            </w:pPr>
            <w:r>
              <w:rPr>
                <w:color w:val="000000"/>
                <w:sz w:val="18"/>
                <w:szCs w:val="18"/>
              </w:rPr>
              <w:t>Common stock reserved for future issuance</w:t>
            </w:r>
          </w:p>
        </w:tc>
        <w:tc>
          <w:tcPr>
            <w:tcW w:w="81" w:type="pct"/>
            <w:shd w:val="clear" w:color="auto" w:fill="FFFFFF"/>
            <w:tcMar>
              <w:top w:w="15" w:type="dxa"/>
              <w:left w:w="0" w:type="dxa"/>
              <w:bottom w:w="0" w:type="dxa"/>
              <w:right w:w="15" w:type="dxa"/>
            </w:tcMar>
            <w:vAlign w:val="bottom"/>
            <w:hideMark/>
          </w:tcPr>
          <w:p w14:paraId="585B39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A7DD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EDDDF3" w14:textId="77777777" w:rsidR="00000000" w:rsidRDefault="00582324">
            <w:pPr>
              <w:pStyle w:val="a3"/>
              <w:spacing w:before="0" w:beforeAutospacing="0" w:after="0" w:afterAutospacing="0"/>
              <w:jc w:val="right"/>
              <w:rPr>
                <w:color w:val="000000"/>
                <w:sz w:val="18"/>
                <w:szCs w:val="18"/>
              </w:rPr>
            </w:pPr>
            <w:r>
              <w:rPr>
                <w:color w:val="000000"/>
                <w:sz w:val="18"/>
                <w:szCs w:val="18"/>
              </w:rPr>
              <w:t>5,992,019</w:t>
            </w:r>
          </w:p>
        </w:tc>
        <w:tc>
          <w:tcPr>
            <w:tcW w:w="50" w:type="pct"/>
            <w:shd w:val="clear" w:color="auto" w:fill="FFFFFF"/>
            <w:noWrap/>
            <w:tcMar>
              <w:top w:w="15" w:type="dxa"/>
              <w:left w:w="0" w:type="dxa"/>
              <w:bottom w:w="0" w:type="dxa"/>
              <w:right w:w="15" w:type="dxa"/>
            </w:tcMar>
            <w:vAlign w:val="bottom"/>
            <w:hideMark/>
          </w:tcPr>
          <w:p w14:paraId="68688E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0E22C7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5649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5DD006" w14:textId="77777777" w:rsidR="00000000" w:rsidRDefault="00582324">
            <w:pPr>
              <w:pStyle w:val="a3"/>
              <w:spacing w:before="0" w:beforeAutospacing="0" w:after="0" w:afterAutospacing="0"/>
              <w:jc w:val="right"/>
              <w:rPr>
                <w:color w:val="000000"/>
                <w:sz w:val="18"/>
                <w:szCs w:val="18"/>
              </w:rPr>
            </w:pPr>
            <w:r>
              <w:rPr>
                <w:color w:val="000000"/>
                <w:sz w:val="18"/>
                <w:szCs w:val="18"/>
              </w:rPr>
              <w:t>5,118,954</w:t>
            </w:r>
          </w:p>
        </w:tc>
        <w:tc>
          <w:tcPr>
            <w:tcW w:w="50" w:type="pct"/>
            <w:shd w:val="clear" w:color="auto" w:fill="FFFFFF"/>
            <w:noWrap/>
            <w:tcMar>
              <w:top w:w="15" w:type="dxa"/>
              <w:left w:w="0" w:type="dxa"/>
              <w:bottom w:w="0" w:type="dxa"/>
              <w:right w:w="15" w:type="dxa"/>
            </w:tcMar>
            <w:vAlign w:val="bottom"/>
            <w:hideMark/>
          </w:tcPr>
          <w:p w14:paraId="4E025D5B"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46C9235" w14:textId="77777777" w:rsidR="00000000" w:rsidRDefault="00582324">
      <w:pPr>
        <w:pStyle w:val="a3"/>
        <w:spacing w:before="0" w:beforeAutospacing="0" w:after="0" w:afterAutospacing="0"/>
        <w:rPr>
          <w:sz w:val="20"/>
          <w:szCs w:val="20"/>
        </w:rPr>
      </w:pPr>
      <w:r>
        <w:rPr>
          <w:sz w:val="20"/>
          <w:szCs w:val="20"/>
        </w:rPr>
        <w:t> </w:t>
      </w:r>
    </w:p>
    <w:p w14:paraId="1431E1AF"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19. NET (LOSS) INCOME PER SHARE</w:t>
      </w:r>
    </w:p>
    <w:p w14:paraId="58ABB5AA"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shd w:val="clear" w:color="auto" w:fill="FFFFFF"/>
        </w:rPr>
        <w:t>Basic net (loss) income per share is computed by dividing net (loss) income attributable to common stockholders by the weighted average number of common shares outstanding during each period. The Redeemable Series A-1 Preferred Stock, which was outstanding</w:t>
      </w:r>
      <w:r>
        <w:rPr>
          <w:color w:val="000000"/>
          <w:sz w:val="20"/>
          <w:szCs w:val="20"/>
          <w:shd w:val="clear" w:color="auto" w:fill="FFFFFF"/>
        </w:rPr>
        <w:t xml:space="preserve"> prior to its redemption on July 27, 2020, and the Convertible and Redeemable Series A-2 Preferred Stock are considered a participating security during the applicable period. Net losses are not allocated to the Redeemable Series A-1 Preferred stockholders </w:t>
      </w:r>
      <w:r>
        <w:rPr>
          <w:color w:val="000000"/>
          <w:sz w:val="20"/>
          <w:szCs w:val="20"/>
          <w:shd w:val="clear" w:color="auto" w:fill="FFFFFF"/>
        </w:rPr>
        <w:t>nor the Convertible and Redeemable Series A-2 stockholders, as they were not contractually obligated to share in the Company’s losses.</w:t>
      </w:r>
    </w:p>
    <w:p w14:paraId="4E651259"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Diluted net (loss) income per share is computed by dividing net loss (income) attributable to common stockholders by the </w:t>
      </w:r>
      <w:r>
        <w:rPr>
          <w:color w:val="000000"/>
          <w:sz w:val="20"/>
          <w:szCs w:val="20"/>
        </w:rPr>
        <w:t>weighted average number of common and dilutive common equivalent shares outstanding for the period using the treasury-stock method or the as-converted method. During the three and six months ended June 30, 2020, shares issuable in connection with the warra</w:t>
      </w:r>
      <w:r>
        <w:rPr>
          <w:color w:val="000000"/>
          <w:sz w:val="20"/>
          <w:szCs w:val="20"/>
        </w:rPr>
        <w:t xml:space="preserve">nt options (Note 12) were considered outstanding common shares for purposes of calculating net (loss) income per share since they did not contain any conditions that must be satisfied for the holder to exercise the warrant. Potentially dilutive shares are </w:t>
      </w:r>
      <w:r>
        <w:rPr>
          <w:color w:val="000000"/>
          <w:sz w:val="20"/>
          <w:szCs w:val="20"/>
        </w:rPr>
        <w:t xml:space="preserve">comprised of restricted stock and shares of common stock underlying stock options outstanding under the Plans and warrants (other than warrant options) to purchase common stock. </w:t>
      </w:r>
      <w:r>
        <w:rPr>
          <w:color w:val="000000"/>
          <w:sz w:val="20"/>
          <w:szCs w:val="20"/>
          <w:shd w:val="clear" w:color="auto" w:fill="FFFFFF"/>
        </w:rPr>
        <w:t>During the three and six months ended June 30, 2021 and the six months ended J</w:t>
      </w:r>
      <w:r>
        <w:rPr>
          <w:color w:val="000000"/>
          <w:sz w:val="20"/>
          <w:szCs w:val="20"/>
          <w:shd w:val="clear" w:color="auto" w:fill="FFFFFF"/>
        </w:rPr>
        <w:t>une 30, 2020, there is no difference in the number of shares used to calculate basic and diluted shares outstanding due to the Company’s net loss and potentially dilutive shares being anti-dilutive.</w:t>
      </w:r>
    </w:p>
    <w:p w14:paraId="167DC723"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table summarizes the computation of basic and diluted net (loss) income per share attributable to common stockholders of the Company:</w:t>
      </w:r>
    </w:p>
    <w:p w14:paraId="724D4548"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383"/>
        <w:gridCol w:w="60"/>
        <w:gridCol w:w="105"/>
        <w:gridCol w:w="574"/>
        <w:gridCol w:w="75"/>
        <w:gridCol w:w="60"/>
        <w:gridCol w:w="105"/>
        <w:gridCol w:w="576"/>
        <w:gridCol w:w="75"/>
        <w:gridCol w:w="60"/>
        <w:gridCol w:w="105"/>
        <w:gridCol w:w="574"/>
        <w:gridCol w:w="75"/>
        <w:gridCol w:w="60"/>
        <w:gridCol w:w="105"/>
        <w:gridCol w:w="578"/>
        <w:gridCol w:w="75"/>
      </w:tblGrid>
      <w:tr w:rsidR="00000000" w14:paraId="6EA321B7" w14:textId="77777777">
        <w:trPr>
          <w:divId w:val="988248714"/>
        </w:trPr>
        <w:tc>
          <w:tcPr>
            <w:tcW w:w="2560" w:type="pct"/>
            <w:shd w:val="clear" w:color="auto" w:fill="FFFFFF"/>
            <w:tcMar>
              <w:top w:w="15" w:type="dxa"/>
              <w:left w:w="0" w:type="dxa"/>
              <w:bottom w:w="0" w:type="dxa"/>
              <w:right w:w="15" w:type="dxa"/>
            </w:tcMar>
            <w:vAlign w:val="bottom"/>
            <w:hideMark/>
          </w:tcPr>
          <w:p w14:paraId="1967C482" w14:textId="77777777" w:rsidR="00000000" w:rsidRDefault="00582324">
            <w:pPr>
              <w:pStyle w:val="a3"/>
              <w:spacing w:before="0" w:beforeAutospacing="0" w:after="0" w:afterAutospacing="0"/>
              <w:jc w:val="center"/>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14:paraId="3CEA71B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1" w:type="pct"/>
            <w:gridSpan w:val="6"/>
            <w:shd w:val="clear" w:color="auto" w:fill="FFFFFF"/>
            <w:tcMar>
              <w:top w:w="15" w:type="dxa"/>
              <w:left w:w="0" w:type="dxa"/>
              <w:bottom w:w="0" w:type="dxa"/>
              <w:right w:w="15" w:type="dxa"/>
            </w:tcMar>
            <w:vAlign w:val="bottom"/>
            <w:hideMark/>
          </w:tcPr>
          <w:p w14:paraId="09184B3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w:t>
            </w:r>
          </w:p>
        </w:tc>
        <w:tc>
          <w:tcPr>
            <w:tcW w:w="50" w:type="pct"/>
            <w:shd w:val="clear" w:color="auto" w:fill="FFFFFF"/>
            <w:noWrap/>
            <w:tcMar>
              <w:top w:w="15" w:type="dxa"/>
              <w:left w:w="0" w:type="dxa"/>
              <w:bottom w:w="0" w:type="dxa"/>
              <w:right w:w="15" w:type="dxa"/>
            </w:tcMar>
            <w:vAlign w:val="bottom"/>
            <w:hideMark/>
          </w:tcPr>
          <w:p w14:paraId="0409AA5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01D871A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1" w:type="pct"/>
            <w:gridSpan w:val="6"/>
            <w:shd w:val="clear" w:color="auto" w:fill="FFFFFF"/>
            <w:tcMar>
              <w:top w:w="15" w:type="dxa"/>
              <w:left w:w="0" w:type="dxa"/>
              <w:bottom w:w="0" w:type="dxa"/>
              <w:right w:w="15" w:type="dxa"/>
            </w:tcMar>
            <w:vAlign w:val="bottom"/>
            <w:hideMark/>
          </w:tcPr>
          <w:p w14:paraId="678D917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w:t>
            </w:r>
          </w:p>
        </w:tc>
        <w:tc>
          <w:tcPr>
            <w:tcW w:w="50" w:type="pct"/>
            <w:shd w:val="clear" w:color="auto" w:fill="FFFFFF"/>
            <w:noWrap/>
            <w:tcMar>
              <w:top w:w="15" w:type="dxa"/>
              <w:left w:w="0" w:type="dxa"/>
              <w:bottom w:w="0" w:type="dxa"/>
              <w:right w:w="15" w:type="dxa"/>
            </w:tcMar>
            <w:vAlign w:val="bottom"/>
            <w:hideMark/>
          </w:tcPr>
          <w:p w14:paraId="3D11CAF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E4E6EF7" w14:textId="77777777">
        <w:trPr>
          <w:divId w:val="988248714"/>
        </w:trPr>
        <w:tc>
          <w:tcPr>
            <w:tcW w:w="2560" w:type="pct"/>
            <w:shd w:val="clear" w:color="auto" w:fill="FFFFFF"/>
            <w:tcMar>
              <w:top w:w="15" w:type="dxa"/>
              <w:left w:w="0" w:type="dxa"/>
              <w:bottom w:w="0" w:type="dxa"/>
              <w:right w:w="15" w:type="dxa"/>
            </w:tcMar>
            <w:vAlign w:val="bottom"/>
            <w:hideMark/>
          </w:tcPr>
          <w:p w14:paraId="0351631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64533BB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1" w:type="pct"/>
            <w:gridSpan w:val="6"/>
            <w:shd w:val="clear" w:color="auto" w:fill="FFFFFF"/>
            <w:tcMar>
              <w:top w:w="15" w:type="dxa"/>
              <w:left w:w="0" w:type="dxa"/>
              <w:bottom w:w="0" w:type="dxa"/>
              <w:right w:w="15" w:type="dxa"/>
            </w:tcMar>
            <w:vAlign w:val="bottom"/>
            <w:hideMark/>
          </w:tcPr>
          <w:p w14:paraId="682633C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1C9CF3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4C25BF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11" w:type="pct"/>
            <w:gridSpan w:val="6"/>
            <w:shd w:val="clear" w:color="auto" w:fill="FFFFFF"/>
            <w:tcMar>
              <w:top w:w="15" w:type="dxa"/>
              <w:left w:w="0" w:type="dxa"/>
              <w:bottom w:w="0" w:type="dxa"/>
              <w:right w:w="15" w:type="dxa"/>
            </w:tcMar>
            <w:vAlign w:val="bottom"/>
            <w:hideMark/>
          </w:tcPr>
          <w:p w14:paraId="5F34240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6E57EDE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1E496F6" w14:textId="77777777">
        <w:trPr>
          <w:divId w:val="988248714"/>
        </w:trPr>
        <w:tc>
          <w:tcPr>
            <w:tcW w:w="2560" w:type="pct"/>
            <w:shd w:val="clear" w:color="auto" w:fill="FFFFFF"/>
            <w:tcMar>
              <w:top w:w="15" w:type="dxa"/>
              <w:left w:w="0" w:type="dxa"/>
              <w:bottom w:w="0" w:type="dxa"/>
              <w:right w:w="15" w:type="dxa"/>
            </w:tcMar>
            <w:vAlign w:val="bottom"/>
            <w:hideMark/>
          </w:tcPr>
          <w:p w14:paraId="6203CE79"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 except for net loss per share)</w:t>
            </w:r>
          </w:p>
        </w:tc>
        <w:tc>
          <w:tcPr>
            <w:tcW w:w="58" w:type="pct"/>
            <w:shd w:val="clear" w:color="auto" w:fill="FFFFFF"/>
            <w:tcMar>
              <w:top w:w="15" w:type="dxa"/>
              <w:left w:w="0" w:type="dxa"/>
              <w:bottom w:w="0" w:type="dxa"/>
              <w:right w:w="15" w:type="dxa"/>
            </w:tcMar>
            <w:vAlign w:val="bottom"/>
            <w:hideMark/>
          </w:tcPr>
          <w:p w14:paraId="4714E28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1" w:type="pct"/>
            <w:gridSpan w:val="2"/>
            <w:tcBorders>
              <w:bottom w:val="single" w:sz="6" w:space="0" w:color="000000"/>
            </w:tcBorders>
            <w:shd w:val="clear" w:color="auto" w:fill="FFFFFF"/>
            <w:tcMar>
              <w:top w:w="15" w:type="dxa"/>
              <w:left w:w="0" w:type="dxa"/>
              <w:bottom w:w="0" w:type="dxa"/>
              <w:right w:w="15" w:type="dxa"/>
            </w:tcMar>
            <w:vAlign w:val="bottom"/>
            <w:hideMark/>
          </w:tcPr>
          <w:p w14:paraId="074253F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169B1FA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581A91C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1" w:type="pct"/>
            <w:gridSpan w:val="2"/>
            <w:tcBorders>
              <w:bottom w:val="single" w:sz="6" w:space="0" w:color="000000"/>
            </w:tcBorders>
            <w:shd w:val="clear" w:color="auto" w:fill="FFFFFF"/>
            <w:tcMar>
              <w:top w:w="15" w:type="dxa"/>
              <w:left w:w="0" w:type="dxa"/>
              <w:bottom w:w="0" w:type="dxa"/>
              <w:right w:w="15" w:type="dxa"/>
            </w:tcMar>
            <w:vAlign w:val="bottom"/>
            <w:hideMark/>
          </w:tcPr>
          <w:p w14:paraId="0E58458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6B7046F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4D60A7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1" w:type="pct"/>
            <w:gridSpan w:val="2"/>
            <w:tcBorders>
              <w:bottom w:val="single" w:sz="6" w:space="0" w:color="000000"/>
            </w:tcBorders>
            <w:shd w:val="clear" w:color="auto" w:fill="FFFFFF"/>
            <w:tcMar>
              <w:top w:w="15" w:type="dxa"/>
              <w:left w:w="0" w:type="dxa"/>
              <w:bottom w:w="0" w:type="dxa"/>
              <w:right w:w="15" w:type="dxa"/>
            </w:tcMar>
            <w:vAlign w:val="bottom"/>
            <w:hideMark/>
          </w:tcPr>
          <w:p w14:paraId="100AF8F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0FFF02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 w:type="pct"/>
            <w:shd w:val="clear" w:color="auto" w:fill="FFFFFF"/>
            <w:tcMar>
              <w:top w:w="15" w:type="dxa"/>
              <w:left w:w="0" w:type="dxa"/>
              <w:bottom w:w="0" w:type="dxa"/>
              <w:right w:w="15" w:type="dxa"/>
            </w:tcMar>
            <w:vAlign w:val="bottom"/>
            <w:hideMark/>
          </w:tcPr>
          <w:p w14:paraId="4515034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1" w:type="pct"/>
            <w:gridSpan w:val="2"/>
            <w:tcBorders>
              <w:bottom w:val="single" w:sz="6" w:space="0" w:color="000000"/>
            </w:tcBorders>
            <w:shd w:val="clear" w:color="auto" w:fill="FFFFFF"/>
            <w:tcMar>
              <w:top w:w="15" w:type="dxa"/>
              <w:left w:w="0" w:type="dxa"/>
              <w:bottom w:w="0" w:type="dxa"/>
              <w:right w:w="15" w:type="dxa"/>
            </w:tcMar>
            <w:vAlign w:val="bottom"/>
            <w:hideMark/>
          </w:tcPr>
          <w:p w14:paraId="522C83E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10CC1F9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355C346" w14:textId="77777777">
        <w:trPr>
          <w:divId w:val="988248714"/>
        </w:trPr>
        <w:tc>
          <w:tcPr>
            <w:tcW w:w="2560" w:type="pct"/>
            <w:shd w:val="clear" w:color="auto" w:fill="CFF0FC"/>
            <w:tcMar>
              <w:top w:w="15" w:type="dxa"/>
              <w:left w:w="0" w:type="dxa"/>
              <w:bottom w:w="0" w:type="dxa"/>
              <w:right w:w="15" w:type="dxa"/>
            </w:tcMar>
            <w:hideMark/>
          </w:tcPr>
          <w:p w14:paraId="39800A33" w14:textId="77777777" w:rsidR="00000000" w:rsidRDefault="00582324">
            <w:pPr>
              <w:pStyle w:val="a3"/>
              <w:spacing w:before="0" w:beforeAutospacing="0" w:after="0" w:afterAutospacing="0"/>
              <w:rPr>
                <w:color w:val="000000"/>
                <w:sz w:val="18"/>
                <w:szCs w:val="18"/>
              </w:rPr>
            </w:pPr>
            <w:r>
              <w:rPr>
                <w:color w:val="000000"/>
                <w:sz w:val="18"/>
                <w:szCs w:val="18"/>
              </w:rPr>
              <w:t>Net (loss) income</w:t>
            </w:r>
          </w:p>
        </w:tc>
        <w:tc>
          <w:tcPr>
            <w:tcW w:w="58" w:type="pct"/>
            <w:shd w:val="clear" w:color="auto" w:fill="CFF0FC"/>
            <w:tcMar>
              <w:top w:w="15" w:type="dxa"/>
              <w:left w:w="0" w:type="dxa"/>
              <w:bottom w:w="0" w:type="dxa"/>
              <w:right w:w="15" w:type="dxa"/>
            </w:tcMar>
            <w:vAlign w:val="bottom"/>
            <w:hideMark/>
          </w:tcPr>
          <w:p w14:paraId="00140E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701E4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1445518C" w14:textId="77777777" w:rsidR="00000000" w:rsidRDefault="00582324">
            <w:pPr>
              <w:pStyle w:val="a3"/>
              <w:spacing w:before="0" w:beforeAutospacing="0" w:after="0" w:afterAutospacing="0"/>
              <w:jc w:val="right"/>
              <w:rPr>
                <w:color w:val="000000"/>
                <w:sz w:val="18"/>
                <w:szCs w:val="18"/>
              </w:rPr>
            </w:pPr>
            <w:r>
              <w:rPr>
                <w:color w:val="000000"/>
                <w:sz w:val="18"/>
                <w:szCs w:val="18"/>
              </w:rPr>
              <w:t>(14,483</w:t>
            </w:r>
          </w:p>
        </w:tc>
        <w:tc>
          <w:tcPr>
            <w:tcW w:w="50" w:type="pct"/>
            <w:shd w:val="clear" w:color="auto" w:fill="CFF0FC"/>
            <w:noWrap/>
            <w:tcMar>
              <w:top w:w="15" w:type="dxa"/>
              <w:left w:w="0" w:type="dxa"/>
              <w:bottom w:w="0" w:type="dxa"/>
              <w:right w:w="15" w:type="dxa"/>
            </w:tcMar>
            <w:vAlign w:val="bottom"/>
            <w:hideMark/>
          </w:tcPr>
          <w:p w14:paraId="4256363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CFF0FC"/>
            <w:tcMar>
              <w:top w:w="15" w:type="dxa"/>
              <w:left w:w="0" w:type="dxa"/>
              <w:bottom w:w="0" w:type="dxa"/>
              <w:right w:w="15" w:type="dxa"/>
            </w:tcMar>
            <w:vAlign w:val="bottom"/>
            <w:hideMark/>
          </w:tcPr>
          <w:p w14:paraId="006B75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87002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171D6D14" w14:textId="77777777" w:rsidR="00000000" w:rsidRDefault="00582324">
            <w:pPr>
              <w:pStyle w:val="a3"/>
              <w:spacing w:before="0" w:beforeAutospacing="0" w:after="0" w:afterAutospacing="0"/>
              <w:jc w:val="right"/>
              <w:rPr>
                <w:color w:val="000000"/>
                <w:sz w:val="18"/>
                <w:szCs w:val="18"/>
              </w:rPr>
            </w:pPr>
            <w:r>
              <w:rPr>
                <w:color w:val="000000"/>
                <w:sz w:val="18"/>
                <w:szCs w:val="18"/>
              </w:rPr>
              <w:t>13,224</w:t>
            </w:r>
          </w:p>
        </w:tc>
        <w:tc>
          <w:tcPr>
            <w:tcW w:w="50" w:type="pct"/>
            <w:shd w:val="clear" w:color="auto" w:fill="CFF0FC"/>
            <w:noWrap/>
            <w:tcMar>
              <w:top w:w="15" w:type="dxa"/>
              <w:left w:w="0" w:type="dxa"/>
              <w:bottom w:w="0" w:type="dxa"/>
              <w:right w:w="15" w:type="dxa"/>
            </w:tcMar>
            <w:vAlign w:val="bottom"/>
            <w:hideMark/>
          </w:tcPr>
          <w:p w14:paraId="5EEE4A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76BA0B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4E545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0A0763F5" w14:textId="77777777" w:rsidR="00000000" w:rsidRDefault="00582324">
            <w:pPr>
              <w:pStyle w:val="a3"/>
              <w:spacing w:before="0" w:beforeAutospacing="0" w:after="0" w:afterAutospacing="0"/>
              <w:jc w:val="right"/>
              <w:rPr>
                <w:color w:val="000000"/>
                <w:sz w:val="18"/>
                <w:szCs w:val="18"/>
              </w:rPr>
            </w:pPr>
            <w:r>
              <w:rPr>
                <w:color w:val="000000"/>
                <w:sz w:val="18"/>
                <w:szCs w:val="18"/>
              </w:rPr>
              <w:t>(26,079</w:t>
            </w:r>
          </w:p>
        </w:tc>
        <w:tc>
          <w:tcPr>
            <w:tcW w:w="50" w:type="pct"/>
            <w:shd w:val="clear" w:color="auto" w:fill="CFF0FC"/>
            <w:noWrap/>
            <w:tcMar>
              <w:top w:w="15" w:type="dxa"/>
              <w:left w:w="0" w:type="dxa"/>
              <w:bottom w:w="0" w:type="dxa"/>
              <w:right w:w="15" w:type="dxa"/>
            </w:tcMar>
            <w:vAlign w:val="bottom"/>
            <w:hideMark/>
          </w:tcPr>
          <w:p w14:paraId="58925E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CFF0FC"/>
            <w:tcMar>
              <w:top w:w="15" w:type="dxa"/>
              <w:left w:w="0" w:type="dxa"/>
              <w:bottom w:w="0" w:type="dxa"/>
              <w:right w:w="15" w:type="dxa"/>
            </w:tcMar>
            <w:vAlign w:val="bottom"/>
            <w:hideMark/>
          </w:tcPr>
          <w:p w14:paraId="0236E2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AC1C2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7BC0C248" w14:textId="77777777" w:rsidR="00000000" w:rsidRDefault="00582324">
            <w:pPr>
              <w:pStyle w:val="a3"/>
              <w:spacing w:before="0" w:beforeAutospacing="0" w:after="0" w:afterAutospacing="0"/>
              <w:jc w:val="right"/>
              <w:rPr>
                <w:color w:val="000000"/>
                <w:sz w:val="18"/>
                <w:szCs w:val="18"/>
              </w:rPr>
            </w:pPr>
            <w:r>
              <w:rPr>
                <w:color w:val="000000"/>
                <w:sz w:val="18"/>
                <w:szCs w:val="18"/>
              </w:rPr>
              <w:t>(28,024</w:t>
            </w:r>
          </w:p>
        </w:tc>
        <w:tc>
          <w:tcPr>
            <w:tcW w:w="50" w:type="pct"/>
            <w:shd w:val="clear" w:color="auto" w:fill="CFF0FC"/>
            <w:noWrap/>
            <w:tcMar>
              <w:top w:w="15" w:type="dxa"/>
              <w:left w:w="0" w:type="dxa"/>
              <w:bottom w:w="0" w:type="dxa"/>
              <w:right w:w="15" w:type="dxa"/>
            </w:tcMar>
            <w:vAlign w:val="bottom"/>
            <w:hideMark/>
          </w:tcPr>
          <w:p w14:paraId="2CEA4B41"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63B7D57" w14:textId="77777777">
        <w:trPr>
          <w:divId w:val="988248714"/>
        </w:trPr>
        <w:tc>
          <w:tcPr>
            <w:tcW w:w="2560" w:type="pct"/>
            <w:shd w:val="clear" w:color="auto" w:fill="FFFFFF"/>
            <w:tcMar>
              <w:top w:w="15" w:type="dxa"/>
              <w:left w:w="0" w:type="dxa"/>
              <w:bottom w:w="0" w:type="dxa"/>
              <w:right w:w="15" w:type="dxa"/>
            </w:tcMar>
            <w:hideMark/>
          </w:tcPr>
          <w:p w14:paraId="7C3112EB" w14:textId="77777777" w:rsidR="00000000" w:rsidRDefault="00582324">
            <w:pPr>
              <w:pStyle w:val="a3"/>
              <w:spacing w:before="0" w:beforeAutospacing="0" w:after="0" w:afterAutospacing="0"/>
              <w:rPr>
                <w:color w:val="000000"/>
                <w:sz w:val="18"/>
                <w:szCs w:val="18"/>
              </w:rPr>
            </w:pPr>
            <w:r>
              <w:rPr>
                <w:color w:val="000000"/>
                <w:sz w:val="18"/>
                <w:szCs w:val="18"/>
              </w:rPr>
              <w:t>Accretion of redeemable series A-1 preferred stock</w:t>
            </w:r>
          </w:p>
        </w:tc>
        <w:tc>
          <w:tcPr>
            <w:tcW w:w="58" w:type="pct"/>
            <w:shd w:val="clear" w:color="auto" w:fill="FFFFFF"/>
            <w:tcMar>
              <w:top w:w="15" w:type="dxa"/>
              <w:left w:w="0" w:type="dxa"/>
              <w:bottom w:w="0" w:type="dxa"/>
              <w:right w:w="15" w:type="dxa"/>
            </w:tcMar>
            <w:vAlign w:val="bottom"/>
            <w:hideMark/>
          </w:tcPr>
          <w:p w14:paraId="01AFAD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B0D8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bottom"/>
            <w:hideMark/>
          </w:tcPr>
          <w:p w14:paraId="5A5C90CF"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C2C47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39B5DA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08D78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bottom"/>
            <w:hideMark/>
          </w:tcPr>
          <w:p w14:paraId="1E51284B" w14:textId="77777777" w:rsidR="00000000" w:rsidRDefault="00582324">
            <w:pPr>
              <w:pStyle w:val="a3"/>
              <w:spacing w:before="0" w:beforeAutospacing="0" w:after="0" w:afterAutospacing="0"/>
              <w:jc w:val="right"/>
              <w:rPr>
                <w:color w:val="000000"/>
                <w:sz w:val="18"/>
                <w:szCs w:val="18"/>
              </w:rPr>
            </w:pPr>
            <w:r>
              <w:rPr>
                <w:color w:val="000000"/>
                <w:sz w:val="18"/>
                <w:szCs w:val="18"/>
              </w:rPr>
              <w:t>(5,644</w:t>
            </w:r>
          </w:p>
        </w:tc>
        <w:tc>
          <w:tcPr>
            <w:tcW w:w="50" w:type="pct"/>
            <w:shd w:val="clear" w:color="auto" w:fill="FFFFFF"/>
            <w:noWrap/>
            <w:tcMar>
              <w:top w:w="15" w:type="dxa"/>
              <w:left w:w="0" w:type="dxa"/>
              <w:bottom w:w="0" w:type="dxa"/>
              <w:right w:w="15" w:type="dxa"/>
            </w:tcMar>
            <w:vAlign w:val="bottom"/>
            <w:hideMark/>
          </w:tcPr>
          <w:p w14:paraId="2A83780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10A144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BC32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bottom"/>
            <w:hideMark/>
          </w:tcPr>
          <w:p w14:paraId="6FDB4D6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B34BA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40E03A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2820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shd w:val="clear" w:color="auto" w:fill="FFFFFF"/>
            <w:noWrap/>
            <w:tcMar>
              <w:top w:w="15" w:type="dxa"/>
              <w:left w:w="0" w:type="dxa"/>
              <w:bottom w:w="0" w:type="dxa"/>
              <w:right w:w="15" w:type="dxa"/>
            </w:tcMar>
            <w:vAlign w:val="bottom"/>
            <w:hideMark/>
          </w:tcPr>
          <w:p w14:paraId="1F79EB0F" w14:textId="77777777" w:rsidR="00000000" w:rsidRDefault="00582324">
            <w:pPr>
              <w:pStyle w:val="a3"/>
              <w:spacing w:before="0" w:beforeAutospacing="0" w:after="0" w:afterAutospacing="0"/>
              <w:jc w:val="right"/>
              <w:rPr>
                <w:color w:val="000000"/>
                <w:sz w:val="18"/>
                <w:szCs w:val="18"/>
              </w:rPr>
            </w:pPr>
            <w:r>
              <w:rPr>
                <w:color w:val="000000"/>
                <w:sz w:val="18"/>
                <w:szCs w:val="18"/>
              </w:rPr>
              <w:t>(11,059</w:t>
            </w:r>
          </w:p>
        </w:tc>
        <w:tc>
          <w:tcPr>
            <w:tcW w:w="50" w:type="pct"/>
            <w:shd w:val="clear" w:color="auto" w:fill="FFFFFF"/>
            <w:noWrap/>
            <w:tcMar>
              <w:top w:w="15" w:type="dxa"/>
              <w:left w:w="0" w:type="dxa"/>
              <w:bottom w:w="0" w:type="dxa"/>
              <w:right w:w="15" w:type="dxa"/>
            </w:tcMar>
            <w:vAlign w:val="bottom"/>
            <w:hideMark/>
          </w:tcPr>
          <w:p w14:paraId="233B5513"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2C0D371D" w14:textId="77777777">
        <w:trPr>
          <w:divId w:val="988248714"/>
        </w:trPr>
        <w:tc>
          <w:tcPr>
            <w:tcW w:w="2560" w:type="pct"/>
            <w:shd w:val="clear" w:color="auto" w:fill="CFF0FC"/>
            <w:tcMar>
              <w:top w:w="15" w:type="dxa"/>
              <w:left w:w="0" w:type="dxa"/>
              <w:bottom w:w="0" w:type="dxa"/>
              <w:right w:w="15" w:type="dxa"/>
            </w:tcMar>
            <w:hideMark/>
          </w:tcPr>
          <w:p w14:paraId="2344385E" w14:textId="77777777" w:rsidR="00000000" w:rsidRDefault="00582324">
            <w:pPr>
              <w:pStyle w:val="a3"/>
              <w:spacing w:before="0" w:beforeAutospacing="0" w:after="0" w:afterAutospacing="0"/>
              <w:rPr>
                <w:color w:val="000000"/>
                <w:sz w:val="18"/>
                <w:szCs w:val="18"/>
              </w:rPr>
            </w:pPr>
            <w:r>
              <w:rPr>
                <w:color w:val="000000"/>
                <w:sz w:val="18"/>
                <w:szCs w:val="18"/>
              </w:rPr>
              <w:t>Convertible and redeemable series A-2 preferred</w:t>
            </w:r>
          </w:p>
          <w:p w14:paraId="0B3325C0" w14:textId="77777777" w:rsidR="00000000" w:rsidRDefault="00582324">
            <w:pPr>
              <w:pStyle w:val="a3"/>
              <w:spacing w:before="0" w:beforeAutospacing="0" w:after="0" w:afterAutospacing="0"/>
              <w:rPr>
                <w:color w:val="000000"/>
                <w:sz w:val="18"/>
                <w:szCs w:val="18"/>
              </w:rPr>
            </w:pPr>
            <w:r>
              <w:rPr>
                <w:color w:val="000000"/>
                <w:sz w:val="18"/>
                <w:szCs w:val="18"/>
              </w:rPr>
              <w:t>   stock dividend</w:t>
            </w:r>
          </w:p>
        </w:tc>
        <w:tc>
          <w:tcPr>
            <w:tcW w:w="58" w:type="pct"/>
            <w:shd w:val="clear" w:color="auto" w:fill="CFF0FC"/>
            <w:tcMar>
              <w:top w:w="15" w:type="dxa"/>
              <w:left w:w="0" w:type="dxa"/>
              <w:bottom w:w="0" w:type="dxa"/>
              <w:right w:w="15" w:type="dxa"/>
            </w:tcMar>
            <w:vAlign w:val="bottom"/>
            <w:hideMark/>
          </w:tcPr>
          <w:p w14:paraId="443BE1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4DD3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6CB71EE0" w14:textId="77777777" w:rsidR="00000000" w:rsidRDefault="00582324">
            <w:pPr>
              <w:pStyle w:val="a3"/>
              <w:spacing w:before="0" w:beforeAutospacing="0" w:after="0" w:afterAutospacing="0"/>
              <w:jc w:val="right"/>
              <w:rPr>
                <w:color w:val="000000"/>
                <w:sz w:val="18"/>
                <w:szCs w:val="18"/>
              </w:rPr>
            </w:pPr>
            <w:r>
              <w:rPr>
                <w:color w:val="000000"/>
                <w:sz w:val="18"/>
                <w:szCs w:val="18"/>
              </w:rPr>
              <w:t>(4,100</w:t>
            </w:r>
          </w:p>
        </w:tc>
        <w:tc>
          <w:tcPr>
            <w:tcW w:w="50" w:type="pct"/>
            <w:shd w:val="clear" w:color="auto" w:fill="CFF0FC"/>
            <w:noWrap/>
            <w:tcMar>
              <w:top w:w="15" w:type="dxa"/>
              <w:left w:w="0" w:type="dxa"/>
              <w:bottom w:w="0" w:type="dxa"/>
              <w:right w:w="15" w:type="dxa"/>
            </w:tcMar>
            <w:vAlign w:val="bottom"/>
            <w:hideMark/>
          </w:tcPr>
          <w:p w14:paraId="4828679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CFF0FC"/>
            <w:tcMar>
              <w:top w:w="15" w:type="dxa"/>
              <w:left w:w="0" w:type="dxa"/>
              <w:bottom w:w="0" w:type="dxa"/>
              <w:right w:w="15" w:type="dxa"/>
            </w:tcMar>
            <w:vAlign w:val="bottom"/>
            <w:hideMark/>
          </w:tcPr>
          <w:p w14:paraId="511BF6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BE59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796D4A1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0BFE9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0D675C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5B9A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424A281B" w14:textId="77777777" w:rsidR="00000000" w:rsidRDefault="00582324">
            <w:pPr>
              <w:pStyle w:val="a3"/>
              <w:spacing w:before="0" w:beforeAutospacing="0" w:after="0" w:afterAutospacing="0"/>
              <w:jc w:val="right"/>
              <w:rPr>
                <w:color w:val="000000"/>
                <w:sz w:val="18"/>
                <w:szCs w:val="18"/>
              </w:rPr>
            </w:pPr>
            <w:r>
              <w:rPr>
                <w:color w:val="000000"/>
                <w:sz w:val="18"/>
                <w:szCs w:val="18"/>
              </w:rPr>
              <w:t>(8,200</w:t>
            </w:r>
          </w:p>
        </w:tc>
        <w:tc>
          <w:tcPr>
            <w:tcW w:w="50" w:type="pct"/>
            <w:shd w:val="clear" w:color="auto" w:fill="CFF0FC"/>
            <w:noWrap/>
            <w:tcMar>
              <w:top w:w="15" w:type="dxa"/>
              <w:left w:w="0" w:type="dxa"/>
              <w:bottom w:w="0" w:type="dxa"/>
              <w:right w:w="15" w:type="dxa"/>
            </w:tcMar>
            <w:vAlign w:val="bottom"/>
            <w:hideMark/>
          </w:tcPr>
          <w:p w14:paraId="31F1694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CFF0FC"/>
            <w:tcMar>
              <w:top w:w="15" w:type="dxa"/>
              <w:left w:w="0" w:type="dxa"/>
              <w:bottom w:w="0" w:type="dxa"/>
              <w:right w:w="15" w:type="dxa"/>
            </w:tcMar>
            <w:vAlign w:val="bottom"/>
            <w:hideMark/>
          </w:tcPr>
          <w:p w14:paraId="156192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3D34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5615E41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0DBD1D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81A6C07" w14:textId="77777777">
        <w:trPr>
          <w:divId w:val="988248714"/>
        </w:trPr>
        <w:tc>
          <w:tcPr>
            <w:tcW w:w="2560" w:type="pct"/>
            <w:shd w:val="clear" w:color="auto" w:fill="FFFFFF"/>
            <w:tcMar>
              <w:top w:w="15" w:type="dxa"/>
              <w:left w:w="0" w:type="dxa"/>
              <w:bottom w:w="0" w:type="dxa"/>
              <w:right w:w="15" w:type="dxa"/>
            </w:tcMar>
            <w:hideMark/>
          </w:tcPr>
          <w:p w14:paraId="12081480" w14:textId="77777777" w:rsidR="00000000" w:rsidRDefault="00582324">
            <w:pPr>
              <w:pStyle w:val="a3"/>
              <w:spacing w:before="0" w:beforeAutospacing="0" w:after="0" w:afterAutospacing="0"/>
              <w:rPr>
                <w:color w:val="000000"/>
                <w:sz w:val="18"/>
                <w:szCs w:val="18"/>
              </w:rPr>
            </w:pPr>
            <w:r>
              <w:rPr>
                <w:color w:val="000000"/>
                <w:sz w:val="18"/>
                <w:szCs w:val="18"/>
              </w:rPr>
              <w:t>Net (loss) income attributable to common stockholders</w:t>
            </w:r>
          </w:p>
          <w:p w14:paraId="5B07387B" w14:textId="77777777" w:rsidR="00000000" w:rsidRDefault="00582324">
            <w:pPr>
              <w:pStyle w:val="a3"/>
              <w:spacing w:before="0" w:beforeAutospacing="0" w:after="0" w:afterAutospacing="0"/>
              <w:rPr>
                <w:color w:val="000000"/>
                <w:sz w:val="18"/>
                <w:szCs w:val="18"/>
              </w:rPr>
            </w:pPr>
            <w:r>
              <w:rPr>
                <w:color w:val="000000"/>
                <w:sz w:val="18"/>
                <w:szCs w:val="18"/>
              </w:rPr>
              <w:t>   –basic and diluted</w:t>
            </w:r>
          </w:p>
        </w:tc>
        <w:tc>
          <w:tcPr>
            <w:tcW w:w="58" w:type="pct"/>
            <w:shd w:val="clear" w:color="auto" w:fill="FFFFFF"/>
            <w:tcMar>
              <w:top w:w="15" w:type="dxa"/>
              <w:left w:w="0" w:type="dxa"/>
              <w:bottom w:w="0" w:type="dxa"/>
              <w:right w:w="15" w:type="dxa"/>
            </w:tcMar>
            <w:vAlign w:val="bottom"/>
            <w:hideMark/>
          </w:tcPr>
          <w:p w14:paraId="3F0EB9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F11B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FFFFFF"/>
            <w:noWrap/>
            <w:tcMar>
              <w:top w:w="15" w:type="dxa"/>
              <w:left w:w="0" w:type="dxa"/>
              <w:bottom w:w="0" w:type="dxa"/>
              <w:right w:w="15" w:type="dxa"/>
            </w:tcMar>
            <w:vAlign w:val="bottom"/>
            <w:hideMark/>
          </w:tcPr>
          <w:p w14:paraId="66ABAB90" w14:textId="77777777" w:rsidR="00000000" w:rsidRDefault="00582324">
            <w:pPr>
              <w:pStyle w:val="a3"/>
              <w:spacing w:before="0" w:beforeAutospacing="0" w:after="0" w:afterAutospacing="0"/>
              <w:jc w:val="right"/>
              <w:rPr>
                <w:color w:val="000000"/>
                <w:sz w:val="18"/>
                <w:szCs w:val="18"/>
              </w:rPr>
            </w:pPr>
            <w:r>
              <w:rPr>
                <w:color w:val="000000"/>
                <w:sz w:val="18"/>
                <w:szCs w:val="18"/>
              </w:rPr>
              <w:t>(18,583</w:t>
            </w:r>
          </w:p>
        </w:tc>
        <w:tc>
          <w:tcPr>
            <w:tcW w:w="50" w:type="pct"/>
            <w:shd w:val="clear" w:color="auto" w:fill="FFFFFF"/>
            <w:noWrap/>
            <w:tcMar>
              <w:top w:w="15" w:type="dxa"/>
              <w:left w:w="0" w:type="dxa"/>
              <w:bottom w:w="0" w:type="dxa"/>
              <w:right w:w="15" w:type="dxa"/>
            </w:tcMar>
            <w:vAlign w:val="bottom"/>
            <w:hideMark/>
          </w:tcPr>
          <w:p w14:paraId="62E1B1F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077443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24843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FFFFFF"/>
            <w:noWrap/>
            <w:tcMar>
              <w:top w:w="15" w:type="dxa"/>
              <w:left w:w="0" w:type="dxa"/>
              <w:bottom w:w="0" w:type="dxa"/>
              <w:right w:w="15" w:type="dxa"/>
            </w:tcMar>
            <w:vAlign w:val="bottom"/>
            <w:hideMark/>
          </w:tcPr>
          <w:p w14:paraId="795E48EB" w14:textId="77777777" w:rsidR="00000000" w:rsidRDefault="00582324">
            <w:pPr>
              <w:pStyle w:val="a3"/>
              <w:spacing w:before="0" w:beforeAutospacing="0" w:after="0" w:afterAutospacing="0"/>
              <w:jc w:val="right"/>
              <w:rPr>
                <w:color w:val="000000"/>
                <w:sz w:val="18"/>
                <w:szCs w:val="18"/>
              </w:rPr>
            </w:pPr>
            <w:r>
              <w:rPr>
                <w:color w:val="000000"/>
                <w:sz w:val="18"/>
                <w:szCs w:val="18"/>
              </w:rPr>
              <w:t>7,580</w:t>
            </w:r>
          </w:p>
        </w:tc>
        <w:tc>
          <w:tcPr>
            <w:tcW w:w="50" w:type="pct"/>
            <w:shd w:val="clear" w:color="auto" w:fill="FFFFFF"/>
            <w:noWrap/>
            <w:tcMar>
              <w:top w:w="15" w:type="dxa"/>
              <w:left w:w="0" w:type="dxa"/>
              <w:bottom w:w="0" w:type="dxa"/>
              <w:right w:w="15" w:type="dxa"/>
            </w:tcMar>
            <w:vAlign w:val="bottom"/>
            <w:hideMark/>
          </w:tcPr>
          <w:p w14:paraId="31204E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3F7899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09ECC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FFFFFF"/>
            <w:noWrap/>
            <w:tcMar>
              <w:top w:w="15" w:type="dxa"/>
              <w:left w:w="0" w:type="dxa"/>
              <w:bottom w:w="0" w:type="dxa"/>
              <w:right w:w="15" w:type="dxa"/>
            </w:tcMar>
            <w:vAlign w:val="bottom"/>
            <w:hideMark/>
          </w:tcPr>
          <w:p w14:paraId="371D47A2" w14:textId="77777777" w:rsidR="00000000" w:rsidRDefault="00582324">
            <w:pPr>
              <w:pStyle w:val="a3"/>
              <w:spacing w:before="0" w:beforeAutospacing="0" w:after="0" w:afterAutospacing="0"/>
              <w:jc w:val="right"/>
              <w:rPr>
                <w:color w:val="000000"/>
                <w:sz w:val="18"/>
                <w:szCs w:val="18"/>
              </w:rPr>
            </w:pPr>
            <w:r>
              <w:rPr>
                <w:color w:val="000000"/>
                <w:sz w:val="18"/>
                <w:szCs w:val="18"/>
              </w:rPr>
              <w:t>(34,279</w:t>
            </w:r>
          </w:p>
        </w:tc>
        <w:tc>
          <w:tcPr>
            <w:tcW w:w="50" w:type="pct"/>
            <w:shd w:val="clear" w:color="auto" w:fill="FFFFFF"/>
            <w:noWrap/>
            <w:tcMar>
              <w:top w:w="15" w:type="dxa"/>
              <w:left w:w="0" w:type="dxa"/>
              <w:bottom w:w="0" w:type="dxa"/>
              <w:right w:w="15" w:type="dxa"/>
            </w:tcMar>
            <w:vAlign w:val="bottom"/>
            <w:hideMark/>
          </w:tcPr>
          <w:p w14:paraId="7951D11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52CF44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49270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tcBorders>
            <w:shd w:val="clear" w:color="auto" w:fill="FFFFFF"/>
            <w:noWrap/>
            <w:tcMar>
              <w:top w:w="15" w:type="dxa"/>
              <w:left w:w="0" w:type="dxa"/>
              <w:bottom w:w="0" w:type="dxa"/>
              <w:right w:w="15" w:type="dxa"/>
            </w:tcMar>
            <w:vAlign w:val="bottom"/>
            <w:hideMark/>
          </w:tcPr>
          <w:p w14:paraId="30FBC5F2" w14:textId="77777777" w:rsidR="00000000" w:rsidRDefault="00582324">
            <w:pPr>
              <w:pStyle w:val="a3"/>
              <w:spacing w:before="0" w:beforeAutospacing="0" w:after="0" w:afterAutospacing="0"/>
              <w:jc w:val="right"/>
              <w:rPr>
                <w:color w:val="000000"/>
                <w:sz w:val="18"/>
                <w:szCs w:val="18"/>
              </w:rPr>
            </w:pPr>
            <w:r>
              <w:rPr>
                <w:color w:val="000000"/>
                <w:sz w:val="18"/>
                <w:szCs w:val="18"/>
              </w:rPr>
              <w:t>(39,083</w:t>
            </w:r>
          </w:p>
        </w:tc>
        <w:tc>
          <w:tcPr>
            <w:tcW w:w="50" w:type="pct"/>
            <w:shd w:val="clear" w:color="auto" w:fill="FFFFFF"/>
            <w:noWrap/>
            <w:tcMar>
              <w:top w:w="15" w:type="dxa"/>
              <w:left w:w="0" w:type="dxa"/>
              <w:bottom w:w="0" w:type="dxa"/>
              <w:right w:w="15" w:type="dxa"/>
            </w:tcMar>
            <w:vAlign w:val="bottom"/>
            <w:hideMark/>
          </w:tcPr>
          <w:p w14:paraId="45E5B340"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E6E8521" w14:textId="77777777">
        <w:trPr>
          <w:divId w:val="988248714"/>
        </w:trPr>
        <w:tc>
          <w:tcPr>
            <w:tcW w:w="2560" w:type="pct"/>
            <w:shd w:val="clear" w:color="auto" w:fill="CFF0FC"/>
            <w:tcMar>
              <w:top w:w="15" w:type="dxa"/>
              <w:left w:w="0" w:type="dxa"/>
              <w:bottom w:w="0" w:type="dxa"/>
              <w:right w:w="15" w:type="dxa"/>
            </w:tcMar>
            <w:hideMark/>
          </w:tcPr>
          <w:p w14:paraId="48AF10D9" w14:textId="77777777" w:rsidR="00000000" w:rsidRDefault="00582324">
            <w:pPr>
              <w:pStyle w:val="a3"/>
              <w:spacing w:before="0" w:beforeAutospacing="0" w:after="0" w:afterAutospacing="0"/>
              <w:rPr>
                <w:color w:val="000000"/>
                <w:sz w:val="18"/>
                <w:szCs w:val="18"/>
              </w:rPr>
            </w:pPr>
            <w:r>
              <w:rPr>
                <w:color w:val="000000"/>
                <w:sz w:val="18"/>
                <w:szCs w:val="18"/>
              </w:rPr>
              <w:t>Weighted-average common shares outstanding –</w:t>
            </w:r>
          </w:p>
          <w:p w14:paraId="7F263988" w14:textId="77777777" w:rsidR="00000000" w:rsidRDefault="00582324">
            <w:pPr>
              <w:pStyle w:val="a3"/>
              <w:spacing w:before="0" w:beforeAutospacing="0" w:after="0" w:afterAutospacing="0"/>
              <w:rPr>
                <w:color w:val="000000"/>
                <w:sz w:val="18"/>
                <w:szCs w:val="18"/>
              </w:rPr>
            </w:pPr>
            <w:r>
              <w:rPr>
                <w:color w:val="000000"/>
                <w:sz w:val="18"/>
                <w:szCs w:val="18"/>
              </w:rPr>
              <w:t>   basic</w:t>
            </w:r>
          </w:p>
        </w:tc>
        <w:tc>
          <w:tcPr>
            <w:tcW w:w="58" w:type="pct"/>
            <w:shd w:val="clear" w:color="auto" w:fill="CFF0FC"/>
            <w:tcMar>
              <w:top w:w="15" w:type="dxa"/>
              <w:left w:w="0" w:type="dxa"/>
              <w:bottom w:w="0" w:type="dxa"/>
              <w:right w:w="15" w:type="dxa"/>
            </w:tcMar>
            <w:vAlign w:val="bottom"/>
            <w:hideMark/>
          </w:tcPr>
          <w:p w14:paraId="787A1B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7A28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0C62D24F" w14:textId="77777777" w:rsidR="00000000" w:rsidRDefault="00582324">
            <w:pPr>
              <w:pStyle w:val="a3"/>
              <w:spacing w:before="0" w:beforeAutospacing="0" w:after="0" w:afterAutospacing="0"/>
              <w:jc w:val="right"/>
              <w:rPr>
                <w:color w:val="000000"/>
                <w:sz w:val="18"/>
                <w:szCs w:val="18"/>
              </w:rPr>
            </w:pPr>
            <w:r>
              <w:rPr>
                <w:color w:val="000000"/>
                <w:sz w:val="18"/>
                <w:szCs w:val="18"/>
              </w:rPr>
              <w:t>26,056</w:t>
            </w:r>
          </w:p>
        </w:tc>
        <w:tc>
          <w:tcPr>
            <w:tcW w:w="50" w:type="pct"/>
            <w:shd w:val="clear" w:color="auto" w:fill="CFF0FC"/>
            <w:noWrap/>
            <w:tcMar>
              <w:top w:w="15" w:type="dxa"/>
              <w:left w:w="0" w:type="dxa"/>
              <w:bottom w:w="0" w:type="dxa"/>
              <w:right w:w="15" w:type="dxa"/>
            </w:tcMar>
            <w:vAlign w:val="bottom"/>
            <w:hideMark/>
          </w:tcPr>
          <w:p w14:paraId="462AE3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7664F9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C9BE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48AD71EB" w14:textId="77777777" w:rsidR="00000000" w:rsidRDefault="00582324">
            <w:pPr>
              <w:pStyle w:val="a3"/>
              <w:spacing w:before="0" w:beforeAutospacing="0" w:after="0" w:afterAutospacing="0"/>
              <w:jc w:val="right"/>
              <w:rPr>
                <w:color w:val="000000"/>
                <w:sz w:val="18"/>
                <w:szCs w:val="18"/>
              </w:rPr>
            </w:pPr>
            <w:r>
              <w:rPr>
                <w:color w:val="000000"/>
                <w:sz w:val="18"/>
                <w:szCs w:val="18"/>
              </w:rPr>
              <w:t>10,649</w:t>
            </w:r>
          </w:p>
        </w:tc>
        <w:tc>
          <w:tcPr>
            <w:tcW w:w="50" w:type="pct"/>
            <w:shd w:val="clear" w:color="auto" w:fill="CFF0FC"/>
            <w:noWrap/>
            <w:tcMar>
              <w:top w:w="15" w:type="dxa"/>
              <w:left w:w="0" w:type="dxa"/>
              <w:bottom w:w="0" w:type="dxa"/>
              <w:right w:w="15" w:type="dxa"/>
            </w:tcMar>
            <w:vAlign w:val="bottom"/>
            <w:hideMark/>
          </w:tcPr>
          <w:p w14:paraId="40F821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0A2D29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9CC0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758C1BC7" w14:textId="77777777" w:rsidR="00000000" w:rsidRDefault="00582324">
            <w:pPr>
              <w:pStyle w:val="a3"/>
              <w:spacing w:before="0" w:beforeAutospacing="0" w:after="0" w:afterAutospacing="0"/>
              <w:jc w:val="right"/>
              <w:rPr>
                <w:color w:val="000000"/>
                <w:sz w:val="18"/>
                <w:szCs w:val="18"/>
              </w:rPr>
            </w:pPr>
            <w:r>
              <w:rPr>
                <w:color w:val="000000"/>
                <w:sz w:val="18"/>
                <w:szCs w:val="18"/>
              </w:rPr>
              <w:t>25,586</w:t>
            </w:r>
          </w:p>
        </w:tc>
        <w:tc>
          <w:tcPr>
            <w:tcW w:w="50" w:type="pct"/>
            <w:shd w:val="clear" w:color="auto" w:fill="CFF0FC"/>
            <w:noWrap/>
            <w:tcMar>
              <w:top w:w="15" w:type="dxa"/>
              <w:left w:w="0" w:type="dxa"/>
              <w:bottom w:w="0" w:type="dxa"/>
              <w:right w:w="15" w:type="dxa"/>
            </w:tcMar>
            <w:vAlign w:val="bottom"/>
            <w:hideMark/>
          </w:tcPr>
          <w:p w14:paraId="1B128E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31ED63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B084E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bottom w:val="single" w:sz="6" w:space="0" w:color="000000"/>
            </w:tcBorders>
            <w:shd w:val="clear" w:color="auto" w:fill="CFF0FC"/>
            <w:noWrap/>
            <w:tcMar>
              <w:top w:w="15" w:type="dxa"/>
              <w:left w:w="0" w:type="dxa"/>
              <w:bottom w:w="0" w:type="dxa"/>
              <w:right w:w="15" w:type="dxa"/>
            </w:tcMar>
            <w:vAlign w:val="bottom"/>
            <w:hideMark/>
          </w:tcPr>
          <w:p w14:paraId="08BA6A8A" w14:textId="77777777" w:rsidR="00000000" w:rsidRDefault="00582324">
            <w:pPr>
              <w:pStyle w:val="a3"/>
              <w:spacing w:before="0" w:beforeAutospacing="0" w:after="0" w:afterAutospacing="0"/>
              <w:jc w:val="right"/>
              <w:rPr>
                <w:color w:val="000000"/>
                <w:sz w:val="18"/>
                <w:szCs w:val="18"/>
              </w:rPr>
            </w:pPr>
            <w:r>
              <w:rPr>
                <w:color w:val="000000"/>
                <w:sz w:val="18"/>
                <w:szCs w:val="18"/>
              </w:rPr>
              <w:t>9,718</w:t>
            </w:r>
          </w:p>
        </w:tc>
        <w:tc>
          <w:tcPr>
            <w:tcW w:w="50" w:type="pct"/>
            <w:shd w:val="clear" w:color="auto" w:fill="CFF0FC"/>
            <w:noWrap/>
            <w:tcMar>
              <w:top w:w="15" w:type="dxa"/>
              <w:left w:w="0" w:type="dxa"/>
              <w:bottom w:w="0" w:type="dxa"/>
              <w:right w:w="15" w:type="dxa"/>
            </w:tcMar>
            <w:vAlign w:val="bottom"/>
            <w:hideMark/>
          </w:tcPr>
          <w:p w14:paraId="7295F89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C375E35" w14:textId="77777777">
        <w:trPr>
          <w:divId w:val="988248714"/>
        </w:trPr>
        <w:tc>
          <w:tcPr>
            <w:tcW w:w="2560" w:type="pct"/>
            <w:shd w:val="clear" w:color="auto" w:fill="FFFFFF"/>
            <w:tcMar>
              <w:top w:w="15" w:type="dxa"/>
              <w:left w:w="0" w:type="dxa"/>
              <w:bottom w:w="0" w:type="dxa"/>
              <w:right w:w="15" w:type="dxa"/>
            </w:tcMar>
            <w:hideMark/>
          </w:tcPr>
          <w:p w14:paraId="70F63FE4" w14:textId="77777777" w:rsidR="00000000" w:rsidRDefault="00582324">
            <w:pPr>
              <w:pStyle w:val="a3"/>
              <w:spacing w:before="0" w:beforeAutospacing="0" w:after="0" w:afterAutospacing="0"/>
              <w:rPr>
                <w:color w:val="000000"/>
                <w:sz w:val="18"/>
                <w:szCs w:val="18"/>
              </w:rPr>
            </w:pPr>
            <w:r>
              <w:rPr>
                <w:color w:val="000000"/>
                <w:sz w:val="18"/>
                <w:szCs w:val="18"/>
              </w:rPr>
              <w:t>Net (loss) income per share attributable to common</w:t>
            </w:r>
          </w:p>
          <w:p w14:paraId="31FE063D" w14:textId="77777777" w:rsidR="00000000" w:rsidRDefault="00582324">
            <w:pPr>
              <w:pStyle w:val="a3"/>
              <w:spacing w:before="0" w:beforeAutospacing="0" w:after="0" w:afterAutospacing="0"/>
              <w:rPr>
                <w:color w:val="000000"/>
                <w:sz w:val="18"/>
                <w:szCs w:val="18"/>
              </w:rPr>
            </w:pPr>
            <w:r>
              <w:rPr>
                <w:color w:val="000000"/>
                <w:sz w:val="18"/>
                <w:szCs w:val="18"/>
              </w:rPr>
              <w:t>   stockholders –basic</w:t>
            </w:r>
          </w:p>
        </w:tc>
        <w:tc>
          <w:tcPr>
            <w:tcW w:w="58" w:type="pct"/>
            <w:shd w:val="clear" w:color="auto" w:fill="FFFFFF"/>
            <w:tcMar>
              <w:top w:w="15" w:type="dxa"/>
              <w:left w:w="0" w:type="dxa"/>
              <w:bottom w:w="0" w:type="dxa"/>
              <w:right w:w="15" w:type="dxa"/>
            </w:tcMar>
            <w:vAlign w:val="bottom"/>
            <w:hideMark/>
          </w:tcPr>
          <w:p w14:paraId="794228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0954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F796B5" w14:textId="77777777" w:rsidR="00000000" w:rsidRDefault="00582324">
            <w:pPr>
              <w:pStyle w:val="a3"/>
              <w:spacing w:before="0" w:beforeAutospacing="0" w:after="0" w:afterAutospacing="0"/>
              <w:jc w:val="right"/>
              <w:rPr>
                <w:color w:val="000000"/>
                <w:sz w:val="18"/>
                <w:szCs w:val="18"/>
              </w:rPr>
            </w:pPr>
            <w:r>
              <w:rPr>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7F5D8C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42F22F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08245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660AE6" w14:textId="77777777" w:rsidR="00000000" w:rsidRDefault="00582324">
            <w:pPr>
              <w:pStyle w:val="a3"/>
              <w:spacing w:before="0" w:beforeAutospacing="0" w:after="0" w:afterAutospacing="0"/>
              <w:jc w:val="right"/>
              <w:rPr>
                <w:color w:val="000000"/>
                <w:sz w:val="18"/>
                <w:szCs w:val="18"/>
              </w:rPr>
            </w:pPr>
            <w:r>
              <w:rPr>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6CBCDA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2412268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5E10B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B340DA" w14:textId="77777777" w:rsidR="00000000" w:rsidRDefault="00582324">
            <w:pPr>
              <w:pStyle w:val="a3"/>
              <w:spacing w:before="0" w:beforeAutospacing="0" w:after="0" w:afterAutospacing="0"/>
              <w:jc w:val="right"/>
              <w:rPr>
                <w:color w:val="000000"/>
                <w:sz w:val="18"/>
                <w:szCs w:val="18"/>
              </w:rPr>
            </w:pPr>
            <w:r>
              <w:rPr>
                <w:color w:val="000000"/>
                <w:sz w:val="18"/>
                <w:szCs w:val="18"/>
              </w:rPr>
              <w:t>(1.34</w:t>
            </w:r>
          </w:p>
        </w:tc>
        <w:tc>
          <w:tcPr>
            <w:tcW w:w="50" w:type="pct"/>
            <w:shd w:val="clear" w:color="auto" w:fill="FFFFFF"/>
            <w:noWrap/>
            <w:tcMar>
              <w:top w:w="15" w:type="dxa"/>
              <w:left w:w="0" w:type="dxa"/>
              <w:bottom w:w="0" w:type="dxa"/>
              <w:right w:w="15" w:type="dxa"/>
            </w:tcMar>
            <w:vAlign w:val="bottom"/>
            <w:hideMark/>
          </w:tcPr>
          <w:p w14:paraId="5DCBA9E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69422A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6F298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98B361" w14:textId="77777777" w:rsidR="00000000" w:rsidRDefault="00582324">
            <w:pPr>
              <w:pStyle w:val="a3"/>
              <w:spacing w:before="0" w:beforeAutospacing="0" w:after="0" w:afterAutospacing="0"/>
              <w:jc w:val="right"/>
              <w:rPr>
                <w:color w:val="000000"/>
                <w:sz w:val="18"/>
                <w:szCs w:val="18"/>
              </w:rPr>
            </w:pPr>
            <w:r>
              <w:rPr>
                <w:color w:val="000000"/>
                <w:sz w:val="18"/>
                <w:szCs w:val="18"/>
              </w:rPr>
              <w:t>(4.02</w:t>
            </w:r>
          </w:p>
        </w:tc>
        <w:tc>
          <w:tcPr>
            <w:tcW w:w="50" w:type="pct"/>
            <w:shd w:val="clear" w:color="auto" w:fill="FFFFFF"/>
            <w:noWrap/>
            <w:tcMar>
              <w:top w:w="15" w:type="dxa"/>
              <w:left w:w="0" w:type="dxa"/>
              <w:bottom w:w="0" w:type="dxa"/>
              <w:right w:w="15" w:type="dxa"/>
            </w:tcMar>
            <w:vAlign w:val="bottom"/>
            <w:hideMark/>
          </w:tcPr>
          <w:p w14:paraId="4E263E78"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1F99ABDD" w14:textId="77777777">
        <w:trPr>
          <w:divId w:val="988248714"/>
        </w:trPr>
        <w:tc>
          <w:tcPr>
            <w:tcW w:w="2560" w:type="pct"/>
            <w:shd w:val="clear" w:color="auto" w:fill="CFF0FC"/>
            <w:tcMar>
              <w:top w:w="15" w:type="dxa"/>
              <w:left w:w="0" w:type="dxa"/>
              <w:bottom w:w="0" w:type="dxa"/>
              <w:right w:w="15" w:type="dxa"/>
            </w:tcMar>
            <w:hideMark/>
          </w:tcPr>
          <w:p w14:paraId="6325DE36" w14:textId="77777777" w:rsidR="00000000" w:rsidRDefault="00582324">
            <w:pPr>
              <w:pStyle w:val="a3"/>
              <w:spacing w:before="0" w:beforeAutospacing="0" w:after="0" w:afterAutospacing="0"/>
              <w:rPr>
                <w:color w:val="000000"/>
                <w:sz w:val="18"/>
                <w:szCs w:val="18"/>
              </w:rPr>
            </w:pPr>
            <w:r>
              <w:rPr>
                <w:color w:val="000000"/>
                <w:sz w:val="18"/>
                <w:szCs w:val="18"/>
              </w:rPr>
              <w:t>Weighted-average common shares outstanding –</w:t>
            </w:r>
          </w:p>
          <w:p w14:paraId="3ECA97FB" w14:textId="77777777" w:rsidR="00000000" w:rsidRDefault="00582324">
            <w:pPr>
              <w:pStyle w:val="a3"/>
              <w:spacing w:before="0" w:beforeAutospacing="0" w:after="0" w:afterAutospacing="0"/>
              <w:rPr>
                <w:color w:val="000000"/>
                <w:sz w:val="18"/>
                <w:szCs w:val="18"/>
              </w:rPr>
            </w:pPr>
            <w:r>
              <w:rPr>
                <w:color w:val="000000"/>
                <w:sz w:val="18"/>
                <w:szCs w:val="18"/>
              </w:rPr>
              <w:t>   diluted</w:t>
            </w:r>
          </w:p>
        </w:tc>
        <w:tc>
          <w:tcPr>
            <w:tcW w:w="58" w:type="pct"/>
            <w:shd w:val="clear" w:color="auto" w:fill="CFF0FC"/>
            <w:tcMar>
              <w:top w:w="15" w:type="dxa"/>
              <w:left w:w="0" w:type="dxa"/>
              <w:bottom w:w="0" w:type="dxa"/>
              <w:right w:w="15" w:type="dxa"/>
            </w:tcMar>
            <w:vAlign w:val="bottom"/>
            <w:hideMark/>
          </w:tcPr>
          <w:p w14:paraId="7D3554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1EEBD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EFACA4E" w14:textId="77777777" w:rsidR="00000000" w:rsidRDefault="00582324">
            <w:pPr>
              <w:pStyle w:val="a3"/>
              <w:spacing w:before="0" w:beforeAutospacing="0" w:after="0" w:afterAutospacing="0"/>
              <w:jc w:val="right"/>
              <w:rPr>
                <w:color w:val="000000"/>
                <w:sz w:val="18"/>
                <w:szCs w:val="18"/>
              </w:rPr>
            </w:pPr>
            <w:r>
              <w:rPr>
                <w:color w:val="000000"/>
                <w:sz w:val="18"/>
                <w:szCs w:val="18"/>
              </w:rPr>
              <w:t>26,056</w:t>
            </w:r>
          </w:p>
        </w:tc>
        <w:tc>
          <w:tcPr>
            <w:tcW w:w="50" w:type="pct"/>
            <w:shd w:val="clear" w:color="auto" w:fill="CFF0FC"/>
            <w:noWrap/>
            <w:tcMar>
              <w:top w:w="15" w:type="dxa"/>
              <w:left w:w="0" w:type="dxa"/>
              <w:bottom w:w="0" w:type="dxa"/>
              <w:right w:w="15" w:type="dxa"/>
            </w:tcMar>
            <w:vAlign w:val="bottom"/>
            <w:hideMark/>
          </w:tcPr>
          <w:p w14:paraId="362FEB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677603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5779C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8AA6BE6" w14:textId="77777777" w:rsidR="00000000" w:rsidRDefault="00582324">
            <w:pPr>
              <w:pStyle w:val="a3"/>
              <w:spacing w:before="0" w:beforeAutospacing="0" w:after="0" w:afterAutospacing="0"/>
              <w:jc w:val="right"/>
              <w:rPr>
                <w:color w:val="000000"/>
                <w:sz w:val="18"/>
                <w:szCs w:val="18"/>
              </w:rPr>
            </w:pPr>
            <w:r>
              <w:rPr>
                <w:color w:val="000000"/>
                <w:sz w:val="18"/>
                <w:szCs w:val="18"/>
              </w:rPr>
              <w:t>19,139</w:t>
            </w:r>
          </w:p>
        </w:tc>
        <w:tc>
          <w:tcPr>
            <w:tcW w:w="50" w:type="pct"/>
            <w:shd w:val="clear" w:color="auto" w:fill="CFF0FC"/>
            <w:noWrap/>
            <w:tcMar>
              <w:top w:w="15" w:type="dxa"/>
              <w:left w:w="0" w:type="dxa"/>
              <w:bottom w:w="0" w:type="dxa"/>
              <w:right w:w="15" w:type="dxa"/>
            </w:tcMar>
            <w:vAlign w:val="bottom"/>
            <w:hideMark/>
          </w:tcPr>
          <w:p w14:paraId="4CFA33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35A39E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610124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3D47EE7" w14:textId="77777777" w:rsidR="00000000" w:rsidRDefault="00582324">
            <w:pPr>
              <w:pStyle w:val="a3"/>
              <w:spacing w:before="0" w:beforeAutospacing="0" w:after="0" w:afterAutospacing="0"/>
              <w:jc w:val="right"/>
              <w:rPr>
                <w:color w:val="000000"/>
                <w:sz w:val="18"/>
                <w:szCs w:val="18"/>
              </w:rPr>
            </w:pPr>
            <w:r>
              <w:rPr>
                <w:color w:val="000000"/>
                <w:sz w:val="18"/>
                <w:szCs w:val="18"/>
              </w:rPr>
              <w:t>25,586</w:t>
            </w:r>
          </w:p>
        </w:tc>
        <w:tc>
          <w:tcPr>
            <w:tcW w:w="50" w:type="pct"/>
            <w:shd w:val="clear" w:color="auto" w:fill="CFF0FC"/>
            <w:noWrap/>
            <w:tcMar>
              <w:top w:w="15" w:type="dxa"/>
              <w:left w:w="0" w:type="dxa"/>
              <w:bottom w:w="0" w:type="dxa"/>
              <w:right w:w="15" w:type="dxa"/>
            </w:tcMar>
            <w:vAlign w:val="bottom"/>
            <w:hideMark/>
          </w:tcPr>
          <w:p w14:paraId="0A1527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CFF0FC"/>
            <w:tcMar>
              <w:top w:w="15" w:type="dxa"/>
              <w:left w:w="0" w:type="dxa"/>
              <w:bottom w:w="0" w:type="dxa"/>
              <w:right w:w="15" w:type="dxa"/>
            </w:tcMar>
            <w:vAlign w:val="bottom"/>
            <w:hideMark/>
          </w:tcPr>
          <w:p w14:paraId="688AF4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5C759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1"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BB66328" w14:textId="77777777" w:rsidR="00000000" w:rsidRDefault="00582324">
            <w:pPr>
              <w:pStyle w:val="a3"/>
              <w:spacing w:before="0" w:beforeAutospacing="0" w:after="0" w:afterAutospacing="0"/>
              <w:jc w:val="right"/>
              <w:rPr>
                <w:color w:val="000000"/>
                <w:sz w:val="18"/>
                <w:szCs w:val="18"/>
              </w:rPr>
            </w:pPr>
            <w:r>
              <w:rPr>
                <w:color w:val="000000"/>
                <w:sz w:val="18"/>
                <w:szCs w:val="18"/>
              </w:rPr>
              <w:t>9,718</w:t>
            </w:r>
          </w:p>
        </w:tc>
        <w:tc>
          <w:tcPr>
            <w:tcW w:w="50" w:type="pct"/>
            <w:shd w:val="clear" w:color="auto" w:fill="CFF0FC"/>
            <w:noWrap/>
            <w:tcMar>
              <w:top w:w="15" w:type="dxa"/>
              <w:left w:w="0" w:type="dxa"/>
              <w:bottom w:w="0" w:type="dxa"/>
              <w:right w:w="15" w:type="dxa"/>
            </w:tcMar>
            <w:vAlign w:val="bottom"/>
            <w:hideMark/>
          </w:tcPr>
          <w:p w14:paraId="5F06B6A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9FE43F" w14:textId="77777777">
        <w:trPr>
          <w:divId w:val="988248714"/>
        </w:trPr>
        <w:tc>
          <w:tcPr>
            <w:tcW w:w="2560" w:type="pct"/>
            <w:shd w:val="clear" w:color="auto" w:fill="FFFFFF"/>
            <w:tcMar>
              <w:top w:w="15" w:type="dxa"/>
              <w:left w:w="0" w:type="dxa"/>
              <w:bottom w:w="0" w:type="dxa"/>
              <w:right w:w="15" w:type="dxa"/>
            </w:tcMar>
            <w:hideMark/>
          </w:tcPr>
          <w:p w14:paraId="6563018B" w14:textId="77777777" w:rsidR="00000000" w:rsidRDefault="00582324">
            <w:pPr>
              <w:pStyle w:val="a3"/>
              <w:spacing w:before="0" w:beforeAutospacing="0" w:after="0" w:afterAutospacing="0"/>
              <w:rPr>
                <w:color w:val="000000"/>
                <w:sz w:val="18"/>
                <w:szCs w:val="18"/>
              </w:rPr>
            </w:pPr>
            <w:r>
              <w:rPr>
                <w:color w:val="000000"/>
                <w:sz w:val="18"/>
                <w:szCs w:val="18"/>
              </w:rPr>
              <w:t>Net (loss) income per share attributable to common</w:t>
            </w:r>
          </w:p>
          <w:p w14:paraId="223F1D8B" w14:textId="77777777" w:rsidR="00000000" w:rsidRDefault="00582324">
            <w:pPr>
              <w:pStyle w:val="a3"/>
              <w:spacing w:before="0" w:beforeAutospacing="0" w:after="0" w:afterAutospacing="0"/>
              <w:rPr>
                <w:color w:val="000000"/>
                <w:sz w:val="18"/>
                <w:szCs w:val="18"/>
              </w:rPr>
            </w:pPr>
            <w:r>
              <w:rPr>
                <w:color w:val="000000"/>
                <w:sz w:val="18"/>
                <w:szCs w:val="18"/>
              </w:rPr>
              <w:t>   stockholders –diluted</w:t>
            </w:r>
          </w:p>
        </w:tc>
        <w:tc>
          <w:tcPr>
            <w:tcW w:w="58" w:type="pct"/>
            <w:shd w:val="clear" w:color="auto" w:fill="FFFFFF"/>
            <w:tcMar>
              <w:top w:w="15" w:type="dxa"/>
              <w:left w:w="0" w:type="dxa"/>
              <w:bottom w:w="0" w:type="dxa"/>
              <w:right w:w="15" w:type="dxa"/>
            </w:tcMar>
            <w:vAlign w:val="bottom"/>
            <w:hideMark/>
          </w:tcPr>
          <w:p w14:paraId="6A5D34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B374D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95C58D" w14:textId="77777777" w:rsidR="00000000" w:rsidRDefault="00582324">
            <w:pPr>
              <w:pStyle w:val="a3"/>
              <w:spacing w:before="0" w:beforeAutospacing="0" w:after="0" w:afterAutospacing="0"/>
              <w:jc w:val="right"/>
              <w:rPr>
                <w:color w:val="000000"/>
                <w:sz w:val="18"/>
                <w:szCs w:val="18"/>
              </w:rPr>
            </w:pPr>
            <w:r>
              <w:rPr>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63C8989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21921D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91692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7CC9C6" w14:textId="77777777" w:rsidR="00000000" w:rsidRDefault="00582324">
            <w:pPr>
              <w:pStyle w:val="a3"/>
              <w:spacing w:before="0" w:beforeAutospacing="0" w:after="0" w:afterAutospacing="0"/>
              <w:jc w:val="right"/>
              <w:rPr>
                <w:color w:val="000000"/>
                <w:sz w:val="18"/>
                <w:szCs w:val="18"/>
              </w:rPr>
            </w:pPr>
            <w:r>
              <w:rPr>
                <w:color w:val="000000"/>
                <w:sz w:val="18"/>
                <w:szCs w:val="18"/>
              </w:rPr>
              <w:t>0.40</w:t>
            </w:r>
          </w:p>
        </w:tc>
        <w:tc>
          <w:tcPr>
            <w:tcW w:w="50" w:type="pct"/>
            <w:shd w:val="clear" w:color="auto" w:fill="FFFFFF"/>
            <w:noWrap/>
            <w:tcMar>
              <w:top w:w="15" w:type="dxa"/>
              <w:left w:w="0" w:type="dxa"/>
              <w:bottom w:w="0" w:type="dxa"/>
              <w:right w:w="15" w:type="dxa"/>
            </w:tcMar>
            <w:vAlign w:val="bottom"/>
            <w:hideMark/>
          </w:tcPr>
          <w:p w14:paraId="245596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 w:type="pct"/>
            <w:shd w:val="clear" w:color="auto" w:fill="FFFFFF"/>
            <w:tcMar>
              <w:top w:w="15" w:type="dxa"/>
              <w:left w:w="0" w:type="dxa"/>
              <w:bottom w:w="0" w:type="dxa"/>
              <w:right w:w="15" w:type="dxa"/>
            </w:tcMar>
            <w:vAlign w:val="bottom"/>
            <w:hideMark/>
          </w:tcPr>
          <w:p w14:paraId="0279E5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55797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22B914" w14:textId="77777777" w:rsidR="00000000" w:rsidRDefault="00582324">
            <w:pPr>
              <w:pStyle w:val="a3"/>
              <w:spacing w:before="0" w:beforeAutospacing="0" w:after="0" w:afterAutospacing="0"/>
              <w:jc w:val="right"/>
              <w:rPr>
                <w:color w:val="000000"/>
                <w:sz w:val="18"/>
                <w:szCs w:val="18"/>
              </w:rPr>
            </w:pPr>
            <w:r>
              <w:rPr>
                <w:color w:val="000000"/>
                <w:sz w:val="18"/>
                <w:szCs w:val="18"/>
              </w:rPr>
              <w:t>(1.34</w:t>
            </w:r>
          </w:p>
        </w:tc>
        <w:tc>
          <w:tcPr>
            <w:tcW w:w="50" w:type="pct"/>
            <w:shd w:val="clear" w:color="auto" w:fill="FFFFFF"/>
            <w:noWrap/>
            <w:tcMar>
              <w:top w:w="15" w:type="dxa"/>
              <w:left w:w="0" w:type="dxa"/>
              <w:bottom w:w="0" w:type="dxa"/>
              <w:right w:w="15" w:type="dxa"/>
            </w:tcMar>
            <w:vAlign w:val="bottom"/>
            <w:hideMark/>
          </w:tcPr>
          <w:p w14:paraId="7223311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 w:type="pct"/>
            <w:shd w:val="clear" w:color="auto" w:fill="FFFFFF"/>
            <w:tcMar>
              <w:top w:w="15" w:type="dxa"/>
              <w:left w:w="0" w:type="dxa"/>
              <w:bottom w:w="0" w:type="dxa"/>
              <w:right w:w="15" w:type="dxa"/>
            </w:tcMar>
            <w:vAlign w:val="bottom"/>
            <w:hideMark/>
          </w:tcPr>
          <w:p w14:paraId="4B1F57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6279D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E89C79" w14:textId="77777777" w:rsidR="00000000" w:rsidRDefault="00582324">
            <w:pPr>
              <w:pStyle w:val="a3"/>
              <w:spacing w:before="0" w:beforeAutospacing="0" w:after="0" w:afterAutospacing="0"/>
              <w:jc w:val="right"/>
              <w:rPr>
                <w:color w:val="000000"/>
                <w:sz w:val="18"/>
                <w:szCs w:val="18"/>
              </w:rPr>
            </w:pPr>
            <w:r>
              <w:rPr>
                <w:color w:val="000000"/>
                <w:sz w:val="18"/>
                <w:szCs w:val="18"/>
              </w:rPr>
              <w:t>(4.02</w:t>
            </w:r>
          </w:p>
        </w:tc>
        <w:tc>
          <w:tcPr>
            <w:tcW w:w="50" w:type="pct"/>
            <w:shd w:val="clear" w:color="auto" w:fill="FFFFFF"/>
            <w:noWrap/>
            <w:tcMar>
              <w:top w:w="15" w:type="dxa"/>
              <w:left w:w="0" w:type="dxa"/>
              <w:bottom w:w="0" w:type="dxa"/>
              <w:right w:w="15" w:type="dxa"/>
            </w:tcMar>
            <w:vAlign w:val="bottom"/>
            <w:hideMark/>
          </w:tcPr>
          <w:p w14:paraId="4EC79B5B"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43043E32" w14:textId="77777777" w:rsidR="00000000" w:rsidRDefault="00582324">
      <w:pPr>
        <w:pStyle w:val="a3"/>
        <w:shd w:val="clear" w:color="auto" w:fill="FFFFFF"/>
        <w:spacing w:before="40" w:beforeAutospacing="0" w:after="0" w:afterAutospacing="0"/>
        <w:ind w:firstLine="416"/>
        <w:rPr>
          <w:sz w:val="20"/>
          <w:szCs w:val="20"/>
        </w:rPr>
      </w:pPr>
      <w:r>
        <w:rPr>
          <w:sz w:val="20"/>
          <w:szCs w:val="20"/>
        </w:rPr>
        <w:t> </w:t>
      </w:r>
    </w:p>
    <w:p w14:paraId="14D2E0EE"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The following equity shares were excluded from the calculation of diluted net (loss) income per share attributable to common stockholders because their effect would have been anti-dilutive:</w:t>
      </w:r>
    </w:p>
    <w:p w14:paraId="790BB8FD"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079"/>
        <w:gridCol w:w="178"/>
        <w:gridCol w:w="60"/>
        <w:gridCol w:w="1569"/>
        <w:gridCol w:w="60"/>
        <w:gridCol w:w="178"/>
        <w:gridCol w:w="60"/>
        <w:gridCol w:w="1570"/>
        <w:gridCol w:w="60"/>
      </w:tblGrid>
      <w:tr w:rsidR="00000000" w14:paraId="6B79E35E" w14:textId="77777777">
        <w:trPr>
          <w:divId w:val="848637149"/>
        </w:trPr>
        <w:tc>
          <w:tcPr>
            <w:tcW w:w="1790" w:type="pct"/>
            <w:shd w:val="clear" w:color="auto" w:fill="FFFFFF"/>
            <w:tcMar>
              <w:top w:w="15" w:type="dxa"/>
              <w:left w:w="0" w:type="dxa"/>
              <w:bottom w:w="0" w:type="dxa"/>
              <w:right w:w="15" w:type="dxa"/>
            </w:tcMar>
            <w:vAlign w:val="bottom"/>
            <w:hideMark/>
          </w:tcPr>
          <w:p w14:paraId="51C4BA65" w14:textId="77777777" w:rsidR="00000000" w:rsidRDefault="00582324">
            <w:pPr>
              <w:pStyle w:val="a3"/>
              <w:spacing w:before="0" w:beforeAutospacing="0" w:after="0" w:afterAutospacing="0"/>
              <w:jc w:val="center"/>
              <w:rPr>
                <w:sz w:val="18"/>
                <w:szCs w:val="18"/>
              </w:rPr>
            </w:pPr>
            <w:r>
              <w:rPr>
                <w:sz w:val="18"/>
                <w:szCs w:val="18"/>
              </w:rPr>
              <w:t> </w:t>
            </w:r>
          </w:p>
        </w:tc>
        <w:tc>
          <w:tcPr>
            <w:tcW w:w="154" w:type="pct"/>
            <w:shd w:val="clear" w:color="auto" w:fill="FFFFFF"/>
            <w:tcMar>
              <w:top w:w="15" w:type="dxa"/>
              <w:left w:w="0" w:type="dxa"/>
              <w:bottom w:w="0" w:type="dxa"/>
              <w:right w:w="15" w:type="dxa"/>
            </w:tcMar>
            <w:vAlign w:val="bottom"/>
            <w:hideMark/>
          </w:tcPr>
          <w:p w14:paraId="032F918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005" w:type="pct"/>
            <w:gridSpan w:val="6"/>
            <w:tcBorders>
              <w:bottom w:val="single" w:sz="6" w:space="0" w:color="000000"/>
            </w:tcBorders>
            <w:shd w:val="clear" w:color="auto" w:fill="FFFFFF"/>
            <w:tcMar>
              <w:top w:w="15" w:type="dxa"/>
              <w:left w:w="0" w:type="dxa"/>
              <w:bottom w:w="0" w:type="dxa"/>
              <w:right w:w="15" w:type="dxa"/>
            </w:tcMar>
            <w:vAlign w:val="bottom"/>
            <w:hideMark/>
          </w:tcPr>
          <w:p w14:paraId="52EEC3E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June 30,</w:t>
            </w:r>
          </w:p>
        </w:tc>
        <w:tc>
          <w:tcPr>
            <w:tcW w:w="50" w:type="pct"/>
            <w:shd w:val="clear" w:color="auto" w:fill="FFFFFF"/>
            <w:noWrap/>
            <w:tcMar>
              <w:top w:w="15" w:type="dxa"/>
              <w:left w:w="0" w:type="dxa"/>
              <w:bottom w:w="0" w:type="dxa"/>
              <w:right w:w="15" w:type="dxa"/>
            </w:tcMar>
            <w:vAlign w:val="bottom"/>
            <w:hideMark/>
          </w:tcPr>
          <w:p w14:paraId="2CDE694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EC5CDF0" w14:textId="77777777">
        <w:trPr>
          <w:divId w:val="848637149"/>
        </w:trPr>
        <w:tc>
          <w:tcPr>
            <w:tcW w:w="1790" w:type="pct"/>
            <w:shd w:val="clear" w:color="auto" w:fill="FFFFFF"/>
            <w:tcMar>
              <w:top w:w="15" w:type="dxa"/>
              <w:left w:w="0" w:type="dxa"/>
              <w:bottom w:w="0" w:type="dxa"/>
              <w:right w:w="15" w:type="dxa"/>
            </w:tcMar>
            <w:vAlign w:val="bottom"/>
            <w:hideMark/>
          </w:tcPr>
          <w:p w14:paraId="3E1482C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54" w:type="pct"/>
            <w:shd w:val="clear" w:color="auto" w:fill="FFFFFF"/>
            <w:tcMar>
              <w:top w:w="15" w:type="dxa"/>
              <w:left w:w="0" w:type="dxa"/>
              <w:bottom w:w="0" w:type="dxa"/>
              <w:right w:w="15" w:type="dxa"/>
            </w:tcMar>
            <w:vAlign w:val="bottom"/>
            <w:hideMark/>
          </w:tcPr>
          <w:p w14:paraId="33EA39C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B667B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FB4F58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54" w:type="pct"/>
            <w:tcBorders>
              <w:top w:val="single" w:sz="6" w:space="0" w:color="000000"/>
            </w:tcBorders>
            <w:shd w:val="clear" w:color="auto" w:fill="FFFFFF"/>
            <w:tcMar>
              <w:top w:w="15" w:type="dxa"/>
              <w:left w:w="0" w:type="dxa"/>
              <w:bottom w:w="0" w:type="dxa"/>
              <w:right w:w="15" w:type="dxa"/>
            </w:tcMar>
            <w:vAlign w:val="bottom"/>
            <w:hideMark/>
          </w:tcPr>
          <w:p w14:paraId="3C3CEC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4BBE4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5CCEA61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3E466ED" w14:textId="77777777">
        <w:trPr>
          <w:divId w:val="848637149"/>
        </w:trPr>
        <w:tc>
          <w:tcPr>
            <w:tcW w:w="1790" w:type="pct"/>
            <w:shd w:val="clear" w:color="auto" w:fill="CFF0FC"/>
            <w:tcMar>
              <w:top w:w="15" w:type="dxa"/>
              <w:left w:w="0" w:type="dxa"/>
              <w:bottom w:w="0" w:type="dxa"/>
              <w:right w:w="15" w:type="dxa"/>
            </w:tcMar>
            <w:hideMark/>
          </w:tcPr>
          <w:p w14:paraId="057A6262" w14:textId="77777777" w:rsidR="00000000" w:rsidRDefault="00582324">
            <w:pPr>
              <w:pStyle w:val="a3"/>
              <w:spacing w:before="0" w:beforeAutospacing="0" w:after="0" w:afterAutospacing="0"/>
              <w:rPr>
                <w:color w:val="000000"/>
                <w:sz w:val="18"/>
                <w:szCs w:val="18"/>
              </w:rPr>
            </w:pPr>
            <w:r>
              <w:rPr>
                <w:color w:val="000000"/>
                <w:sz w:val="18"/>
                <w:szCs w:val="18"/>
              </w:rPr>
              <w:t>Stock options</w:t>
            </w:r>
          </w:p>
        </w:tc>
        <w:tc>
          <w:tcPr>
            <w:tcW w:w="154" w:type="pct"/>
            <w:shd w:val="clear" w:color="auto" w:fill="CFF0FC"/>
            <w:tcMar>
              <w:top w:w="15" w:type="dxa"/>
              <w:left w:w="0" w:type="dxa"/>
              <w:bottom w:w="0" w:type="dxa"/>
              <w:right w:w="15" w:type="dxa"/>
            </w:tcMar>
            <w:vAlign w:val="bottom"/>
            <w:hideMark/>
          </w:tcPr>
          <w:p w14:paraId="431CF6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1D45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tcBorders>
              <w:top w:val="single" w:sz="6" w:space="0" w:color="000000"/>
            </w:tcBorders>
            <w:shd w:val="clear" w:color="auto" w:fill="CFF0FC"/>
            <w:noWrap/>
            <w:tcMar>
              <w:top w:w="15" w:type="dxa"/>
              <w:left w:w="0" w:type="dxa"/>
              <w:bottom w:w="0" w:type="dxa"/>
              <w:right w:w="15" w:type="dxa"/>
            </w:tcMar>
            <w:vAlign w:val="bottom"/>
            <w:hideMark/>
          </w:tcPr>
          <w:p w14:paraId="030CF7A4" w14:textId="77777777" w:rsidR="00000000" w:rsidRDefault="00582324">
            <w:pPr>
              <w:pStyle w:val="a3"/>
              <w:spacing w:before="0" w:beforeAutospacing="0" w:after="0" w:afterAutospacing="0"/>
              <w:jc w:val="right"/>
              <w:rPr>
                <w:color w:val="000000"/>
                <w:sz w:val="18"/>
                <w:szCs w:val="18"/>
              </w:rPr>
            </w:pPr>
            <w:r>
              <w:rPr>
                <w:color w:val="000000"/>
                <w:sz w:val="18"/>
                <w:szCs w:val="18"/>
              </w:rPr>
              <w:t>1,737,307</w:t>
            </w:r>
          </w:p>
        </w:tc>
        <w:tc>
          <w:tcPr>
            <w:tcW w:w="50" w:type="pct"/>
            <w:shd w:val="clear" w:color="auto" w:fill="CFF0FC"/>
            <w:noWrap/>
            <w:tcMar>
              <w:top w:w="15" w:type="dxa"/>
              <w:left w:w="0" w:type="dxa"/>
              <w:bottom w:w="0" w:type="dxa"/>
              <w:right w:w="15" w:type="dxa"/>
            </w:tcMar>
            <w:vAlign w:val="bottom"/>
            <w:hideMark/>
          </w:tcPr>
          <w:p w14:paraId="2384FA5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54" w:type="pct"/>
            <w:shd w:val="clear" w:color="auto" w:fill="CFF0FC"/>
            <w:tcMar>
              <w:top w:w="15" w:type="dxa"/>
              <w:left w:w="0" w:type="dxa"/>
              <w:bottom w:w="0" w:type="dxa"/>
              <w:right w:w="15" w:type="dxa"/>
            </w:tcMar>
            <w:vAlign w:val="bottom"/>
            <w:hideMark/>
          </w:tcPr>
          <w:p w14:paraId="3F8492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E4FC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tcBorders>
              <w:top w:val="single" w:sz="6" w:space="0" w:color="000000"/>
            </w:tcBorders>
            <w:shd w:val="clear" w:color="auto" w:fill="CFF0FC"/>
            <w:noWrap/>
            <w:tcMar>
              <w:top w:w="15" w:type="dxa"/>
              <w:left w:w="0" w:type="dxa"/>
              <w:bottom w:w="0" w:type="dxa"/>
              <w:right w:w="15" w:type="dxa"/>
            </w:tcMar>
            <w:vAlign w:val="bottom"/>
            <w:hideMark/>
          </w:tcPr>
          <w:p w14:paraId="7AA96948" w14:textId="77777777" w:rsidR="00000000" w:rsidRDefault="00582324">
            <w:pPr>
              <w:pStyle w:val="a3"/>
              <w:spacing w:before="0" w:beforeAutospacing="0" w:after="0" w:afterAutospacing="0"/>
              <w:jc w:val="right"/>
              <w:rPr>
                <w:color w:val="000000"/>
                <w:sz w:val="18"/>
                <w:szCs w:val="18"/>
              </w:rPr>
            </w:pPr>
            <w:r>
              <w:rPr>
                <w:color w:val="000000"/>
                <w:sz w:val="18"/>
                <w:szCs w:val="18"/>
              </w:rPr>
              <w:t>2,685,439</w:t>
            </w:r>
          </w:p>
        </w:tc>
        <w:tc>
          <w:tcPr>
            <w:tcW w:w="50" w:type="pct"/>
            <w:shd w:val="clear" w:color="auto" w:fill="CFF0FC"/>
            <w:noWrap/>
            <w:tcMar>
              <w:top w:w="15" w:type="dxa"/>
              <w:left w:w="0" w:type="dxa"/>
              <w:bottom w:w="0" w:type="dxa"/>
              <w:right w:w="15" w:type="dxa"/>
            </w:tcMar>
            <w:vAlign w:val="bottom"/>
            <w:hideMark/>
          </w:tcPr>
          <w:p w14:paraId="5038F38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026A26C" w14:textId="77777777">
        <w:trPr>
          <w:divId w:val="848637149"/>
        </w:trPr>
        <w:tc>
          <w:tcPr>
            <w:tcW w:w="1790" w:type="pct"/>
            <w:shd w:val="clear" w:color="auto" w:fill="FFFFFF"/>
            <w:tcMar>
              <w:top w:w="15" w:type="dxa"/>
              <w:left w:w="0" w:type="dxa"/>
              <w:bottom w:w="0" w:type="dxa"/>
              <w:right w:w="15" w:type="dxa"/>
            </w:tcMar>
            <w:hideMark/>
          </w:tcPr>
          <w:p w14:paraId="5C4D71DB" w14:textId="77777777" w:rsidR="00000000" w:rsidRDefault="00582324">
            <w:pPr>
              <w:pStyle w:val="a3"/>
              <w:spacing w:before="0" w:beforeAutospacing="0" w:after="0" w:afterAutospacing="0"/>
              <w:rPr>
                <w:color w:val="000000"/>
                <w:sz w:val="18"/>
                <w:szCs w:val="18"/>
              </w:rPr>
            </w:pPr>
            <w:r>
              <w:rPr>
                <w:color w:val="000000"/>
                <w:sz w:val="18"/>
                <w:szCs w:val="18"/>
              </w:rPr>
              <w:t>Restricted stock</w:t>
            </w:r>
          </w:p>
        </w:tc>
        <w:tc>
          <w:tcPr>
            <w:tcW w:w="154" w:type="pct"/>
            <w:shd w:val="clear" w:color="auto" w:fill="FFFFFF"/>
            <w:tcMar>
              <w:top w:w="15" w:type="dxa"/>
              <w:left w:w="0" w:type="dxa"/>
              <w:bottom w:w="0" w:type="dxa"/>
              <w:right w:w="15" w:type="dxa"/>
            </w:tcMar>
            <w:vAlign w:val="bottom"/>
            <w:hideMark/>
          </w:tcPr>
          <w:p w14:paraId="2215BD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1929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shd w:val="clear" w:color="auto" w:fill="FFFFFF"/>
            <w:noWrap/>
            <w:tcMar>
              <w:top w:w="15" w:type="dxa"/>
              <w:left w:w="0" w:type="dxa"/>
              <w:bottom w:w="0" w:type="dxa"/>
              <w:right w:w="15" w:type="dxa"/>
            </w:tcMar>
            <w:vAlign w:val="bottom"/>
            <w:hideMark/>
          </w:tcPr>
          <w:p w14:paraId="5B60974E" w14:textId="77777777" w:rsidR="00000000" w:rsidRDefault="00582324">
            <w:pPr>
              <w:pStyle w:val="a3"/>
              <w:spacing w:before="0" w:beforeAutospacing="0" w:after="0" w:afterAutospacing="0"/>
              <w:jc w:val="right"/>
              <w:rPr>
                <w:color w:val="000000"/>
                <w:sz w:val="18"/>
                <w:szCs w:val="18"/>
              </w:rPr>
            </w:pPr>
            <w:r>
              <w:rPr>
                <w:color w:val="000000"/>
                <w:sz w:val="18"/>
                <w:szCs w:val="18"/>
              </w:rPr>
              <w:t>28,623</w:t>
            </w:r>
          </w:p>
        </w:tc>
        <w:tc>
          <w:tcPr>
            <w:tcW w:w="50" w:type="pct"/>
            <w:shd w:val="clear" w:color="auto" w:fill="FFFFFF"/>
            <w:noWrap/>
            <w:tcMar>
              <w:top w:w="15" w:type="dxa"/>
              <w:left w:w="0" w:type="dxa"/>
              <w:bottom w:w="0" w:type="dxa"/>
              <w:right w:w="15" w:type="dxa"/>
            </w:tcMar>
            <w:vAlign w:val="bottom"/>
            <w:hideMark/>
          </w:tcPr>
          <w:p w14:paraId="239973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54" w:type="pct"/>
            <w:shd w:val="clear" w:color="auto" w:fill="FFFFFF"/>
            <w:tcMar>
              <w:top w:w="15" w:type="dxa"/>
              <w:left w:w="0" w:type="dxa"/>
              <w:bottom w:w="0" w:type="dxa"/>
              <w:right w:w="15" w:type="dxa"/>
            </w:tcMar>
            <w:vAlign w:val="bottom"/>
            <w:hideMark/>
          </w:tcPr>
          <w:p w14:paraId="50FBC7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2CDE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shd w:val="clear" w:color="auto" w:fill="FFFFFF"/>
            <w:noWrap/>
            <w:tcMar>
              <w:top w:w="15" w:type="dxa"/>
              <w:left w:w="0" w:type="dxa"/>
              <w:bottom w:w="0" w:type="dxa"/>
              <w:right w:w="15" w:type="dxa"/>
            </w:tcMar>
            <w:vAlign w:val="bottom"/>
            <w:hideMark/>
          </w:tcPr>
          <w:p w14:paraId="626F7504" w14:textId="77777777" w:rsidR="00000000" w:rsidRDefault="00582324">
            <w:pPr>
              <w:pStyle w:val="a3"/>
              <w:spacing w:before="0" w:beforeAutospacing="0" w:after="0" w:afterAutospacing="0"/>
              <w:jc w:val="right"/>
              <w:rPr>
                <w:color w:val="000000"/>
                <w:sz w:val="18"/>
                <w:szCs w:val="18"/>
              </w:rPr>
            </w:pPr>
            <w:r>
              <w:rPr>
                <w:color w:val="000000"/>
                <w:sz w:val="18"/>
                <w:szCs w:val="18"/>
              </w:rPr>
              <w:t>24,362</w:t>
            </w:r>
          </w:p>
        </w:tc>
        <w:tc>
          <w:tcPr>
            <w:tcW w:w="50" w:type="pct"/>
            <w:shd w:val="clear" w:color="auto" w:fill="FFFFFF"/>
            <w:noWrap/>
            <w:tcMar>
              <w:top w:w="15" w:type="dxa"/>
              <w:left w:w="0" w:type="dxa"/>
              <w:bottom w:w="0" w:type="dxa"/>
              <w:right w:w="15" w:type="dxa"/>
            </w:tcMar>
            <w:vAlign w:val="bottom"/>
            <w:hideMark/>
          </w:tcPr>
          <w:p w14:paraId="68E9106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4DB7DCA" w14:textId="77777777">
        <w:trPr>
          <w:divId w:val="848637149"/>
        </w:trPr>
        <w:tc>
          <w:tcPr>
            <w:tcW w:w="1790" w:type="pct"/>
            <w:shd w:val="clear" w:color="auto" w:fill="CFF0FC"/>
            <w:tcMar>
              <w:top w:w="15" w:type="dxa"/>
              <w:left w:w="0" w:type="dxa"/>
              <w:bottom w:w="0" w:type="dxa"/>
              <w:right w:w="15" w:type="dxa"/>
            </w:tcMar>
            <w:hideMark/>
          </w:tcPr>
          <w:p w14:paraId="7531D7C2" w14:textId="77777777" w:rsidR="00000000" w:rsidRDefault="00582324">
            <w:pPr>
              <w:pStyle w:val="a3"/>
              <w:spacing w:before="0" w:beforeAutospacing="0" w:after="0" w:afterAutospacing="0"/>
              <w:rPr>
                <w:color w:val="000000"/>
                <w:sz w:val="18"/>
                <w:szCs w:val="18"/>
              </w:rPr>
            </w:pPr>
            <w:r>
              <w:rPr>
                <w:color w:val="000000"/>
                <w:sz w:val="18"/>
                <w:szCs w:val="18"/>
              </w:rPr>
              <w:t>Warrants</w:t>
            </w:r>
          </w:p>
        </w:tc>
        <w:tc>
          <w:tcPr>
            <w:tcW w:w="154" w:type="pct"/>
            <w:shd w:val="clear" w:color="auto" w:fill="CFF0FC"/>
            <w:tcMar>
              <w:top w:w="15" w:type="dxa"/>
              <w:left w:w="0" w:type="dxa"/>
              <w:bottom w:w="0" w:type="dxa"/>
              <w:right w:w="15" w:type="dxa"/>
            </w:tcMar>
            <w:vAlign w:val="bottom"/>
            <w:hideMark/>
          </w:tcPr>
          <w:p w14:paraId="142F15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4968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shd w:val="clear" w:color="auto" w:fill="CFF0FC"/>
            <w:noWrap/>
            <w:tcMar>
              <w:top w:w="15" w:type="dxa"/>
              <w:left w:w="0" w:type="dxa"/>
              <w:bottom w:w="0" w:type="dxa"/>
              <w:right w:w="15" w:type="dxa"/>
            </w:tcMar>
            <w:vAlign w:val="bottom"/>
            <w:hideMark/>
          </w:tcPr>
          <w:p w14:paraId="3436143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9B2B7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54" w:type="pct"/>
            <w:shd w:val="clear" w:color="auto" w:fill="CFF0FC"/>
            <w:tcMar>
              <w:top w:w="15" w:type="dxa"/>
              <w:left w:w="0" w:type="dxa"/>
              <w:bottom w:w="0" w:type="dxa"/>
              <w:right w:w="15" w:type="dxa"/>
            </w:tcMar>
            <w:vAlign w:val="bottom"/>
            <w:hideMark/>
          </w:tcPr>
          <w:p w14:paraId="7837BA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00F8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350" w:type="pct"/>
            <w:shd w:val="clear" w:color="auto" w:fill="CFF0FC"/>
            <w:noWrap/>
            <w:tcMar>
              <w:top w:w="15" w:type="dxa"/>
              <w:left w:w="0" w:type="dxa"/>
              <w:bottom w:w="0" w:type="dxa"/>
              <w:right w:w="15" w:type="dxa"/>
            </w:tcMar>
            <w:vAlign w:val="bottom"/>
            <w:hideMark/>
          </w:tcPr>
          <w:p w14:paraId="795A8EF6" w14:textId="77777777" w:rsidR="00000000" w:rsidRDefault="00582324">
            <w:pPr>
              <w:pStyle w:val="a3"/>
              <w:spacing w:before="0" w:beforeAutospacing="0" w:after="0" w:afterAutospacing="0"/>
              <w:jc w:val="right"/>
              <w:rPr>
                <w:color w:val="000000"/>
                <w:sz w:val="18"/>
                <w:szCs w:val="18"/>
              </w:rPr>
            </w:pPr>
            <w:r>
              <w:rPr>
                <w:color w:val="000000"/>
                <w:sz w:val="18"/>
                <w:szCs w:val="18"/>
              </w:rPr>
              <w:t>116,350</w:t>
            </w:r>
          </w:p>
        </w:tc>
        <w:tc>
          <w:tcPr>
            <w:tcW w:w="50" w:type="pct"/>
            <w:shd w:val="clear" w:color="auto" w:fill="CFF0FC"/>
            <w:noWrap/>
            <w:tcMar>
              <w:top w:w="15" w:type="dxa"/>
              <w:left w:w="0" w:type="dxa"/>
              <w:bottom w:w="0" w:type="dxa"/>
              <w:right w:w="15" w:type="dxa"/>
            </w:tcMar>
            <w:vAlign w:val="bottom"/>
            <w:hideMark/>
          </w:tcPr>
          <w:p w14:paraId="222B5EAB"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375AD04" w14:textId="77777777" w:rsidR="00000000" w:rsidRDefault="00582324">
      <w:pPr>
        <w:pStyle w:val="a3"/>
        <w:spacing w:before="0" w:beforeAutospacing="0" w:after="0" w:afterAutospacing="0"/>
        <w:rPr>
          <w:sz w:val="20"/>
          <w:szCs w:val="20"/>
        </w:rPr>
      </w:pPr>
      <w:r>
        <w:rPr>
          <w:sz w:val="20"/>
          <w:szCs w:val="20"/>
        </w:rPr>
        <w:t> </w:t>
      </w:r>
    </w:p>
    <w:p w14:paraId="747B2507" w14:textId="77777777" w:rsidR="00000000" w:rsidRDefault="00582324">
      <w:pPr>
        <w:pStyle w:val="a3"/>
        <w:spacing w:before="240" w:beforeAutospacing="0" w:after="0" w:afterAutospacing="0"/>
        <w:jc w:val="center"/>
        <w:rPr>
          <w:sz w:val="20"/>
          <w:szCs w:val="20"/>
        </w:rPr>
      </w:pPr>
      <w:r>
        <w:rPr>
          <w:sz w:val="20"/>
          <w:szCs w:val="20"/>
        </w:rPr>
        <w:t>27</w:t>
      </w:r>
    </w:p>
    <w:p w14:paraId="33486EB0" w14:textId="77777777" w:rsidR="00000000" w:rsidRDefault="00582324">
      <w:pPr>
        <w:rPr>
          <w:rFonts w:eastAsia="Times New Roman"/>
        </w:rPr>
      </w:pPr>
      <w:r>
        <w:rPr>
          <w:rFonts w:eastAsia="Times New Roman"/>
        </w:rPr>
        <w:pict w14:anchorId="102BECAE">
          <v:rect id="_x0000_i1053" style="width:0;height:1.5pt" o:hralign="center" o:hrstd="t" o:hr="t" fillcolor="#a0a0a0" stroked="f"/>
        </w:pict>
      </w:r>
    </w:p>
    <w:p w14:paraId="7CCB1433" w14:textId="77777777" w:rsidR="00000000" w:rsidRDefault="00582324">
      <w:pPr>
        <w:pStyle w:val="a3"/>
        <w:spacing w:before="0" w:beforeAutospacing="0" w:after="0" w:afterAutospacing="0"/>
        <w:rPr>
          <w:sz w:val="20"/>
          <w:szCs w:val="20"/>
        </w:rPr>
      </w:pPr>
      <w:r>
        <w:rPr>
          <w:sz w:val="20"/>
          <w:szCs w:val="20"/>
        </w:rPr>
        <w:t> </w:t>
      </w:r>
    </w:p>
    <w:p w14:paraId="15D2E68F" w14:textId="77777777" w:rsidR="00000000" w:rsidRDefault="00582324">
      <w:pPr>
        <w:pStyle w:val="a3"/>
        <w:spacing w:before="0" w:beforeAutospacing="0" w:after="0" w:afterAutospacing="0"/>
        <w:rPr>
          <w:sz w:val="20"/>
          <w:szCs w:val="20"/>
        </w:rPr>
      </w:pPr>
      <w:r>
        <w:rPr>
          <w:sz w:val="20"/>
          <w:szCs w:val="20"/>
        </w:rPr>
        <w:t> </w:t>
      </w:r>
    </w:p>
    <w:p w14:paraId="56E3C381" w14:textId="77777777" w:rsidR="00000000" w:rsidRDefault="00582324">
      <w:pPr>
        <w:pStyle w:val="a3"/>
        <w:shd w:val="clear" w:color="auto" w:fill="FFFFFF"/>
        <w:spacing w:before="160" w:beforeAutospacing="0" w:after="0" w:afterAutospacing="0"/>
        <w:rPr>
          <w:b/>
          <w:bCs/>
          <w:color w:val="000000"/>
          <w:sz w:val="20"/>
          <w:szCs w:val="20"/>
        </w:rPr>
      </w:pPr>
      <w:r>
        <w:rPr>
          <w:b/>
          <w:bCs/>
          <w:color w:val="000000"/>
          <w:sz w:val="20"/>
          <w:szCs w:val="20"/>
        </w:rPr>
        <w:t>20. SEGMENT INFORMATION</w:t>
      </w:r>
    </w:p>
    <w:p w14:paraId="7AD0179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Company has three operating and reportable segments: Assessment, Permitting and Response, Measurement and Analysis and Remediation and Reuse. These segments are monitored separately by man</w:t>
      </w:r>
      <w:r>
        <w:rPr>
          <w:color w:val="000000"/>
          <w:sz w:val="20"/>
          <w:szCs w:val="20"/>
        </w:rPr>
        <w:t xml:space="preserve">agement for performance against budget and prior year and are consistent with internal financial reporting. The Company’s operating segments are organized based upon primary services provided, the nature of the production process, their type of customers, </w:t>
      </w:r>
      <w:r>
        <w:rPr>
          <w:color w:val="000000"/>
          <w:sz w:val="20"/>
          <w:szCs w:val="20"/>
        </w:rPr>
        <w:t>methods used to distribute the products and the nature of the regulatory environment.</w:t>
      </w:r>
    </w:p>
    <w:p w14:paraId="1C269D2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Segment Adjusted EBITDA is the primary measure of operating performance for all three </w:t>
      </w:r>
      <w:r>
        <w:rPr>
          <w:color w:val="000000"/>
          <w:sz w:val="20"/>
          <w:szCs w:val="20"/>
        </w:rPr>
        <w:t>operating segments. Segment Adjusted EBITDA is the calculated Company’s Earnings before Interest, Tax, Depreciation and Amortization (“EBITDA”), adjusted to exclude certain transactions such as stock-based compensation, acquisition costs and fair value cha</w:t>
      </w:r>
      <w:r>
        <w:rPr>
          <w:color w:val="000000"/>
          <w:sz w:val="20"/>
          <w:szCs w:val="20"/>
        </w:rPr>
        <w:t>nges in financial instruments, amongst others. The Chief Operating Decision Maker (“CODM”) does not review segment assets as a measure of segment performance.</w:t>
      </w:r>
    </w:p>
    <w:p w14:paraId="1067C72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Corporate and Other includes costs associated with general corporate overhead (including executiv</w:t>
      </w:r>
      <w:r>
        <w:rPr>
          <w:color w:val="000000"/>
          <w:sz w:val="20"/>
          <w:szCs w:val="20"/>
        </w:rPr>
        <w:t>e, legal, finance, safety, human resources, marketing and IT related costs) that are not directly related to supporting operations. Overhead costs that are directly related to supporting operations (such as insurance, software, licenses, shared services an</w:t>
      </w:r>
      <w:r>
        <w:rPr>
          <w:color w:val="000000"/>
          <w:sz w:val="20"/>
          <w:szCs w:val="20"/>
        </w:rPr>
        <w:t>d payroll processing costs) are allocated to the operating segments on a basis that reasonably approximates an estimate of the use of these services.</w:t>
      </w:r>
    </w:p>
    <w:p w14:paraId="784FB87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Segment revenues and Adjusted EBITDA consisted of the following:</w:t>
      </w:r>
    </w:p>
    <w:p w14:paraId="2563DDBC"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1"/>
        <w:gridCol w:w="104"/>
        <w:gridCol w:w="106"/>
        <w:gridCol w:w="877"/>
        <w:gridCol w:w="76"/>
        <w:gridCol w:w="104"/>
        <w:gridCol w:w="106"/>
        <w:gridCol w:w="877"/>
        <w:gridCol w:w="76"/>
        <w:gridCol w:w="104"/>
        <w:gridCol w:w="106"/>
        <w:gridCol w:w="877"/>
        <w:gridCol w:w="76"/>
        <w:gridCol w:w="104"/>
        <w:gridCol w:w="106"/>
        <w:gridCol w:w="879"/>
        <w:gridCol w:w="77"/>
      </w:tblGrid>
      <w:tr w:rsidR="00000000" w14:paraId="122683CF" w14:textId="77777777">
        <w:trPr>
          <w:divId w:val="766118375"/>
        </w:trPr>
        <w:tc>
          <w:tcPr>
            <w:tcW w:w="2201" w:type="pct"/>
            <w:shd w:val="clear" w:color="auto" w:fill="FFFFFF"/>
            <w:tcMar>
              <w:top w:w="15" w:type="dxa"/>
              <w:left w:w="0" w:type="dxa"/>
              <w:bottom w:w="0" w:type="dxa"/>
              <w:right w:w="15" w:type="dxa"/>
            </w:tcMar>
            <w:vAlign w:val="bottom"/>
            <w:hideMark/>
          </w:tcPr>
          <w:p w14:paraId="033E3391" w14:textId="77777777" w:rsidR="00000000" w:rsidRDefault="00582324">
            <w:pPr>
              <w:pStyle w:val="a3"/>
              <w:spacing w:before="0" w:beforeAutospacing="0" w:after="0" w:afterAutospacing="0"/>
              <w:jc w:val="center"/>
              <w:rPr>
                <w:sz w:val="18"/>
                <w:szCs w:val="18"/>
              </w:rPr>
            </w:pPr>
            <w:r>
              <w:rPr>
                <w:sz w:val="18"/>
                <w:szCs w:val="18"/>
              </w:rPr>
              <w:t> </w:t>
            </w:r>
          </w:p>
        </w:tc>
        <w:tc>
          <w:tcPr>
            <w:tcW w:w="67" w:type="pct"/>
            <w:shd w:val="clear" w:color="auto" w:fill="FFFFFF"/>
            <w:tcMar>
              <w:top w:w="15" w:type="dxa"/>
              <w:left w:w="0" w:type="dxa"/>
              <w:bottom w:w="0" w:type="dxa"/>
              <w:right w:w="15" w:type="dxa"/>
            </w:tcMar>
            <w:vAlign w:val="bottom"/>
            <w:hideMark/>
          </w:tcPr>
          <w:p w14:paraId="044CF2F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680" w:type="pct"/>
            <w:gridSpan w:val="14"/>
            <w:tcBorders>
              <w:bottom w:val="single" w:sz="6" w:space="0" w:color="000000"/>
            </w:tcBorders>
            <w:shd w:val="clear" w:color="auto" w:fill="FFFFFF"/>
            <w:tcMar>
              <w:top w:w="15" w:type="dxa"/>
              <w:left w:w="0" w:type="dxa"/>
              <w:bottom w:w="0" w:type="dxa"/>
              <w:right w:w="15" w:type="dxa"/>
            </w:tcMar>
            <w:vAlign w:val="bottom"/>
            <w:hideMark/>
          </w:tcPr>
          <w:p w14:paraId="17124E9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bottom"/>
            <w:hideMark/>
          </w:tcPr>
          <w:p w14:paraId="345DEBA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AED04A1" w14:textId="77777777">
        <w:trPr>
          <w:divId w:val="766118375"/>
        </w:trPr>
        <w:tc>
          <w:tcPr>
            <w:tcW w:w="2201" w:type="pct"/>
            <w:shd w:val="clear" w:color="auto" w:fill="FFFFFF"/>
            <w:tcMar>
              <w:top w:w="15" w:type="dxa"/>
              <w:left w:w="0" w:type="dxa"/>
              <w:bottom w:w="0" w:type="dxa"/>
              <w:right w:w="15" w:type="dxa"/>
            </w:tcMar>
            <w:vAlign w:val="bottom"/>
            <w:hideMark/>
          </w:tcPr>
          <w:p w14:paraId="6A9B4A0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62736B4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81"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E79A0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00BBA9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6D02A68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81"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BB3C4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3F04EC6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4D69BC2" w14:textId="77777777">
        <w:trPr>
          <w:divId w:val="766118375"/>
        </w:trPr>
        <w:tc>
          <w:tcPr>
            <w:tcW w:w="2201" w:type="pct"/>
            <w:shd w:val="clear" w:color="auto" w:fill="FFFFFF"/>
            <w:tcMar>
              <w:top w:w="15" w:type="dxa"/>
              <w:left w:w="0" w:type="dxa"/>
              <w:bottom w:w="0" w:type="dxa"/>
              <w:right w:w="15" w:type="dxa"/>
            </w:tcMar>
            <w:vAlign w:val="bottom"/>
            <w:hideMark/>
          </w:tcPr>
          <w:p w14:paraId="31D7619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2EC7B42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57DF6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4C22C0C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4A28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74025AA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top w:val="single" w:sz="6" w:space="0" w:color="000000"/>
            </w:tcBorders>
            <w:shd w:val="clear" w:color="auto" w:fill="FFFFFF"/>
            <w:tcMar>
              <w:top w:w="15" w:type="dxa"/>
              <w:left w:w="0" w:type="dxa"/>
              <w:bottom w:w="0" w:type="dxa"/>
              <w:right w:w="15" w:type="dxa"/>
            </w:tcMar>
            <w:vAlign w:val="bottom"/>
            <w:hideMark/>
          </w:tcPr>
          <w:p w14:paraId="195D743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313F517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65244D7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CBDB4C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54CC7C7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CF18E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7AFC0B1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top w:val="single" w:sz="6" w:space="0" w:color="000000"/>
            </w:tcBorders>
            <w:shd w:val="clear" w:color="auto" w:fill="FFFFFF"/>
            <w:tcMar>
              <w:top w:w="15" w:type="dxa"/>
              <w:left w:w="0" w:type="dxa"/>
              <w:bottom w:w="0" w:type="dxa"/>
              <w:right w:w="15" w:type="dxa"/>
            </w:tcMar>
            <w:vAlign w:val="bottom"/>
            <w:hideMark/>
          </w:tcPr>
          <w:p w14:paraId="32419C9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1A21FC3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B862EA" w14:textId="77777777">
        <w:trPr>
          <w:divId w:val="766118375"/>
        </w:trPr>
        <w:tc>
          <w:tcPr>
            <w:tcW w:w="2201" w:type="pct"/>
            <w:shd w:val="clear" w:color="auto" w:fill="FFFFFF"/>
            <w:tcMar>
              <w:top w:w="15" w:type="dxa"/>
              <w:left w:w="0" w:type="dxa"/>
              <w:bottom w:w="0" w:type="dxa"/>
              <w:right w:w="15" w:type="dxa"/>
            </w:tcMar>
            <w:vAlign w:val="bottom"/>
            <w:hideMark/>
          </w:tcPr>
          <w:p w14:paraId="5822350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3358EEF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75D42DA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67E85B2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57FDA7D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391C66D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tc>
        <w:tc>
          <w:tcPr>
            <w:tcW w:w="50" w:type="pct"/>
            <w:shd w:val="clear" w:color="auto" w:fill="FFFFFF"/>
            <w:noWrap/>
            <w:tcMar>
              <w:top w:w="15" w:type="dxa"/>
              <w:left w:w="0" w:type="dxa"/>
              <w:bottom w:w="0" w:type="dxa"/>
              <w:right w:w="15" w:type="dxa"/>
            </w:tcMar>
            <w:vAlign w:val="bottom"/>
            <w:hideMark/>
          </w:tcPr>
          <w:p w14:paraId="11A2962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25684C8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2D4C035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58294B4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433A4D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2EBDAA6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tc>
        <w:tc>
          <w:tcPr>
            <w:tcW w:w="50" w:type="pct"/>
            <w:shd w:val="clear" w:color="auto" w:fill="FFFFFF"/>
            <w:noWrap/>
            <w:tcMar>
              <w:top w:w="15" w:type="dxa"/>
              <w:left w:w="0" w:type="dxa"/>
              <w:bottom w:w="0" w:type="dxa"/>
              <w:right w:w="15" w:type="dxa"/>
            </w:tcMar>
            <w:vAlign w:val="bottom"/>
            <w:hideMark/>
          </w:tcPr>
          <w:p w14:paraId="3D3F3A9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DFBE1D4" w14:textId="77777777">
        <w:trPr>
          <w:divId w:val="766118375"/>
        </w:trPr>
        <w:tc>
          <w:tcPr>
            <w:tcW w:w="2201" w:type="pct"/>
            <w:shd w:val="clear" w:color="auto" w:fill="FFFFFF"/>
            <w:tcMar>
              <w:top w:w="15" w:type="dxa"/>
              <w:left w:w="0" w:type="dxa"/>
              <w:bottom w:w="0" w:type="dxa"/>
              <w:right w:w="15" w:type="dxa"/>
            </w:tcMar>
            <w:vAlign w:val="bottom"/>
            <w:hideMark/>
          </w:tcPr>
          <w:p w14:paraId="65B7889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4D00040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14A7BE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bottom"/>
            <w:hideMark/>
          </w:tcPr>
          <w:p w14:paraId="024F05F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2CA5234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56485F3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tc>
        <w:tc>
          <w:tcPr>
            <w:tcW w:w="50" w:type="pct"/>
            <w:shd w:val="clear" w:color="auto" w:fill="FFFFFF"/>
            <w:noWrap/>
            <w:tcMar>
              <w:top w:w="15" w:type="dxa"/>
              <w:left w:w="0" w:type="dxa"/>
              <w:bottom w:w="0" w:type="dxa"/>
              <w:right w:w="15" w:type="dxa"/>
            </w:tcMar>
            <w:vAlign w:val="bottom"/>
            <w:hideMark/>
          </w:tcPr>
          <w:p w14:paraId="3179F02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2DFF48A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3593473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bottom"/>
            <w:hideMark/>
          </w:tcPr>
          <w:p w14:paraId="6E2028A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62C46B6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245A300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tc>
        <w:tc>
          <w:tcPr>
            <w:tcW w:w="50" w:type="pct"/>
            <w:shd w:val="clear" w:color="auto" w:fill="FFFFFF"/>
            <w:noWrap/>
            <w:tcMar>
              <w:top w:w="15" w:type="dxa"/>
              <w:left w:w="0" w:type="dxa"/>
              <w:bottom w:w="0" w:type="dxa"/>
              <w:right w:w="15" w:type="dxa"/>
            </w:tcMar>
            <w:vAlign w:val="bottom"/>
            <w:hideMark/>
          </w:tcPr>
          <w:p w14:paraId="32F0766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1B2BB09" w14:textId="77777777">
        <w:trPr>
          <w:divId w:val="766118375"/>
        </w:trPr>
        <w:tc>
          <w:tcPr>
            <w:tcW w:w="2201" w:type="pct"/>
            <w:shd w:val="clear" w:color="auto" w:fill="CFF0FC"/>
            <w:tcMar>
              <w:top w:w="15" w:type="dxa"/>
              <w:left w:w="0" w:type="dxa"/>
              <w:bottom w:w="0" w:type="dxa"/>
              <w:right w:w="15" w:type="dxa"/>
            </w:tcMar>
            <w:hideMark/>
          </w:tcPr>
          <w:p w14:paraId="53135EA0" w14:textId="77777777" w:rsidR="00000000" w:rsidRDefault="00582324">
            <w:pPr>
              <w:pStyle w:val="a3"/>
              <w:spacing w:before="0" w:beforeAutospacing="0" w:after="0" w:afterAutospacing="0"/>
              <w:rPr>
                <w:color w:val="000000"/>
                <w:sz w:val="18"/>
                <w:szCs w:val="18"/>
              </w:rPr>
            </w:pPr>
            <w:r>
              <w:rPr>
                <w:color w:val="000000"/>
                <w:sz w:val="18"/>
                <w:szCs w:val="18"/>
              </w:rPr>
              <w:t>Assessment, Permitting and Response</w:t>
            </w:r>
          </w:p>
        </w:tc>
        <w:tc>
          <w:tcPr>
            <w:tcW w:w="67" w:type="pct"/>
            <w:shd w:val="clear" w:color="auto" w:fill="CFF0FC"/>
            <w:tcMar>
              <w:top w:w="15" w:type="dxa"/>
              <w:left w:w="0" w:type="dxa"/>
              <w:bottom w:w="0" w:type="dxa"/>
              <w:right w:w="15" w:type="dxa"/>
            </w:tcMar>
            <w:vAlign w:val="bottom"/>
            <w:hideMark/>
          </w:tcPr>
          <w:p w14:paraId="29220D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6AA8C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08D9B662" w14:textId="77777777" w:rsidR="00000000" w:rsidRDefault="00582324">
            <w:pPr>
              <w:pStyle w:val="a3"/>
              <w:spacing w:before="0" w:beforeAutospacing="0" w:after="0" w:afterAutospacing="0"/>
              <w:jc w:val="right"/>
              <w:rPr>
                <w:color w:val="000000"/>
                <w:sz w:val="18"/>
                <w:szCs w:val="18"/>
              </w:rPr>
            </w:pPr>
            <w:r>
              <w:rPr>
                <w:color w:val="000000"/>
                <w:sz w:val="18"/>
                <w:szCs w:val="18"/>
              </w:rPr>
              <w:t>70,705</w:t>
            </w:r>
          </w:p>
        </w:tc>
        <w:tc>
          <w:tcPr>
            <w:tcW w:w="50" w:type="pct"/>
            <w:shd w:val="clear" w:color="auto" w:fill="CFF0FC"/>
            <w:noWrap/>
            <w:tcMar>
              <w:top w:w="15" w:type="dxa"/>
              <w:left w:w="0" w:type="dxa"/>
              <w:bottom w:w="0" w:type="dxa"/>
              <w:right w:w="15" w:type="dxa"/>
            </w:tcMar>
            <w:vAlign w:val="bottom"/>
            <w:hideMark/>
          </w:tcPr>
          <w:p w14:paraId="23368A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7E5E7E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1FB65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7DA349AC" w14:textId="77777777" w:rsidR="00000000" w:rsidRDefault="00582324">
            <w:pPr>
              <w:pStyle w:val="a3"/>
              <w:spacing w:before="0" w:beforeAutospacing="0" w:after="0" w:afterAutospacing="0"/>
              <w:jc w:val="right"/>
              <w:rPr>
                <w:color w:val="000000"/>
                <w:sz w:val="18"/>
                <w:szCs w:val="18"/>
              </w:rPr>
            </w:pPr>
            <w:r>
              <w:rPr>
                <w:color w:val="000000"/>
                <w:sz w:val="18"/>
                <w:szCs w:val="18"/>
              </w:rPr>
              <w:t>14,856</w:t>
            </w:r>
          </w:p>
        </w:tc>
        <w:tc>
          <w:tcPr>
            <w:tcW w:w="50" w:type="pct"/>
            <w:shd w:val="clear" w:color="auto" w:fill="CFF0FC"/>
            <w:noWrap/>
            <w:tcMar>
              <w:top w:w="15" w:type="dxa"/>
              <w:left w:w="0" w:type="dxa"/>
              <w:bottom w:w="0" w:type="dxa"/>
              <w:right w:w="15" w:type="dxa"/>
            </w:tcMar>
            <w:vAlign w:val="bottom"/>
            <w:hideMark/>
          </w:tcPr>
          <w:p w14:paraId="7C4E47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621698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D7161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31780E22" w14:textId="77777777" w:rsidR="00000000" w:rsidRDefault="00582324">
            <w:pPr>
              <w:pStyle w:val="a3"/>
              <w:spacing w:before="0" w:beforeAutospacing="0" w:after="0" w:afterAutospacing="0"/>
              <w:jc w:val="right"/>
              <w:rPr>
                <w:color w:val="000000"/>
                <w:sz w:val="18"/>
                <w:szCs w:val="18"/>
              </w:rPr>
            </w:pPr>
            <w:r>
              <w:rPr>
                <w:color w:val="000000"/>
                <w:sz w:val="18"/>
                <w:szCs w:val="18"/>
              </w:rPr>
              <w:t>18,631</w:t>
            </w:r>
          </w:p>
        </w:tc>
        <w:tc>
          <w:tcPr>
            <w:tcW w:w="50" w:type="pct"/>
            <w:shd w:val="clear" w:color="auto" w:fill="CFF0FC"/>
            <w:noWrap/>
            <w:tcMar>
              <w:top w:w="15" w:type="dxa"/>
              <w:left w:w="0" w:type="dxa"/>
              <w:bottom w:w="0" w:type="dxa"/>
              <w:right w:w="15" w:type="dxa"/>
            </w:tcMar>
            <w:vAlign w:val="bottom"/>
            <w:hideMark/>
          </w:tcPr>
          <w:p w14:paraId="65C2FF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04D660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3600D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45C9F571" w14:textId="77777777" w:rsidR="00000000" w:rsidRDefault="00582324">
            <w:pPr>
              <w:pStyle w:val="a3"/>
              <w:spacing w:before="0" w:beforeAutospacing="0" w:after="0" w:afterAutospacing="0"/>
              <w:jc w:val="right"/>
              <w:rPr>
                <w:color w:val="000000"/>
                <w:sz w:val="18"/>
                <w:szCs w:val="18"/>
              </w:rPr>
            </w:pPr>
            <w:r>
              <w:rPr>
                <w:color w:val="000000"/>
                <w:sz w:val="18"/>
                <w:szCs w:val="18"/>
              </w:rPr>
              <w:t>4,989</w:t>
            </w:r>
          </w:p>
        </w:tc>
        <w:tc>
          <w:tcPr>
            <w:tcW w:w="50" w:type="pct"/>
            <w:shd w:val="clear" w:color="auto" w:fill="CFF0FC"/>
            <w:noWrap/>
            <w:tcMar>
              <w:top w:w="15" w:type="dxa"/>
              <w:left w:w="0" w:type="dxa"/>
              <w:bottom w:w="0" w:type="dxa"/>
              <w:right w:w="15" w:type="dxa"/>
            </w:tcMar>
            <w:vAlign w:val="bottom"/>
            <w:hideMark/>
          </w:tcPr>
          <w:p w14:paraId="6FD9CDA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37A1D3C" w14:textId="77777777">
        <w:trPr>
          <w:divId w:val="766118375"/>
        </w:trPr>
        <w:tc>
          <w:tcPr>
            <w:tcW w:w="2201" w:type="pct"/>
            <w:shd w:val="clear" w:color="auto" w:fill="FFFFFF"/>
            <w:tcMar>
              <w:top w:w="15" w:type="dxa"/>
              <w:left w:w="0" w:type="dxa"/>
              <w:bottom w:w="0" w:type="dxa"/>
              <w:right w:w="15" w:type="dxa"/>
            </w:tcMar>
            <w:hideMark/>
          </w:tcPr>
          <w:p w14:paraId="10BE136D" w14:textId="77777777" w:rsidR="00000000" w:rsidRDefault="00582324">
            <w:pPr>
              <w:pStyle w:val="a3"/>
              <w:spacing w:before="0" w:beforeAutospacing="0" w:after="0" w:afterAutospacing="0"/>
              <w:rPr>
                <w:color w:val="000000"/>
                <w:sz w:val="18"/>
                <w:szCs w:val="18"/>
              </w:rPr>
            </w:pPr>
            <w:r>
              <w:rPr>
                <w:color w:val="000000"/>
                <w:sz w:val="18"/>
                <w:szCs w:val="18"/>
              </w:rPr>
              <w:t>Measurement and Analysis</w:t>
            </w:r>
          </w:p>
        </w:tc>
        <w:tc>
          <w:tcPr>
            <w:tcW w:w="67" w:type="pct"/>
            <w:shd w:val="clear" w:color="auto" w:fill="FFFFFF"/>
            <w:tcMar>
              <w:top w:w="15" w:type="dxa"/>
              <w:left w:w="0" w:type="dxa"/>
              <w:bottom w:w="0" w:type="dxa"/>
              <w:right w:w="15" w:type="dxa"/>
            </w:tcMar>
            <w:vAlign w:val="bottom"/>
            <w:hideMark/>
          </w:tcPr>
          <w:p w14:paraId="66FBF7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46EE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1B305E68" w14:textId="77777777" w:rsidR="00000000" w:rsidRDefault="00582324">
            <w:pPr>
              <w:pStyle w:val="a3"/>
              <w:spacing w:before="0" w:beforeAutospacing="0" w:after="0" w:afterAutospacing="0"/>
              <w:jc w:val="right"/>
              <w:rPr>
                <w:color w:val="000000"/>
                <w:sz w:val="18"/>
                <w:szCs w:val="18"/>
              </w:rPr>
            </w:pPr>
            <w:r>
              <w:rPr>
                <w:color w:val="000000"/>
                <w:sz w:val="18"/>
                <w:szCs w:val="18"/>
              </w:rPr>
              <w:t>39,117</w:t>
            </w:r>
          </w:p>
        </w:tc>
        <w:tc>
          <w:tcPr>
            <w:tcW w:w="50" w:type="pct"/>
            <w:shd w:val="clear" w:color="auto" w:fill="FFFFFF"/>
            <w:noWrap/>
            <w:tcMar>
              <w:top w:w="15" w:type="dxa"/>
              <w:left w:w="0" w:type="dxa"/>
              <w:bottom w:w="0" w:type="dxa"/>
              <w:right w:w="15" w:type="dxa"/>
            </w:tcMar>
            <w:vAlign w:val="bottom"/>
            <w:hideMark/>
          </w:tcPr>
          <w:p w14:paraId="29A287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B2ADF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C3FE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780F38C5" w14:textId="77777777" w:rsidR="00000000" w:rsidRDefault="00582324">
            <w:pPr>
              <w:pStyle w:val="a3"/>
              <w:spacing w:before="0" w:beforeAutospacing="0" w:after="0" w:afterAutospacing="0"/>
              <w:jc w:val="right"/>
              <w:rPr>
                <w:color w:val="000000"/>
                <w:sz w:val="18"/>
                <w:szCs w:val="18"/>
              </w:rPr>
            </w:pPr>
            <w:r>
              <w:rPr>
                <w:color w:val="000000"/>
                <w:sz w:val="18"/>
                <w:szCs w:val="18"/>
              </w:rPr>
              <w:t>9,491</w:t>
            </w:r>
          </w:p>
        </w:tc>
        <w:tc>
          <w:tcPr>
            <w:tcW w:w="50" w:type="pct"/>
            <w:shd w:val="clear" w:color="auto" w:fill="FFFFFF"/>
            <w:noWrap/>
            <w:tcMar>
              <w:top w:w="15" w:type="dxa"/>
              <w:left w:w="0" w:type="dxa"/>
              <w:bottom w:w="0" w:type="dxa"/>
              <w:right w:w="15" w:type="dxa"/>
            </w:tcMar>
            <w:vAlign w:val="bottom"/>
            <w:hideMark/>
          </w:tcPr>
          <w:p w14:paraId="7B01E7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13210F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5297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597A1CF9" w14:textId="77777777" w:rsidR="00000000" w:rsidRDefault="00582324">
            <w:pPr>
              <w:pStyle w:val="a3"/>
              <w:spacing w:before="0" w:beforeAutospacing="0" w:after="0" w:afterAutospacing="0"/>
              <w:jc w:val="right"/>
              <w:rPr>
                <w:color w:val="000000"/>
                <w:sz w:val="18"/>
                <w:szCs w:val="18"/>
              </w:rPr>
            </w:pPr>
            <w:r>
              <w:rPr>
                <w:color w:val="000000"/>
                <w:sz w:val="18"/>
                <w:szCs w:val="18"/>
              </w:rPr>
              <w:t>37,036</w:t>
            </w:r>
          </w:p>
        </w:tc>
        <w:tc>
          <w:tcPr>
            <w:tcW w:w="50" w:type="pct"/>
            <w:shd w:val="clear" w:color="auto" w:fill="FFFFFF"/>
            <w:noWrap/>
            <w:tcMar>
              <w:top w:w="15" w:type="dxa"/>
              <w:left w:w="0" w:type="dxa"/>
              <w:bottom w:w="0" w:type="dxa"/>
              <w:right w:w="15" w:type="dxa"/>
            </w:tcMar>
            <w:vAlign w:val="bottom"/>
            <w:hideMark/>
          </w:tcPr>
          <w:p w14:paraId="3CB666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3C8657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D1C2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722FF6E1" w14:textId="77777777" w:rsidR="00000000" w:rsidRDefault="00582324">
            <w:pPr>
              <w:pStyle w:val="a3"/>
              <w:spacing w:before="0" w:beforeAutospacing="0" w:after="0" w:afterAutospacing="0"/>
              <w:jc w:val="right"/>
              <w:rPr>
                <w:color w:val="000000"/>
                <w:sz w:val="18"/>
                <w:szCs w:val="18"/>
              </w:rPr>
            </w:pPr>
            <w:r>
              <w:rPr>
                <w:color w:val="000000"/>
                <w:sz w:val="18"/>
                <w:szCs w:val="18"/>
              </w:rPr>
              <w:t>11,615</w:t>
            </w:r>
          </w:p>
        </w:tc>
        <w:tc>
          <w:tcPr>
            <w:tcW w:w="50" w:type="pct"/>
            <w:shd w:val="clear" w:color="auto" w:fill="FFFFFF"/>
            <w:noWrap/>
            <w:tcMar>
              <w:top w:w="15" w:type="dxa"/>
              <w:left w:w="0" w:type="dxa"/>
              <w:bottom w:w="0" w:type="dxa"/>
              <w:right w:w="15" w:type="dxa"/>
            </w:tcMar>
            <w:vAlign w:val="bottom"/>
            <w:hideMark/>
          </w:tcPr>
          <w:p w14:paraId="351F0E7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F71BEFF" w14:textId="77777777">
        <w:trPr>
          <w:divId w:val="766118375"/>
        </w:trPr>
        <w:tc>
          <w:tcPr>
            <w:tcW w:w="2201" w:type="pct"/>
            <w:shd w:val="clear" w:color="auto" w:fill="CFF0FC"/>
            <w:tcMar>
              <w:top w:w="15" w:type="dxa"/>
              <w:left w:w="0" w:type="dxa"/>
              <w:bottom w:w="0" w:type="dxa"/>
              <w:right w:w="15" w:type="dxa"/>
            </w:tcMar>
            <w:hideMark/>
          </w:tcPr>
          <w:p w14:paraId="7EC036E6" w14:textId="77777777" w:rsidR="00000000" w:rsidRDefault="00582324">
            <w:pPr>
              <w:pStyle w:val="a3"/>
              <w:spacing w:before="0" w:beforeAutospacing="0" w:after="0" w:afterAutospacing="0"/>
              <w:rPr>
                <w:color w:val="000000"/>
                <w:sz w:val="18"/>
                <w:szCs w:val="18"/>
              </w:rPr>
            </w:pPr>
            <w:r>
              <w:rPr>
                <w:color w:val="000000"/>
                <w:sz w:val="18"/>
                <w:szCs w:val="18"/>
              </w:rPr>
              <w:t>Remediation and Reuse</w:t>
            </w:r>
          </w:p>
        </w:tc>
        <w:tc>
          <w:tcPr>
            <w:tcW w:w="67" w:type="pct"/>
            <w:shd w:val="clear" w:color="auto" w:fill="CFF0FC"/>
            <w:tcMar>
              <w:top w:w="15" w:type="dxa"/>
              <w:left w:w="0" w:type="dxa"/>
              <w:bottom w:w="0" w:type="dxa"/>
              <w:right w:w="15" w:type="dxa"/>
            </w:tcMar>
            <w:vAlign w:val="bottom"/>
            <w:hideMark/>
          </w:tcPr>
          <w:p w14:paraId="2F0706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A15E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38BFD5B7" w14:textId="77777777" w:rsidR="00000000" w:rsidRDefault="00582324">
            <w:pPr>
              <w:pStyle w:val="a3"/>
              <w:spacing w:before="0" w:beforeAutospacing="0" w:after="0" w:afterAutospacing="0"/>
              <w:jc w:val="right"/>
              <w:rPr>
                <w:color w:val="000000"/>
                <w:sz w:val="18"/>
                <w:szCs w:val="18"/>
              </w:rPr>
            </w:pPr>
            <w:r>
              <w:rPr>
                <w:color w:val="000000"/>
                <w:sz w:val="18"/>
                <w:szCs w:val="18"/>
              </w:rPr>
              <w:t>26,402</w:t>
            </w:r>
          </w:p>
        </w:tc>
        <w:tc>
          <w:tcPr>
            <w:tcW w:w="50" w:type="pct"/>
            <w:shd w:val="clear" w:color="auto" w:fill="CFF0FC"/>
            <w:noWrap/>
            <w:tcMar>
              <w:top w:w="15" w:type="dxa"/>
              <w:left w:w="0" w:type="dxa"/>
              <w:bottom w:w="0" w:type="dxa"/>
              <w:right w:w="15" w:type="dxa"/>
            </w:tcMar>
            <w:vAlign w:val="bottom"/>
            <w:hideMark/>
          </w:tcPr>
          <w:p w14:paraId="32769A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0B03DD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E4AA9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01556C85" w14:textId="77777777" w:rsidR="00000000" w:rsidRDefault="00582324">
            <w:pPr>
              <w:pStyle w:val="a3"/>
              <w:spacing w:before="0" w:beforeAutospacing="0" w:after="0" w:afterAutospacing="0"/>
              <w:jc w:val="right"/>
              <w:rPr>
                <w:color w:val="000000"/>
                <w:sz w:val="18"/>
                <w:szCs w:val="18"/>
              </w:rPr>
            </w:pPr>
            <w:r>
              <w:rPr>
                <w:color w:val="000000"/>
                <w:sz w:val="18"/>
                <w:szCs w:val="18"/>
              </w:rPr>
              <w:t>4,309</w:t>
            </w:r>
          </w:p>
        </w:tc>
        <w:tc>
          <w:tcPr>
            <w:tcW w:w="50" w:type="pct"/>
            <w:shd w:val="clear" w:color="auto" w:fill="CFF0FC"/>
            <w:noWrap/>
            <w:tcMar>
              <w:top w:w="15" w:type="dxa"/>
              <w:left w:w="0" w:type="dxa"/>
              <w:bottom w:w="0" w:type="dxa"/>
              <w:right w:w="15" w:type="dxa"/>
            </w:tcMar>
            <w:vAlign w:val="bottom"/>
            <w:hideMark/>
          </w:tcPr>
          <w:p w14:paraId="4530D5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7D8314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B1EF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4D3F1F07" w14:textId="77777777" w:rsidR="00000000" w:rsidRDefault="00582324">
            <w:pPr>
              <w:pStyle w:val="a3"/>
              <w:spacing w:before="0" w:beforeAutospacing="0" w:after="0" w:afterAutospacing="0"/>
              <w:jc w:val="right"/>
              <w:rPr>
                <w:color w:val="000000"/>
                <w:sz w:val="18"/>
                <w:szCs w:val="18"/>
              </w:rPr>
            </w:pPr>
            <w:r>
              <w:rPr>
                <w:color w:val="000000"/>
                <w:sz w:val="18"/>
                <w:szCs w:val="18"/>
              </w:rPr>
              <w:t>18,099</w:t>
            </w:r>
          </w:p>
        </w:tc>
        <w:tc>
          <w:tcPr>
            <w:tcW w:w="50" w:type="pct"/>
            <w:shd w:val="clear" w:color="auto" w:fill="CFF0FC"/>
            <w:noWrap/>
            <w:tcMar>
              <w:top w:w="15" w:type="dxa"/>
              <w:left w:w="0" w:type="dxa"/>
              <w:bottom w:w="0" w:type="dxa"/>
              <w:right w:w="15" w:type="dxa"/>
            </w:tcMar>
            <w:vAlign w:val="bottom"/>
            <w:hideMark/>
          </w:tcPr>
          <w:p w14:paraId="09963B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6378E6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3CE8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2BA6BBCA" w14:textId="77777777" w:rsidR="00000000" w:rsidRDefault="00582324">
            <w:pPr>
              <w:pStyle w:val="a3"/>
              <w:spacing w:before="0" w:beforeAutospacing="0" w:after="0" w:afterAutospacing="0"/>
              <w:jc w:val="right"/>
              <w:rPr>
                <w:color w:val="000000"/>
                <w:sz w:val="18"/>
                <w:szCs w:val="18"/>
              </w:rPr>
            </w:pPr>
            <w:r>
              <w:rPr>
                <w:color w:val="000000"/>
                <w:sz w:val="18"/>
                <w:szCs w:val="18"/>
              </w:rPr>
              <w:t>2,375</w:t>
            </w:r>
          </w:p>
        </w:tc>
        <w:tc>
          <w:tcPr>
            <w:tcW w:w="50" w:type="pct"/>
            <w:shd w:val="clear" w:color="auto" w:fill="CFF0FC"/>
            <w:noWrap/>
            <w:tcMar>
              <w:top w:w="15" w:type="dxa"/>
              <w:left w:w="0" w:type="dxa"/>
              <w:bottom w:w="0" w:type="dxa"/>
              <w:right w:w="15" w:type="dxa"/>
            </w:tcMar>
            <w:vAlign w:val="bottom"/>
            <w:hideMark/>
          </w:tcPr>
          <w:p w14:paraId="367EF45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4232C53" w14:textId="77777777">
        <w:trPr>
          <w:divId w:val="766118375"/>
        </w:trPr>
        <w:tc>
          <w:tcPr>
            <w:tcW w:w="2201" w:type="pct"/>
            <w:shd w:val="clear" w:color="auto" w:fill="FFFFFF"/>
            <w:tcMar>
              <w:top w:w="15" w:type="dxa"/>
              <w:left w:w="0" w:type="dxa"/>
              <w:bottom w:w="0" w:type="dxa"/>
              <w:right w:w="15" w:type="dxa"/>
            </w:tcMar>
            <w:hideMark/>
          </w:tcPr>
          <w:p w14:paraId="09B9185A" w14:textId="77777777" w:rsidR="00000000" w:rsidRDefault="00582324">
            <w:pPr>
              <w:pStyle w:val="a3"/>
              <w:spacing w:before="0" w:beforeAutospacing="0" w:after="0" w:afterAutospacing="0"/>
              <w:rPr>
                <w:color w:val="000000"/>
                <w:sz w:val="18"/>
                <w:szCs w:val="18"/>
              </w:rPr>
            </w:pPr>
            <w:r>
              <w:rPr>
                <w:color w:val="000000"/>
                <w:sz w:val="18"/>
                <w:szCs w:val="18"/>
              </w:rPr>
              <w:t>Total Operating Segments</w:t>
            </w:r>
          </w:p>
        </w:tc>
        <w:tc>
          <w:tcPr>
            <w:tcW w:w="67" w:type="pct"/>
            <w:shd w:val="clear" w:color="auto" w:fill="FFFFFF"/>
            <w:tcMar>
              <w:top w:w="15" w:type="dxa"/>
              <w:left w:w="0" w:type="dxa"/>
              <w:bottom w:w="0" w:type="dxa"/>
              <w:right w:w="15" w:type="dxa"/>
            </w:tcMar>
            <w:vAlign w:val="bottom"/>
            <w:hideMark/>
          </w:tcPr>
          <w:p w14:paraId="1CE7F4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9A59B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315BD10E" w14:textId="77777777" w:rsidR="00000000" w:rsidRDefault="00582324">
            <w:pPr>
              <w:pStyle w:val="a3"/>
              <w:spacing w:before="0" w:beforeAutospacing="0" w:after="0" w:afterAutospacing="0"/>
              <w:jc w:val="right"/>
              <w:rPr>
                <w:color w:val="000000"/>
                <w:sz w:val="18"/>
                <w:szCs w:val="18"/>
              </w:rPr>
            </w:pPr>
            <w:r>
              <w:rPr>
                <w:color w:val="000000"/>
                <w:sz w:val="18"/>
                <w:szCs w:val="18"/>
              </w:rPr>
              <w:t>136,224</w:t>
            </w:r>
          </w:p>
        </w:tc>
        <w:tc>
          <w:tcPr>
            <w:tcW w:w="50" w:type="pct"/>
            <w:shd w:val="clear" w:color="auto" w:fill="FFFFFF"/>
            <w:noWrap/>
            <w:tcMar>
              <w:top w:w="15" w:type="dxa"/>
              <w:left w:w="0" w:type="dxa"/>
              <w:bottom w:w="0" w:type="dxa"/>
              <w:right w:w="15" w:type="dxa"/>
            </w:tcMar>
            <w:vAlign w:val="bottom"/>
            <w:hideMark/>
          </w:tcPr>
          <w:p w14:paraId="2A6FC6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1D1FE4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B921E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5F968E7D" w14:textId="77777777" w:rsidR="00000000" w:rsidRDefault="00582324">
            <w:pPr>
              <w:pStyle w:val="a3"/>
              <w:spacing w:before="0" w:beforeAutospacing="0" w:after="0" w:afterAutospacing="0"/>
              <w:jc w:val="right"/>
              <w:rPr>
                <w:color w:val="000000"/>
                <w:sz w:val="18"/>
                <w:szCs w:val="18"/>
              </w:rPr>
            </w:pPr>
            <w:r>
              <w:rPr>
                <w:color w:val="000000"/>
                <w:sz w:val="18"/>
                <w:szCs w:val="18"/>
              </w:rPr>
              <w:t>28,656</w:t>
            </w:r>
          </w:p>
        </w:tc>
        <w:tc>
          <w:tcPr>
            <w:tcW w:w="50" w:type="pct"/>
            <w:shd w:val="clear" w:color="auto" w:fill="FFFFFF"/>
            <w:noWrap/>
            <w:tcMar>
              <w:top w:w="15" w:type="dxa"/>
              <w:left w:w="0" w:type="dxa"/>
              <w:bottom w:w="0" w:type="dxa"/>
              <w:right w:w="15" w:type="dxa"/>
            </w:tcMar>
            <w:vAlign w:val="bottom"/>
            <w:hideMark/>
          </w:tcPr>
          <w:p w14:paraId="2DE548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00E96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A9D6B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6442021E" w14:textId="77777777" w:rsidR="00000000" w:rsidRDefault="00582324">
            <w:pPr>
              <w:pStyle w:val="a3"/>
              <w:spacing w:before="0" w:beforeAutospacing="0" w:after="0" w:afterAutospacing="0"/>
              <w:jc w:val="right"/>
              <w:rPr>
                <w:color w:val="000000"/>
                <w:sz w:val="18"/>
                <w:szCs w:val="18"/>
              </w:rPr>
            </w:pPr>
            <w:r>
              <w:rPr>
                <w:color w:val="000000"/>
                <w:sz w:val="18"/>
                <w:szCs w:val="18"/>
              </w:rPr>
              <w:t>73,766</w:t>
            </w:r>
          </w:p>
        </w:tc>
        <w:tc>
          <w:tcPr>
            <w:tcW w:w="50" w:type="pct"/>
            <w:shd w:val="clear" w:color="auto" w:fill="FFFFFF"/>
            <w:noWrap/>
            <w:tcMar>
              <w:top w:w="15" w:type="dxa"/>
              <w:left w:w="0" w:type="dxa"/>
              <w:bottom w:w="0" w:type="dxa"/>
              <w:right w:w="15" w:type="dxa"/>
            </w:tcMar>
            <w:vAlign w:val="bottom"/>
            <w:hideMark/>
          </w:tcPr>
          <w:p w14:paraId="53581A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5F8E1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E1FD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63B8360C" w14:textId="77777777" w:rsidR="00000000" w:rsidRDefault="00582324">
            <w:pPr>
              <w:pStyle w:val="a3"/>
              <w:spacing w:before="0" w:beforeAutospacing="0" w:after="0" w:afterAutospacing="0"/>
              <w:jc w:val="right"/>
              <w:rPr>
                <w:color w:val="000000"/>
                <w:sz w:val="18"/>
                <w:szCs w:val="18"/>
              </w:rPr>
            </w:pPr>
            <w:r>
              <w:rPr>
                <w:color w:val="000000"/>
                <w:sz w:val="18"/>
                <w:szCs w:val="18"/>
              </w:rPr>
              <w:t>18,979</w:t>
            </w:r>
          </w:p>
        </w:tc>
        <w:tc>
          <w:tcPr>
            <w:tcW w:w="50" w:type="pct"/>
            <w:shd w:val="clear" w:color="auto" w:fill="FFFFFF"/>
            <w:noWrap/>
            <w:tcMar>
              <w:top w:w="15" w:type="dxa"/>
              <w:left w:w="0" w:type="dxa"/>
              <w:bottom w:w="0" w:type="dxa"/>
              <w:right w:w="15" w:type="dxa"/>
            </w:tcMar>
            <w:vAlign w:val="bottom"/>
            <w:hideMark/>
          </w:tcPr>
          <w:p w14:paraId="2CFE558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2B2EBE7" w14:textId="77777777">
        <w:trPr>
          <w:divId w:val="766118375"/>
        </w:trPr>
        <w:tc>
          <w:tcPr>
            <w:tcW w:w="2201" w:type="pct"/>
            <w:shd w:val="clear" w:color="auto" w:fill="CFF0FC"/>
            <w:tcMar>
              <w:top w:w="15" w:type="dxa"/>
              <w:left w:w="0" w:type="dxa"/>
              <w:bottom w:w="0" w:type="dxa"/>
              <w:right w:w="15" w:type="dxa"/>
            </w:tcMar>
            <w:hideMark/>
          </w:tcPr>
          <w:p w14:paraId="44684CA9" w14:textId="77777777" w:rsidR="00000000" w:rsidRDefault="00582324">
            <w:pPr>
              <w:pStyle w:val="a3"/>
              <w:spacing w:before="0" w:beforeAutospacing="0" w:after="0" w:afterAutospacing="0"/>
              <w:rPr>
                <w:color w:val="000000"/>
                <w:sz w:val="18"/>
                <w:szCs w:val="18"/>
              </w:rPr>
            </w:pPr>
            <w:r>
              <w:rPr>
                <w:color w:val="000000"/>
                <w:sz w:val="18"/>
                <w:szCs w:val="18"/>
              </w:rPr>
              <w:t>Corporate and Other</w:t>
            </w:r>
          </w:p>
        </w:tc>
        <w:tc>
          <w:tcPr>
            <w:tcW w:w="67" w:type="pct"/>
            <w:shd w:val="clear" w:color="auto" w:fill="CFF0FC"/>
            <w:tcMar>
              <w:top w:w="15" w:type="dxa"/>
              <w:left w:w="0" w:type="dxa"/>
              <w:bottom w:w="0" w:type="dxa"/>
              <w:right w:w="15" w:type="dxa"/>
            </w:tcMar>
            <w:vAlign w:val="bottom"/>
            <w:hideMark/>
          </w:tcPr>
          <w:p w14:paraId="7051C7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5CD7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60C6EBC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A4F44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5E095F9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A5AC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76CC1A22" w14:textId="77777777" w:rsidR="00000000" w:rsidRDefault="00582324">
            <w:pPr>
              <w:pStyle w:val="a3"/>
              <w:spacing w:before="0" w:beforeAutospacing="0" w:after="0" w:afterAutospacing="0"/>
              <w:jc w:val="right"/>
              <w:rPr>
                <w:color w:val="000000"/>
                <w:sz w:val="18"/>
                <w:szCs w:val="18"/>
              </w:rPr>
            </w:pPr>
            <w:r>
              <w:rPr>
                <w:color w:val="000000"/>
                <w:sz w:val="18"/>
                <w:szCs w:val="18"/>
              </w:rPr>
              <w:t>(7,693</w:t>
            </w:r>
          </w:p>
        </w:tc>
        <w:tc>
          <w:tcPr>
            <w:tcW w:w="50" w:type="pct"/>
            <w:shd w:val="clear" w:color="auto" w:fill="CFF0FC"/>
            <w:noWrap/>
            <w:tcMar>
              <w:top w:w="15" w:type="dxa"/>
              <w:left w:w="0" w:type="dxa"/>
              <w:bottom w:w="0" w:type="dxa"/>
              <w:right w:w="15" w:type="dxa"/>
            </w:tcMar>
            <w:vAlign w:val="bottom"/>
            <w:hideMark/>
          </w:tcPr>
          <w:p w14:paraId="0F1382F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 w:type="pct"/>
            <w:shd w:val="clear" w:color="auto" w:fill="CFF0FC"/>
            <w:tcMar>
              <w:top w:w="15" w:type="dxa"/>
              <w:left w:w="0" w:type="dxa"/>
              <w:bottom w:w="0" w:type="dxa"/>
              <w:right w:w="15" w:type="dxa"/>
            </w:tcMar>
            <w:vAlign w:val="bottom"/>
            <w:hideMark/>
          </w:tcPr>
          <w:p w14:paraId="7A94E87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A725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50490FD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DF0F68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402D9F6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4A46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098852DF" w14:textId="77777777" w:rsidR="00000000" w:rsidRDefault="00582324">
            <w:pPr>
              <w:pStyle w:val="a3"/>
              <w:spacing w:before="0" w:beforeAutospacing="0" w:after="0" w:afterAutospacing="0"/>
              <w:jc w:val="right"/>
              <w:rPr>
                <w:color w:val="000000"/>
                <w:sz w:val="18"/>
                <w:szCs w:val="18"/>
              </w:rPr>
            </w:pPr>
            <w:r>
              <w:rPr>
                <w:color w:val="000000"/>
                <w:sz w:val="18"/>
                <w:szCs w:val="18"/>
              </w:rPr>
              <w:t>(5,084</w:t>
            </w:r>
          </w:p>
        </w:tc>
        <w:tc>
          <w:tcPr>
            <w:tcW w:w="50" w:type="pct"/>
            <w:shd w:val="clear" w:color="auto" w:fill="CFF0FC"/>
            <w:noWrap/>
            <w:tcMar>
              <w:top w:w="15" w:type="dxa"/>
              <w:left w:w="0" w:type="dxa"/>
              <w:bottom w:w="0" w:type="dxa"/>
              <w:right w:w="15" w:type="dxa"/>
            </w:tcMar>
            <w:vAlign w:val="bottom"/>
            <w:hideMark/>
          </w:tcPr>
          <w:p w14:paraId="4DDFEDCF"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2C10D0A" w14:textId="77777777">
        <w:trPr>
          <w:divId w:val="766118375"/>
        </w:trPr>
        <w:tc>
          <w:tcPr>
            <w:tcW w:w="2201" w:type="pct"/>
            <w:shd w:val="clear" w:color="auto" w:fill="FFFFFF"/>
            <w:tcMar>
              <w:top w:w="15" w:type="dxa"/>
              <w:left w:w="0" w:type="dxa"/>
              <w:bottom w:w="0" w:type="dxa"/>
              <w:right w:w="15" w:type="dxa"/>
            </w:tcMar>
            <w:hideMark/>
          </w:tcPr>
          <w:p w14:paraId="4510BE41" w14:textId="77777777" w:rsidR="00000000" w:rsidRDefault="00582324">
            <w:pPr>
              <w:pStyle w:val="a3"/>
              <w:spacing w:before="0" w:beforeAutospacing="0" w:after="0" w:afterAutospacing="0"/>
              <w:ind w:left="274"/>
              <w:rPr>
                <w:color w:val="000000"/>
                <w:sz w:val="18"/>
                <w:szCs w:val="18"/>
              </w:rPr>
            </w:pPr>
            <w:r>
              <w:rPr>
                <w:color w:val="000000"/>
                <w:sz w:val="18"/>
                <w:szCs w:val="18"/>
              </w:rPr>
              <w:t>Total</w:t>
            </w:r>
          </w:p>
        </w:tc>
        <w:tc>
          <w:tcPr>
            <w:tcW w:w="67" w:type="pct"/>
            <w:shd w:val="clear" w:color="auto" w:fill="FFFFFF"/>
            <w:tcMar>
              <w:top w:w="15" w:type="dxa"/>
              <w:left w:w="0" w:type="dxa"/>
              <w:bottom w:w="0" w:type="dxa"/>
              <w:right w:w="15" w:type="dxa"/>
            </w:tcMar>
            <w:vAlign w:val="bottom"/>
            <w:hideMark/>
          </w:tcPr>
          <w:p w14:paraId="2E5FAC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6722F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B48B16" w14:textId="77777777" w:rsidR="00000000" w:rsidRDefault="00582324">
            <w:pPr>
              <w:pStyle w:val="a3"/>
              <w:spacing w:before="0" w:beforeAutospacing="0" w:after="0" w:afterAutospacing="0"/>
              <w:jc w:val="right"/>
              <w:rPr>
                <w:color w:val="000000"/>
                <w:sz w:val="18"/>
                <w:szCs w:val="18"/>
              </w:rPr>
            </w:pPr>
            <w:r>
              <w:rPr>
                <w:color w:val="000000"/>
                <w:sz w:val="18"/>
                <w:szCs w:val="18"/>
              </w:rPr>
              <w:t>136,224</w:t>
            </w:r>
          </w:p>
        </w:tc>
        <w:tc>
          <w:tcPr>
            <w:tcW w:w="50" w:type="pct"/>
            <w:shd w:val="clear" w:color="auto" w:fill="FFFFFF"/>
            <w:noWrap/>
            <w:tcMar>
              <w:top w:w="15" w:type="dxa"/>
              <w:left w:w="0" w:type="dxa"/>
              <w:bottom w:w="0" w:type="dxa"/>
              <w:right w:w="15" w:type="dxa"/>
            </w:tcMar>
            <w:vAlign w:val="bottom"/>
            <w:hideMark/>
          </w:tcPr>
          <w:p w14:paraId="3B4897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6AE5C8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3E2EB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91C79D" w14:textId="77777777" w:rsidR="00000000" w:rsidRDefault="00582324">
            <w:pPr>
              <w:pStyle w:val="a3"/>
              <w:spacing w:before="0" w:beforeAutospacing="0" w:after="0" w:afterAutospacing="0"/>
              <w:jc w:val="right"/>
              <w:rPr>
                <w:color w:val="000000"/>
                <w:sz w:val="18"/>
                <w:szCs w:val="18"/>
              </w:rPr>
            </w:pPr>
            <w:r>
              <w:rPr>
                <w:color w:val="000000"/>
                <w:sz w:val="18"/>
                <w:szCs w:val="18"/>
              </w:rPr>
              <w:t>20,963</w:t>
            </w:r>
          </w:p>
        </w:tc>
        <w:tc>
          <w:tcPr>
            <w:tcW w:w="50" w:type="pct"/>
            <w:shd w:val="clear" w:color="auto" w:fill="FFFFFF"/>
            <w:noWrap/>
            <w:tcMar>
              <w:top w:w="15" w:type="dxa"/>
              <w:left w:w="0" w:type="dxa"/>
              <w:bottom w:w="0" w:type="dxa"/>
              <w:right w:w="15" w:type="dxa"/>
            </w:tcMar>
            <w:vAlign w:val="bottom"/>
            <w:hideMark/>
          </w:tcPr>
          <w:p w14:paraId="1BA3BC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37B05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9775C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8F3362" w14:textId="77777777" w:rsidR="00000000" w:rsidRDefault="00582324">
            <w:pPr>
              <w:pStyle w:val="a3"/>
              <w:spacing w:before="0" w:beforeAutospacing="0" w:after="0" w:afterAutospacing="0"/>
              <w:jc w:val="right"/>
              <w:rPr>
                <w:color w:val="000000"/>
                <w:sz w:val="18"/>
                <w:szCs w:val="18"/>
              </w:rPr>
            </w:pPr>
            <w:r>
              <w:rPr>
                <w:color w:val="000000"/>
                <w:sz w:val="18"/>
                <w:szCs w:val="18"/>
              </w:rPr>
              <w:t>73,766</w:t>
            </w:r>
          </w:p>
        </w:tc>
        <w:tc>
          <w:tcPr>
            <w:tcW w:w="50" w:type="pct"/>
            <w:shd w:val="clear" w:color="auto" w:fill="FFFFFF"/>
            <w:noWrap/>
            <w:tcMar>
              <w:top w:w="15" w:type="dxa"/>
              <w:left w:w="0" w:type="dxa"/>
              <w:bottom w:w="0" w:type="dxa"/>
              <w:right w:w="15" w:type="dxa"/>
            </w:tcMar>
            <w:vAlign w:val="bottom"/>
            <w:hideMark/>
          </w:tcPr>
          <w:p w14:paraId="22B2FE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47D5CFE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9532F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D054F1" w14:textId="77777777" w:rsidR="00000000" w:rsidRDefault="00582324">
            <w:pPr>
              <w:pStyle w:val="a3"/>
              <w:spacing w:before="0" w:beforeAutospacing="0" w:after="0" w:afterAutospacing="0"/>
              <w:jc w:val="right"/>
              <w:rPr>
                <w:color w:val="000000"/>
                <w:sz w:val="18"/>
                <w:szCs w:val="18"/>
              </w:rPr>
            </w:pPr>
            <w:r>
              <w:rPr>
                <w:color w:val="000000"/>
                <w:sz w:val="18"/>
                <w:szCs w:val="18"/>
              </w:rPr>
              <w:t>13,895</w:t>
            </w:r>
          </w:p>
        </w:tc>
        <w:tc>
          <w:tcPr>
            <w:tcW w:w="50" w:type="pct"/>
            <w:shd w:val="clear" w:color="auto" w:fill="FFFFFF"/>
            <w:noWrap/>
            <w:tcMar>
              <w:top w:w="15" w:type="dxa"/>
              <w:left w:w="0" w:type="dxa"/>
              <w:bottom w:w="0" w:type="dxa"/>
              <w:right w:w="15" w:type="dxa"/>
            </w:tcMar>
            <w:vAlign w:val="bottom"/>
            <w:hideMark/>
          </w:tcPr>
          <w:p w14:paraId="2157721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35489AD" w14:textId="77777777">
        <w:trPr>
          <w:divId w:val="766118375"/>
        </w:trPr>
        <w:tc>
          <w:tcPr>
            <w:tcW w:w="2201" w:type="pct"/>
            <w:shd w:val="clear" w:color="auto" w:fill="FFFFFF"/>
            <w:tcMar>
              <w:top w:w="15" w:type="dxa"/>
              <w:left w:w="0" w:type="dxa"/>
              <w:bottom w:w="0" w:type="dxa"/>
              <w:right w:w="15" w:type="dxa"/>
            </w:tcMar>
            <w:vAlign w:val="bottom"/>
            <w:hideMark/>
          </w:tcPr>
          <w:p w14:paraId="331DF7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1FBDEB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3FCF5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2A6638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8641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6F9966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AF06F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24EDE9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2896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6E10BB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2EB5F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6AB71F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33BC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1CF27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3221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3D7940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A68BF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AC70D39" w14:textId="77777777">
        <w:trPr>
          <w:divId w:val="766118375"/>
        </w:trPr>
        <w:tc>
          <w:tcPr>
            <w:tcW w:w="2201" w:type="pct"/>
            <w:shd w:val="clear" w:color="auto" w:fill="FFFFFF"/>
            <w:tcMar>
              <w:top w:w="15" w:type="dxa"/>
              <w:left w:w="0" w:type="dxa"/>
              <w:bottom w:w="0" w:type="dxa"/>
              <w:right w:w="15" w:type="dxa"/>
            </w:tcMar>
            <w:vAlign w:val="bottom"/>
            <w:hideMark/>
          </w:tcPr>
          <w:p w14:paraId="3D3290E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57EEE7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680" w:type="pct"/>
            <w:gridSpan w:val="14"/>
            <w:tcBorders>
              <w:bottom w:val="single" w:sz="6" w:space="0" w:color="000000"/>
            </w:tcBorders>
            <w:shd w:val="clear" w:color="auto" w:fill="FFFFFF"/>
            <w:tcMar>
              <w:top w:w="15" w:type="dxa"/>
              <w:left w:w="0" w:type="dxa"/>
              <w:bottom w:w="0" w:type="dxa"/>
              <w:right w:w="15" w:type="dxa"/>
            </w:tcMar>
            <w:vAlign w:val="bottom"/>
            <w:hideMark/>
          </w:tcPr>
          <w:p w14:paraId="03361E6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4E39643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B41AB6A" w14:textId="77777777">
        <w:trPr>
          <w:divId w:val="766118375"/>
        </w:trPr>
        <w:tc>
          <w:tcPr>
            <w:tcW w:w="2201" w:type="pct"/>
            <w:shd w:val="clear" w:color="auto" w:fill="FFFFFF"/>
            <w:tcMar>
              <w:top w:w="15" w:type="dxa"/>
              <w:left w:w="0" w:type="dxa"/>
              <w:bottom w:w="0" w:type="dxa"/>
              <w:right w:w="15" w:type="dxa"/>
            </w:tcMar>
            <w:vAlign w:val="bottom"/>
            <w:hideMark/>
          </w:tcPr>
          <w:p w14:paraId="1152E96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34D0AF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81"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EB37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0ECC223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4849392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81"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2338B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E443F6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428C6B8" w14:textId="77777777">
        <w:trPr>
          <w:divId w:val="766118375"/>
        </w:trPr>
        <w:tc>
          <w:tcPr>
            <w:tcW w:w="2201" w:type="pct"/>
            <w:shd w:val="clear" w:color="auto" w:fill="FFFFFF"/>
            <w:tcMar>
              <w:top w:w="15" w:type="dxa"/>
              <w:left w:w="0" w:type="dxa"/>
              <w:bottom w:w="0" w:type="dxa"/>
              <w:right w:w="15" w:type="dxa"/>
            </w:tcMar>
            <w:vAlign w:val="bottom"/>
            <w:hideMark/>
          </w:tcPr>
          <w:p w14:paraId="7159B62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19AEF72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84C512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52D167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7CBE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3A96613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top w:val="single" w:sz="6" w:space="0" w:color="000000"/>
            </w:tcBorders>
            <w:shd w:val="clear" w:color="auto" w:fill="FFFFFF"/>
            <w:tcMar>
              <w:top w:w="15" w:type="dxa"/>
              <w:left w:w="0" w:type="dxa"/>
              <w:bottom w:w="0" w:type="dxa"/>
              <w:right w:w="15" w:type="dxa"/>
            </w:tcMar>
            <w:vAlign w:val="bottom"/>
            <w:hideMark/>
          </w:tcPr>
          <w:p w14:paraId="361C261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70ED1EA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53BE13F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11754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3ECBF5C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A007B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6353E09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top w:val="single" w:sz="6" w:space="0" w:color="000000"/>
            </w:tcBorders>
            <w:shd w:val="clear" w:color="auto" w:fill="FFFFFF"/>
            <w:tcMar>
              <w:top w:w="15" w:type="dxa"/>
              <w:left w:w="0" w:type="dxa"/>
              <w:bottom w:w="0" w:type="dxa"/>
              <w:right w:w="15" w:type="dxa"/>
            </w:tcMar>
            <w:vAlign w:val="bottom"/>
            <w:hideMark/>
          </w:tcPr>
          <w:p w14:paraId="23DB47F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2E656D8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CD17A36" w14:textId="77777777">
        <w:trPr>
          <w:divId w:val="766118375"/>
        </w:trPr>
        <w:tc>
          <w:tcPr>
            <w:tcW w:w="2201" w:type="pct"/>
            <w:shd w:val="clear" w:color="auto" w:fill="FFFFFF"/>
            <w:tcMar>
              <w:top w:w="15" w:type="dxa"/>
              <w:left w:w="0" w:type="dxa"/>
              <w:bottom w:w="0" w:type="dxa"/>
              <w:right w:w="15" w:type="dxa"/>
            </w:tcMar>
            <w:vAlign w:val="bottom"/>
            <w:hideMark/>
          </w:tcPr>
          <w:p w14:paraId="2B5C241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08E03B8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1D5868F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63C0553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6491749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3B31E63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tc>
        <w:tc>
          <w:tcPr>
            <w:tcW w:w="50" w:type="pct"/>
            <w:shd w:val="clear" w:color="auto" w:fill="FFFFFF"/>
            <w:noWrap/>
            <w:tcMar>
              <w:top w:w="15" w:type="dxa"/>
              <w:left w:w="0" w:type="dxa"/>
              <w:bottom w:w="0" w:type="dxa"/>
              <w:right w:w="15" w:type="dxa"/>
            </w:tcMar>
            <w:vAlign w:val="bottom"/>
            <w:hideMark/>
          </w:tcPr>
          <w:p w14:paraId="0459E2B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075C31D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76F011D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tc>
        <w:tc>
          <w:tcPr>
            <w:tcW w:w="50" w:type="pct"/>
            <w:shd w:val="clear" w:color="auto" w:fill="FFFFFF"/>
            <w:noWrap/>
            <w:tcMar>
              <w:top w:w="15" w:type="dxa"/>
              <w:left w:w="0" w:type="dxa"/>
              <w:bottom w:w="0" w:type="dxa"/>
              <w:right w:w="15" w:type="dxa"/>
            </w:tcMar>
            <w:vAlign w:val="bottom"/>
            <w:hideMark/>
          </w:tcPr>
          <w:p w14:paraId="72EA3D8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1F48243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shd w:val="clear" w:color="auto" w:fill="FFFFFF"/>
            <w:tcMar>
              <w:top w:w="15" w:type="dxa"/>
              <w:left w:w="0" w:type="dxa"/>
              <w:bottom w:w="0" w:type="dxa"/>
              <w:right w:w="15" w:type="dxa"/>
            </w:tcMar>
            <w:vAlign w:val="bottom"/>
            <w:hideMark/>
          </w:tcPr>
          <w:p w14:paraId="2DA20B4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tc>
        <w:tc>
          <w:tcPr>
            <w:tcW w:w="50" w:type="pct"/>
            <w:shd w:val="clear" w:color="auto" w:fill="FFFFFF"/>
            <w:noWrap/>
            <w:tcMar>
              <w:top w:w="15" w:type="dxa"/>
              <w:left w:w="0" w:type="dxa"/>
              <w:bottom w:w="0" w:type="dxa"/>
              <w:right w:w="15" w:type="dxa"/>
            </w:tcMar>
            <w:vAlign w:val="bottom"/>
            <w:hideMark/>
          </w:tcPr>
          <w:p w14:paraId="3C98611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65BC9C9" w14:textId="77777777">
        <w:trPr>
          <w:divId w:val="766118375"/>
        </w:trPr>
        <w:tc>
          <w:tcPr>
            <w:tcW w:w="2201" w:type="pct"/>
            <w:shd w:val="clear" w:color="auto" w:fill="FFFFFF"/>
            <w:tcMar>
              <w:top w:w="15" w:type="dxa"/>
              <w:left w:w="0" w:type="dxa"/>
              <w:bottom w:w="0" w:type="dxa"/>
              <w:right w:w="15" w:type="dxa"/>
            </w:tcMar>
            <w:vAlign w:val="bottom"/>
            <w:hideMark/>
          </w:tcPr>
          <w:p w14:paraId="4B4A2EB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77EE74F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120B510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bottom"/>
            <w:hideMark/>
          </w:tcPr>
          <w:p w14:paraId="57302CB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6E306B0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5285EF3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tc>
        <w:tc>
          <w:tcPr>
            <w:tcW w:w="50" w:type="pct"/>
            <w:shd w:val="clear" w:color="auto" w:fill="FFFFFF"/>
            <w:noWrap/>
            <w:tcMar>
              <w:top w:w="15" w:type="dxa"/>
              <w:left w:w="0" w:type="dxa"/>
              <w:bottom w:w="0" w:type="dxa"/>
              <w:right w:w="15" w:type="dxa"/>
            </w:tcMar>
            <w:vAlign w:val="bottom"/>
            <w:hideMark/>
          </w:tcPr>
          <w:p w14:paraId="7737C3F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3165952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2118ACE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bottom"/>
            <w:hideMark/>
          </w:tcPr>
          <w:p w14:paraId="4AADCD5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7" w:type="pct"/>
            <w:shd w:val="clear" w:color="auto" w:fill="FFFFFF"/>
            <w:tcMar>
              <w:top w:w="15" w:type="dxa"/>
              <w:left w:w="0" w:type="dxa"/>
              <w:bottom w:w="0" w:type="dxa"/>
              <w:right w:w="15" w:type="dxa"/>
            </w:tcMar>
            <w:vAlign w:val="bottom"/>
            <w:hideMark/>
          </w:tcPr>
          <w:p w14:paraId="08AA8D7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82" w:type="pct"/>
            <w:gridSpan w:val="2"/>
            <w:tcBorders>
              <w:bottom w:val="single" w:sz="6" w:space="0" w:color="000000"/>
            </w:tcBorders>
            <w:shd w:val="clear" w:color="auto" w:fill="FFFFFF"/>
            <w:tcMar>
              <w:top w:w="15" w:type="dxa"/>
              <w:left w:w="0" w:type="dxa"/>
              <w:bottom w:w="0" w:type="dxa"/>
              <w:right w:w="15" w:type="dxa"/>
            </w:tcMar>
            <w:vAlign w:val="bottom"/>
            <w:hideMark/>
          </w:tcPr>
          <w:p w14:paraId="1202F84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tc>
        <w:tc>
          <w:tcPr>
            <w:tcW w:w="50" w:type="pct"/>
            <w:shd w:val="clear" w:color="auto" w:fill="FFFFFF"/>
            <w:noWrap/>
            <w:tcMar>
              <w:top w:w="15" w:type="dxa"/>
              <w:left w:w="0" w:type="dxa"/>
              <w:bottom w:w="0" w:type="dxa"/>
              <w:right w:w="15" w:type="dxa"/>
            </w:tcMar>
            <w:vAlign w:val="bottom"/>
            <w:hideMark/>
          </w:tcPr>
          <w:p w14:paraId="16FBD65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CA353F1" w14:textId="77777777">
        <w:trPr>
          <w:divId w:val="766118375"/>
        </w:trPr>
        <w:tc>
          <w:tcPr>
            <w:tcW w:w="2201" w:type="pct"/>
            <w:shd w:val="clear" w:color="auto" w:fill="CFF0FC"/>
            <w:tcMar>
              <w:top w:w="15" w:type="dxa"/>
              <w:left w:w="0" w:type="dxa"/>
              <w:bottom w:w="0" w:type="dxa"/>
              <w:right w:w="15" w:type="dxa"/>
            </w:tcMar>
            <w:hideMark/>
          </w:tcPr>
          <w:p w14:paraId="1A59049B" w14:textId="77777777" w:rsidR="00000000" w:rsidRDefault="00582324">
            <w:pPr>
              <w:pStyle w:val="a3"/>
              <w:spacing w:before="0" w:beforeAutospacing="0" w:after="0" w:afterAutospacing="0"/>
              <w:rPr>
                <w:color w:val="000000"/>
                <w:sz w:val="18"/>
                <w:szCs w:val="18"/>
              </w:rPr>
            </w:pPr>
            <w:r>
              <w:rPr>
                <w:color w:val="000000"/>
                <w:sz w:val="18"/>
                <w:szCs w:val="18"/>
              </w:rPr>
              <w:t>Assessment, Permitting and Response</w:t>
            </w:r>
          </w:p>
        </w:tc>
        <w:tc>
          <w:tcPr>
            <w:tcW w:w="67" w:type="pct"/>
            <w:shd w:val="clear" w:color="auto" w:fill="CFF0FC"/>
            <w:tcMar>
              <w:top w:w="15" w:type="dxa"/>
              <w:left w:w="0" w:type="dxa"/>
              <w:bottom w:w="0" w:type="dxa"/>
              <w:right w:w="15" w:type="dxa"/>
            </w:tcMar>
            <w:vAlign w:val="bottom"/>
            <w:hideMark/>
          </w:tcPr>
          <w:p w14:paraId="641266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0484C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15664326" w14:textId="77777777" w:rsidR="00000000" w:rsidRDefault="00582324">
            <w:pPr>
              <w:pStyle w:val="a3"/>
              <w:spacing w:before="0" w:beforeAutospacing="0" w:after="0" w:afterAutospacing="0"/>
              <w:jc w:val="right"/>
              <w:rPr>
                <w:color w:val="000000"/>
                <w:sz w:val="18"/>
                <w:szCs w:val="18"/>
              </w:rPr>
            </w:pPr>
            <w:r>
              <w:rPr>
                <w:color w:val="000000"/>
                <w:sz w:val="18"/>
                <w:szCs w:val="18"/>
              </w:rPr>
              <w:t>145,967</w:t>
            </w:r>
          </w:p>
        </w:tc>
        <w:tc>
          <w:tcPr>
            <w:tcW w:w="50" w:type="pct"/>
            <w:shd w:val="clear" w:color="auto" w:fill="CFF0FC"/>
            <w:noWrap/>
            <w:tcMar>
              <w:top w:w="15" w:type="dxa"/>
              <w:left w:w="0" w:type="dxa"/>
              <w:bottom w:w="0" w:type="dxa"/>
              <w:right w:w="15" w:type="dxa"/>
            </w:tcMar>
            <w:vAlign w:val="bottom"/>
            <w:hideMark/>
          </w:tcPr>
          <w:p w14:paraId="0F2ACA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77A80F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5E20A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0716AF9C" w14:textId="77777777" w:rsidR="00000000" w:rsidRDefault="00582324">
            <w:pPr>
              <w:pStyle w:val="a3"/>
              <w:spacing w:before="0" w:beforeAutospacing="0" w:after="0" w:afterAutospacing="0"/>
              <w:jc w:val="right"/>
              <w:rPr>
                <w:color w:val="000000"/>
                <w:sz w:val="18"/>
                <w:szCs w:val="18"/>
              </w:rPr>
            </w:pPr>
            <w:r>
              <w:rPr>
                <w:color w:val="000000"/>
                <w:sz w:val="18"/>
                <w:szCs w:val="18"/>
              </w:rPr>
              <w:t>30,660</w:t>
            </w:r>
          </w:p>
        </w:tc>
        <w:tc>
          <w:tcPr>
            <w:tcW w:w="50" w:type="pct"/>
            <w:shd w:val="clear" w:color="auto" w:fill="CFF0FC"/>
            <w:noWrap/>
            <w:tcMar>
              <w:top w:w="15" w:type="dxa"/>
              <w:left w:w="0" w:type="dxa"/>
              <w:bottom w:w="0" w:type="dxa"/>
              <w:right w:w="15" w:type="dxa"/>
            </w:tcMar>
            <w:vAlign w:val="bottom"/>
            <w:hideMark/>
          </w:tcPr>
          <w:p w14:paraId="0C5BB5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354D35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14D8D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30CF0612" w14:textId="77777777" w:rsidR="00000000" w:rsidRDefault="00582324">
            <w:pPr>
              <w:pStyle w:val="a3"/>
              <w:spacing w:before="0" w:beforeAutospacing="0" w:after="0" w:afterAutospacing="0"/>
              <w:jc w:val="right"/>
              <w:rPr>
                <w:color w:val="000000"/>
                <w:sz w:val="18"/>
                <w:szCs w:val="18"/>
              </w:rPr>
            </w:pPr>
            <w:r>
              <w:rPr>
                <w:color w:val="000000"/>
                <w:sz w:val="18"/>
                <w:szCs w:val="18"/>
              </w:rPr>
              <w:t>23,161</w:t>
            </w:r>
          </w:p>
        </w:tc>
        <w:tc>
          <w:tcPr>
            <w:tcW w:w="50" w:type="pct"/>
            <w:shd w:val="clear" w:color="auto" w:fill="CFF0FC"/>
            <w:noWrap/>
            <w:tcMar>
              <w:top w:w="15" w:type="dxa"/>
              <w:left w:w="0" w:type="dxa"/>
              <w:bottom w:w="0" w:type="dxa"/>
              <w:right w:w="15" w:type="dxa"/>
            </w:tcMar>
            <w:vAlign w:val="bottom"/>
            <w:hideMark/>
          </w:tcPr>
          <w:p w14:paraId="1128BE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631866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15025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tcBorders>
            <w:shd w:val="clear" w:color="auto" w:fill="CFF0FC"/>
            <w:noWrap/>
            <w:tcMar>
              <w:top w:w="15" w:type="dxa"/>
              <w:left w:w="0" w:type="dxa"/>
              <w:bottom w:w="0" w:type="dxa"/>
              <w:right w:w="15" w:type="dxa"/>
            </w:tcMar>
            <w:vAlign w:val="bottom"/>
            <w:hideMark/>
          </w:tcPr>
          <w:p w14:paraId="5307F20A" w14:textId="77777777" w:rsidR="00000000" w:rsidRDefault="00582324">
            <w:pPr>
              <w:pStyle w:val="a3"/>
              <w:spacing w:before="0" w:beforeAutospacing="0" w:after="0" w:afterAutospacing="0"/>
              <w:jc w:val="right"/>
              <w:rPr>
                <w:color w:val="000000"/>
                <w:sz w:val="18"/>
                <w:szCs w:val="18"/>
              </w:rPr>
            </w:pPr>
            <w:r>
              <w:rPr>
                <w:color w:val="000000"/>
                <w:sz w:val="18"/>
                <w:szCs w:val="18"/>
              </w:rPr>
              <w:t>6,431</w:t>
            </w:r>
          </w:p>
        </w:tc>
        <w:tc>
          <w:tcPr>
            <w:tcW w:w="50" w:type="pct"/>
            <w:shd w:val="clear" w:color="auto" w:fill="CFF0FC"/>
            <w:noWrap/>
            <w:tcMar>
              <w:top w:w="15" w:type="dxa"/>
              <w:left w:w="0" w:type="dxa"/>
              <w:bottom w:w="0" w:type="dxa"/>
              <w:right w:w="15" w:type="dxa"/>
            </w:tcMar>
            <w:vAlign w:val="bottom"/>
            <w:hideMark/>
          </w:tcPr>
          <w:p w14:paraId="72DD3E1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27F0D47" w14:textId="77777777">
        <w:trPr>
          <w:divId w:val="766118375"/>
        </w:trPr>
        <w:tc>
          <w:tcPr>
            <w:tcW w:w="2201" w:type="pct"/>
            <w:shd w:val="clear" w:color="auto" w:fill="FFFFFF"/>
            <w:tcMar>
              <w:top w:w="15" w:type="dxa"/>
              <w:left w:w="0" w:type="dxa"/>
              <w:bottom w:w="0" w:type="dxa"/>
              <w:right w:w="15" w:type="dxa"/>
            </w:tcMar>
            <w:hideMark/>
          </w:tcPr>
          <w:p w14:paraId="10D813E7" w14:textId="77777777" w:rsidR="00000000" w:rsidRDefault="00582324">
            <w:pPr>
              <w:pStyle w:val="a3"/>
              <w:spacing w:before="0" w:beforeAutospacing="0" w:after="0" w:afterAutospacing="0"/>
              <w:rPr>
                <w:color w:val="000000"/>
                <w:sz w:val="18"/>
                <w:szCs w:val="18"/>
              </w:rPr>
            </w:pPr>
            <w:r>
              <w:rPr>
                <w:color w:val="000000"/>
                <w:sz w:val="18"/>
                <w:szCs w:val="18"/>
              </w:rPr>
              <w:t>Measurement and Analysis</w:t>
            </w:r>
          </w:p>
        </w:tc>
        <w:tc>
          <w:tcPr>
            <w:tcW w:w="67" w:type="pct"/>
            <w:shd w:val="clear" w:color="auto" w:fill="FFFFFF"/>
            <w:tcMar>
              <w:top w:w="15" w:type="dxa"/>
              <w:left w:w="0" w:type="dxa"/>
              <w:bottom w:w="0" w:type="dxa"/>
              <w:right w:w="15" w:type="dxa"/>
            </w:tcMar>
            <w:vAlign w:val="bottom"/>
            <w:hideMark/>
          </w:tcPr>
          <w:p w14:paraId="4C8046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0E54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70D4172A" w14:textId="77777777" w:rsidR="00000000" w:rsidRDefault="00582324">
            <w:pPr>
              <w:pStyle w:val="a3"/>
              <w:spacing w:before="0" w:beforeAutospacing="0" w:after="0" w:afterAutospacing="0"/>
              <w:jc w:val="right"/>
              <w:rPr>
                <w:color w:val="000000"/>
                <w:sz w:val="18"/>
                <w:szCs w:val="18"/>
              </w:rPr>
            </w:pPr>
            <w:r>
              <w:rPr>
                <w:color w:val="000000"/>
                <w:sz w:val="18"/>
                <w:szCs w:val="18"/>
              </w:rPr>
              <w:t>72,557</w:t>
            </w:r>
          </w:p>
        </w:tc>
        <w:tc>
          <w:tcPr>
            <w:tcW w:w="50" w:type="pct"/>
            <w:shd w:val="clear" w:color="auto" w:fill="FFFFFF"/>
            <w:noWrap/>
            <w:tcMar>
              <w:top w:w="15" w:type="dxa"/>
              <w:left w:w="0" w:type="dxa"/>
              <w:bottom w:w="0" w:type="dxa"/>
              <w:right w:w="15" w:type="dxa"/>
            </w:tcMar>
            <w:vAlign w:val="bottom"/>
            <w:hideMark/>
          </w:tcPr>
          <w:p w14:paraId="138992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1FCCF0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3D0A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04BF6045" w14:textId="77777777" w:rsidR="00000000" w:rsidRDefault="00582324">
            <w:pPr>
              <w:pStyle w:val="a3"/>
              <w:spacing w:before="0" w:beforeAutospacing="0" w:after="0" w:afterAutospacing="0"/>
              <w:jc w:val="right"/>
              <w:rPr>
                <w:color w:val="000000"/>
                <w:sz w:val="18"/>
                <w:szCs w:val="18"/>
              </w:rPr>
            </w:pPr>
            <w:r>
              <w:rPr>
                <w:color w:val="000000"/>
                <w:sz w:val="18"/>
                <w:szCs w:val="18"/>
              </w:rPr>
              <w:t>14,351</w:t>
            </w:r>
          </w:p>
        </w:tc>
        <w:tc>
          <w:tcPr>
            <w:tcW w:w="50" w:type="pct"/>
            <w:shd w:val="clear" w:color="auto" w:fill="FFFFFF"/>
            <w:noWrap/>
            <w:tcMar>
              <w:top w:w="15" w:type="dxa"/>
              <w:left w:w="0" w:type="dxa"/>
              <w:bottom w:w="0" w:type="dxa"/>
              <w:right w:w="15" w:type="dxa"/>
            </w:tcMar>
            <w:vAlign w:val="bottom"/>
            <w:hideMark/>
          </w:tcPr>
          <w:p w14:paraId="3CDCE5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016990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D243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2283AB8B" w14:textId="77777777" w:rsidR="00000000" w:rsidRDefault="00582324">
            <w:pPr>
              <w:pStyle w:val="a3"/>
              <w:spacing w:before="0" w:beforeAutospacing="0" w:after="0" w:afterAutospacing="0"/>
              <w:jc w:val="right"/>
              <w:rPr>
                <w:color w:val="000000"/>
                <w:sz w:val="18"/>
                <w:szCs w:val="18"/>
              </w:rPr>
            </w:pPr>
            <w:r>
              <w:rPr>
                <w:color w:val="000000"/>
                <w:sz w:val="18"/>
                <w:szCs w:val="18"/>
              </w:rPr>
              <w:t>73,476</w:t>
            </w:r>
          </w:p>
        </w:tc>
        <w:tc>
          <w:tcPr>
            <w:tcW w:w="50" w:type="pct"/>
            <w:shd w:val="clear" w:color="auto" w:fill="FFFFFF"/>
            <w:noWrap/>
            <w:tcMar>
              <w:top w:w="15" w:type="dxa"/>
              <w:left w:w="0" w:type="dxa"/>
              <w:bottom w:w="0" w:type="dxa"/>
              <w:right w:w="15" w:type="dxa"/>
            </w:tcMar>
            <w:vAlign w:val="bottom"/>
            <w:hideMark/>
          </w:tcPr>
          <w:p w14:paraId="3058C2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582680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27DF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shd w:val="clear" w:color="auto" w:fill="FFFFFF"/>
            <w:noWrap/>
            <w:tcMar>
              <w:top w:w="15" w:type="dxa"/>
              <w:left w:w="0" w:type="dxa"/>
              <w:bottom w:w="0" w:type="dxa"/>
              <w:right w:w="15" w:type="dxa"/>
            </w:tcMar>
            <w:vAlign w:val="bottom"/>
            <w:hideMark/>
          </w:tcPr>
          <w:p w14:paraId="0CB0B0AE" w14:textId="77777777" w:rsidR="00000000" w:rsidRDefault="00582324">
            <w:pPr>
              <w:pStyle w:val="a3"/>
              <w:spacing w:before="0" w:beforeAutospacing="0" w:after="0" w:afterAutospacing="0"/>
              <w:jc w:val="right"/>
              <w:rPr>
                <w:color w:val="000000"/>
                <w:sz w:val="18"/>
                <w:szCs w:val="18"/>
              </w:rPr>
            </w:pPr>
            <w:r>
              <w:rPr>
                <w:color w:val="000000"/>
                <w:sz w:val="18"/>
                <w:szCs w:val="18"/>
              </w:rPr>
              <w:t>19,176</w:t>
            </w:r>
          </w:p>
        </w:tc>
        <w:tc>
          <w:tcPr>
            <w:tcW w:w="50" w:type="pct"/>
            <w:shd w:val="clear" w:color="auto" w:fill="FFFFFF"/>
            <w:noWrap/>
            <w:tcMar>
              <w:top w:w="15" w:type="dxa"/>
              <w:left w:w="0" w:type="dxa"/>
              <w:bottom w:w="0" w:type="dxa"/>
              <w:right w:w="15" w:type="dxa"/>
            </w:tcMar>
            <w:vAlign w:val="bottom"/>
            <w:hideMark/>
          </w:tcPr>
          <w:p w14:paraId="7176B80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53E6925" w14:textId="77777777">
        <w:trPr>
          <w:divId w:val="766118375"/>
        </w:trPr>
        <w:tc>
          <w:tcPr>
            <w:tcW w:w="2201" w:type="pct"/>
            <w:shd w:val="clear" w:color="auto" w:fill="CFF0FC"/>
            <w:tcMar>
              <w:top w:w="15" w:type="dxa"/>
              <w:left w:w="0" w:type="dxa"/>
              <w:bottom w:w="0" w:type="dxa"/>
              <w:right w:w="15" w:type="dxa"/>
            </w:tcMar>
            <w:hideMark/>
          </w:tcPr>
          <w:p w14:paraId="0F2D5F19" w14:textId="77777777" w:rsidR="00000000" w:rsidRDefault="00582324">
            <w:pPr>
              <w:pStyle w:val="a3"/>
              <w:spacing w:before="0" w:beforeAutospacing="0" w:after="0" w:afterAutospacing="0"/>
              <w:rPr>
                <w:color w:val="000000"/>
                <w:sz w:val="18"/>
                <w:szCs w:val="18"/>
              </w:rPr>
            </w:pPr>
            <w:r>
              <w:rPr>
                <w:color w:val="000000"/>
                <w:sz w:val="18"/>
                <w:szCs w:val="18"/>
              </w:rPr>
              <w:t>Remediation and Reuse</w:t>
            </w:r>
          </w:p>
        </w:tc>
        <w:tc>
          <w:tcPr>
            <w:tcW w:w="67" w:type="pct"/>
            <w:shd w:val="clear" w:color="auto" w:fill="CFF0FC"/>
            <w:tcMar>
              <w:top w:w="15" w:type="dxa"/>
              <w:left w:w="0" w:type="dxa"/>
              <w:bottom w:w="0" w:type="dxa"/>
              <w:right w:w="15" w:type="dxa"/>
            </w:tcMar>
            <w:vAlign w:val="bottom"/>
            <w:hideMark/>
          </w:tcPr>
          <w:p w14:paraId="5AA5F0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1248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77837425" w14:textId="77777777" w:rsidR="00000000" w:rsidRDefault="00582324">
            <w:pPr>
              <w:pStyle w:val="a3"/>
              <w:spacing w:before="0" w:beforeAutospacing="0" w:after="0" w:afterAutospacing="0"/>
              <w:jc w:val="right"/>
              <w:rPr>
                <w:color w:val="000000"/>
                <w:sz w:val="18"/>
                <w:szCs w:val="18"/>
              </w:rPr>
            </w:pPr>
            <w:r>
              <w:rPr>
                <w:color w:val="000000"/>
                <w:sz w:val="18"/>
                <w:szCs w:val="18"/>
              </w:rPr>
              <w:t>51,517</w:t>
            </w:r>
          </w:p>
        </w:tc>
        <w:tc>
          <w:tcPr>
            <w:tcW w:w="50" w:type="pct"/>
            <w:shd w:val="clear" w:color="auto" w:fill="CFF0FC"/>
            <w:noWrap/>
            <w:tcMar>
              <w:top w:w="15" w:type="dxa"/>
              <w:left w:w="0" w:type="dxa"/>
              <w:bottom w:w="0" w:type="dxa"/>
              <w:right w:w="15" w:type="dxa"/>
            </w:tcMar>
            <w:vAlign w:val="bottom"/>
            <w:hideMark/>
          </w:tcPr>
          <w:p w14:paraId="090BB2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20C879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F694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1FA72954" w14:textId="77777777" w:rsidR="00000000" w:rsidRDefault="00582324">
            <w:pPr>
              <w:pStyle w:val="a3"/>
              <w:spacing w:before="0" w:beforeAutospacing="0" w:after="0" w:afterAutospacing="0"/>
              <w:jc w:val="right"/>
              <w:rPr>
                <w:color w:val="000000"/>
                <w:sz w:val="18"/>
                <w:szCs w:val="18"/>
              </w:rPr>
            </w:pPr>
            <w:r>
              <w:rPr>
                <w:color w:val="000000"/>
                <w:sz w:val="18"/>
                <w:szCs w:val="18"/>
              </w:rPr>
              <w:t>6,790</w:t>
            </w:r>
          </w:p>
        </w:tc>
        <w:tc>
          <w:tcPr>
            <w:tcW w:w="50" w:type="pct"/>
            <w:shd w:val="clear" w:color="auto" w:fill="CFF0FC"/>
            <w:noWrap/>
            <w:tcMar>
              <w:top w:w="15" w:type="dxa"/>
              <w:left w:w="0" w:type="dxa"/>
              <w:bottom w:w="0" w:type="dxa"/>
              <w:right w:w="15" w:type="dxa"/>
            </w:tcMar>
            <w:vAlign w:val="bottom"/>
            <w:hideMark/>
          </w:tcPr>
          <w:p w14:paraId="6AE938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101868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6605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4BE05EF7" w14:textId="77777777" w:rsidR="00000000" w:rsidRDefault="00582324">
            <w:pPr>
              <w:pStyle w:val="a3"/>
              <w:spacing w:before="0" w:beforeAutospacing="0" w:after="0" w:afterAutospacing="0"/>
              <w:jc w:val="right"/>
              <w:rPr>
                <w:color w:val="000000"/>
                <w:sz w:val="18"/>
                <w:szCs w:val="18"/>
              </w:rPr>
            </w:pPr>
            <w:r>
              <w:rPr>
                <w:color w:val="000000"/>
                <w:sz w:val="18"/>
                <w:szCs w:val="18"/>
              </w:rPr>
              <w:t>38,160</w:t>
            </w:r>
          </w:p>
        </w:tc>
        <w:tc>
          <w:tcPr>
            <w:tcW w:w="50" w:type="pct"/>
            <w:shd w:val="clear" w:color="auto" w:fill="CFF0FC"/>
            <w:noWrap/>
            <w:tcMar>
              <w:top w:w="15" w:type="dxa"/>
              <w:left w:w="0" w:type="dxa"/>
              <w:bottom w:w="0" w:type="dxa"/>
              <w:right w:w="15" w:type="dxa"/>
            </w:tcMar>
            <w:vAlign w:val="bottom"/>
            <w:hideMark/>
          </w:tcPr>
          <w:p w14:paraId="79A813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4004EE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2CA9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046068D9" w14:textId="77777777" w:rsidR="00000000" w:rsidRDefault="00582324">
            <w:pPr>
              <w:pStyle w:val="a3"/>
              <w:spacing w:before="0" w:beforeAutospacing="0" w:after="0" w:afterAutospacing="0"/>
              <w:jc w:val="right"/>
              <w:rPr>
                <w:color w:val="000000"/>
                <w:sz w:val="18"/>
                <w:szCs w:val="18"/>
              </w:rPr>
            </w:pPr>
            <w:r>
              <w:rPr>
                <w:color w:val="000000"/>
                <w:sz w:val="18"/>
                <w:szCs w:val="18"/>
              </w:rPr>
              <w:t>4,481</w:t>
            </w:r>
          </w:p>
        </w:tc>
        <w:tc>
          <w:tcPr>
            <w:tcW w:w="50" w:type="pct"/>
            <w:shd w:val="clear" w:color="auto" w:fill="CFF0FC"/>
            <w:noWrap/>
            <w:tcMar>
              <w:top w:w="15" w:type="dxa"/>
              <w:left w:w="0" w:type="dxa"/>
              <w:bottom w:w="0" w:type="dxa"/>
              <w:right w:w="15" w:type="dxa"/>
            </w:tcMar>
            <w:vAlign w:val="bottom"/>
            <w:hideMark/>
          </w:tcPr>
          <w:p w14:paraId="01A2FFDD"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658C495" w14:textId="77777777">
        <w:trPr>
          <w:divId w:val="766118375"/>
        </w:trPr>
        <w:tc>
          <w:tcPr>
            <w:tcW w:w="2201" w:type="pct"/>
            <w:shd w:val="clear" w:color="auto" w:fill="FFFFFF"/>
            <w:tcMar>
              <w:top w:w="15" w:type="dxa"/>
              <w:left w:w="0" w:type="dxa"/>
              <w:bottom w:w="0" w:type="dxa"/>
              <w:right w:w="15" w:type="dxa"/>
            </w:tcMar>
            <w:hideMark/>
          </w:tcPr>
          <w:p w14:paraId="2654A28F" w14:textId="77777777" w:rsidR="00000000" w:rsidRDefault="00582324">
            <w:pPr>
              <w:pStyle w:val="a3"/>
              <w:spacing w:before="0" w:beforeAutospacing="0" w:after="0" w:afterAutospacing="0"/>
              <w:rPr>
                <w:color w:val="000000"/>
                <w:sz w:val="18"/>
                <w:szCs w:val="18"/>
              </w:rPr>
            </w:pPr>
            <w:r>
              <w:rPr>
                <w:color w:val="000000"/>
                <w:sz w:val="18"/>
                <w:szCs w:val="18"/>
              </w:rPr>
              <w:t>Total Operating Segments</w:t>
            </w:r>
          </w:p>
        </w:tc>
        <w:tc>
          <w:tcPr>
            <w:tcW w:w="67" w:type="pct"/>
            <w:shd w:val="clear" w:color="auto" w:fill="FFFFFF"/>
            <w:tcMar>
              <w:top w:w="15" w:type="dxa"/>
              <w:left w:w="0" w:type="dxa"/>
              <w:bottom w:w="0" w:type="dxa"/>
              <w:right w:w="15" w:type="dxa"/>
            </w:tcMar>
            <w:vAlign w:val="bottom"/>
            <w:hideMark/>
          </w:tcPr>
          <w:p w14:paraId="17ED1F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EDA18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0FDEF9FA" w14:textId="77777777" w:rsidR="00000000" w:rsidRDefault="00582324">
            <w:pPr>
              <w:pStyle w:val="a3"/>
              <w:spacing w:before="0" w:beforeAutospacing="0" w:after="0" w:afterAutospacing="0"/>
              <w:jc w:val="right"/>
              <w:rPr>
                <w:color w:val="000000"/>
                <w:sz w:val="18"/>
                <w:szCs w:val="18"/>
              </w:rPr>
            </w:pPr>
            <w:r>
              <w:rPr>
                <w:color w:val="000000"/>
                <w:sz w:val="18"/>
                <w:szCs w:val="18"/>
              </w:rPr>
              <w:t>270,041</w:t>
            </w:r>
          </w:p>
        </w:tc>
        <w:tc>
          <w:tcPr>
            <w:tcW w:w="50" w:type="pct"/>
            <w:shd w:val="clear" w:color="auto" w:fill="FFFFFF"/>
            <w:noWrap/>
            <w:tcMar>
              <w:top w:w="15" w:type="dxa"/>
              <w:left w:w="0" w:type="dxa"/>
              <w:bottom w:w="0" w:type="dxa"/>
              <w:right w:w="15" w:type="dxa"/>
            </w:tcMar>
            <w:vAlign w:val="bottom"/>
            <w:hideMark/>
          </w:tcPr>
          <w:p w14:paraId="7828AE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4BAD1EA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B7EA1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5415C03B" w14:textId="77777777" w:rsidR="00000000" w:rsidRDefault="00582324">
            <w:pPr>
              <w:pStyle w:val="a3"/>
              <w:spacing w:before="0" w:beforeAutospacing="0" w:after="0" w:afterAutospacing="0"/>
              <w:jc w:val="right"/>
              <w:rPr>
                <w:color w:val="000000"/>
                <w:sz w:val="18"/>
                <w:szCs w:val="18"/>
              </w:rPr>
            </w:pPr>
            <w:r>
              <w:rPr>
                <w:color w:val="000000"/>
                <w:sz w:val="18"/>
                <w:szCs w:val="18"/>
              </w:rPr>
              <w:t>51,801</w:t>
            </w:r>
          </w:p>
        </w:tc>
        <w:tc>
          <w:tcPr>
            <w:tcW w:w="50" w:type="pct"/>
            <w:shd w:val="clear" w:color="auto" w:fill="FFFFFF"/>
            <w:noWrap/>
            <w:tcMar>
              <w:top w:w="15" w:type="dxa"/>
              <w:left w:w="0" w:type="dxa"/>
              <w:bottom w:w="0" w:type="dxa"/>
              <w:right w:w="15" w:type="dxa"/>
            </w:tcMar>
            <w:vAlign w:val="bottom"/>
            <w:hideMark/>
          </w:tcPr>
          <w:p w14:paraId="617C82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00B2FD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DC0F5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1E8D716B" w14:textId="77777777" w:rsidR="00000000" w:rsidRDefault="00582324">
            <w:pPr>
              <w:pStyle w:val="a3"/>
              <w:spacing w:before="0" w:beforeAutospacing="0" w:after="0" w:afterAutospacing="0"/>
              <w:jc w:val="right"/>
              <w:rPr>
                <w:color w:val="000000"/>
                <w:sz w:val="18"/>
                <w:szCs w:val="18"/>
              </w:rPr>
            </w:pPr>
            <w:r>
              <w:rPr>
                <w:color w:val="000000"/>
                <w:sz w:val="18"/>
                <w:szCs w:val="18"/>
              </w:rPr>
              <w:t>134,797</w:t>
            </w:r>
          </w:p>
        </w:tc>
        <w:tc>
          <w:tcPr>
            <w:tcW w:w="50" w:type="pct"/>
            <w:shd w:val="clear" w:color="auto" w:fill="FFFFFF"/>
            <w:noWrap/>
            <w:tcMar>
              <w:top w:w="15" w:type="dxa"/>
              <w:left w:w="0" w:type="dxa"/>
              <w:bottom w:w="0" w:type="dxa"/>
              <w:right w:w="15" w:type="dxa"/>
            </w:tcMar>
            <w:vAlign w:val="bottom"/>
            <w:hideMark/>
          </w:tcPr>
          <w:p w14:paraId="3344DA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3880E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B44F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single" w:sz="6" w:space="0" w:color="000000"/>
            </w:tcBorders>
            <w:shd w:val="clear" w:color="auto" w:fill="FFFFFF"/>
            <w:noWrap/>
            <w:tcMar>
              <w:top w:w="15" w:type="dxa"/>
              <w:left w:w="0" w:type="dxa"/>
              <w:bottom w:w="0" w:type="dxa"/>
              <w:right w:w="15" w:type="dxa"/>
            </w:tcMar>
            <w:vAlign w:val="bottom"/>
            <w:hideMark/>
          </w:tcPr>
          <w:p w14:paraId="31566175" w14:textId="77777777" w:rsidR="00000000" w:rsidRDefault="00582324">
            <w:pPr>
              <w:pStyle w:val="a3"/>
              <w:spacing w:before="0" w:beforeAutospacing="0" w:after="0" w:afterAutospacing="0"/>
              <w:jc w:val="right"/>
              <w:rPr>
                <w:color w:val="000000"/>
                <w:sz w:val="18"/>
                <w:szCs w:val="18"/>
              </w:rPr>
            </w:pPr>
            <w:r>
              <w:rPr>
                <w:color w:val="000000"/>
                <w:sz w:val="18"/>
                <w:szCs w:val="18"/>
              </w:rPr>
              <w:t>30,088</w:t>
            </w:r>
          </w:p>
        </w:tc>
        <w:tc>
          <w:tcPr>
            <w:tcW w:w="50" w:type="pct"/>
            <w:shd w:val="clear" w:color="auto" w:fill="FFFFFF"/>
            <w:noWrap/>
            <w:tcMar>
              <w:top w:w="15" w:type="dxa"/>
              <w:left w:w="0" w:type="dxa"/>
              <w:bottom w:w="0" w:type="dxa"/>
              <w:right w:w="15" w:type="dxa"/>
            </w:tcMar>
            <w:vAlign w:val="bottom"/>
            <w:hideMark/>
          </w:tcPr>
          <w:p w14:paraId="59E58CD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8E6F76C" w14:textId="77777777">
        <w:trPr>
          <w:divId w:val="766118375"/>
        </w:trPr>
        <w:tc>
          <w:tcPr>
            <w:tcW w:w="2201" w:type="pct"/>
            <w:shd w:val="clear" w:color="auto" w:fill="CFF0FC"/>
            <w:tcMar>
              <w:top w:w="15" w:type="dxa"/>
              <w:left w:w="0" w:type="dxa"/>
              <w:bottom w:w="0" w:type="dxa"/>
              <w:right w:w="15" w:type="dxa"/>
            </w:tcMar>
            <w:hideMark/>
          </w:tcPr>
          <w:p w14:paraId="267A75FA" w14:textId="77777777" w:rsidR="00000000" w:rsidRDefault="00582324">
            <w:pPr>
              <w:pStyle w:val="a3"/>
              <w:spacing w:before="0" w:beforeAutospacing="0" w:after="0" w:afterAutospacing="0"/>
              <w:rPr>
                <w:color w:val="000000"/>
                <w:sz w:val="18"/>
                <w:szCs w:val="18"/>
              </w:rPr>
            </w:pPr>
            <w:r>
              <w:rPr>
                <w:color w:val="000000"/>
                <w:sz w:val="18"/>
                <w:szCs w:val="18"/>
              </w:rPr>
              <w:t>Corporate and Other</w:t>
            </w:r>
          </w:p>
        </w:tc>
        <w:tc>
          <w:tcPr>
            <w:tcW w:w="67" w:type="pct"/>
            <w:shd w:val="clear" w:color="auto" w:fill="CFF0FC"/>
            <w:tcMar>
              <w:top w:w="15" w:type="dxa"/>
              <w:left w:w="0" w:type="dxa"/>
              <w:bottom w:w="0" w:type="dxa"/>
              <w:right w:w="15" w:type="dxa"/>
            </w:tcMar>
            <w:vAlign w:val="bottom"/>
            <w:hideMark/>
          </w:tcPr>
          <w:p w14:paraId="430CB6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B801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031A8B9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C69B1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6DD28F9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DC99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47019197" w14:textId="77777777" w:rsidR="00000000" w:rsidRDefault="00582324">
            <w:pPr>
              <w:pStyle w:val="a3"/>
              <w:spacing w:before="0" w:beforeAutospacing="0" w:after="0" w:afterAutospacing="0"/>
              <w:jc w:val="right"/>
              <w:rPr>
                <w:color w:val="000000"/>
                <w:sz w:val="18"/>
                <w:szCs w:val="18"/>
              </w:rPr>
            </w:pPr>
            <w:r>
              <w:rPr>
                <w:color w:val="000000"/>
                <w:sz w:val="18"/>
                <w:szCs w:val="18"/>
              </w:rPr>
              <w:t>(14,039</w:t>
            </w:r>
          </w:p>
        </w:tc>
        <w:tc>
          <w:tcPr>
            <w:tcW w:w="50" w:type="pct"/>
            <w:shd w:val="clear" w:color="auto" w:fill="CFF0FC"/>
            <w:noWrap/>
            <w:tcMar>
              <w:top w:w="15" w:type="dxa"/>
              <w:left w:w="0" w:type="dxa"/>
              <w:bottom w:w="0" w:type="dxa"/>
              <w:right w:w="15" w:type="dxa"/>
            </w:tcMar>
            <w:vAlign w:val="bottom"/>
            <w:hideMark/>
          </w:tcPr>
          <w:p w14:paraId="223B29B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7" w:type="pct"/>
            <w:shd w:val="clear" w:color="auto" w:fill="CFF0FC"/>
            <w:tcMar>
              <w:top w:w="15" w:type="dxa"/>
              <w:left w:w="0" w:type="dxa"/>
              <w:bottom w:w="0" w:type="dxa"/>
              <w:right w:w="15" w:type="dxa"/>
            </w:tcMar>
            <w:vAlign w:val="bottom"/>
            <w:hideMark/>
          </w:tcPr>
          <w:p w14:paraId="52BC45D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D04C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211A878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1CF0B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CFF0FC"/>
            <w:tcMar>
              <w:top w:w="15" w:type="dxa"/>
              <w:left w:w="0" w:type="dxa"/>
              <w:bottom w:w="0" w:type="dxa"/>
              <w:right w:w="15" w:type="dxa"/>
            </w:tcMar>
            <w:vAlign w:val="bottom"/>
            <w:hideMark/>
          </w:tcPr>
          <w:p w14:paraId="4F0B7B4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684CC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bottom w:val="single" w:sz="6" w:space="0" w:color="000000"/>
            </w:tcBorders>
            <w:shd w:val="clear" w:color="auto" w:fill="CFF0FC"/>
            <w:noWrap/>
            <w:tcMar>
              <w:top w:w="15" w:type="dxa"/>
              <w:left w:w="0" w:type="dxa"/>
              <w:bottom w:w="0" w:type="dxa"/>
              <w:right w:w="15" w:type="dxa"/>
            </w:tcMar>
            <w:vAlign w:val="bottom"/>
            <w:hideMark/>
          </w:tcPr>
          <w:p w14:paraId="2FB199EF" w14:textId="77777777" w:rsidR="00000000" w:rsidRDefault="00582324">
            <w:pPr>
              <w:pStyle w:val="a3"/>
              <w:spacing w:before="0" w:beforeAutospacing="0" w:after="0" w:afterAutospacing="0"/>
              <w:jc w:val="right"/>
              <w:rPr>
                <w:color w:val="000000"/>
                <w:sz w:val="18"/>
                <w:szCs w:val="18"/>
              </w:rPr>
            </w:pPr>
            <w:r>
              <w:rPr>
                <w:color w:val="000000"/>
                <w:sz w:val="18"/>
                <w:szCs w:val="18"/>
              </w:rPr>
              <w:t>(10,640</w:t>
            </w:r>
          </w:p>
        </w:tc>
        <w:tc>
          <w:tcPr>
            <w:tcW w:w="50" w:type="pct"/>
            <w:shd w:val="clear" w:color="auto" w:fill="CFF0FC"/>
            <w:noWrap/>
            <w:tcMar>
              <w:top w:w="15" w:type="dxa"/>
              <w:left w:w="0" w:type="dxa"/>
              <w:bottom w:w="0" w:type="dxa"/>
              <w:right w:w="15" w:type="dxa"/>
            </w:tcMar>
            <w:vAlign w:val="bottom"/>
            <w:hideMark/>
          </w:tcPr>
          <w:p w14:paraId="4B6B27E9"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E498110" w14:textId="77777777">
        <w:trPr>
          <w:divId w:val="766118375"/>
        </w:trPr>
        <w:tc>
          <w:tcPr>
            <w:tcW w:w="2201" w:type="pct"/>
            <w:shd w:val="clear" w:color="auto" w:fill="FFFFFF"/>
            <w:tcMar>
              <w:top w:w="15" w:type="dxa"/>
              <w:left w:w="0" w:type="dxa"/>
              <w:bottom w:w="0" w:type="dxa"/>
              <w:right w:w="15" w:type="dxa"/>
            </w:tcMar>
            <w:hideMark/>
          </w:tcPr>
          <w:p w14:paraId="7FAEEC02" w14:textId="77777777" w:rsidR="00000000" w:rsidRDefault="00582324">
            <w:pPr>
              <w:pStyle w:val="a3"/>
              <w:spacing w:before="0" w:beforeAutospacing="0" w:after="0" w:afterAutospacing="0"/>
              <w:ind w:left="274"/>
              <w:rPr>
                <w:color w:val="000000"/>
                <w:sz w:val="18"/>
                <w:szCs w:val="18"/>
              </w:rPr>
            </w:pPr>
            <w:r>
              <w:rPr>
                <w:color w:val="000000"/>
                <w:sz w:val="18"/>
                <w:szCs w:val="18"/>
              </w:rPr>
              <w:t>Total</w:t>
            </w:r>
          </w:p>
        </w:tc>
        <w:tc>
          <w:tcPr>
            <w:tcW w:w="67" w:type="pct"/>
            <w:shd w:val="clear" w:color="auto" w:fill="FFFFFF"/>
            <w:tcMar>
              <w:top w:w="15" w:type="dxa"/>
              <w:left w:w="0" w:type="dxa"/>
              <w:bottom w:w="0" w:type="dxa"/>
              <w:right w:w="15" w:type="dxa"/>
            </w:tcMar>
            <w:vAlign w:val="bottom"/>
            <w:hideMark/>
          </w:tcPr>
          <w:p w14:paraId="74A0F9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95FE9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54C3FE" w14:textId="77777777" w:rsidR="00000000" w:rsidRDefault="00582324">
            <w:pPr>
              <w:pStyle w:val="a3"/>
              <w:spacing w:before="0" w:beforeAutospacing="0" w:after="0" w:afterAutospacing="0"/>
              <w:jc w:val="right"/>
              <w:rPr>
                <w:color w:val="000000"/>
                <w:sz w:val="18"/>
                <w:szCs w:val="18"/>
              </w:rPr>
            </w:pPr>
            <w:r>
              <w:rPr>
                <w:color w:val="000000"/>
                <w:sz w:val="18"/>
                <w:szCs w:val="18"/>
              </w:rPr>
              <w:t>270,041</w:t>
            </w:r>
          </w:p>
        </w:tc>
        <w:tc>
          <w:tcPr>
            <w:tcW w:w="50" w:type="pct"/>
            <w:shd w:val="clear" w:color="auto" w:fill="FFFFFF"/>
            <w:noWrap/>
            <w:tcMar>
              <w:top w:w="15" w:type="dxa"/>
              <w:left w:w="0" w:type="dxa"/>
              <w:bottom w:w="0" w:type="dxa"/>
              <w:right w:w="15" w:type="dxa"/>
            </w:tcMar>
            <w:vAlign w:val="bottom"/>
            <w:hideMark/>
          </w:tcPr>
          <w:p w14:paraId="3DEFB8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308B75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33D7F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F24240" w14:textId="77777777" w:rsidR="00000000" w:rsidRDefault="00582324">
            <w:pPr>
              <w:pStyle w:val="a3"/>
              <w:spacing w:before="0" w:beforeAutospacing="0" w:after="0" w:afterAutospacing="0"/>
              <w:jc w:val="right"/>
              <w:rPr>
                <w:color w:val="000000"/>
                <w:sz w:val="18"/>
                <w:szCs w:val="18"/>
              </w:rPr>
            </w:pPr>
            <w:r>
              <w:rPr>
                <w:color w:val="000000"/>
                <w:sz w:val="18"/>
                <w:szCs w:val="18"/>
              </w:rPr>
              <w:t>37,762</w:t>
            </w:r>
          </w:p>
        </w:tc>
        <w:tc>
          <w:tcPr>
            <w:tcW w:w="50" w:type="pct"/>
            <w:shd w:val="clear" w:color="auto" w:fill="FFFFFF"/>
            <w:noWrap/>
            <w:tcMar>
              <w:top w:w="15" w:type="dxa"/>
              <w:left w:w="0" w:type="dxa"/>
              <w:bottom w:w="0" w:type="dxa"/>
              <w:right w:w="15" w:type="dxa"/>
            </w:tcMar>
            <w:vAlign w:val="bottom"/>
            <w:hideMark/>
          </w:tcPr>
          <w:p w14:paraId="24E491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6FB860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55EC6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5A5DB7" w14:textId="77777777" w:rsidR="00000000" w:rsidRDefault="00582324">
            <w:pPr>
              <w:pStyle w:val="a3"/>
              <w:spacing w:before="0" w:beforeAutospacing="0" w:after="0" w:afterAutospacing="0"/>
              <w:jc w:val="right"/>
              <w:rPr>
                <w:color w:val="000000"/>
                <w:sz w:val="18"/>
                <w:szCs w:val="18"/>
              </w:rPr>
            </w:pPr>
            <w:r>
              <w:rPr>
                <w:color w:val="000000"/>
                <w:sz w:val="18"/>
                <w:szCs w:val="18"/>
              </w:rPr>
              <w:t>134,797</w:t>
            </w:r>
          </w:p>
        </w:tc>
        <w:tc>
          <w:tcPr>
            <w:tcW w:w="50" w:type="pct"/>
            <w:shd w:val="clear" w:color="auto" w:fill="FFFFFF"/>
            <w:noWrap/>
            <w:tcMar>
              <w:top w:w="15" w:type="dxa"/>
              <w:left w:w="0" w:type="dxa"/>
              <w:bottom w:w="0" w:type="dxa"/>
              <w:right w:w="15" w:type="dxa"/>
            </w:tcMar>
            <w:vAlign w:val="bottom"/>
            <w:hideMark/>
          </w:tcPr>
          <w:p w14:paraId="1BCA27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356684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EF203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B4DE4A" w14:textId="77777777" w:rsidR="00000000" w:rsidRDefault="00582324">
            <w:pPr>
              <w:pStyle w:val="a3"/>
              <w:spacing w:before="0" w:beforeAutospacing="0" w:after="0" w:afterAutospacing="0"/>
              <w:jc w:val="right"/>
              <w:rPr>
                <w:color w:val="000000"/>
                <w:sz w:val="18"/>
                <w:szCs w:val="18"/>
              </w:rPr>
            </w:pPr>
            <w:r>
              <w:rPr>
                <w:color w:val="000000"/>
                <w:sz w:val="18"/>
                <w:szCs w:val="18"/>
              </w:rPr>
              <w:t>19,448</w:t>
            </w:r>
          </w:p>
        </w:tc>
        <w:tc>
          <w:tcPr>
            <w:tcW w:w="50" w:type="pct"/>
            <w:shd w:val="clear" w:color="auto" w:fill="FFFFFF"/>
            <w:noWrap/>
            <w:tcMar>
              <w:top w:w="15" w:type="dxa"/>
              <w:left w:w="0" w:type="dxa"/>
              <w:bottom w:w="0" w:type="dxa"/>
              <w:right w:w="15" w:type="dxa"/>
            </w:tcMar>
            <w:vAlign w:val="bottom"/>
            <w:hideMark/>
          </w:tcPr>
          <w:p w14:paraId="5DC088B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4EBC849" w14:textId="77777777">
        <w:trPr>
          <w:divId w:val="766118375"/>
        </w:trPr>
        <w:tc>
          <w:tcPr>
            <w:tcW w:w="2201" w:type="pct"/>
            <w:shd w:val="clear" w:color="auto" w:fill="FFFFFF"/>
            <w:tcMar>
              <w:top w:w="15" w:type="dxa"/>
              <w:left w:w="0" w:type="dxa"/>
              <w:bottom w:w="0" w:type="dxa"/>
              <w:right w:w="15" w:type="dxa"/>
            </w:tcMar>
            <w:vAlign w:val="bottom"/>
            <w:hideMark/>
          </w:tcPr>
          <w:p w14:paraId="24E91F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1E6D1F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B5678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1F627A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0CB3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224C50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4CACA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52CA68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08B3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ADDA0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36D1F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2C610F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AA53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bottom"/>
            <w:hideMark/>
          </w:tcPr>
          <w:p w14:paraId="7B4D45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E6829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32" w:type="pct"/>
            <w:tcBorders>
              <w:top w:val="double" w:sz="6" w:space="0" w:color="000000"/>
            </w:tcBorders>
            <w:shd w:val="clear" w:color="auto" w:fill="FFFFFF"/>
            <w:noWrap/>
            <w:tcMar>
              <w:top w:w="15" w:type="dxa"/>
              <w:left w:w="0" w:type="dxa"/>
              <w:bottom w:w="0" w:type="dxa"/>
              <w:right w:w="15" w:type="dxa"/>
            </w:tcMar>
            <w:vAlign w:val="bottom"/>
            <w:hideMark/>
          </w:tcPr>
          <w:p w14:paraId="5D1302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64F3DA"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46F8D68"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690B669" w14:textId="77777777" w:rsidR="00000000" w:rsidRDefault="00582324">
      <w:pPr>
        <w:pStyle w:val="a3"/>
        <w:spacing w:before="240" w:beforeAutospacing="0" w:after="0" w:afterAutospacing="0"/>
        <w:jc w:val="center"/>
        <w:rPr>
          <w:sz w:val="20"/>
          <w:szCs w:val="20"/>
        </w:rPr>
      </w:pPr>
      <w:r>
        <w:rPr>
          <w:sz w:val="20"/>
          <w:szCs w:val="20"/>
        </w:rPr>
        <w:t>28</w:t>
      </w:r>
    </w:p>
    <w:p w14:paraId="78B295A2" w14:textId="77777777" w:rsidR="00000000" w:rsidRDefault="00582324">
      <w:pPr>
        <w:rPr>
          <w:rFonts w:eastAsia="Times New Roman"/>
        </w:rPr>
      </w:pPr>
      <w:r>
        <w:rPr>
          <w:rFonts w:eastAsia="Times New Roman"/>
        </w:rPr>
        <w:pict w14:anchorId="00239233">
          <v:rect id="_x0000_i1054" style="width:0;height:1.5pt" o:hralign="center" o:hrstd="t" o:hr="t" fillcolor="#a0a0a0" stroked="f"/>
        </w:pict>
      </w:r>
    </w:p>
    <w:p w14:paraId="76237098" w14:textId="77777777" w:rsidR="00000000" w:rsidRDefault="00582324">
      <w:pPr>
        <w:pStyle w:val="a3"/>
        <w:spacing w:before="0" w:beforeAutospacing="0" w:after="0" w:afterAutospacing="0"/>
        <w:rPr>
          <w:sz w:val="20"/>
          <w:szCs w:val="20"/>
        </w:rPr>
      </w:pPr>
      <w:r>
        <w:rPr>
          <w:sz w:val="20"/>
          <w:szCs w:val="20"/>
        </w:rPr>
        <w:t> </w:t>
      </w:r>
    </w:p>
    <w:p w14:paraId="48A36417" w14:textId="77777777" w:rsidR="00000000" w:rsidRDefault="00582324">
      <w:pPr>
        <w:pStyle w:val="a3"/>
        <w:spacing w:before="0" w:beforeAutospacing="0" w:after="0" w:afterAutospacing="0"/>
        <w:rPr>
          <w:sz w:val="20"/>
          <w:szCs w:val="20"/>
        </w:rPr>
      </w:pPr>
      <w:r>
        <w:rPr>
          <w:sz w:val="20"/>
          <w:szCs w:val="20"/>
        </w:rPr>
        <w:t> </w:t>
      </w:r>
    </w:p>
    <w:p w14:paraId="3F439D59"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Presented below is a reconciliation of the Company’s segment measure to (loss) income before (expense) benefit from income taxes:</w:t>
      </w:r>
    </w:p>
    <w:p w14:paraId="1FF834C1"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788"/>
        <w:gridCol w:w="98"/>
        <w:gridCol w:w="105"/>
        <w:gridCol w:w="893"/>
        <w:gridCol w:w="75"/>
        <w:gridCol w:w="99"/>
        <w:gridCol w:w="105"/>
        <w:gridCol w:w="893"/>
        <w:gridCol w:w="75"/>
        <w:gridCol w:w="99"/>
        <w:gridCol w:w="105"/>
        <w:gridCol w:w="893"/>
        <w:gridCol w:w="75"/>
        <w:gridCol w:w="99"/>
        <w:gridCol w:w="105"/>
        <w:gridCol w:w="893"/>
        <w:gridCol w:w="75"/>
      </w:tblGrid>
      <w:tr w:rsidR="00000000" w14:paraId="7BA2D5E3" w14:textId="77777777">
        <w:trPr>
          <w:divId w:val="1257443040"/>
        </w:trPr>
        <w:tc>
          <w:tcPr>
            <w:tcW w:w="1873" w:type="pct"/>
            <w:shd w:val="clear" w:color="auto" w:fill="FFFFFF"/>
            <w:tcMar>
              <w:top w:w="15" w:type="dxa"/>
              <w:left w:w="0" w:type="dxa"/>
              <w:bottom w:w="0" w:type="dxa"/>
              <w:right w:w="15" w:type="dxa"/>
            </w:tcMar>
            <w:vAlign w:val="bottom"/>
            <w:hideMark/>
          </w:tcPr>
          <w:p w14:paraId="100C864A" w14:textId="77777777" w:rsidR="00000000" w:rsidRDefault="00582324">
            <w:pPr>
              <w:pStyle w:val="a3"/>
              <w:spacing w:before="0" w:beforeAutospacing="0" w:after="0" w:afterAutospacing="0"/>
              <w:jc w:val="center"/>
              <w:rPr>
                <w:sz w:val="20"/>
                <w:szCs w:val="20"/>
              </w:rPr>
            </w:pPr>
            <w:r>
              <w:rPr>
                <w:sz w:val="20"/>
                <w:szCs w:val="20"/>
              </w:rPr>
              <w:t> </w:t>
            </w:r>
          </w:p>
        </w:tc>
        <w:tc>
          <w:tcPr>
            <w:tcW w:w="75" w:type="pct"/>
            <w:shd w:val="clear" w:color="auto" w:fill="FFFFFF"/>
            <w:tcMar>
              <w:top w:w="15" w:type="dxa"/>
              <w:left w:w="0" w:type="dxa"/>
              <w:bottom w:w="0" w:type="dxa"/>
              <w:right w:w="15" w:type="dxa"/>
            </w:tcMar>
            <w:vAlign w:val="bottom"/>
            <w:hideMark/>
          </w:tcPr>
          <w:p w14:paraId="4B8884D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37" w:type="pct"/>
            <w:gridSpan w:val="6"/>
            <w:tcBorders>
              <w:bottom w:val="single" w:sz="6" w:space="0" w:color="000000"/>
            </w:tcBorders>
            <w:shd w:val="clear" w:color="auto" w:fill="FFFFFF"/>
            <w:tcMar>
              <w:top w:w="15" w:type="dxa"/>
              <w:left w:w="0" w:type="dxa"/>
              <w:bottom w:w="0" w:type="dxa"/>
              <w:right w:w="15" w:type="dxa"/>
            </w:tcMar>
            <w:vAlign w:val="bottom"/>
            <w:hideMark/>
          </w:tcPr>
          <w:p w14:paraId="4F5E3D7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Three Months</w:t>
            </w:r>
          </w:p>
          <w:p w14:paraId="6D6A0CD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187BC74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5" w:type="pct"/>
            <w:shd w:val="clear" w:color="auto" w:fill="FFFFFF"/>
            <w:tcMar>
              <w:top w:w="15" w:type="dxa"/>
              <w:left w:w="0" w:type="dxa"/>
              <w:bottom w:w="0" w:type="dxa"/>
              <w:right w:w="15" w:type="dxa"/>
            </w:tcMar>
            <w:vAlign w:val="bottom"/>
            <w:hideMark/>
          </w:tcPr>
          <w:p w14:paraId="5F98148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37" w:type="pct"/>
            <w:gridSpan w:val="6"/>
            <w:tcBorders>
              <w:bottom w:val="single" w:sz="6" w:space="0" w:color="000000"/>
            </w:tcBorders>
            <w:shd w:val="clear" w:color="auto" w:fill="FFFFFF"/>
            <w:tcMar>
              <w:top w:w="15" w:type="dxa"/>
              <w:left w:w="0" w:type="dxa"/>
              <w:bottom w:w="0" w:type="dxa"/>
              <w:right w:w="15" w:type="dxa"/>
            </w:tcMar>
            <w:vAlign w:val="bottom"/>
            <w:hideMark/>
          </w:tcPr>
          <w:p w14:paraId="6857776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Six Months</w:t>
            </w:r>
          </w:p>
          <w:p w14:paraId="7E8D4CE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0DCC8F5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7D26678" w14:textId="77777777">
        <w:trPr>
          <w:divId w:val="1257443040"/>
        </w:trPr>
        <w:tc>
          <w:tcPr>
            <w:tcW w:w="1873" w:type="pct"/>
            <w:shd w:val="clear" w:color="auto" w:fill="FFFFFF"/>
            <w:tcMar>
              <w:top w:w="15" w:type="dxa"/>
              <w:left w:w="0" w:type="dxa"/>
              <w:bottom w:w="0" w:type="dxa"/>
              <w:right w:w="15" w:type="dxa"/>
            </w:tcMar>
            <w:vAlign w:val="bottom"/>
            <w:hideMark/>
          </w:tcPr>
          <w:p w14:paraId="30F45FE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75" w:type="pct"/>
            <w:shd w:val="clear" w:color="auto" w:fill="FFFFFF"/>
            <w:tcMar>
              <w:top w:w="15" w:type="dxa"/>
              <w:left w:w="0" w:type="dxa"/>
              <w:bottom w:w="0" w:type="dxa"/>
              <w:right w:w="15" w:type="dxa"/>
            </w:tcMar>
            <w:vAlign w:val="bottom"/>
            <w:hideMark/>
          </w:tcPr>
          <w:p w14:paraId="2A0FCCE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34854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68EA841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07DAF54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01374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7B19FD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5" w:type="pct"/>
            <w:shd w:val="clear" w:color="auto" w:fill="FFFFFF"/>
            <w:tcMar>
              <w:top w:w="15" w:type="dxa"/>
              <w:left w:w="0" w:type="dxa"/>
              <w:bottom w:w="0" w:type="dxa"/>
              <w:right w:w="15" w:type="dxa"/>
            </w:tcMar>
            <w:vAlign w:val="bottom"/>
            <w:hideMark/>
          </w:tcPr>
          <w:p w14:paraId="644EC6D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2DF81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27949FF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0BC8C2D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E8316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79BB770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B6CD4E8" w14:textId="77777777">
        <w:trPr>
          <w:divId w:val="1257443040"/>
        </w:trPr>
        <w:tc>
          <w:tcPr>
            <w:tcW w:w="1873" w:type="pct"/>
            <w:shd w:val="clear" w:color="auto" w:fill="CFF0FC"/>
            <w:tcMar>
              <w:top w:w="15" w:type="dxa"/>
              <w:left w:w="0" w:type="dxa"/>
              <w:bottom w:w="0" w:type="dxa"/>
              <w:right w:w="15" w:type="dxa"/>
            </w:tcMar>
            <w:hideMark/>
          </w:tcPr>
          <w:p w14:paraId="4DB1C71C" w14:textId="77777777" w:rsidR="00000000" w:rsidRDefault="00582324">
            <w:pPr>
              <w:pStyle w:val="a3"/>
              <w:spacing w:before="0" w:beforeAutospacing="0" w:after="0" w:afterAutospacing="0"/>
              <w:rPr>
                <w:color w:val="000000"/>
                <w:sz w:val="18"/>
                <w:szCs w:val="18"/>
              </w:rPr>
            </w:pPr>
            <w:r>
              <w:rPr>
                <w:color w:val="000000"/>
                <w:sz w:val="18"/>
                <w:szCs w:val="18"/>
              </w:rPr>
              <w:t>Total</w:t>
            </w:r>
          </w:p>
        </w:tc>
        <w:tc>
          <w:tcPr>
            <w:tcW w:w="75" w:type="pct"/>
            <w:shd w:val="clear" w:color="auto" w:fill="CFF0FC"/>
            <w:tcMar>
              <w:top w:w="15" w:type="dxa"/>
              <w:left w:w="0" w:type="dxa"/>
              <w:bottom w:w="0" w:type="dxa"/>
              <w:right w:w="15" w:type="dxa"/>
            </w:tcMar>
            <w:vAlign w:val="bottom"/>
            <w:hideMark/>
          </w:tcPr>
          <w:p w14:paraId="38305B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41B75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tcBorders>
            <w:shd w:val="clear" w:color="auto" w:fill="CFF0FC"/>
            <w:noWrap/>
            <w:tcMar>
              <w:top w:w="15" w:type="dxa"/>
              <w:left w:w="0" w:type="dxa"/>
              <w:bottom w:w="0" w:type="dxa"/>
              <w:right w:w="15" w:type="dxa"/>
            </w:tcMar>
            <w:vAlign w:val="bottom"/>
            <w:hideMark/>
          </w:tcPr>
          <w:p w14:paraId="1E23F820" w14:textId="77777777" w:rsidR="00000000" w:rsidRDefault="00582324">
            <w:pPr>
              <w:pStyle w:val="a3"/>
              <w:spacing w:before="0" w:beforeAutospacing="0" w:after="0" w:afterAutospacing="0"/>
              <w:jc w:val="right"/>
              <w:rPr>
                <w:color w:val="000000"/>
                <w:sz w:val="18"/>
                <w:szCs w:val="18"/>
              </w:rPr>
            </w:pPr>
            <w:r>
              <w:rPr>
                <w:color w:val="000000"/>
                <w:sz w:val="18"/>
                <w:szCs w:val="18"/>
              </w:rPr>
              <w:t>20,963</w:t>
            </w:r>
          </w:p>
        </w:tc>
        <w:tc>
          <w:tcPr>
            <w:tcW w:w="50" w:type="pct"/>
            <w:shd w:val="clear" w:color="auto" w:fill="CFF0FC"/>
            <w:noWrap/>
            <w:tcMar>
              <w:top w:w="15" w:type="dxa"/>
              <w:left w:w="0" w:type="dxa"/>
              <w:bottom w:w="0" w:type="dxa"/>
              <w:right w:w="15" w:type="dxa"/>
            </w:tcMar>
            <w:vAlign w:val="bottom"/>
            <w:hideMark/>
          </w:tcPr>
          <w:p w14:paraId="64F2A3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4B843C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03B3B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tcBorders>
            <w:shd w:val="clear" w:color="auto" w:fill="CFF0FC"/>
            <w:noWrap/>
            <w:tcMar>
              <w:top w:w="15" w:type="dxa"/>
              <w:left w:w="0" w:type="dxa"/>
              <w:bottom w:w="0" w:type="dxa"/>
              <w:right w:w="15" w:type="dxa"/>
            </w:tcMar>
            <w:vAlign w:val="bottom"/>
            <w:hideMark/>
          </w:tcPr>
          <w:p w14:paraId="4811C194" w14:textId="77777777" w:rsidR="00000000" w:rsidRDefault="00582324">
            <w:pPr>
              <w:pStyle w:val="a3"/>
              <w:spacing w:before="0" w:beforeAutospacing="0" w:after="0" w:afterAutospacing="0"/>
              <w:jc w:val="right"/>
              <w:rPr>
                <w:color w:val="000000"/>
                <w:sz w:val="18"/>
                <w:szCs w:val="18"/>
              </w:rPr>
            </w:pPr>
            <w:r>
              <w:rPr>
                <w:color w:val="000000"/>
                <w:sz w:val="18"/>
                <w:szCs w:val="18"/>
              </w:rPr>
              <w:t>13,895</w:t>
            </w:r>
          </w:p>
        </w:tc>
        <w:tc>
          <w:tcPr>
            <w:tcW w:w="50" w:type="pct"/>
            <w:shd w:val="clear" w:color="auto" w:fill="CFF0FC"/>
            <w:noWrap/>
            <w:tcMar>
              <w:top w:w="15" w:type="dxa"/>
              <w:left w:w="0" w:type="dxa"/>
              <w:bottom w:w="0" w:type="dxa"/>
              <w:right w:w="15" w:type="dxa"/>
            </w:tcMar>
            <w:vAlign w:val="bottom"/>
            <w:hideMark/>
          </w:tcPr>
          <w:p w14:paraId="6C3C25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5A7D5E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92840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tcBorders>
            <w:shd w:val="clear" w:color="auto" w:fill="CFF0FC"/>
            <w:noWrap/>
            <w:tcMar>
              <w:top w:w="15" w:type="dxa"/>
              <w:left w:w="0" w:type="dxa"/>
              <w:bottom w:w="0" w:type="dxa"/>
              <w:right w:w="15" w:type="dxa"/>
            </w:tcMar>
            <w:vAlign w:val="bottom"/>
            <w:hideMark/>
          </w:tcPr>
          <w:p w14:paraId="0DE06D78" w14:textId="77777777" w:rsidR="00000000" w:rsidRDefault="00582324">
            <w:pPr>
              <w:pStyle w:val="a3"/>
              <w:spacing w:before="0" w:beforeAutospacing="0" w:after="0" w:afterAutospacing="0"/>
              <w:jc w:val="right"/>
              <w:rPr>
                <w:color w:val="000000"/>
                <w:sz w:val="18"/>
                <w:szCs w:val="18"/>
              </w:rPr>
            </w:pPr>
            <w:r>
              <w:rPr>
                <w:color w:val="000000"/>
                <w:sz w:val="18"/>
                <w:szCs w:val="18"/>
              </w:rPr>
              <w:t>37,762</w:t>
            </w:r>
          </w:p>
        </w:tc>
        <w:tc>
          <w:tcPr>
            <w:tcW w:w="50" w:type="pct"/>
            <w:shd w:val="clear" w:color="auto" w:fill="CFF0FC"/>
            <w:noWrap/>
            <w:tcMar>
              <w:top w:w="15" w:type="dxa"/>
              <w:left w:w="0" w:type="dxa"/>
              <w:bottom w:w="0" w:type="dxa"/>
              <w:right w:w="15" w:type="dxa"/>
            </w:tcMar>
            <w:vAlign w:val="bottom"/>
            <w:hideMark/>
          </w:tcPr>
          <w:p w14:paraId="75D455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6DDD55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1A0D8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tcBorders>
            <w:shd w:val="clear" w:color="auto" w:fill="CFF0FC"/>
            <w:noWrap/>
            <w:tcMar>
              <w:top w:w="15" w:type="dxa"/>
              <w:left w:w="0" w:type="dxa"/>
              <w:bottom w:w="0" w:type="dxa"/>
              <w:right w:w="15" w:type="dxa"/>
            </w:tcMar>
            <w:vAlign w:val="bottom"/>
            <w:hideMark/>
          </w:tcPr>
          <w:p w14:paraId="0586781F" w14:textId="77777777" w:rsidR="00000000" w:rsidRDefault="00582324">
            <w:pPr>
              <w:pStyle w:val="a3"/>
              <w:spacing w:before="0" w:beforeAutospacing="0" w:after="0" w:afterAutospacing="0"/>
              <w:jc w:val="right"/>
              <w:rPr>
                <w:color w:val="000000"/>
                <w:sz w:val="18"/>
                <w:szCs w:val="18"/>
              </w:rPr>
            </w:pPr>
            <w:r>
              <w:rPr>
                <w:color w:val="000000"/>
                <w:sz w:val="18"/>
                <w:szCs w:val="18"/>
              </w:rPr>
              <w:t>19,448</w:t>
            </w:r>
          </w:p>
        </w:tc>
        <w:tc>
          <w:tcPr>
            <w:tcW w:w="50" w:type="pct"/>
            <w:shd w:val="clear" w:color="auto" w:fill="CFF0FC"/>
            <w:noWrap/>
            <w:tcMar>
              <w:top w:w="15" w:type="dxa"/>
              <w:left w:w="0" w:type="dxa"/>
              <w:bottom w:w="0" w:type="dxa"/>
              <w:right w:w="15" w:type="dxa"/>
            </w:tcMar>
            <w:vAlign w:val="bottom"/>
            <w:hideMark/>
          </w:tcPr>
          <w:p w14:paraId="12BB02F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D7DB1A4" w14:textId="77777777">
        <w:trPr>
          <w:divId w:val="1257443040"/>
        </w:trPr>
        <w:tc>
          <w:tcPr>
            <w:tcW w:w="1873" w:type="pct"/>
            <w:shd w:val="clear" w:color="auto" w:fill="FFFFFF"/>
            <w:tcMar>
              <w:top w:w="15" w:type="dxa"/>
              <w:left w:w="0" w:type="dxa"/>
              <w:bottom w:w="0" w:type="dxa"/>
              <w:right w:w="15" w:type="dxa"/>
            </w:tcMar>
            <w:hideMark/>
          </w:tcPr>
          <w:p w14:paraId="09309DB4" w14:textId="77777777" w:rsidR="00000000" w:rsidRDefault="00582324">
            <w:pPr>
              <w:pStyle w:val="a3"/>
              <w:spacing w:before="0" w:beforeAutospacing="0" w:after="0" w:afterAutospacing="0"/>
              <w:ind w:left="274"/>
              <w:rPr>
                <w:color w:val="000000"/>
                <w:sz w:val="18"/>
                <w:szCs w:val="18"/>
              </w:rPr>
            </w:pPr>
            <w:r>
              <w:rPr>
                <w:color w:val="000000"/>
                <w:sz w:val="18"/>
                <w:szCs w:val="18"/>
              </w:rPr>
              <w:t>Interest expense, net</w:t>
            </w:r>
          </w:p>
        </w:tc>
        <w:tc>
          <w:tcPr>
            <w:tcW w:w="75" w:type="pct"/>
            <w:shd w:val="clear" w:color="auto" w:fill="FFFFFF"/>
            <w:tcMar>
              <w:top w:w="15" w:type="dxa"/>
              <w:left w:w="0" w:type="dxa"/>
              <w:bottom w:w="0" w:type="dxa"/>
              <w:right w:w="15" w:type="dxa"/>
            </w:tcMar>
            <w:vAlign w:val="bottom"/>
            <w:hideMark/>
          </w:tcPr>
          <w:p w14:paraId="291EB8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9B52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3BF223E" w14:textId="77777777" w:rsidR="00000000" w:rsidRDefault="00582324">
            <w:pPr>
              <w:pStyle w:val="a3"/>
              <w:spacing w:before="0" w:beforeAutospacing="0" w:after="0" w:afterAutospacing="0"/>
              <w:jc w:val="right"/>
              <w:rPr>
                <w:color w:val="000000"/>
                <w:sz w:val="18"/>
                <w:szCs w:val="18"/>
              </w:rPr>
            </w:pPr>
            <w:r>
              <w:rPr>
                <w:color w:val="000000"/>
                <w:sz w:val="18"/>
                <w:szCs w:val="18"/>
              </w:rPr>
              <w:t>(6,798</w:t>
            </w:r>
          </w:p>
        </w:tc>
        <w:tc>
          <w:tcPr>
            <w:tcW w:w="50" w:type="pct"/>
            <w:shd w:val="clear" w:color="auto" w:fill="FFFFFF"/>
            <w:noWrap/>
            <w:tcMar>
              <w:top w:w="15" w:type="dxa"/>
              <w:left w:w="0" w:type="dxa"/>
              <w:bottom w:w="0" w:type="dxa"/>
              <w:right w:w="15" w:type="dxa"/>
            </w:tcMar>
            <w:vAlign w:val="bottom"/>
            <w:hideMark/>
          </w:tcPr>
          <w:p w14:paraId="6691803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76F164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9EC4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6D830A2" w14:textId="77777777" w:rsidR="00000000" w:rsidRDefault="00582324">
            <w:pPr>
              <w:pStyle w:val="a3"/>
              <w:spacing w:before="0" w:beforeAutospacing="0" w:after="0" w:afterAutospacing="0"/>
              <w:jc w:val="right"/>
              <w:rPr>
                <w:color w:val="000000"/>
                <w:sz w:val="18"/>
                <w:szCs w:val="18"/>
              </w:rPr>
            </w:pPr>
            <w:r>
              <w:rPr>
                <w:color w:val="000000"/>
                <w:sz w:val="18"/>
                <w:szCs w:val="18"/>
              </w:rPr>
              <w:t>(5,260</w:t>
            </w:r>
          </w:p>
        </w:tc>
        <w:tc>
          <w:tcPr>
            <w:tcW w:w="50" w:type="pct"/>
            <w:shd w:val="clear" w:color="auto" w:fill="FFFFFF"/>
            <w:noWrap/>
            <w:tcMar>
              <w:top w:w="15" w:type="dxa"/>
              <w:left w:w="0" w:type="dxa"/>
              <w:bottom w:w="0" w:type="dxa"/>
              <w:right w:w="15" w:type="dxa"/>
            </w:tcMar>
            <w:vAlign w:val="bottom"/>
            <w:hideMark/>
          </w:tcPr>
          <w:p w14:paraId="3ECEAB9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199999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A453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1F27CFDA" w14:textId="77777777" w:rsidR="00000000" w:rsidRDefault="00582324">
            <w:pPr>
              <w:pStyle w:val="a3"/>
              <w:spacing w:before="0" w:beforeAutospacing="0" w:after="0" w:afterAutospacing="0"/>
              <w:jc w:val="right"/>
              <w:rPr>
                <w:color w:val="000000"/>
                <w:sz w:val="18"/>
                <w:szCs w:val="18"/>
              </w:rPr>
            </w:pPr>
            <w:r>
              <w:rPr>
                <w:color w:val="000000"/>
                <w:sz w:val="18"/>
                <w:szCs w:val="18"/>
              </w:rPr>
              <w:t>(9,486</w:t>
            </w:r>
          </w:p>
        </w:tc>
        <w:tc>
          <w:tcPr>
            <w:tcW w:w="50" w:type="pct"/>
            <w:shd w:val="clear" w:color="auto" w:fill="FFFFFF"/>
            <w:noWrap/>
            <w:tcMar>
              <w:top w:w="15" w:type="dxa"/>
              <w:left w:w="0" w:type="dxa"/>
              <w:bottom w:w="0" w:type="dxa"/>
              <w:right w:w="15" w:type="dxa"/>
            </w:tcMar>
            <w:vAlign w:val="bottom"/>
            <w:hideMark/>
          </w:tcPr>
          <w:p w14:paraId="555DABA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058FB8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9D70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34042A52" w14:textId="77777777" w:rsidR="00000000" w:rsidRDefault="00582324">
            <w:pPr>
              <w:pStyle w:val="a3"/>
              <w:spacing w:before="0" w:beforeAutospacing="0" w:after="0" w:afterAutospacing="0"/>
              <w:jc w:val="right"/>
              <w:rPr>
                <w:color w:val="000000"/>
                <w:sz w:val="18"/>
                <w:szCs w:val="18"/>
              </w:rPr>
            </w:pPr>
            <w:r>
              <w:rPr>
                <w:color w:val="000000"/>
                <w:sz w:val="18"/>
                <w:szCs w:val="18"/>
              </w:rPr>
              <w:t>(7,853</w:t>
            </w:r>
          </w:p>
        </w:tc>
        <w:tc>
          <w:tcPr>
            <w:tcW w:w="50" w:type="pct"/>
            <w:shd w:val="clear" w:color="auto" w:fill="FFFFFF"/>
            <w:noWrap/>
            <w:tcMar>
              <w:top w:w="15" w:type="dxa"/>
              <w:left w:w="0" w:type="dxa"/>
              <w:bottom w:w="0" w:type="dxa"/>
              <w:right w:w="15" w:type="dxa"/>
            </w:tcMar>
            <w:vAlign w:val="bottom"/>
            <w:hideMark/>
          </w:tcPr>
          <w:p w14:paraId="1ED85D3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DA1B2BD" w14:textId="77777777">
        <w:trPr>
          <w:divId w:val="1257443040"/>
        </w:trPr>
        <w:tc>
          <w:tcPr>
            <w:tcW w:w="1873" w:type="pct"/>
            <w:shd w:val="clear" w:color="auto" w:fill="CFF0FC"/>
            <w:tcMar>
              <w:top w:w="15" w:type="dxa"/>
              <w:left w:w="0" w:type="dxa"/>
              <w:bottom w:w="0" w:type="dxa"/>
              <w:right w:w="15" w:type="dxa"/>
            </w:tcMar>
            <w:hideMark/>
          </w:tcPr>
          <w:p w14:paraId="0A14E189" w14:textId="77777777" w:rsidR="00000000" w:rsidRDefault="00582324">
            <w:pPr>
              <w:pStyle w:val="a3"/>
              <w:spacing w:before="0" w:beforeAutospacing="0" w:after="0" w:afterAutospacing="0"/>
              <w:ind w:left="274"/>
              <w:rPr>
                <w:color w:val="000000"/>
                <w:sz w:val="18"/>
                <w:szCs w:val="18"/>
              </w:rPr>
            </w:pPr>
            <w:r>
              <w:rPr>
                <w:color w:val="000000"/>
                <w:sz w:val="18"/>
                <w:szCs w:val="18"/>
              </w:rPr>
              <w:t>Income tax (expense) benefit</w:t>
            </w:r>
          </w:p>
        </w:tc>
        <w:tc>
          <w:tcPr>
            <w:tcW w:w="75" w:type="pct"/>
            <w:shd w:val="clear" w:color="auto" w:fill="CFF0FC"/>
            <w:tcMar>
              <w:top w:w="15" w:type="dxa"/>
              <w:left w:w="0" w:type="dxa"/>
              <w:bottom w:w="0" w:type="dxa"/>
              <w:right w:w="15" w:type="dxa"/>
            </w:tcMar>
            <w:vAlign w:val="bottom"/>
            <w:hideMark/>
          </w:tcPr>
          <w:p w14:paraId="5E1CE9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627B4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0C4B6B6E" w14:textId="77777777" w:rsidR="00000000" w:rsidRDefault="00582324">
            <w:pPr>
              <w:pStyle w:val="a3"/>
              <w:spacing w:before="0" w:beforeAutospacing="0" w:after="0" w:afterAutospacing="0"/>
              <w:jc w:val="right"/>
              <w:rPr>
                <w:color w:val="000000"/>
                <w:sz w:val="18"/>
                <w:szCs w:val="18"/>
              </w:rPr>
            </w:pPr>
            <w:r>
              <w:rPr>
                <w:color w:val="000000"/>
                <w:sz w:val="18"/>
                <w:szCs w:val="18"/>
              </w:rPr>
              <w:t>256</w:t>
            </w:r>
          </w:p>
        </w:tc>
        <w:tc>
          <w:tcPr>
            <w:tcW w:w="50" w:type="pct"/>
            <w:shd w:val="clear" w:color="auto" w:fill="CFF0FC"/>
            <w:noWrap/>
            <w:tcMar>
              <w:top w:w="15" w:type="dxa"/>
              <w:left w:w="0" w:type="dxa"/>
              <w:bottom w:w="0" w:type="dxa"/>
              <w:right w:w="15" w:type="dxa"/>
            </w:tcMar>
            <w:vAlign w:val="bottom"/>
            <w:hideMark/>
          </w:tcPr>
          <w:p w14:paraId="446503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725262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9D40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74B5D732" w14:textId="77777777" w:rsidR="00000000" w:rsidRDefault="00582324">
            <w:pPr>
              <w:pStyle w:val="a3"/>
              <w:spacing w:before="0" w:beforeAutospacing="0" w:after="0" w:afterAutospacing="0"/>
              <w:jc w:val="right"/>
              <w:rPr>
                <w:color w:val="000000"/>
                <w:sz w:val="18"/>
                <w:szCs w:val="18"/>
              </w:rPr>
            </w:pPr>
            <w:r>
              <w:rPr>
                <w:color w:val="000000"/>
                <w:sz w:val="18"/>
                <w:szCs w:val="18"/>
              </w:rPr>
              <w:t>1,759</w:t>
            </w:r>
          </w:p>
        </w:tc>
        <w:tc>
          <w:tcPr>
            <w:tcW w:w="50" w:type="pct"/>
            <w:shd w:val="clear" w:color="auto" w:fill="CFF0FC"/>
            <w:noWrap/>
            <w:tcMar>
              <w:top w:w="15" w:type="dxa"/>
              <w:left w:w="0" w:type="dxa"/>
              <w:bottom w:w="0" w:type="dxa"/>
              <w:right w:w="15" w:type="dxa"/>
            </w:tcMar>
            <w:vAlign w:val="bottom"/>
            <w:hideMark/>
          </w:tcPr>
          <w:p w14:paraId="7F0D89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4551B9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345B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529C6216" w14:textId="77777777" w:rsidR="00000000" w:rsidRDefault="00582324">
            <w:pPr>
              <w:pStyle w:val="a3"/>
              <w:spacing w:before="0" w:beforeAutospacing="0" w:after="0" w:afterAutospacing="0"/>
              <w:jc w:val="right"/>
              <w:rPr>
                <w:color w:val="000000"/>
                <w:sz w:val="18"/>
                <w:szCs w:val="18"/>
              </w:rPr>
            </w:pPr>
            <w:r>
              <w:rPr>
                <w:color w:val="000000"/>
                <w:sz w:val="18"/>
                <w:szCs w:val="18"/>
              </w:rPr>
              <w:t>254</w:t>
            </w:r>
          </w:p>
        </w:tc>
        <w:tc>
          <w:tcPr>
            <w:tcW w:w="50" w:type="pct"/>
            <w:shd w:val="clear" w:color="auto" w:fill="CFF0FC"/>
            <w:noWrap/>
            <w:tcMar>
              <w:top w:w="15" w:type="dxa"/>
              <w:left w:w="0" w:type="dxa"/>
              <w:bottom w:w="0" w:type="dxa"/>
              <w:right w:w="15" w:type="dxa"/>
            </w:tcMar>
            <w:vAlign w:val="bottom"/>
            <w:hideMark/>
          </w:tcPr>
          <w:p w14:paraId="546BD1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475D01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FCB1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5A40936C" w14:textId="77777777" w:rsidR="00000000" w:rsidRDefault="00582324">
            <w:pPr>
              <w:pStyle w:val="a3"/>
              <w:spacing w:before="0" w:beforeAutospacing="0" w:after="0" w:afterAutospacing="0"/>
              <w:jc w:val="right"/>
              <w:rPr>
                <w:color w:val="000000"/>
                <w:sz w:val="18"/>
                <w:szCs w:val="18"/>
              </w:rPr>
            </w:pPr>
            <w:r>
              <w:rPr>
                <w:color w:val="000000"/>
                <w:sz w:val="18"/>
                <w:szCs w:val="18"/>
              </w:rPr>
              <w:t>4,911</w:t>
            </w:r>
          </w:p>
        </w:tc>
        <w:tc>
          <w:tcPr>
            <w:tcW w:w="50" w:type="pct"/>
            <w:shd w:val="clear" w:color="auto" w:fill="CFF0FC"/>
            <w:noWrap/>
            <w:tcMar>
              <w:top w:w="15" w:type="dxa"/>
              <w:left w:w="0" w:type="dxa"/>
              <w:bottom w:w="0" w:type="dxa"/>
              <w:right w:w="15" w:type="dxa"/>
            </w:tcMar>
            <w:vAlign w:val="bottom"/>
            <w:hideMark/>
          </w:tcPr>
          <w:p w14:paraId="7A64872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2775C6E" w14:textId="77777777">
        <w:trPr>
          <w:divId w:val="1257443040"/>
        </w:trPr>
        <w:tc>
          <w:tcPr>
            <w:tcW w:w="1873" w:type="pct"/>
            <w:shd w:val="clear" w:color="auto" w:fill="FFFFFF"/>
            <w:tcMar>
              <w:top w:w="15" w:type="dxa"/>
              <w:left w:w="0" w:type="dxa"/>
              <w:bottom w:w="0" w:type="dxa"/>
              <w:right w:w="15" w:type="dxa"/>
            </w:tcMar>
            <w:hideMark/>
          </w:tcPr>
          <w:p w14:paraId="3F52F944" w14:textId="77777777" w:rsidR="00000000" w:rsidRDefault="00582324">
            <w:pPr>
              <w:pStyle w:val="a3"/>
              <w:spacing w:before="0" w:beforeAutospacing="0" w:after="0" w:afterAutospacing="0"/>
              <w:ind w:left="274"/>
              <w:rPr>
                <w:color w:val="000000"/>
                <w:sz w:val="18"/>
                <w:szCs w:val="18"/>
              </w:rPr>
            </w:pPr>
            <w:r>
              <w:rPr>
                <w:color w:val="000000"/>
                <w:sz w:val="18"/>
                <w:szCs w:val="18"/>
              </w:rPr>
              <w:t>Depreciation and amortization</w:t>
            </w:r>
          </w:p>
        </w:tc>
        <w:tc>
          <w:tcPr>
            <w:tcW w:w="75" w:type="pct"/>
            <w:shd w:val="clear" w:color="auto" w:fill="FFFFFF"/>
            <w:tcMar>
              <w:top w:w="15" w:type="dxa"/>
              <w:left w:w="0" w:type="dxa"/>
              <w:bottom w:w="0" w:type="dxa"/>
              <w:right w:w="15" w:type="dxa"/>
            </w:tcMar>
            <w:vAlign w:val="bottom"/>
            <w:hideMark/>
          </w:tcPr>
          <w:p w14:paraId="6D3182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5E448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7E773439" w14:textId="77777777" w:rsidR="00000000" w:rsidRDefault="00582324">
            <w:pPr>
              <w:pStyle w:val="a3"/>
              <w:spacing w:before="0" w:beforeAutospacing="0" w:after="0" w:afterAutospacing="0"/>
              <w:jc w:val="right"/>
              <w:rPr>
                <w:color w:val="000000"/>
                <w:sz w:val="18"/>
                <w:szCs w:val="18"/>
              </w:rPr>
            </w:pPr>
            <w:r>
              <w:rPr>
                <w:color w:val="000000"/>
                <w:sz w:val="18"/>
                <w:szCs w:val="18"/>
              </w:rPr>
              <w:t>(10,905</w:t>
            </w:r>
          </w:p>
        </w:tc>
        <w:tc>
          <w:tcPr>
            <w:tcW w:w="50" w:type="pct"/>
            <w:shd w:val="clear" w:color="auto" w:fill="FFFFFF"/>
            <w:noWrap/>
            <w:tcMar>
              <w:top w:w="15" w:type="dxa"/>
              <w:left w:w="0" w:type="dxa"/>
              <w:bottom w:w="0" w:type="dxa"/>
              <w:right w:w="15" w:type="dxa"/>
            </w:tcMar>
            <w:vAlign w:val="bottom"/>
            <w:hideMark/>
          </w:tcPr>
          <w:p w14:paraId="3E1B585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3A1979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52E5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4D39F4E6" w14:textId="77777777" w:rsidR="00000000" w:rsidRDefault="00582324">
            <w:pPr>
              <w:pStyle w:val="a3"/>
              <w:spacing w:before="0" w:beforeAutospacing="0" w:after="0" w:afterAutospacing="0"/>
              <w:jc w:val="right"/>
              <w:rPr>
                <w:color w:val="000000"/>
                <w:sz w:val="18"/>
                <w:szCs w:val="18"/>
              </w:rPr>
            </w:pPr>
            <w:r>
              <w:rPr>
                <w:color w:val="000000"/>
                <w:sz w:val="18"/>
                <w:szCs w:val="18"/>
              </w:rPr>
              <w:t>(9,784</w:t>
            </w:r>
          </w:p>
        </w:tc>
        <w:tc>
          <w:tcPr>
            <w:tcW w:w="50" w:type="pct"/>
            <w:shd w:val="clear" w:color="auto" w:fill="FFFFFF"/>
            <w:noWrap/>
            <w:tcMar>
              <w:top w:w="15" w:type="dxa"/>
              <w:left w:w="0" w:type="dxa"/>
              <w:bottom w:w="0" w:type="dxa"/>
              <w:right w:w="15" w:type="dxa"/>
            </w:tcMar>
            <w:vAlign w:val="bottom"/>
            <w:hideMark/>
          </w:tcPr>
          <w:p w14:paraId="4375005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7A9AA2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582E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66F1AC40" w14:textId="77777777" w:rsidR="00000000" w:rsidRDefault="00582324">
            <w:pPr>
              <w:pStyle w:val="a3"/>
              <w:spacing w:before="0" w:beforeAutospacing="0" w:after="0" w:afterAutospacing="0"/>
              <w:jc w:val="right"/>
              <w:rPr>
                <w:color w:val="000000"/>
                <w:sz w:val="18"/>
                <w:szCs w:val="18"/>
              </w:rPr>
            </w:pPr>
            <w:r>
              <w:rPr>
                <w:color w:val="000000"/>
                <w:sz w:val="18"/>
                <w:szCs w:val="18"/>
              </w:rPr>
              <w:t>(21,674</w:t>
            </w:r>
          </w:p>
        </w:tc>
        <w:tc>
          <w:tcPr>
            <w:tcW w:w="50" w:type="pct"/>
            <w:shd w:val="clear" w:color="auto" w:fill="FFFFFF"/>
            <w:noWrap/>
            <w:tcMar>
              <w:top w:w="15" w:type="dxa"/>
              <w:left w:w="0" w:type="dxa"/>
              <w:bottom w:w="0" w:type="dxa"/>
              <w:right w:w="15" w:type="dxa"/>
            </w:tcMar>
            <w:vAlign w:val="bottom"/>
            <w:hideMark/>
          </w:tcPr>
          <w:p w14:paraId="6069FCE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5D17E1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3BF5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2F53EFD6" w14:textId="77777777" w:rsidR="00000000" w:rsidRDefault="00582324">
            <w:pPr>
              <w:pStyle w:val="a3"/>
              <w:spacing w:before="0" w:beforeAutospacing="0" w:after="0" w:afterAutospacing="0"/>
              <w:jc w:val="right"/>
              <w:rPr>
                <w:color w:val="000000"/>
                <w:sz w:val="18"/>
                <w:szCs w:val="18"/>
              </w:rPr>
            </w:pPr>
            <w:r>
              <w:rPr>
                <w:color w:val="000000"/>
                <w:sz w:val="18"/>
                <w:szCs w:val="18"/>
              </w:rPr>
              <w:t>(17,344</w:t>
            </w:r>
          </w:p>
        </w:tc>
        <w:tc>
          <w:tcPr>
            <w:tcW w:w="50" w:type="pct"/>
            <w:shd w:val="clear" w:color="auto" w:fill="FFFFFF"/>
            <w:noWrap/>
            <w:tcMar>
              <w:top w:w="15" w:type="dxa"/>
              <w:left w:w="0" w:type="dxa"/>
              <w:bottom w:w="0" w:type="dxa"/>
              <w:right w:w="15" w:type="dxa"/>
            </w:tcMar>
            <w:vAlign w:val="bottom"/>
            <w:hideMark/>
          </w:tcPr>
          <w:p w14:paraId="4224A269"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2EA3D1D1" w14:textId="77777777">
        <w:trPr>
          <w:divId w:val="1257443040"/>
        </w:trPr>
        <w:tc>
          <w:tcPr>
            <w:tcW w:w="1873" w:type="pct"/>
            <w:shd w:val="clear" w:color="auto" w:fill="CFF0FC"/>
            <w:tcMar>
              <w:top w:w="15" w:type="dxa"/>
              <w:left w:w="0" w:type="dxa"/>
              <w:bottom w:w="0" w:type="dxa"/>
              <w:right w:w="15" w:type="dxa"/>
            </w:tcMar>
            <w:hideMark/>
          </w:tcPr>
          <w:p w14:paraId="0821A9FA" w14:textId="77777777" w:rsidR="00000000" w:rsidRDefault="00582324">
            <w:pPr>
              <w:pStyle w:val="a3"/>
              <w:spacing w:before="0" w:beforeAutospacing="0" w:after="0" w:afterAutospacing="0"/>
              <w:ind w:left="274"/>
              <w:rPr>
                <w:color w:val="000000"/>
                <w:sz w:val="18"/>
                <w:szCs w:val="18"/>
              </w:rPr>
            </w:pPr>
            <w:r>
              <w:rPr>
                <w:color w:val="000000"/>
                <w:sz w:val="18"/>
                <w:szCs w:val="18"/>
              </w:rPr>
              <w:t>Stock-based compensation</w:t>
            </w:r>
          </w:p>
        </w:tc>
        <w:tc>
          <w:tcPr>
            <w:tcW w:w="75" w:type="pct"/>
            <w:shd w:val="clear" w:color="auto" w:fill="CFF0FC"/>
            <w:tcMar>
              <w:top w:w="15" w:type="dxa"/>
              <w:left w:w="0" w:type="dxa"/>
              <w:bottom w:w="0" w:type="dxa"/>
              <w:right w:w="15" w:type="dxa"/>
            </w:tcMar>
            <w:vAlign w:val="bottom"/>
            <w:hideMark/>
          </w:tcPr>
          <w:p w14:paraId="0E8290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E586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1D698C20" w14:textId="77777777" w:rsidR="00000000" w:rsidRDefault="00582324">
            <w:pPr>
              <w:pStyle w:val="a3"/>
              <w:spacing w:before="0" w:beforeAutospacing="0" w:after="0" w:afterAutospacing="0"/>
              <w:jc w:val="right"/>
              <w:rPr>
                <w:color w:val="000000"/>
                <w:sz w:val="18"/>
                <w:szCs w:val="18"/>
              </w:rPr>
            </w:pPr>
            <w:r>
              <w:rPr>
                <w:color w:val="000000"/>
                <w:sz w:val="18"/>
                <w:szCs w:val="18"/>
              </w:rPr>
              <w:t>(2,417</w:t>
            </w:r>
          </w:p>
        </w:tc>
        <w:tc>
          <w:tcPr>
            <w:tcW w:w="50" w:type="pct"/>
            <w:shd w:val="clear" w:color="auto" w:fill="CFF0FC"/>
            <w:noWrap/>
            <w:tcMar>
              <w:top w:w="15" w:type="dxa"/>
              <w:left w:w="0" w:type="dxa"/>
              <w:bottom w:w="0" w:type="dxa"/>
              <w:right w:w="15" w:type="dxa"/>
            </w:tcMar>
            <w:vAlign w:val="bottom"/>
            <w:hideMark/>
          </w:tcPr>
          <w:p w14:paraId="75317AB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063DCF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4FD4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D8A88AC" w14:textId="77777777" w:rsidR="00000000" w:rsidRDefault="00582324">
            <w:pPr>
              <w:pStyle w:val="a3"/>
              <w:spacing w:before="0" w:beforeAutospacing="0" w:after="0" w:afterAutospacing="0"/>
              <w:jc w:val="right"/>
              <w:rPr>
                <w:color w:val="000000"/>
                <w:sz w:val="18"/>
                <w:szCs w:val="18"/>
              </w:rPr>
            </w:pPr>
            <w:r>
              <w:rPr>
                <w:color w:val="000000"/>
                <w:sz w:val="18"/>
                <w:szCs w:val="18"/>
              </w:rPr>
              <w:t>(1,140</w:t>
            </w:r>
          </w:p>
        </w:tc>
        <w:tc>
          <w:tcPr>
            <w:tcW w:w="50" w:type="pct"/>
            <w:shd w:val="clear" w:color="auto" w:fill="CFF0FC"/>
            <w:noWrap/>
            <w:tcMar>
              <w:top w:w="15" w:type="dxa"/>
              <w:left w:w="0" w:type="dxa"/>
              <w:bottom w:w="0" w:type="dxa"/>
              <w:right w:w="15" w:type="dxa"/>
            </w:tcMar>
            <w:vAlign w:val="bottom"/>
            <w:hideMark/>
          </w:tcPr>
          <w:p w14:paraId="76AA2AA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7932AE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63AE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133A03ED" w14:textId="77777777" w:rsidR="00000000" w:rsidRDefault="00582324">
            <w:pPr>
              <w:pStyle w:val="a3"/>
              <w:spacing w:before="0" w:beforeAutospacing="0" w:after="0" w:afterAutospacing="0"/>
              <w:jc w:val="right"/>
              <w:rPr>
                <w:color w:val="000000"/>
                <w:sz w:val="18"/>
                <w:szCs w:val="18"/>
              </w:rPr>
            </w:pPr>
            <w:r>
              <w:rPr>
                <w:color w:val="000000"/>
                <w:sz w:val="18"/>
                <w:szCs w:val="18"/>
              </w:rPr>
              <w:t>(4,222</w:t>
            </w:r>
          </w:p>
        </w:tc>
        <w:tc>
          <w:tcPr>
            <w:tcW w:w="50" w:type="pct"/>
            <w:shd w:val="clear" w:color="auto" w:fill="CFF0FC"/>
            <w:noWrap/>
            <w:tcMar>
              <w:top w:w="15" w:type="dxa"/>
              <w:left w:w="0" w:type="dxa"/>
              <w:bottom w:w="0" w:type="dxa"/>
              <w:right w:w="15" w:type="dxa"/>
            </w:tcMar>
            <w:vAlign w:val="bottom"/>
            <w:hideMark/>
          </w:tcPr>
          <w:p w14:paraId="33B5686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5173E2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5C379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171BB26E" w14:textId="77777777" w:rsidR="00000000" w:rsidRDefault="00582324">
            <w:pPr>
              <w:pStyle w:val="a3"/>
              <w:spacing w:before="0" w:beforeAutospacing="0" w:after="0" w:afterAutospacing="0"/>
              <w:jc w:val="right"/>
              <w:rPr>
                <w:color w:val="000000"/>
                <w:sz w:val="18"/>
                <w:szCs w:val="18"/>
              </w:rPr>
            </w:pPr>
            <w:r>
              <w:rPr>
                <w:color w:val="000000"/>
                <w:sz w:val="18"/>
                <w:szCs w:val="18"/>
              </w:rPr>
              <w:t>(2,290</w:t>
            </w:r>
          </w:p>
        </w:tc>
        <w:tc>
          <w:tcPr>
            <w:tcW w:w="50" w:type="pct"/>
            <w:shd w:val="clear" w:color="auto" w:fill="CFF0FC"/>
            <w:noWrap/>
            <w:tcMar>
              <w:top w:w="15" w:type="dxa"/>
              <w:left w:w="0" w:type="dxa"/>
              <w:bottom w:w="0" w:type="dxa"/>
              <w:right w:w="15" w:type="dxa"/>
            </w:tcMar>
            <w:vAlign w:val="bottom"/>
            <w:hideMark/>
          </w:tcPr>
          <w:p w14:paraId="1C98D80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5480847" w14:textId="77777777">
        <w:trPr>
          <w:divId w:val="1257443040"/>
        </w:trPr>
        <w:tc>
          <w:tcPr>
            <w:tcW w:w="1873" w:type="pct"/>
            <w:shd w:val="clear" w:color="auto" w:fill="FFFFFF"/>
            <w:tcMar>
              <w:top w:w="15" w:type="dxa"/>
              <w:left w:w="0" w:type="dxa"/>
              <w:bottom w:w="0" w:type="dxa"/>
              <w:right w:w="15" w:type="dxa"/>
            </w:tcMar>
            <w:hideMark/>
          </w:tcPr>
          <w:p w14:paraId="5DB519E3" w14:textId="77777777" w:rsidR="00000000" w:rsidRDefault="00582324">
            <w:pPr>
              <w:pStyle w:val="a3"/>
              <w:spacing w:before="0" w:beforeAutospacing="0" w:after="0" w:afterAutospacing="0"/>
              <w:ind w:left="274"/>
              <w:rPr>
                <w:color w:val="000000"/>
                <w:sz w:val="18"/>
                <w:szCs w:val="18"/>
              </w:rPr>
            </w:pPr>
            <w:r>
              <w:rPr>
                <w:color w:val="000000"/>
                <w:sz w:val="18"/>
                <w:szCs w:val="18"/>
              </w:rPr>
              <w:t>Start-up losses and investment in new services</w:t>
            </w:r>
          </w:p>
        </w:tc>
        <w:tc>
          <w:tcPr>
            <w:tcW w:w="75" w:type="pct"/>
            <w:shd w:val="clear" w:color="auto" w:fill="FFFFFF"/>
            <w:tcMar>
              <w:top w:w="15" w:type="dxa"/>
              <w:left w:w="0" w:type="dxa"/>
              <w:bottom w:w="0" w:type="dxa"/>
              <w:right w:w="15" w:type="dxa"/>
            </w:tcMar>
            <w:vAlign w:val="bottom"/>
            <w:hideMark/>
          </w:tcPr>
          <w:p w14:paraId="07AF06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A9E7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71148A78" w14:textId="77777777" w:rsidR="00000000" w:rsidRDefault="00582324">
            <w:pPr>
              <w:pStyle w:val="a3"/>
              <w:spacing w:before="0" w:beforeAutospacing="0" w:after="0" w:afterAutospacing="0"/>
              <w:jc w:val="right"/>
              <w:rPr>
                <w:color w:val="000000"/>
                <w:sz w:val="18"/>
                <w:szCs w:val="18"/>
              </w:rPr>
            </w:pPr>
            <w:r>
              <w:rPr>
                <w:color w:val="000000"/>
                <w:sz w:val="18"/>
                <w:szCs w:val="18"/>
              </w:rPr>
              <w:t>(1,123</w:t>
            </w:r>
          </w:p>
        </w:tc>
        <w:tc>
          <w:tcPr>
            <w:tcW w:w="50" w:type="pct"/>
            <w:shd w:val="clear" w:color="auto" w:fill="FFFFFF"/>
            <w:noWrap/>
            <w:tcMar>
              <w:top w:w="15" w:type="dxa"/>
              <w:left w:w="0" w:type="dxa"/>
              <w:bottom w:w="0" w:type="dxa"/>
              <w:right w:w="15" w:type="dxa"/>
            </w:tcMar>
            <w:vAlign w:val="bottom"/>
            <w:hideMark/>
          </w:tcPr>
          <w:p w14:paraId="3C11014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7369BE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B2B5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74E7A742" w14:textId="77777777" w:rsidR="00000000" w:rsidRDefault="00582324">
            <w:pPr>
              <w:pStyle w:val="a3"/>
              <w:spacing w:before="0" w:beforeAutospacing="0" w:after="0" w:afterAutospacing="0"/>
              <w:jc w:val="right"/>
              <w:rPr>
                <w:color w:val="000000"/>
                <w:sz w:val="18"/>
                <w:szCs w:val="18"/>
              </w:rPr>
            </w:pPr>
            <w:r>
              <w:rPr>
                <w:color w:val="000000"/>
                <w:sz w:val="18"/>
                <w:szCs w:val="18"/>
              </w:rPr>
              <w:t>(296</w:t>
            </w:r>
          </w:p>
        </w:tc>
        <w:tc>
          <w:tcPr>
            <w:tcW w:w="50" w:type="pct"/>
            <w:shd w:val="clear" w:color="auto" w:fill="FFFFFF"/>
            <w:noWrap/>
            <w:tcMar>
              <w:top w:w="15" w:type="dxa"/>
              <w:left w:w="0" w:type="dxa"/>
              <w:bottom w:w="0" w:type="dxa"/>
              <w:right w:w="15" w:type="dxa"/>
            </w:tcMar>
            <w:vAlign w:val="bottom"/>
            <w:hideMark/>
          </w:tcPr>
          <w:p w14:paraId="76088EC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415B4A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399C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4B301A23" w14:textId="77777777" w:rsidR="00000000" w:rsidRDefault="00582324">
            <w:pPr>
              <w:pStyle w:val="a3"/>
              <w:spacing w:before="0" w:beforeAutospacing="0" w:after="0" w:afterAutospacing="0"/>
              <w:jc w:val="right"/>
              <w:rPr>
                <w:color w:val="000000"/>
                <w:sz w:val="18"/>
                <w:szCs w:val="18"/>
              </w:rPr>
            </w:pPr>
            <w:r>
              <w:rPr>
                <w:color w:val="000000"/>
                <w:sz w:val="18"/>
                <w:szCs w:val="18"/>
              </w:rPr>
              <w:t>(2,090</w:t>
            </w:r>
          </w:p>
        </w:tc>
        <w:tc>
          <w:tcPr>
            <w:tcW w:w="50" w:type="pct"/>
            <w:shd w:val="clear" w:color="auto" w:fill="FFFFFF"/>
            <w:noWrap/>
            <w:tcMar>
              <w:top w:w="15" w:type="dxa"/>
              <w:left w:w="0" w:type="dxa"/>
              <w:bottom w:w="0" w:type="dxa"/>
              <w:right w:w="15" w:type="dxa"/>
            </w:tcMar>
            <w:vAlign w:val="bottom"/>
            <w:hideMark/>
          </w:tcPr>
          <w:p w14:paraId="0F678AB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1240FB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EA00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691480C7" w14:textId="77777777" w:rsidR="00000000" w:rsidRDefault="00582324">
            <w:pPr>
              <w:pStyle w:val="a3"/>
              <w:spacing w:before="0" w:beforeAutospacing="0" w:after="0" w:afterAutospacing="0"/>
              <w:jc w:val="right"/>
              <w:rPr>
                <w:color w:val="000000"/>
                <w:sz w:val="18"/>
                <w:szCs w:val="18"/>
              </w:rPr>
            </w:pPr>
            <w:r>
              <w:rPr>
                <w:color w:val="000000"/>
                <w:sz w:val="18"/>
                <w:szCs w:val="18"/>
              </w:rPr>
              <w:t>(675</w:t>
            </w:r>
          </w:p>
        </w:tc>
        <w:tc>
          <w:tcPr>
            <w:tcW w:w="50" w:type="pct"/>
            <w:shd w:val="clear" w:color="auto" w:fill="FFFFFF"/>
            <w:noWrap/>
            <w:tcMar>
              <w:top w:w="15" w:type="dxa"/>
              <w:left w:w="0" w:type="dxa"/>
              <w:bottom w:w="0" w:type="dxa"/>
              <w:right w:w="15" w:type="dxa"/>
            </w:tcMar>
            <w:vAlign w:val="bottom"/>
            <w:hideMark/>
          </w:tcPr>
          <w:p w14:paraId="529D3D5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27DCA50" w14:textId="77777777">
        <w:trPr>
          <w:divId w:val="1257443040"/>
        </w:trPr>
        <w:tc>
          <w:tcPr>
            <w:tcW w:w="1873" w:type="pct"/>
            <w:shd w:val="clear" w:color="auto" w:fill="CFF0FC"/>
            <w:tcMar>
              <w:top w:w="15" w:type="dxa"/>
              <w:left w:w="0" w:type="dxa"/>
              <w:bottom w:w="0" w:type="dxa"/>
              <w:right w:w="15" w:type="dxa"/>
            </w:tcMar>
            <w:hideMark/>
          </w:tcPr>
          <w:p w14:paraId="6772706B" w14:textId="77777777" w:rsidR="00000000" w:rsidRDefault="00582324">
            <w:pPr>
              <w:pStyle w:val="a3"/>
              <w:spacing w:before="0" w:beforeAutospacing="0" w:after="0" w:afterAutospacing="0"/>
              <w:ind w:left="274"/>
              <w:rPr>
                <w:color w:val="000000"/>
                <w:sz w:val="18"/>
                <w:szCs w:val="18"/>
              </w:rPr>
            </w:pPr>
            <w:r>
              <w:rPr>
                <w:color w:val="000000"/>
                <w:sz w:val="18"/>
                <w:szCs w:val="18"/>
              </w:rPr>
              <w:t>Acquisition costs</w:t>
            </w:r>
          </w:p>
        </w:tc>
        <w:tc>
          <w:tcPr>
            <w:tcW w:w="75" w:type="pct"/>
            <w:shd w:val="clear" w:color="auto" w:fill="CFF0FC"/>
            <w:tcMar>
              <w:top w:w="15" w:type="dxa"/>
              <w:left w:w="0" w:type="dxa"/>
              <w:bottom w:w="0" w:type="dxa"/>
              <w:right w:w="15" w:type="dxa"/>
            </w:tcMar>
            <w:vAlign w:val="bottom"/>
            <w:hideMark/>
          </w:tcPr>
          <w:p w14:paraId="2C4FB6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92B63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0894EDA" w14:textId="77777777" w:rsidR="00000000" w:rsidRDefault="00582324">
            <w:pPr>
              <w:pStyle w:val="a3"/>
              <w:spacing w:before="0" w:beforeAutospacing="0" w:after="0" w:afterAutospacing="0"/>
              <w:jc w:val="right"/>
              <w:rPr>
                <w:color w:val="000000"/>
                <w:sz w:val="18"/>
                <w:szCs w:val="18"/>
              </w:rPr>
            </w:pPr>
            <w:r>
              <w:rPr>
                <w:color w:val="000000"/>
                <w:sz w:val="18"/>
                <w:szCs w:val="18"/>
              </w:rPr>
              <w:t>(506</w:t>
            </w:r>
          </w:p>
        </w:tc>
        <w:tc>
          <w:tcPr>
            <w:tcW w:w="50" w:type="pct"/>
            <w:shd w:val="clear" w:color="auto" w:fill="CFF0FC"/>
            <w:noWrap/>
            <w:tcMar>
              <w:top w:w="15" w:type="dxa"/>
              <w:left w:w="0" w:type="dxa"/>
              <w:bottom w:w="0" w:type="dxa"/>
              <w:right w:w="15" w:type="dxa"/>
            </w:tcMar>
            <w:vAlign w:val="bottom"/>
            <w:hideMark/>
          </w:tcPr>
          <w:p w14:paraId="0EA2EB4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1B297D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CEEE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1A9586C7" w14:textId="77777777" w:rsidR="00000000" w:rsidRDefault="00582324">
            <w:pPr>
              <w:pStyle w:val="a3"/>
              <w:spacing w:before="0" w:beforeAutospacing="0" w:after="0" w:afterAutospacing="0"/>
              <w:jc w:val="right"/>
              <w:rPr>
                <w:color w:val="000000"/>
                <w:sz w:val="18"/>
                <w:szCs w:val="18"/>
              </w:rPr>
            </w:pPr>
            <w:r>
              <w:rPr>
                <w:color w:val="000000"/>
                <w:sz w:val="18"/>
                <w:szCs w:val="18"/>
              </w:rPr>
              <w:t>(2,454</w:t>
            </w:r>
          </w:p>
        </w:tc>
        <w:tc>
          <w:tcPr>
            <w:tcW w:w="50" w:type="pct"/>
            <w:shd w:val="clear" w:color="auto" w:fill="CFF0FC"/>
            <w:noWrap/>
            <w:tcMar>
              <w:top w:w="15" w:type="dxa"/>
              <w:left w:w="0" w:type="dxa"/>
              <w:bottom w:w="0" w:type="dxa"/>
              <w:right w:w="15" w:type="dxa"/>
            </w:tcMar>
            <w:vAlign w:val="bottom"/>
            <w:hideMark/>
          </w:tcPr>
          <w:p w14:paraId="75604F1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0AC80F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F59D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4B06054" w14:textId="77777777" w:rsidR="00000000" w:rsidRDefault="00582324">
            <w:pPr>
              <w:pStyle w:val="a3"/>
              <w:spacing w:before="0" w:beforeAutospacing="0" w:after="0" w:afterAutospacing="0"/>
              <w:jc w:val="right"/>
              <w:rPr>
                <w:color w:val="000000"/>
                <w:sz w:val="18"/>
                <w:szCs w:val="18"/>
              </w:rPr>
            </w:pPr>
            <w:r>
              <w:rPr>
                <w:color w:val="000000"/>
                <w:sz w:val="18"/>
                <w:szCs w:val="18"/>
              </w:rPr>
              <w:t>(743</w:t>
            </w:r>
          </w:p>
        </w:tc>
        <w:tc>
          <w:tcPr>
            <w:tcW w:w="50" w:type="pct"/>
            <w:shd w:val="clear" w:color="auto" w:fill="CFF0FC"/>
            <w:noWrap/>
            <w:tcMar>
              <w:top w:w="15" w:type="dxa"/>
              <w:left w:w="0" w:type="dxa"/>
              <w:bottom w:w="0" w:type="dxa"/>
              <w:right w:w="15" w:type="dxa"/>
            </w:tcMar>
            <w:vAlign w:val="bottom"/>
            <w:hideMark/>
          </w:tcPr>
          <w:p w14:paraId="5D6C511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1F7043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0D7F6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80E0767" w14:textId="77777777" w:rsidR="00000000" w:rsidRDefault="00582324">
            <w:pPr>
              <w:pStyle w:val="a3"/>
              <w:spacing w:before="0" w:beforeAutospacing="0" w:after="0" w:afterAutospacing="0"/>
              <w:jc w:val="right"/>
              <w:rPr>
                <w:color w:val="000000"/>
                <w:sz w:val="18"/>
                <w:szCs w:val="18"/>
              </w:rPr>
            </w:pPr>
            <w:r>
              <w:rPr>
                <w:color w:val="000000"/>
                <w:sz w:val="18"/>
                <w:szCs w:val="18"/>
              </w:rPr>
              <w:t>(3,761</w:t>
            </w:r>
          </w:p>
        </w:tc>
        <w:tc>
          <w:tcPr>
            <w:tcW w:w="50" w:type="pct"/>
            <w:shd w:val="clear" w:color="auto" w:fill="CFF0FC"/>
            <w:noWrap/>
            <w:tcMar>
              <w:top w:w="15" w:type="dxa"/>
              <w:left w:w="0" w:type="dxa"/>
              <w:bottom w:w="0" w:type="dxa"/>
              <w:right w:w="15" w:type="dxa"/>
            </w:tcMar>
            <w:vAlign w:val="bottom"/>
            <w:hideMark/>
          </w:tcPr>
          <w:p w14:paraId="7D3EEFA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56BA8D19" w14:textId="77777777">
        <w:trPr>
          <w:divId w:val="1257443040"/>
        </w:trPr>
        <w:tc>
          <w:tcPr>
            <w:tcW w:w="1873" w:type="pct"/>
            <w:shd w:val="clear" w:color="auto" w:fill="FFFFFF"/>
            <w:tcMar>
              <w:top w:w="15" w:type="dxa"/>
              <w:left w:w="0" w:type="dxa"/>
              <w:bottom w:w="0" w:type="dxa"/>
              <w:right w:w="15" w:type="dxa"/>
            </w:tcMar>
            <w:hideMark/>
          </w:tcPr>
          <w:p w14:paraId="5EC752AD" w14:textId="77777777" w:rsidR="00000000" w:rsidRDefault="00582324">
            <w:pPr>
              <w:pStyle w:val="a3"/>
              <w:spacing w:before="0" w:beforeAutospacing="0" w:after="0" w:afterAutospacing="0"/>
              <w:ind w:left="274"/>
              <w:rPr>
                <w:color w:val="000000"/>
                <w:sz w:val="18"/>
                <w:szCs w:val="18"/>
              </w:rPr>
            </w:pPr>
            <w:r>
              <w:rPr>
                <w:color w:val="000000"/>
                <w:sz w:val="18"/>
                <w:szCs w:val="18"/>
              </w:rPr>
              <w:t>Fair value changes in financial instruments</w:t>
            </w:r>
          </w:p>
        </w:tc>
        <w:tc>
          <w:tcPr>
            <w:tcW w:w="75" w:type="pct"/>
            <w:shd w:val="clear" w:color="auto" w:fill="FFFFFF"/>
            <w:tcMar>
              <w:top w:w="15" w:type="dxa"/>
              <w:left w:w="0" w:type="dxa"/>
              <w:bottom w:w="0" w:type="dxa"/>
              <w:right w:w="15" w:type="dxa"/>
            </w:tcMar>
            <w:vAlign w:val="bottom"/>
            <w:hideMark/>
          </w:tcPr>
          <w:p w14:paraId="1FBB9B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3CEF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6BBCFFC0" w14:textId="77777777" w:rsidR="00000000" w:rsidRDefault="00582324">
            <w:pPr>
              <w:pStyle w:val="a3"/>
              <w:spacing w:before="0" w:beforeAutospacing="0" w:after="0" w:afterAutospacing="0"/>
              <w:jc w:val="right"/>
              <w:rPr>
                <w:color w:val="000000"/>
                <w:sz w:val="18"/>
                <w:szCs w:val="18"/>
              </w:rPr>
            </w:pPr>
            <w:r>
              <w:rPr>
                <w:color w:val="000000"/>
                <w:sz w:val="18"/>
                <w:szCs w:val="18"/>
              </w:rPr>
              <w:t>(518</w:t>
            </w:r>
          </w:p>
        </w:tc>
        <w:tc>
          <w:tcPr>
            <w:tcW w:w="50" w:type="pct"/>
            <w:shd w:val="clear" w:color="auto" w:fill="FFFFFF"/>
            <w:noWrap/>
            <w:tcMar>
              <w:top w:w="15" w:type="dxa"/>
              <w:left w:w="0" w:type="dxa"/>
              <w:bottom w:w="0" w:type="dxa"/>
              <w:right w:w="15" w:type="dxa"/>
            </w:tcMar>
            <w:vAlign w:val="bottom"/>
            <w:hideMark/>
          </w:tcPr>
          <w:p w14:paraId="4CAC6B8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0DA4E5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1808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70EF926" w14:textId="77777777" w:rsidR="00000000" w:rsidRDefault="00582324">
            <w:pPr>
              <w:pStyle w:val="a3"/>
              <w:spacing w:before="0" w:beforeAutospacing="0" w:after="0" w:afterAutospacing="0"/>
              <w:jc w:val="right"/>
              <w:rPr>
                <w:color w:val="000000"/>
                <w:sz w:val="18"/>
                <w:szCs w:val="18"/>
              </w:rPr>
            </w:pPr>
            <w:r>
              <w:rPr>
                <w:color w:val="000000"/>
                <w:sz w:val="18"/>
                <w:szCs w:val="18"/>
              </w:rPr>
              <w:t>21,842</w:t>
            </w:r>
          </w:p>
        </w:tc>
        <w:tc>
          <w:tcPr>
            <w:tcW w:w="50" w:type="pct"/>
            <w:shd w:val="clear" w:color="auto" w:fill="FFFFFF"/>
            <w:noWrap/>
            <w:tcMar>
              <w:top w:w="15" w:type="dxa"/>
              <w:left w:w="0" w:type="dxa"/>
              <w:bottom w:w="0" w:type="dxa"/>
              <w:right w:w="15" w:type="dxa"/>
            </w:tcMar>
            <w:vAlign w:val="bottom"/>
            <w:hideMark/>
          </w:tcPr>
          <w:p w14:paraId="747914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641A0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DB50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9A4ACD5" w14:textId="77777777" w:rsidR="00000000" w:rsidRDefault="00582324">
            <w:pPr>
              <w:pStyle w:val="a3"/>
              <w:spacing w:before="0" w:beforeAutospacing="0" w:after="0" w:afterAutospacing="0"/>
              <w:jc w:val="right"/>
              <w:rPr>
                <w:color w:val="000000"/>
                <w:sz w:val="18"/>
                <w:szCs w:val="18"/>
              </w:rPr>
            </w:pPr>
            <w:r>
              <w:rPr>
                <w:color w:val="000000"/>
                <w:sz w:val="18"/>
                <w:szCs w:val="18"/>
              </w:rPr>
              <w:t>(1,120</w:t>
            </w:r>
          </w:p>
        </w:tc>
        <w:tc>
          <w:tcPr>
            <w:tcW w:w="50" w:type="pct"/>
            <w:shd w:val="clear" w:color="auto" w:fill="FFFFFF"/>
            <w:noWrap/>
            <w:tcMar>
              <w:top w:w="15" w:type="dxa"/>
              <w:left w:w="0" w:type="dxa"/>
              <w:bottom w:w="0" w:type="dxa"/>
              <w:right w:w="15" w:type="dxa"/>
            </w:tcMar>
            <w:vAlign w:val="bottom"/>
            <w:hideMark/>
          </w:tcPr>
          <w:p w14:paraId="1D8741D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68F4D1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2868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104FC352" w14:textId="77777777" w:rsidR="00000000" w:rsidRDefault="00582324">
            <w:pPr>
              <w:pStyle w:val="a3"/>
              <w:spacing w:before="0" w:beforeAutospacing="0" w:after="0" w:afterAutospacing="0"/>
              <w:jc w:val="right"/>
              <w:rPr>
                <w:color w:val="000000"/>
                <w:sz w:val="18"/>
                <w:szCs w:val="18"/>
              </w:rPr>
            </w:pPr>
            <w:r>
              <w:rPr>
                <w:color w:val="000000"/>
                <w:sz w:val="18"/>
                <w:szCs w:val="18"/>
              </w:rPr>
              <w:t>(</w:t>
            </w:r>
            <w:r>
              <w:rPr>
                <w:color w:val="000000"/>
                <w:sz w:val="18"/>
                <w:szCs w:val="18"/>
              </w:rPr>
              <w:t>7,783</w:t>
            </w:r>
          </w:p>
        </w:tc>
        <w:tc>
          <w:tcPr>
            <w:tcW w:w="50" w:type="pct"/>
            <w:shd w:val="clear" w:color="auto" w:fill="FFFFFF"/>
            <w:noWrap/>
            <w:tcMar>
              <w:top w:w="15" w:type="dxa"/>
              <w:left w:w="0" w:type="dxa"/>
              <w:bottom w:w="0" w:type="dxa"/>
              <w:right w:w="15" w:type="dxa"/>
            </w:tcMar>
            <w:vAlign w:val="bottom"/>
            <w:hideMark/>
          </w:tcPr>
          <w:p w14:paraId="5F04D05E"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2FF7F303" w14:textId="77777777">
        <w:trPr>
          <w:divId w:val="1257443040"/>
        </w:trPr>
        <w:tc>
          <w:tcPr>
            <w:tcW w:w="1873" w:type="pct"/>
            <w:shd w:val="clear" w:color="auto" w:fill="CFF0FC"/>
            <w:tcMar>
              <w:top w:w="15" w:type="dxa"/>
              <w:left w:w="0" w:type="dxa"/>
              <w:bottom w:w="0" w:type="dxa"/>
              <w:right w:w="15" w:type="dxa"/>
            </w:tcMar>
            <w:hideMark/>
          </w:tcPr>
          <w:p w14:paraId="4DC3E7F3" w14:textId="77777777" w:rsidR="00000000" w:rsidRDefault="00582324">
            <w:pPr>
              <w:pStyle w:val="a3"/>
              <w:spacing w:before="0" w:beforeAutospacing="0" w:after="0" w:afterAutospacing="0"/>
              <w:ind w:left="274"/>
              <w:rPr>
                <w:color w:val="000000"/>
                <w:sz w:val="18"/>
                <w:szCs w:val="18"/>
              </w:rPr>
            </w:pPr>
            <w:r>
              <w:rPr>
                <w:color w:val="000000"/>
                <w:sz w:val="18"/>
                <w:szCs w:val="18"/>
              </w:rPr>
              <w:t>Fair value changes in business acquisitions contingent consideration</w:t>
            </w:r>
          </w:p>
        </w:tc>
        <w:tc>
          <w:tcPr>
            <w:tcW w:w="75" w:type="pct"/>
            <w:shd w:val="clear" w:color="auto" w:fill="CFF0FC"/>
            <w:tcMar>
              <w:top w:w="15" w:type="dxa"/>
              <w:left w:w="0" w:type="dxa"/>
              <w:bottom w:w="0" w:type="dxa"/>
              <w:right w:w="15" w:type="dxa"/>
            </w:tcMar>
            <w:vAlign w:val="bottom"/>
            <w:hideMark/>
          </w:tcPr>
          <w:p w14:paraId="6FA636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68137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3628D0E6" w14:textId="77777777" w:rsidR="00000000" w:rsidRDefault="00582324">
            <w:pPr>
              <w:pStyle w:val="a3"/>
              <w:spacing w:before="0" w:beforeAutospacing="0" w:after="0" w:afterAutospacing="0"/>
              <w:jc w:val="right"/>
              <w:rPr>
                <w:color w:val="000000"/>
                <w:sz w:val="18"/>
                <w:szCs w:val="18"/>
              </w:rPr>
            </w:pPr>
            <w:r>
              <w:rPr>
                <w:color w:val="000000"/>
                <w:sz w:val="18"/>
                <w:szCs w:val="18"/>
              </w:rPr>
              <w:t>(12,971</w:t>
            </w:r>
          </w:p>
        </w:tc>
        <w:tc>
          <w:tcPr>
            <w:tcW w:w="50" w:type="pct"/>
            <w:shd w:val="clear" w:color="auto" w:fill="CFF0FC"/>
            <w:noWrap/>
            <w:tcMar>
              <w:top w:w="15" w:type="dxa"/>
              <w:left w:w="0" w:type="dxa"/>
              <w:bottom w:w="0" w:type="dxa"/>
              <w:right w:w="15" w:type="dxa"/>
            </w:tcMar>
            <w:vAlign w:val="bottom"/>
            <w:hideMark/>
          </w:tcPr>
          <w:p w14:paraId="56E2DAB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57EDDC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3F45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2569A887"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bottom"/>
            <w:hideMark/>
          </w:tcPr>
          <w:p w14:paraId="6173155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170588D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5F4D5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4527B789" w14:textId="77777777" w:rsidR="00000000" w:rsidRDefault="00582324">
            <w:pPr>
              <w:pStyle w:val="a3"/>
              <w:spacing w:before="0" w:beforeAutospacing="0" w:after="0" w:afterAutospacing="0"/>
              <w:jc w:val="right"/>
              <w:rPr>
                <w:color w:val="000000"/>
                <w:sz w:val="18"/>
                <w:szCs w:val="18"/>
              </w:rPr>
            </w:pPr>
            <w:r>
              <w:rPr>
                <w:color w:val="000000"/>
                <w:sz w:val="18"/>
                <w:szCs w:val="18"/>
              </w:rPr>
              <w:t>(24,035</w:t>
            </w:r>
          </w:p>
        </w:tc>
        <w:tc>
          <w:tcPr>
            <w:tcW w:w="50" w:type="pct"/>
            <w:shd w:val="clear" w:color="auto" w:fill="CFF0FC"/>
            <w:noWrap/>
            <w:tcMar>
              <w:top w:w="15" w:type="dxa"/>
              <w:left w:w="0" w:type="dxa"/>
              <w:bottom w:w="0" w:type="dxa"/>
              <w:right w:w="15" w:type="dxa"/>
            </w:tcMar>
            <w:vAlign w:val="bottom"/>
            <w:hideMark/>
          </w:tcPr>
          <w:p w14:paraId="1FB8D8F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116744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C2AA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41C10B6"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bottom"/>
            <w:hideMark/>
          </w:tcPr>
          <w:p w14:paraId="23B9F4FA"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04BEC9B4" w14:textId="77777777">
        <w:trPr>
          <w:divId w:val="1257443040"/>
        </w:trPr>
        <w:tc>
          <w:tcPr>
            <w:tcW w:w="1873" w:type="pct"/>
            <w:shd w:val="clear" w:color="auto" w:fill="FFFFFF"/>
            <w:tcMar>
              <w:top w:w="15" w:type="dxa"/>
              <w:left w:w="0" w:type="dxa"/>
              <w:bottom w:w="0" w:type="dxa"/>
              <w:right w:w="15" w:type="dxa"/>
            </w:tcMar>
            <w:hideMark/>
          </w:tcPr>
          <w:p w14:paraId="56328BE9" w14:textId="77777777" w:rsidR="00000000" w:rsidRDefault="00582324">
            <w:pPr>
              <w:pStyle w:val="a3"/>
              <w:spacing w:before="0" w:beforeAutospacing="0" w:after="0" w:afterAutospacing="0"/>
              <w:ind w:left="274"/>
              <w:rPr>
                <w:color w:val="000000"/>
                <w:sz w:val="18"/>
                <w:szCs w:val="18"/>
              </w:rPr>
            </w:pPr>
            <w:r>
              <w:rPr>
                <w:color w:val="000000"/>
                <w:sz w:val="18"/>
                <w:szCs w:val="18"/>
              </w:rPr>
              <w:t>Short term purchase accounting fair value adjustment</w:t>
            </w:r>
          </w:p>
          <w:p w14:paraId="6C2E50F8" w14:textId="77777777" w:rsidR="00000000" w:rsidRDefault="00582324">
            <w:pPr>
              <w:pStyle w:val="a3"/>
              <w:spacing w:before="0" w:beforeAutospacing="0" w:after="0" w:afterAutospacing="0"/>
              <w:ind w:left="274"/>
              <w:rPr>
                <w:color w:val="000000"/>
                <w:sz w:val="18"/>
                <w:szCs w:val="18"/>
              </w:rPr>
            </w:pPr>
            <w:r>
              <w:rPr>
                <w:color w:val="000000"/>
                <w:sz w:val="18"/>
                <w:szCs w:val="18"/>
              </w:rPr>
              <w:t>   to deferred revenue</w:t>
            </w:r>
          </w:p>
        </w:tc>
        <w:tc>
          <w:tcPr>
            <w:tcW w:w="75" w:type="pct"/>
            <w:shd w:val="clear" w:color="auto" w:fill="FFFFFF"/>
            <w:tcMar>
              <w:top w:w="15" w:type="dxa"/>
              <w:left w:w="0" w:type="dxa"/>
              <w:bottom w:w="0" w:type="dxa"/>
              <w:right w:w="15" w:type="dxa"/>
            </w:tcMar>
            <w:vAlign w:val="bottom"/>
            <w:hideMark/>
          </w:tcPr>
          <w:p w14:paraId="47E526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0089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8AF9143"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2648D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46872A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7129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7261168C"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1AAE9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64C607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22ED4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02F5383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47AB9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432A3D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9314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137DEA52" w14:textId="77777777" w:rsidR="00000000" w:rsidRDefault="00582324">
            <w:pPr>
              <w:pStyle w:val="a3"/>
              <w:spacing w:before="0" w:beforeAutospacing="0" w:after="0" w:afterAutospacing="0"/>
              <w:jc w:val="right"/>
              <w:rPr>
                <w:color w:val="000000"/>
                <w:sz w:val="18"/>
                <w:szCs w:val="18"/>
              </w:rPr>
            </w:pPr>
            <w:r>
              <w:rPr>
                <w:color w:val="000000"/>
                <w:sz w:val="18"/>
                <w:szCs w:val="18"/>
              </w:rPr>
              <w:t>(243</w:t>
            </w:r>
          </w:p>
        </w:tc>
        <w:tc>
          <w:tcPr>
            <w:tcW w:w="50" w:type="pct"/>
            <w:shd w:val="clear" w:color="auto" w:fill="FFFFFF"/>
            <w:noWrap/>
            <w:tcMar>
              <w:top w:w="15" w:type="dxa"/>
              <w:left w:w="0" w:type="dxa"/>
              <w:bottom w:w="0" w:type="dxa"/>
              <w:right w:w="15" w:type="dxa"/>
            </w:tcMar>
            <w:vAlign w:val="bottom"/>
            <w:hideMark/>
          </w:tcPr>
          <w:p w14:paraId="60930F4C"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9692571" w14:textId="77777777">
        <w:trPr>
          <w:divId w:val="1257443040"/>
        </w:trPr>
        <w:tc>
          <w:tcPr>
            <w:tcW w:w="1873" w:type="pct"/>
            <w:shd w:val="clear" w:color="auto" w:fill="CFF0FC"/>
            <w:tcMar>
              <w:top w:w="15" w:type="dxa"/>
              <w:left w:w="0" w:type="dxa"/>
              <w:bottom w:w="0" w:type="dxa"/>
              <w:right w:w="15" w:type="dxa"/>
            </w:tcMar>
            <w:hideMark/>
          </w:tcPr>
          <w:p w14:paraId="264CB1DE" w14:textId="77777777" w:rsidR="00000000" w:rsidRDefault="00582324">
            <w:pPr>
              <w:pStyle w:val="a3"/>
              <w:spacing w:before="0" w:beforeAutospacing="0" w:after="0" w:afterAutospacing="0"/>
              <w:ind w:left="274"/>
              <w:rPr>
                <w:color w:val="000000"/>
                <w:sz w:val="18"/>
                <w:szCs w:val="18"/>
              </w:rPr>
            </w:pPr>
            <w:r>
              <w:rPr>
                <w:color w:val="000000"/>
                <w:sz w:val="18"/>
                <w:szCs w:val="18"/>
              </w:rPr>
              <w:t>Initial public offering expense</w:t>
            </w:r>
          </w:p>
        </w:tc>
        <w:tc>
          <w:tcPr>
            <w:tcW w:w="75" w:type="pct"/>
            <w:shd w:val="clear" w:color="auto" w:fill="CFF0FC"/>
            <w:tcMar>
              <w:top w:w="15" w:type="dxa"/>
              <w:left w:w="0" w:type="dxa"/>
              <w:bottom w:w="0" w:type="dxa"/>
              <w:right w:w="15" w:type="dxa"/>
            </w:tcMar>
            <w:vAlign w:val="bottom"/>
            <w:hideMark/>
          </w:tcPr>
          <w:p w14:paraId="675063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FF1A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029C24F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B41D6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67DFA7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2ADD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2990BEEA"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0F8ED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58BB2C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FA03F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61A45EB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9D263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173687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EA16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2C70608A" w14:textId="77777777" w:rsidR="00000000" w:rsidRDefault="00582324">
            <w:pPr>
              <w:pStyle w:val="a3"/>
              <w:spacing w:before="0" w:beforeAutospacing="0" w:after="0" w:afterAutospacing="0"/>
              <w:jc w:val="right"/>
              <w:rPr>
                <w:color w:val="000000"/>
                <w:sz w:val="18"/>
                <w:szCs w:val="18"/>
              </w:rPr>
            </w:pPr>
            <w:r>
              <w:rPr>
                <w:color w:val="000000"/>
                <w:sz w:val="18"/>
                <w:szCs w:val="18"/>
              </w:rPr>
              <w:t>(531</w:t>
            </w:r>
          </w:p>
        </w:tc>
        <w:tc>
          <w:tcPr>
            <w:tcW w:w="50" w:type="pct"/>
            <w:shd w:val="clear" w:color="auto" w:fill="CFF0FC"/>
            <w:noWrap/>
            <w:tcMar>
              <w:top w:w="15" w:type="dxa"/>
              <w:left w:w="0" w:type="dxa"/>
              <w:bottom w:w="0" w:type="dxa"/>
              <w:right w:w="15" w:type="dxa"/>
            </w:tcMar>
            <w:vAlign w:val="bottom"/>
            <w:hideMark/>
          </w:tcPr>
          <w:p w14:paraId="6E3459E2"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C193497" w14:textId="77777777">
        <w:trPr>
          <w:divId w:val="1257443040"/>
        </w:trPr>
        <w:tc>
          <w:tcPr>
            <w:tcW w:w="1873" w:type="pct"/>
            <w:shd w:val="clear" w:color="auto" w:fill="FFFFFF"/>
            <w:tcMar>
              <w:top w:w="15" w:type="dxa"/>
              <w:left w:w="0" w:type="dxa"/>
              <w:bottom w:w="0" w:type="dxa"/>
              <w:right w:w="15" w:type="dxa"/>
            </w:tcMar>
            <w:hideMark/>
          </w:tcPr>
          <w:p w14:paraId="01CE4116" w14:textId="77777777" w:rsidR="00000000" w:rsidRDefault="00582324">
            <w:pPr>
              <w:pStyle w:val="a3"/>
              <w:spacing w:before="0" w:beforeAutospacing="0" w:after="0" w:afterAutospacing="0"/>
              <w:ind w:left="274"/>
              <w:rPr>
                <w:color w:val="000000"/>
                <w:sz w:val="18"/>
                <w:szCs w:val="18"/>
              </w:rPr>
            </w:pPr>
            <w:r>
              <w:rPr>
                <w:color w:val="000000"/>
                <w:sz w:val="18"/>
                <w:szCs w:val="18"/>
              </w:rPr>
              <w:t>Discontinued services</w:t>
            </w:r>
            <w:r>
              <w:rPr>
                <w:color w:val="000000"/>
                <w:sz w:val="15"/>
                <w:szCs w:val="15"/>
                <w:vertAlign w:val="superscript"/>
              </w:rPr>
              <w:t xml:space="preserve"> (i)</w:t>
            </w:r>
          </w:p>
        </w:tc>
        <w:tc>
          <w:tcPr>
            <w:tcW w:w="75" w:type="pct"/>
            <w:shd w:val="clear" w:color="auto" w:fill="FFFFFF"/>
            <w:tcMar>
              <w:top w:w="15" w:type="dxa"/>
              <w:left w:w="0" w:type="dxa"/>
              <w:bottom w:w="0" w:type="dxa"/>
              <w:right w:w="15" w:type="dxa"/>
            </w:tcMar>
            <w:vAlign w:val="bottom"/>
            <w:hideMark/>
          </w:tcPr>
          <w:p w14:paraId="60A3A5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010A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1FF8A78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13F89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1D8D1C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7968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1B3E639" w14:textId="77777777" w:rsidR="00000000" w:rsidRDefault="00582324">
            <w:pPr>
              <w:pStyle w:val="a3"/>
              <w:spacing w:before="0" w:beforeAutospacing="0" w:after="0" w:afterAutospacing="0"/>
              <w:jc w:val="right"/>
              <w:rPr>
                <w:color w:val="000000"/>
                <w:sz w:val="18"/>
                <w:szCs w:val="18"/>
              </w:rPr>
            </w:pPr>
            <w:r>
              <w:rPr>
                <w:color w:val="000000"/>
                <w:sz w:val="18"/>
                <w:szCs w:val="18"/>
              </w:rPr>
              <w:t>(1,078</w:t>
            </w:r>
          </w:p>
        </w:tc>
        <w:tc>
          <w:tcPr>
            <w:tcW w:w="50" w:type="pct"/>
            <w:shd w:val="clear" w:color="auto" w:fill="FFFFFF"/>
            <w:noWrap/>
            <w:tcMar>
              <w:top w:w="15" w:type="dxa"/>
              <w:left w:w="0" w:type="dxa"/>
              <w:bottom w:w="0" w:type="dxa"/>
              <w:right w:w="15" w:type="dxa"/>
            </w:tcMar>
            <w:vAlign w:val="bottom"/>
            <w:hideMark/>
          </w:tcPr>
          <w:p w14:paraId="7D940CD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33BDA9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0E88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5E972F60"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9015B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741C5C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F27C5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FFFFFF"/>
            <w:noWrap/>
            <w:tcMar>
              <w:top w:w="15" w:type="dxa"/>
              <w:left w:w="0" w:type="dxa"/>
              <w:bottom w:w="0" w:type="dxa"/>
              <w:right w:w="15" w:type="dxa"/>
            </w:tcMar>
            <w:vAlign w:val="bottom"/>
            <w:hideMark/>
          </w:tcPr>
          <w:p w14:paraId="33D0A1E2" w14:textId="77777777" w:rsidR="00000000" w:rsidRDefault="00582324">
            <w:pPr>
              <w:pStyle w:val="a3"/>
              <w:spacing w:before="0" w:beforeAutospacing="0" w:after="0" w:afterAutospacing="0"/>
              <w:jc w:val="right"/>
              <w:rPr>
                <w:color w:val="000000"/>
                <w:sz w:val="18"/>
                <w:szCs w:val="18"/>
              </w:rPr>
            </w:pPr>
            <w:r>
              <w:rPr>
                <w:color w:val="000000"/>
                <w:sz w:val="18"/>
                <w:szCs w:val="18"/>
              </w:rPr>
              <w:t>(7,496</w:t>
            </w:r>
          </w:p>
        </w:tc>
        <w:tc>
          <w:tcPr>
            <w:tcW w:w="50" w:type="pct"/>
            <w:shd w:val="clear" w:color="auto" w:fill="FFFFFF"/>
            <w:noWrap/>
            <w:tcMar>
              <w:top w:w="15" w:type="dxa"/>
              <w:left w:w="0" w:type="dxa"/>
              <w:bottom w:w="0" w:type="dxa"/>
              <w:right w:w="15" w:type="dxa"/>
            </w:tcMar>
            <w:vAlign w:val="bottom"/>
            <w:hideMark/>
          </w:tcPr>
          <w:p w14:paraId="65DF219B"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4929F70" w14:textId="77777777">
        <w:trPr>
          <w:divId w:val="1257443040"/>
        </w:trPr>
        <w:tc>
          <w:tcPr>
            <w:tcW w:w="1873" w:type="pct"/>
            <w:shd w:val="clear" w:color="auto" w:fill="CFF0FC"/>
            <w:tcMar>
              <w:top w:w="15" w:type="dxa"/>
              <w:left w:w="0" w:type="dxa"/>
              <w:bottom w:w="0" w:type="dxa"/>
              <w:right w:w="15" w:type="dxa"/>
            </w:tcMar>
            <w:hideMark/>
          </w:tcPr>
          <w:p w14:paraId="2E03534F" w14:textId="77777777" w:rsidR="00000000" w:rsidRDefault="00582324">
            <w:pPr>
              <w:pStyle w:val="a3"/>
              <w:spacing w:before="0" w:beforeAutospacing="0" w:after="0" w:afterAutospacing="0"/>
              <w:ind w:left="274"/>
              <w:rPr>
                <w:color w:val="000000"/>
                <w:sz w:val="18"/>
                <w:szCs w:val="18"/>
              </w:rPr>
            </w:pPr>
            <w:r>
              <w:rPr>
                <w:color w:val="000000"/>
                <w:sz w:val="18"/>
                <w:szCs w:val="18"/>
              </w:rPr>
              <w:t>Expenses related to financing transactions</w:t>
            </w:r>
          </w:p>
        </w:tc>
        <w:tc>
          <w:tcPr>
            <w:tcW w:w="75" w:type="pct"/>
            <w:shd w:val="clear" w:color="auto" w:fill="CFF0FC"/>
            <w:tcMar>
              <w:top w:w="15" w:type="dxa"/>
              <w:left w:w="0" w:type="dxa"/>
              <w:bottom w:w="0" w:type="dxa"/>
              <w:right w:w="15" w:type="dxa"/>
            </w:tcMar>
            <w:vAlign w:val="bottom"/>
            <w:hideMark/>
          </w:tcPr>
          <w:p w14:paraId="509FB7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A6271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4D9F864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BEE5B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02499E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3FD0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7426F370" w14:textId="77777777" w:rsidR="00000000" w:rsidRDefault="00582324">
            <w:pPr>
              <w:pStyle w:val="a3"/>
              <w:spacing w:before="0" w:beforeAutospacing="0" w:after="0" w:afterAutospacing="0"/>
              <w:jc w:val="right"/>
              <w:rPr>
                <w:color w:val="000000"/>
                <w:sz w:val="18"/>
                <w:szCs w:val="18"/>
              </w:rPr>
            </w:pPr>
            <w:r>
              <w:rPr>
                <w:color w:val="000000"/>
                <w:sz w:val="18"/>
                <w:szCs w:val="18"/>
              </w:rPr>
              <w:t>(277</w:t>
            </w:r>
          </w:p>
        </w:tc>
        <w:tc>
          <w:tcPr>
            <w:tcW w:w="50" w:type="pct"/>
            <w:shd w:val="clear" w:color="auto" w:fill="CFF0FC"/>
            <w:noWrap/>
            <w:tcMar>
              <w:top w:w="15" w:type="dxa"/>
              <w:left w:w="0" w:type="dxa"/>
              <w:bottom w:w="0" w:type="dxa"/>
              <w:right w:w="15" w:type="dxa"/>
            </w:tcMar>
            <w:vAlign w:val="bottom"/>
            <w:hideMark/>
          </w:tcPr>
          <w:p w14:paraId="1555FBE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1EACF2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CDEA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559A04EA"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10BB646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000732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39D6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shd w:val="clear" w:color="auto" w:fill="CFF0FC"/>
            <w:noWrap/>
            <w:tcMar>
              <w:top w:w="15" w:type="dxa"/>
              <w:left w:w="0" w:type="dxa"/>
              <w:bottom w:w="0" w:type="dxa"/>
              <w:right w:w="15" w:type="dxa"/>
            </w:tcMar>
            <w:vAlign w:val="bottom"/>
            <w:hideMark/>
          </w:tcPr>
          <w:p w14:paraId="58D9CCD8" w14:textId="77777777" w:rsidR="00000000" w:rsidRDefault="00582324">
            <w:pPr>
              <w:pStyle w:val="a3"/>
              <w:spacing w:before="0" w:beforeAutospacing="0" w:after="0" w:afterAutospacing="0"/>
              <w:jc w:val="right"/>
              <w:rPr>
                <w:color w:val="000000"/>
                <w:sz w:val="18"/>
                <w:szCs w:val="18"/>
              </w:rPr>
            </w:pPr>
            <w:r>
              <w:rPr>
                <w:color w:val="000000"/>
                <w:sz w:val="18"/>
                <w:szCs w:val="18"/>
              </w:rPr>
              <w:t>(277</w:t>
            </w:r>
          </w:p>
        </w:tc>
        <w:tc>
          <w:tcPr>
            <w:tcW w:w="50" w:type="pct"/>
            <w:shd w:val="clear" w:color="auto" w:fill="CFF0FC"/>
            <w:noWrap/>
            <w:tcMar>
              <w:top w:w="15" w:type="dxa"/>
              <w:left w:w="0" w:type="dxa"/>
              <w:bottom w:w="0" w:type="dxa"/>
              <w:right w:w="15" w:type="dxa"/>
            </w:tcMar>
            <w:vAlign w:val="bottom"/>
            <w:hideMark/>
          </w:tcPr>
          <w:p w14:paraId="36945BCD"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0E627AC1" w14:textId="77777777">
        <w:trPr>
          <w:divId w:val="1257443040"/>
        </w:trPr>
        <w:tc>
          <w:tcPr>
            <w:tcW w:w="1873" w:type="pct"/>
            <w:shd w:val="clear" w:color="auto" w:fill="FFFFFF"/>
            <w:tcMar>
              <w:top w:w="15" w:type="dxa"/>
              <w:left w:w="0" w:type="dxa"/>
              <w:bottom w:w="0" w:type="dxa"/>
              <w:right w:w="15" w:type="dxa"/>
            </w:tcMar>
            <w:hideMark/>
          </w:tcPr>
          <w:p w14:paraId="37FB6EF8" w14:textId="77777777" w:rsidR="00000000" w:rsidRDefault="00582324">
            <w:pPr>
              <w:pStyle w:val="a3"/>
              <w:spacing w:before="0" w:beforeAutospacing="0" w:after="0" w:afterAutospacing="0"/>
              <w:ind w:left="274"/>
              <w:rPr>
                <w:color w:val="000000"/>
                <w:sz w:val="18"/>
                <w:szCs w:val="18"/>
              </w:rPr>
            </w:pPr>
            <w:r>
              <w:rPr>
                <w:color w:val="000000"/>
                <w:sz w:val="18"/>
                <w:szCs w:val="18"/>
              </w:rPr>
              <w:t>Other losses or expenses</w:t>
            </w:r>
          </w:p>
        </w:tc>
        <w:tc>
          <w:tcPr>
            <w:tcW w:w="75" w:type="pct"/>
            <w:shd w:val="clear" w:color="auto" w:fill="FFFFFF"/>
            <w:tcMar>
              <w:top w:w="15" w:type="dxa"/>
              <w:left w:w="0" w:type="dxa"/>
              <w:bottom w:w="0" w:type="dxa"/>
              <w:right w:w="15" w:type="dxa"/>
            </w:tcMar>
            <w:vAlign w:val="bottom"/>
            <w:hideMark/>
          </w:tcPr>
          <w:p w14:paraId="43DCED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8FEC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bottom w:val="single" w:sz="6" w:space="0" w:color="000000"/>
            </w:tcBorders>
            <w:shd w:val="clear" w:color="auto" w:fill="FFFFFF"/>
            <w:noWrap/>
            <w:tcMar>
              <w:top w:w="15" w:type="dxa"/>
              <w:left w:w="0" w:type="dxa"/>
              <w:bottom w:w="0" w:type="dxa"/>
              <w:right w:w="15" w:type="dxa"/>
            </w:tcMar>
            <w:vAlign w:val="bottom"/>
            <w:hideMark/>
          </w:tcPr>
          <w:p w14:paraId="658292AD" w14:textId="77777777" w:rsidR="00000000" w:rsidRDefault="00582324">
            <w:pPr>
              <w:pStyle w:val="a3"/>
              <w:spacing w:before="0" w:beforeAutospacing="0" w:after="0" w:afterAutospacing="0"/>
              <w:jc w:val="right"/>
              <w:rPr>
                <w:color w:val="000000"/>
                <w:sz w:val="18"/>
                <w:szCs w:val="18"/>
              </w:rPr>
            </w:pPr>
            <w:r>
              <w:rPr>
                <w:color w:val="000000"/>
                <w:sz w:val="18"/>
                <w:szCs w:val="18"/>
              </w:rPr>
              <w:t>(464</w:t>
            </w:r>
          </w:p>
        </w:tc>
        <w:tc>
          <w:tcPr>
            <w:tcW w:w="50" w:type="pct"/>
            <w:shd w:val="clear" w:color="auto" w:fill="FFFFFF"/>
            <w:noWrap/>
            <w:tcMar>
              <w:top w:w="15" w:type="dxa"/>
              <w:left w:w="0" w:type="dxa"/>
              <w:bottom w:w="0" w:type="dxa"/>
              <w:right w:w="15" w:type="dxa"/>
            </w:tcMar>
            <w:vAlign w:val="bottom"/>
            <w:hideMark/>
          </w:tcPr>
          <w:p w14:paraId="5D41D39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415FDC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9D78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bottom w:val="single" w:sz="6" w:space="0" w:color="000000"/>
            </w:tcBorders>
            <w:shd w:val="clear" w:color="auto" w:fill="FFFFFF"/>
            <w:noWrap/>
            <w:tcMar>
              <w:top w:w="15" w:type="dxa"/>
              <w:left w:w="0" w:type="dxa"/>
              <w:bottom w:w="0" w:type="dxa"/>
              <w:right w:w="15" w:type="dxa"/>
            </w:tcMar>
            <w:vAlign w:val="bottom"/>
            <w:hideMark/>
          </w:tcPr>
          <w:p w14:paraId="553006F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E874D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17BF99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68AF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bottom w:val="single" w:sz="6" w:space="0" w:color="000000"/>
            </w:tcBorders>
            <w:shd w:val="clear" w:color="auto" w:fill="FFFFFF"/>
            <w:noWrap/>
            <w:tcMar>
              <w:top w:w="15" w:type="dxa"/>
              <w:left w:w="0" w:type="dxa"/>
              <w:bottom w:w="0" w:type="dxa"/>
              <w:right w:w="15" w:type="dxa"/>
            </w:tcMar>
            <w:vAlign w:val="bottom"/>
            <w:hideMark/>
          </w:tcPr>
          <w:p w14:paraId="471FF3D8" w14:textId="77777777" w:rsidR="00000000" w:rsidRDefault="00582324">
            <w:pPr>
              <w:pStyle w:val="a3"/>
              <w:spacing w:before="0" w:beforeAutospacing="0" w:after="0" w:afterAutospacing="0"/>
              <w:jc w:val="right"/>
              <w:rPr>
                <w:color w:val="000000"/>
                <w:sz w:val="18"/>
                <w:szCs w:val="18"/>
              </w:rPr>
            </w:pPr>
            <w:r>
              <w:rPr>
                <w:color w:val="000000"/>
                <w:sz w:val="18"/>
                <w:szCs w:val="18"/>
              </w:rPr>
              <w:t>(675</w:t>
            </w:r>
          </w:p>
        </w:tc>
        <w:tc>
          <w:tcPr>
            <w:tcW w:w="50" w:type="pct"/>
            <w:shd w:val="clear" w:color="auto" w:fill="FFFFFF"/>
            <w:noWrap/>
            <w:tcMar>
              <w:top w:w="15" w:type="dxa"/>
              <w:left w:w="0" w:type="dxa"/>
              <w:bottom w:w="0" w:type="dxa"/>
              <w:right w:w="15" w:type="dxa"/>
            </w:tcMar>
            <w:vAlign w:val="bottom"/>
            <w:hideMark/>
          </w:tcPr>
          <w:p w14:paraId="2FDA853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FFFFFF"/>
            <w:tcMar>
              <w:top w:w="15" w:type="dxa"/>
              <w:left w:w="0" w:type="dxa"/>
              <w:bottom w:w="0" w:type="dxa"/>
              <w:right w:w="15" w:type="dxa"/>
            </w:tcMar>
            <w:vAlign w:val="bottom"/>
            <w:hideMark/>
          </w:tcPr>
          <w:p w14:paraId="6D35E1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0B82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bottom w:val="single" w:sz="6" w:space="0" w:color="000000"/>
            </w:tcBorders>
            <w:shd w:val="clear" w:color="auto" w:fill="FFFFFF"/>
            <w:noWrap/>
            <w:tcMar>
              <w:top w:w="15" w:type="dxa"/>
              <w:left w:w="0" w:type="dxa"/>
              <w:bottom w:w="0" w:type="dxa"/>
              <w:right w:w="15" w:type="dxa"/>
            </w:tcMar>
            <w:vAlign w:val="bottom"/>
            <w:hideMark/>
          </w:tcPr>
          <w:p w14:paraId="1F91302A" w14:textId="77777777" w:rsidR="00000000" w:rsidRDefault="00582324">
            <w:pPr>
              <w:pStyle w:val="a3"/>
              <w:spacing w:before="0" w:beforeAutospacing="0" w:after="0" w:afterAutospacing="0"/>
              <w:jc w:val="right"/>
              <w:rPr>
                <w:color w:val="000000"/>
                <w:sz w:val="18"/>
                <w:szCs w:val="18"/>
              </w:rPr>
            </w:pPr>
            <w:r>
              <w:rPr>
                <w:color w:val="000000"/>
                <w:sz w:val="18"/>
                <w:szCs w:val="18"/>
              </w:rPr>
              <w:t>(147</w:t>
            </w:r>
          </w:p>
        </w:tc>
        <w:tc>
          <w:tcPr>
            <w:tcW w:w="50" w:type="pct"/>
            <w:shd w:val="clear" w:color="auto" w:fill="FFFFFF"/>
            <w:noWrap/>
            <w:tcMar>
              <w:top w:w="15" w:type="dxa"/>
              <w:left w:w="0" w:type="dxa"/>
              <w:bottom w:w="0" w:type="dxa"/>
              <w:right w:w="15" w:type="dxa"/>
            </w:tcMar>
            <w:vAlign w:val="bottom"/>
            <w:hideMark/>
          </w:tcPr>
          <w:p w14:paraId="1FF17D59"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4A28C232" w14:textId="77777777">
        <w:trPr>
          <w:divId w:val="1257443040"/>
        </w:trPr>
        <w:tc>
          <w:tcPr>
            <w:tcW w:w="1873" w:type="pct"/>
            <w:shd w:val="clear" w:color="auto" w:fill="CFF0FC"/>
            <w:tcMar>
              <w:top w:w="15" w:type="dxa"/>
              <w:left w:w="0" w:type="dxa"/>
              <w:bottom w:w="0" w:type="dxa"/>
              <w:right w:w="15" w:type="dxa"/>
            </w:tcMar>
            <w:hideMark/>
          </w:tcPr>
          <w:p w14:paraId="730BF329" w14:textId="77777777" w:rsidR="00000000" w:rsidRDefault="00582324">
            <w:pPr>
              <w:pStyle w:val="a3"/>
              <w:spacing w:before="0" w:beforeAutospacing="0" w:after="0" w:afterAutospacing="0"/>
              <w:rPr>
                <w:color w:val="000000"/>
                <w:sz w:val="18"/>
                <w:szCs w:val="18"/>
              </w:rPr>
            </w:pPr>
            <w:r>
              <w:rPr>
                <w:color w:val="000000"/>
                <w:sz w:val="18"/>
                <w:szCs w:val="18"/>
              </w:rPr>
              <w:t>Net (loss) income</w:t>
            </w:r>
          </w:p>
        </w:tc>
        <w:tc>
          <w:tcPr>
            <w:tcW w:w="75" w:type="pct"/>
            <w:shd w:val="clear" w:color="auto" w:fill="CFF0FC"/>
            <w:tcMar>
              <w:top w:w="15" w:type="dxa"/>
              <w:left w:w="0" w:type="dxa"/>
              <w:bottom w:w="0" w:type="dxa"/>
              <w:right w:w="15" w:type="dxa"/>
            </w:tcMar>
            <w:vAlign w:val="bottom"/>
            <w:hideMark/>
          </w:tcPr>
          <w:p w14:paraId="2C7C5C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01673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E15FAD" w14:textId="77777777" w:rsidR="00000000" w:rsidRDefault="00582324">
            <w:pPr>
              <w:pStyle w:val="a3"/>
              <w:spacing w:before="0" w:beforeAutospacing="0" w:after="0" w:afterAutospacing="0"/>
              <w:jc w:val="right"/>
              <w:rPr>
                <w:color w:val="000000"/>
                <w:sz w:val="18"/>
                <w:szCs w:val="18"/>
              </w:rPr>
            </w:pPr>
            <w:r>
              <w:rPr>
                <w:color w:val="000000"/>
                <w:sz w:val="18"/>
                <w:szCs w:val="18"/>
              </w:rPr>
              <w:t>(14,483</w:t>
            </w:r>
          </w:p>
        </w:tc>
        <w:tc>
          <w:tcPr>
            <w:tcW w:w="50" w:type="pct"/>
            <w:shd w:val="clear" w:color="auto" w:fill="CFF0FC"/>
            <w:noWrap/>
            <w:tcMar>
              <w:top w:w="15" w:type="dxa"/>
              <w:left w:w="0" w:type="dxa"/>
              <w:bottom w:w="0" w:type="dxa"/>
              <w:right w:w="15" w:type="dxa"/>
            </w:tcMar>
            <w:vAlign w:val="bottom"/>
            <w:hideMark/>
          </w:tcPr>
          <w:p w14:paraId="7B20609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24274F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0FEA9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A80A15" w14:textId="77777777" w:rsidR="00000000" w:rsidRDefault="00582324">
            <w:pPr>
              <w:pStyle w:val="a3"/>
              <w:spacing w:before="0" w:beforeAutospacing="0" w:after="0" w:afterAutospacing="0"/>
              <w:jc w:val="right"/>
              <w:rPr>
                <w:color w:val="000000"/>
                <w:sz w:val="18"/>
                <w:szCs w:val="18"/>
              </w:rPr>
            </w:pPr>
            <w:r>
              <w:rPr>
                <w:color w:val="000000"/>
                <w:sz w:val="18"/>
                <w:szCs w:val="18"/>
              </w:rPr>
              <w:t>13,224</w:t>
            </w:r>
          </w:p>
        </w:tc>
        <w:tc>
          <w:tcPr>
            <w:tcW w:w="50" w:type="pct"/>
            <w:shd w:val="clear" w:color="auto" w:fill="CFF0FC"/>
            <w:noWrap/>
            <w:tcMar>
              <w:top w:w="15" w:type="dxa"/>
              <w:left w:w="0" w:type="dxa"/>
              <w:bottom w:w="0" w:type="dxa"/>
              <w:right w:w="15" w:type="dxa"/>
            </w:tcMar>
            <w:vAlign w:val="bottom"/>
            <w:hideMark/>
          </w:tcPr>
          <w:p w14:paraId="1D97B6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CFF0FC"/>
            <w:tcMar>
              <w:top w:w="15" w:type="dxa"/>
              <w:left w:w="0" w:type="dxa"/>
              <w:bottom w:w="0" w:type="dxa"/>
              <w:right w:w="15" w:type="dxa"/>
            </w:tcMar>
            <w:vAlign w:val="bottom"/>
            <w:hideMark/>
          </w:tcPr>
          <w:p w14:paraId="603966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16E9B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103B51" w14:textId="77777777" w:rsidR="00000000" w:rsidRDefault="00582324">
            <w:pPr>
              <w:pStyle w:val="a3"/>
              <w:spacing w:before="0" w:beforeAutospacing="0" w:after="0" w:afterAutospacing="0"/>
              <w:jc w:val="right"/>
              <w:rPr>
                <w:color w:val="000000"/>
                <w:sz w:val="18"/>
                <w:szCs w:val="18"/>
              </w:rPr>
            </w:pPr>
            <w:r>
              <w:rPr>
                <w:color w:val="000000"/>
                <w:sz w:val="18"/>
                <w:szCs w:val="18"/>
              </w:rPr>
              <w:t>(26,079</w:t>
            </w:r>
          </w:p>
        </w:tc>
        <w:tc>
          <w:tcPr>
            <w:tcW w:w="50" w:type="pct"/>
            <w:shd w:val="clear" w:color="auto" w:fill="CFF0FC"/>
            <w:noWrap/>
            <w:tcMar>
              <w:top w:w="15" w:type="dxa"/>
              <w:left w:w="0" w:type="dxa"/>
              <w:bottom w:w="0" w:type="dxa"/>
              <w:right w:w="15" w:type="dxa"/>
            </w:tcMar>
            <w:vAlign w:val="bottom"/>
            <w:hideMark/>
          </w:tcPr>
          <w:p w14:paraId="28C04A4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5" w:type="pct"/>
            <w:shd w:val="clear" w:color="auto" w:fill="CFF0FC"/>
            <w:tcMar>
              <w:top w:w="15" w:type="dxa"/>
              <w:left w:w="0" w:type="dxa"/>
              <w:bottom w:w="0" w:type="dxa"/>
              <w:right w:w="15" w:type="dxa"/>
            </w:tcMar>
            <w:vAlign w:val="bottom"/>
            <w:hideMark/>
          </w:tcPr>
          <w:p w14:paraId="73ED391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B3F7E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3A3CF3" w14:textId="77777777" w:rsidR="00000000" w:rsidRDefault="00582324">
            <w:pPr>
              <w:pStyle w:val="a3"/>
              <w:spacing w:before="0" w:beforeAutospacing="0" w:after="0" w:afterAutospacing="0"/>
              <w:jc w:val="right"/>
              <w:rPr>
                <w:color w:val="000000"/>
                <w:sz w:val="18"/>
                <w:szCs w:val="18"/>
              </w:rPr>
            </w:pPr>
            <w:r>
              <w:rPr>
                <w:color w:val="000000"/>
                <w:sz w:val="18"/>
                <w:szCs w:val="18"/>
              </w:rPr>
              <w:t>(28,024</w:t>
            </w:r>
          </w:p>
        </w:tc>
        <w:tc>
          <w:tcPr>
            <w:tcW w:w="50" w:type="pct"/>
            <w:shd w:val="clear" w:color="auto" w:fill="CFF0FC"/>
            <w:noWrap/>
            <w:tcMar>
              <w:top w:w="15" w:type="dxa"/>
              <w:left w:w="0" w:type="dxa"/>
              <w:bottom w:w="0" w:type="dxa"/>
              <w:right w:w="15" w:type="dxa"/>
            </w:tcMar>
            <w:vAlign w:val="bottom"/>
            <w:hideMark/>
          </w:tcPr>
          <w:p w14:paraId="1A40FCA3"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71750DF" w14:textId="77777777">
        <w:trPr>
          <w:divId w:val="1257443040"/>
        </w:trPr>
        <w:tc>
          <w:tcPr>
            <w:tcW w:w="1873" w:type="pct"/>
            <w:shd w:val="clear" w:color="auto" w:fill="FFFFFF"/>
            <w:tcMar>
              <w:top w:w="15" w:type="dxa"/>
              <w:left w:w="0" w:type="dxa"/>
              <w:bottom w:w="0" w:type="dxa"/>
              <w:right w:w="15" w:type="dxa"/>
            </w:tcMar>
            <w:vAlign w:val="bottom"/>
            <w:hideMark/>
          </w:tcPr>
          <w:p w14:paraId="18AECE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054287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453CD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top w:val="double" w:sz="6" w:space="0" w:color="000000"/>
            </w:tcBorders>
            <w:shd w:val="clear" w:color="auto" w:fill="FFFFFF"/>
            <w:noWrap/>
            <w:tcMar>
              <w:top w:w="15" w:type="dxa"/>
              <w:left w:w="0" w:type="dxa"/>
              <w:bottom w:w="0" w:type="dxa"/>
              <w:right w:w="15" w:type="dxa"/>
            </w:tcMar>
            <w:vAlign w:val="bottom"/>
            <w:hideMark/>
          </w:tcPr>
          <w:p w14:paraId="7DF5F5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C8D3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365421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4A6B3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top w:val="double" w:sz="6" w:space="0" w:color="000000"/>
            </w:tcBorders>
            <w:shd w:val="clear" w:color="auto" w:fill="FFFFFF"/>
            <w:noWrap/>
            <w:tcMar>
              <w:top w:w="15" w:type="dxa"/>
              <w:left w:w="0" w:type="dxa"/>
              <w:bottom w:w="0" w:type="dxa"/>
              <w:right w:w="15" w:type="dxa"/>
            </w:tcMar>
            <w:vAlign w:val="bottom"/>
            <w:hideMark/>
          </w:tcPr>
          <w:p w14:paraId="1A49C1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954B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6C87C2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F4008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top w:val="double" w:sz="6" w:space="0" w:color="000000"/>
            </w:tcBorders>
            <w:shd w:val="clear" w:color="auto" w:fill="FFFFFF"/>
            <w:noWrap/>
            <w:tcMar>
              <w:top w:w="15" w:type="dxa"/>
              <w:left w:w="0" w:type="dxa"/>
              <w:bottom w:w="0" w:type="dxa"/>
              <w:right w:w="15" w:type="dxa"/>
            </w:tcMar>
            <w:vAlign w:val="bottom"/>
            <w:hideMark/>
          </w:tcPr>
          <w:p w14:paraId="46A219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B260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5" w:type="pct"/>
            <w:shd w:val="clear" w:color="auto" w:fill="FFFFFF"/>
            <w:tcMar>
              <w:top w:w="15" w:type="dxa"/>
              <w:left w:w="0" w:type="dxa"/>
              <w:bottom w:w="0" w:type="dxa"/>
              <w:right w:w="15" w:type="dxa"/>
            </w:tcMar>
            <w:vAlign w:val="bottom"/>
            <w:hideMark/>
          </w:tcPr>
          <w:p w14:paraId="7D3524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AD82B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6" w:type="pct"/>
            <w:tcBorders>
              <w:top w:val="double" w:sz="6" w:space="0" w:color="000000"/>
            </w:tcBorders>
            <w:shd w:val="clear" w:color="auto" w:fill="FFFFFF"/>
            <w:noWrap/>
            <w:tcMar>
              <w:top w:w="15" w:type="dxa"/>
              <w:left w:w="0" w:type="dxa"/>
              <w:bottom w:w="0" w:type="dxa"/>
              <w:right w:w="15" w:type="dxa"/>
            </w:tcMar>
            <w:vAlign w:val="bottom"/>
            <w:hideMark/>
          </w:tcPr>
          <w:p w14:paraId="5214BB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5F67A2"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04865C80" w14:textId="77777777" w:rsidR="00000000" w:rsidRDefault="00582324">
      <w:pPr>
        <w:pStyle w:val="a3"/>
        <w:pBdr>
          <w:bottom w:val="single" w:sz="6" w:space="1" w:color="auto"/>
        </w:pBdr>
        <w:shd w:val="clear" w:color="auto" w:fill="FFFFFF"/>
        <w:spacing w:before="0" w:beforeAutospacing="0" w:after="0" w:afterAutospacing="0"/>
        <w:ind w:right="6905" w:firstLine="612"/>
        <w:rPr>
          <w:color w:val="000000"/>
          <w:sz w:val="20"/>
          <w:szCs w:val="20"/>
        </w:rPr>
      </w:pPr>
      <w:r>
        <w:rPr>
          <w:color w:val="000000"/>
          <w:sz w:val="20"/>
          <w:szCs w:val="20"/>
        </w:rPr>
        <w:t> </w:t>
      </w:r>
    </w:p>
    <w:p w14:paraId="31974210" w14:textId="77777777" w:rsidR="00000000" w:rsidRDefault="00582324">
      <w:pPr>
        <w:pStyle w:val="a3"/>
        <w:spacing w:before="40" w:beforeAutospacing="0" w:after="0" w:afterAutospacing="0"/>
        <w:ind w:left="357"/>
        <w:rPr>
          <w:sz w:val="20"/>
          <w:szCs w:val="20"/>
        </w:rPr>
      </w:pPr>
      <w:r>
        <w:rPr>
          <w:sz w:val="20"/>
          <w:szCs w:val="20"/>
        </w:rPr>
        <w:t>(i)</w:t>
      </w:r>
      <w:r>
        <w:rPr>
          <w:color w:val="000000"/>
          <w:sz w:val="18"/>
          <w:szCs w:val="18"/>
          <w:shd w:val="clear" w:color="auto" w:fill="FFFFFF"/>
        </w:rPr>
        <w:t xml:space="preserve">During the first quarter of 2020, the Company determined to reduce the footprint of its environmental lab in Berkeley, California, and to exit its non-specialized municipal water engineering service line and its food waste biogas engineering service line. </w:t>
      </w:r>
      <w:r>
        <w:rPr>
          <w:color w:val="000000"/>
          <w:sz w:val="18"/>
          <w:szCs w:val="18"/>
          <w:shd w:val="clear" w:color="auto" w:fill="FFFFFF"/>
        </w:rPr>
        <w:t>As a part of discontinuing service lines, the Company made the decision to book an additional bad debt reserve related to the uncertainty around the ability to collect on receivables related to these service lines (Note 3). It was determined that the disco</w:t>
      </w:r>
      <w:r>
        <w:rPr>
          <w:color w:val="000000"/>
          <w:sz w:val="18"/>
          <w:szCs w:val="18"/>
          <w:shd w:val="clear" w:color="auto" w:fill="FFFFFF"/>
        </w:rPr>
        <w:t>ntinuation of these service lines did not represent a strategic shift that had (or will have) a major effect on the Company’s operations and financial results therefore did not meet the requirements to be classified as discontinued operations.</w:t>
      </w:r>
    </w:p>
    <w:p w14:paraId="12CE360F"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21. RELATED-</w:t>
      </w:r>
      <w:r>
        <w:rPr>
          <w:b/>
          <w:bCs/>
          <w:color w:val="000000"/>
          <w:sz w:val="20"/>
          <w:szCs w:val="20"/>
        </w:rPr>
        <w:t>PARTY TRANSACTIONS</w:t>
      </w:r>
    </w:p>
    <w:p w14:paraId="0BFC938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Company engaged a related party to provide Quality of Earnings reports on acquisition targets. The Company paid this related party zero during the three and six months ended June 30, 2021 and zero and $0.1 million during the three an</w:t>
      </w:r>
      <w:r>
        <w:rPr>
          <w:color w:val="000000"/>
          <w:sz w:val="20"/>
          <w:szCs w:val="20"/>
        </w:rPr>
        <w:t>d six months ended June 30, 2020, respectively for its services. This expense is included within selling, general and administrative expense on the unaudited condensed consolidated statements of operations. As of June 30, 2021, and December 31, 2020, the C</w:t>
      </w:r>
      <w:r>
        <w:rPr>
          <w:color w:val="000000"/>
          <w:sz w:val="20"/>
          <w:szCs w:val="20"/>
        </w:rPr>
        <w:t>ompany had no significant unpaid invoices to this related party, which would be/are included in accounts payable and other accrued liabilities on the unaudited condensed consolidated statements of financial position. The related party used by the Company i</w:t>
      </w:r>
      <w:r>
        <w:rPr>
          <w:color w:val="000000"/>
          <w:sz w:val="20"/>
          <w:szCs w:val="20"/>
        </w:rPr>
        <w:t xml:space="preserve">s partially owned through investment vehicles controlled by certain members of the Company’s Board of Directors. </w:t>
      </w:r>
      <w:r>
        <w:rPr>
          <w:color w:val="000000"/>
          <w:sz w:val="20"/>
          <w:szCs w:val="20"/>
          <w:shd w:val="clear" w:color="auto" w:fill="FFFFFF"/>
        </w:rPr>
        <w:t>The Company ceased using the services of this related party during 2020.</w:t>
      </w:r>
    </w:p>
    <w:p w14:paraId="73B5413E" w14:textId="77777777" w:rsidR="00000000" w:rsidRDefault="00582324">
      <w:pPr>
        <w:pStyle w:val="a3"/>
        <w:spacing w:before="240" w:beforeAutospacing="0" w:after="0" w:afterAutospacing="0"/>
        <w:ind w:firstLine="416"/>
        <w:rPr>
          <w:color w:val="000000"/>
          <w:sz w:val="20"/>
          <w:szCs w:val="20"/>
        </w:rPr>
      </w:pPr>
      <w:r>
        <w:rPr>
          <w:color w:val="000000"/>
          <w:sz w:val="20"/>
          <w:szCs w:val="20"/>
        </w:rPr>
        <w:t>During the year ended December 31, 2020, the holder of the Redeemable Series A-1 Preferred Stock and Convertible and Redeemable A-2 Preferred Stock became a stockholder in the Company. On the redemption date of the Redeemable Series A-1 Preferred Stock (No</w:t>
      </w:r>
      <w:r>
        <w:rPr>
          <w:color w:val="000000"/>
          <w:sz w:val="20"/>
          <w:szCs w:val="20"/>
        </w:rPr>
        <w:t>te 16), the Company issued 1,786,739 shares of common stock as dividend payment. Additionally, this related party exercised its warrant options (Note 12), becoming the holder of 2,534,239 additional common shares. To the Company’s knowledge, the related pa</w:t>
      </w:r>
      <w:r>
        <w:rPr>
          <w:color w:val="000000"/>
          <w:sz w:val="20"/>
          <w:szCs w:val="20"/>
        </w:rPr>
        <w:t>rty has sold all of such shares of its Company common stock.</w:t>
      </w:r>
    </w:p>
    <w:p w14:paraId="0B94CA22"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22. DEFINED CONTRIBUTION PLAN</w:t>
      </w:r>
    </w:p>
    <w:p w14:paraId="661B2F53" w14:textId="77777777" w:rsidR="00000000" w:rsidRDefault="00582324">
      <w:pPr>
        <w:pStyle w:val="a3"/>
        <w:spacing w:before="120" w:beforeAutospacing="0" w:after="0" w:afterAutospacing="0"/>
        <w:ind w:firstLine="416"/>
        <w:rPr>
          <w:color w:val="000000"/>
          <w:sz w:val="20"/>
          <w:szCs w:val="20"/>
        </w:rPr>
      </w:pPr>
      <w:r>
        <w:rPr>
          <w:color w:val="000000"/>
          <w:sz w:val="20"/>
          <w:szCs w:val="20"/>
        </w:rPr>
        <w:t>On January 1, 2014, the Company established the Montrose Environmental Group 401(k) Savings Plan (the “401(k) Savings Plan”). As of June 30, 2021, and December 31, 2</w:t>
      </w:r>
      <w:r>
        <w:rPr>
          <w:color w:val="000000"/>
          <w:sz w:val="20"/>
          <w:szCs w:val="20"/>
        </w:rPr>
        <w:t>020, plan participants may defer up to 85.0% of their eligible wages for the year, up to the Internal Revenue Service dollar limit and catch-up contribution allowed by law. Prior to May 22, 2020, the Company provided employer matching contributions equal t</w:t>
      </w:r>
      <w:r>
        <w:rPr>
          <w:color w:val="000000"/>
          <w:sz w:val="20"/>
          <w:szCs w:val="20"/>
        </w:rPr>
        <w:t>o 100.0% of the first 3.0% of the participant’s compensation and 50.0% of the participant’s elective deferrals that exceed 3.0% but do not exceed 4.0% of the participant’s compensation. Beginning on May 22, 2020, the Company temporarily ceased making emplo</w:t>
      </w:r>
      <w:r>
        <w:rPr>
          <w:color w:val="000000"/>
          <w:sz w:val="20"/>
          <w:szCs w:val="20"/>
        </w:rPr>
        <w:t xml:space="preserve">yer contributions. Employer contributions were reinstated beginning on April 23, 2021. Employer contributions under the 401(k) Savings Plan were $0.7 million and $0.7 million for the three and six months ended June 30, </w:t>
      </w:r>
    </w:p>
    <w:p w14:paraId="3BF36D1A" w14:textId="77777777" w:rsidR="00000000" w:rsidRDefault="00582324">
      <w:pPr>
        <w:pStyle w:val="a3"/>
        <w:spacing w:before="240" w:beforeAutospacing="0" w:after="0" w:afterAutospacing="0"/>
        <w:jc w:val="center"/>
        <w:rPr>
          <w:sz w:val="20"/>
          <w:szCs w:val="20"/>
        </w:rPr>
      </w:pPr>
      <w:r>
        <w:rPr>
          <w:sz w:val="20"/>
          <w:szCs w:val="20"/>
        </w:rPr>
        <w:t>29</w:t>
      </w:r>
    </w:p>
    <w:p w14:paraId="04AD5225" w14:textId="77777777" w:rsidR="00000000" w:rsidRDefault="00582324">
      <w:pPr>
        <w:rPr>
          <w:rFonts w:eastAsia="Times New Roman"/>
        </w:rPr>
      </w:pPr>
      <w:r>
        <w:rPr>
          <w:rFonts w:eastAsia="Times New Roman"/>
        </w:rPr>
        <w:pict w14:anchorId="6FAC70D6">
          <v:rect id="_x0000_i1055" style="width:0;height:1.5pt" o:hralign="center" o:hrstd="t" o:hr="t" fillcolor="#a0a0a0" stroked="f"/>
        </w:pict>
      </w:r>
    </w:p>
    <w:p w14:paraId="083504CD" w14:textId="77777777" w:rsidR="00000000" w:rsidRDefault="00582324">
      <w:pPr>
        <w:pStyle w:val="a3"/>
        <w:spacing w:before="0" w:beforeAutospacing="0" w:after="0" w:afterAutospacing="0"/>
        <w:rPr>
          <w:sz w:val="20"/>
          <w:szCs w:val="20"/>
        </w:rPr>
      </w:pPr>
      <w:r>
        <w:rPr>
          <w:sz w:val="20"/>
          <w:szCs w:val="20"/>
        </w:rPr>
        <w:t> </w:t>
      </w:r>
    </w:p>
    <w:p w14:paraId="7505D827" w14:textId="77777777" w:rsidR="00000000" w:rsidRDefault="00582324">
      <w:pPr>
        <w:pStyle w:val="a3"/>
        <w:spacing w:before="120" w:beforeAutospacing="0" w:after="0" w:afterAutospacing="0"/>
        <w:rPr>
          <w:color w:val="000000"/>
          <w:sz w:val="20"/>
          <w:szCs w:val="20"/>
        </w:rPr>
      </w:pPr>
      <w:r>
        <w:rPr>
          <w:color w:val="000000"/>
          <w:sz w:val="20"/>
          <w:szCs w:val="20"/>
        </w:rPr>
        <w:t>2021, respectively, and $0.4 million and $1.2 million for the three and six months ended June 30, 2020, respectively, and are included within selling, general, and administrative expense on the unaudited condensed consolidated statements of operation</w:t>
      </w:r>
      <w:r>
        <w:rPr>
          <w:color w:val="000000"/>
          <w:sz w:val="20"/>
          <w:szCs w:val="20"/>
        </w:rPr>
        <w:t>s.</w:t>
      </w:r>
    </w:p>
    <w:p w14:paraId="7C424C65"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23. SUBSEQUENT EVENTS</w:t>
      </w:r>
      <w:r>
        <w:rPr>
          <w:color w:val="000000"/>
        </w:rPr>
        <w:t>   </w:t>
      </w:r>
    </w:p>
    <w:p w14:paraId="1679C531" w14:textId="77777777" w:rsidR="00000000" w:rsidRDefault="00582324">
      <w:pPr>
        <w:pStyle w:val="a3"/>
        <w:spacing w:before="120" w:beforeAutospacing="0" w:after="0" w:afterAutospacing="0"/>
        <w:ind w:firstLine="545"/>
        <w:rPr>
          <w:b/>
          <w:bCs/>
          <w:sz w:val="20"/>
          <w:szCs w:val="20"/>
        </w:rPr>
      </w:pPr>
      <w:r>
        <w:rPr>
          <w:b/>
          <w:bCs/>
          <w:sz w:val="20"/>
          <w:szCs w:val="20"/>
        </w:rPr>
        <w:t>Business Acquisitions</w:t>
      </w:r>
      <w:r>
        <w:rPr>
          <w:sz w:val="20"/>
          <w:szCs w:val="20"/>
        </w:rPr>
        <w:t>—On July 1, 2021, t</w:t>
      </w:r>
      <w:r>
        <w:rPr>
          <w:color w:val="000000"/>
          <w:sz w:val="20"/>
          <w:szCs w:val="20"/>
          <w:shd w:val="clear" w:color="auto" w:fill="FFFFFF"/>
        </w:rPr>
        <w:t>he Company completed the business acquisition of Environmental Intelligence, LLC (“EI”) by acquiring 100.0% of its membership interests. EI is an environmental consulting company recognize</w:t>
      </w:r>
      <w:r>
        <w:rPr>
          <w:color w:val="000000"/>
          <w:sz w:val="20"/>
          <w:szCs w:val="20"/>
          <w:shd w:val="clear" w:color="auto" w:fill="FFFFFF"/>
        </w:rPr>
        <w:t>d for its innovative work in wildlife mitigation, biological assessments, and other environmental services. EI is based in Laguna Beach, CA and enhances our ecological planning and service capabilities in California and the US West Coast.</w:t>
      </w:r>
      <w:r>
        <w:rPr>
          <w:b/>
          <w:bCs/>
          <w:i/>
          <w:iCs/>
          <w:color w:val="000000"/>
          <w:sz w:val="20"/>
          <w:szCs w:val="20"/>
          <w:shd w:val="clear" w:color="auto" w:fill="FFFFFF"/>
        </w:rPr>
        <w:t> </w:t>
      </w:r>
    </w:p>
    <w:p w14:paraId="588E9E13" w14:textId="77777777" w:rsidR="00000000" w:rsidRDefault="00582324">
      <w:pPr>
        <w:pStyle w:val="a3"/>
        <w:spacing w:before="120" w:beforeAutospacing="0" w:after="0" w:afterAutospacing="0"/>
        <w:ind w:firstLine="545"/>
        <w:rPr>
          <w:sz w:val="20"/>
          <w:szCs w:val="20"/>
        </w:rPr>
      </w:pPr>
      <w:r>
        <w:rPr>
          <w:sz w:val="20"/>
          <w:szCs w:val="20"/>
        </w:rPr>
        <w:t>On August 2, 2021, t</w:t>
      </w:r>
      <w:r>
        <w:rPr>
          <w:color w:val="000000"/>
          <w:sz w:val="20"/>
          <w:szCs w:val="20"/>
          <w:shd w:val="clear" w:color="auto" w:fill="FFFFFF"/>
        </w:rPr>
        <w:t>he Company completed the business acquisition of SensibleIoT, LLC (“Sensible”) by acquiring 100.0% of its membership interests. Sensible is a technology platform that connects sensors and sources of environment data to a central, propri</w:t>
      </w:r>
      <w:r>
        <w:rPr>
          <w:color w:val="000000"/>
          <w:sz w:val="20"/>
          <w:szCs w:val="20"/>
          <w:shd w:val="clear" w:color="auto" w:fill="FFFFFF"/>
        </w:rPr>
        <w:t>etary database that enables real-time client interaction. Sensible provides Montrose with an advanced ability to integrate environmental services and enhance environmental data analytics for clients.</w:t>
      </w:r>
    </w:p>
    <w:p w14:paraId="72531E5C" w14:textId="77777777" w:rsidR="00000000" w:rsidRDefault="00582324">
      <w:pPr>
        <w:pStyle w:val="a3"/>
        <w:spacing w:before="120" w:beforeAutospacing="0" w:after="0" w:afterAutospacing="0"/>
        <w:ind w:firstLine="545"/>
        <w:rPr>
          <w:color w:val="000000"/>
          <w:sz w:val="20"/>
          <w:szCs w:val="20"/>
        </w:rPr>
      </w:pPr>
      <w:r>
        <w:rPr>
          <w:color w:val="000000"/>
          <w:sz w:val="20"/>
          <w:szCs w:val="20"/>
          <w:shd w:val="clear" w:color="auto" w:fill="FFFFFF"/>
        </w:rPr>
        <w:t>These transactions qualified as an acquisition of a busi</w:t>
      </w:r>
      <w:r>
        <w:rPr>
          <w:color w:val="000000"/>
          <w:sz w:val="20"/>
          <w:szCs w:val="20"/>
          <w:shd w:val="clear" w:color="auto" w:fill="FFFFFF"/>
        </w:rPr>
        <w:t>ness and will be accounted for as a business combination. The following table summarizes the elements of the purchase price of these acquisitions:</w:t>
      </w:r>
    </w:p>
    <w:p w14:paraId="79C098FE" w14:textId="77777777" w:rsidR="00000000" w:rsidRDefault="00582324">
      <w:pPr>
        <w:pStyle w:val="a3"/>
        <w:spacing w:before="0" w:beforeAutospacing="0" w:after="0" w:afterAutospacing="0"/>
        <w:rPr>
          <w:color w:val="000000"/>
          <w:sz w:val="20"/>
          <w:szCs w:val="20"/>
        </w:rPr>
      </w:pPr>
      <w:r>
        <w:rPr>
          <w:color w:val="000000"/>
          <w:sz w:val="20"/>
          <w:szCs w:val="20"/>
        </w:rPr>
        <w:t> </w:t>
      </w:r>
    </w:p>
    <w:p w14:paraId="6CBA45ED" w14:textId="77777777" w:rsidR="00000000" w:rsidRDefault="00582324">
      <w:pPr>
        <w:pStyle w:val="a3"/>
        <w:pBdr>
          <w:bottom w:val="single" w:sz="6" w:space="1" w:color="auto"/>
        </w:pBdr>
        <w:spacing w:before="0" w:beforeAutospacing="0" w:after="0" w:afterAutospacing="0"/>
        <w:ind w:right="11906"/>
        <w:rPr>
          <w:color w:val="000000"/>
          <w:sz w:val="20"/>
          <w:szCs w:val="20"/>
        </w:rPr>
      </w:pPr>
      <w:r>
        <w:rPr>
          <w:color w:val="000000"/>
          <w:sz w:val="20"/>
          <w:szCs w:val="20"/>
        </w:rPr>
        <w:t> </w:t>
      </w:r>
    </w:p>
    <w:tbl>
      <w:tblPr>
        <w:tblW w:w="4000" w:type="pct"/>
        <w:tblCellMar>
          <w:left w:w="0" w:type="dxa"/>
          <w:right w:w="0" w:type="dxa"/>
        </w:tblCellMar>
        <w:tblLook w:val="04A0" w:firstRow="1" w:lastRow="0" w:firstColumn="1" w:lastColumn="0" w:noHBand="0" w:noVBand="1"/>
      </w:tblPr>
      <w:tblGrid>
        <w:gridCol w:w="732"/>
        <w:gridCol w:w="126"/>
        <w:gridCol w:w="105"/>
        <w:gridCol w:w="1189"/>
        <w:gridCol w:w="65"/>
        <w:gridCol w:w="114"/>
        <w:gridCol w:w="106"/>
        <w:gridCol w:w="1190"/>
        <w:gridCol w:w="65"/>
        <w:gridCol w:w="116"/>
        <w:gridCol w:w="107"/>
        <w:gridCol w:w="1191"/>
        <w:gridCol w:w="65"/>
        <w:gridCol w:w="117"/>
        <w:gridCol w:w="106"/>
        <w:gridCol w:w="1191"/>
        <w:gridCol w:w="60"/>
      </w:tblGrid>
      <w:tr w:rsidR="00000000" w14:paraId="6B2497CF" w14:textId="77777777">
        <w:trPr>
          <w:divId w:val="1894392532"/>
        </w:trPr>
        <w:tc>
          <w:tcPr>
            <w:tcW w:w="561" w:type="pct"/>
            <w:shd w:val="clear" w:color="auto" w:fill="FFFFFF"/>
            <w:tcMar>
              <w:top w:w="15" w:type="dxa"/>
              <w:left w:w="0" w:type="dxa"/>
              <w:bottom w:w="0" w:type="dxa"/>
              <w:right w:w="15" w:type="dxa"/>
            </w:tcMar>
            <w:vAlign w:val="bottom"/>
            <w:hideMark/>
          </w:tcPr>
          <w:p w14:paraId="41198677" w14:textId="77777777" w:rsidR="00000000" w:rsidRDefault="00582324">
            <w:pPr>
              <w:pStyle w:val="a3"/>
              <w:spacing w:before="0" w:beforeAutospacing="0" w:after="0" w:afterAutospacing="0"/>
              <w:rPr>
                <w:sz w:val="20"/>
                <w:szCs w:val="20"/>
              </w:rPr>
            </w:pPr>
            <w:r>
              <w:rPr>
                <w:sz w:val="20"/>
                <w:szCs w:val="20"/>
              </w:rPr>
              <w:t> </w:t>
            </w:r>
          </w:p>
        </w:tc>
        <w:tc>
          <w:tcPr>
            <w:tcW w:w="105" w:type="pct"/>
            <w:shd w:val="clear" w:color="auto" w:fill="FFFFFF"/>
            <w:tcMar>
              <w:top w:w="15" w:type="dxa"/>
              <w:left w:w="0" w:type="dxa"/>
              <w:bottom w:w="0" w:type="dxa"/>
              <w:right w:w="15" w:type="dxa"/>
            </w:tcMar>
            <w:vAlign w:val="bottom"/>
            <w:hideMark/>
          </w:tcPr>
          <w:p w14:paraId="0B48565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2498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bottom"/>
            <w:hideMark/>
          </w:tcPr>
          <w:p w14:paraId="2408AF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4EEA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7A91B1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423B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bottom"/>
            <w:hideMark/>
          </w:tcPr>
          <w:p w14:paraId="01E341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461D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4AF300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54" w:type="pct"/>
            <w:gridSpan w:val="2"/>
            <w:shd w:val="clear" w:color="auto" w:fill="FFFFFF"/>
            <w:tcMar>
              <w:top w:w="15" w:type="dxa"/>
              <w:left w:w="0" w:type="dxa"/>
              <w:bottom w:w="0" w:type="dxa"/>
              <w:right w:w="15" w:type="dxa"/>
            </w:tcMar>
            <w:vAlign w:val="bottom"/>
            <w:hideMark/>
          </w:tcPr>
          <w:p w14:paraId="675969C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Other Purchase</w:t>
            </w:r>
          </w:p>
        </w:tc>
        <w:tc>
          <w:tcPr>
            <w:tcW w:w="50" w:type="pct"/>
            <w:shd w:val="clear" w:color="auto" w:fill="FFFFFF"/>
            <w:noWrap/>
            <w:tcMar>
              <w:top w:w="15" w:type="dxa"/>
              <w:left w:w="0" w:type="dxa"/>
              <w:bottom w:w="0" w:type="dxa"/>
              <w:right w:w="15" w:type="dxa"/>
            </w:tcMar>
            <w:vAlign w:val="bottom"/>
            <w:hideMark/>
          </w:tcPr>
          <w:p w14:paraId="6C3B690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5" w:type="pct"/>
            <w:shd w:val="clear" w:color="auto" w:fill="FFFFFF"/>
            <w:tcMar>
              <w:top w:w="15" w:type="dxa"/>
              <w:left w:w="0" w:type="dxa"/>
              <w:bottom w:w="0" w:type="dxa"/>
              <w:right w:w="15" w:type="dxa"/>
            </w:tcMar>
            <w:vAlign w:val="bottom"/>
            <w:hideMark/>
          </w:tcPr>
          <w:p w14:paraId="3E3A2AA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954" w:type="pct"/>
            <w:gridSpan w:val="2"/>
            <w:shd w:val="clear" w:color="auto" w:fill="FFFFFF"/>
            <w:tcMar>
              <w:top w:w="15" w:type="dxa"/>
              <w:left w:w="0" w:type="dxa"/>
              <w:bottom w:w="0" w:type="dxa"/>
              <w:right w:w="15" w:type="dxa"/>
            </w:tcMar>
            <w:vAlign w:val="bottom"/>
            <w:hideMark/>
          </w:tcPr>
          <w:p w14:paraId="5883508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Total</w:t>
            </w:r>
          </w:p>
        </w:tc>
        <w:tc>
          <w:tcPr>
            <w:tcW w:w="50" w:type="pct"/>
            <w:shd w:val="clear" w:color="auto" w:fill="FFFFFF"/>
            <w:noWrap/>
            <w:tcMar>
              <w:top w:w="15" w:type="dxa"/>
              <w:left w:w="0" w:type="dxa"/>
              <w:bottom w:w="0" w:type="dxa"/>
              <w:right w:w="15" w:type="dxa"/>
            </w:tcMar>
            <w:vAlign w:val="bottom"/>
            <w:hideMark/>
          </w:tcPr>
          <w:p w14:paraId="40B4977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7A625650" w14:textId="77777777">
        <w:trPr>
          <w:divId w:val="1894392532"/>
        </w:trPr>
        <w:tc>
          <w:tcPr>
            <w:tcW w:w="561" w:type="pct"/>
            <w:shd w:val="clear" w:color="auto" w:fill="FFFFFF"/>
            <w:tcMar>
              <w:top w:w="15" w:type="dxa"/>
              <w:left w:w="0" w:type="dxa"/>
              <w:bottom w:w="0" w:type="dxa"/>
              <w:right w:w="15" w:type="dxa"/>
            </w:tcMar>
            <w:vAlign w:val="center"/>
            <w:hideMark/>
          </w:tcPr>
          <w:p w14:paraId="75E0D4A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center"/>
            <w:hideMark/>
          </w:tcPr>
          <w:p w14:paraId="4D4A558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954" w:type="pct"/>
            <w:gridSpan w:val="2"/>
            <w:tcBorders>
              <w:bottom w:val="single" w:sz="6" w:space="0" w:color="000000"/>
            </w:tcBorders>
            <w:shd w:val="clear" w:color="auto" w:fill="FFFFFF"/>
            <w:tcMar>
              <w:top w:w="15" w:type="dxa"/>
              <w:left w:w="0" w:type="dxa"/>
              <w:bottom w:w="0" w:type="dxa"/>
              <w:right w:w="15" w:type="dxa"/>
            </w:tcMar>
            <w:vAlign w:val="center"/>
            <w:hideMark/>
          </w:tcPr>
          <w:p w14:paraId="37C097B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Cash</w:t>
            </w:r>
            <w:r>
              <w:rPr>
                <w:b/>
                <w:bCs/>
                <w:color w:val="000000"/>
                <w:sz w:val="15"/>
                <w:szCs w:val="15"/>
                <w:vertAlign w:val="superscript"/>
              </w:rPr>
              <w:t> (1)</w:t>
            </w:r>
          </w:p>
        </w:tc>
        <w:tc>
          <w:tcPr>
            <w:tcW w:w="50" w:type="pct"/>
            <w:shd w:val="clear" w:color="auto" w:fill="FFFFFF"/>
            <w:noWrap/>
            <w:tcMar>
              <w:top w:w="15" w:type="dxa"/>
              <w:left w:w="0" w:type="dxa"/>
              <w:bottom w:w="0" w:type="dxa"/>
              <w:right w:w="15" w:type="dxa"/>
            </w:tcMar>
            <w:vAlign w:val="center"/>
            <w:hideMark/>
          </w:tcPr>
          <w:p w14:paraId="7289996D"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5" w:type="pct"/>
            <w:shd w:val="clear" w:color="auto" w:fill="FFFFFF"/>
            <w:tcMar>
              <w:top w:w="15" w:type="dxa"/>
              <w:left w:w="0" w:type="dxa"/>
              <w:bottom w:w="0" w:type="dxa"/>
              <w:right w:w="15" w:type="dxa"/>
            </w:tcMar>
            <w:vAlign w:val="center"/>
            <w:hideMark/>
          </w:tcPr>
          <w:p w14:paraId="23CFE92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954" w:type="pct"/>
            <w:gridSpan w:val="2"/>
            <w:tcBorders>
              <w:bottom w:val="single" w:sz="6" w:space="0" w:color="000000"/>
            </w:tcBorders>
            <w:shd w:val="clear" w:color="auto" w:fill="FFFFFF"/>
            <w:tcMar>
              <w:top w:w="15" w:type="dxa"/>
              <w:left w:w="0" w:type="dxa"/>
              <w:bottom w:w="0" w:type="dxa"/>
              <w:right w:w="15" w:type="dxa"/>
            </w:tcMar>
            <w:vAlign w:val="center"/>
            <w:hideMark/>
          </w:tcPr>
          <w:p w14:paraId="7A304F1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xml:space="preserve">Common Stock </w:t>
            </w:r>
            <w:r>
              <w:rPr>
                <w:b/>
                <w:bCs/>
                <w:color w:val="000000"/>
                <w:sz w:val="15"/>
                <w:szCs w:val="15"/>
                <w:vertAlign w:val="superscript"/>
              </w:rPr>
              <w:t>(2)</w:t>
            </w:r>
          </w:p>
        </w:tc>
        <w:tc>
          <w:tcPr>
            <w:tcW w:w="50" w:type="pct"/>
            <w:shd w:val="clear" w:color="auto" w:fill="FFFFFF"/>
            <w:noWrap/>
            <w:tcMar>
              <w:top w:w="15" w:type="dxa"/>
              <w:left w:w="0" w:type="dxa"/>
              <w:bottom w:w="0" w:type="dxa"/>
              <w:right w:w="15" w:type="dxa"/>
            </w:tcMar>
            <w:vAlign w:val="center"/>
            <w:hideMark/>
          </w:tcPr>
          <w:p w14:paraId="2A56071C"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5" w:type="pct"/>
            <w:shd w:val="clear" w:color="auto" w:fill="FFFFFF"/>
            <w:tcMar>
              <w:top w:w="15" w:type="dxa"/>
              <w:left w:w="0" w:type="dxa"/>
              <w:bottom w:w="0" w:type="dxa"/>
              <w:right w:w="15" w:type="dxa"/>
            </w:tcMar>
            <w:vAlign w:val="bottom"/>
            <w:hideMark/>
          </w:tcPr>
          <w:p w14:paraId="415B7F09"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954" w:type="pct"/>
            <w:gridSpan w:val="2"/>
            <w:tcBorders>
              <w:bottom w:val="single" w:sz="6" w:space="0" w:color="000000"/>
            </w:tcBorders>
            <w:shd w:val="clear" w:color="auto" w:fill="FFFFFF"/>
            <w:tcMar>
              <w:top w:w="15" w:type="dxa"/>
              <w:left w:w="0" w:type="dxa"/>
              <w:bottom w:w="0" w:type="dxa"/>
              <w:right w:w="15" w:type="dxa"/>
            </w:tcMar>
            <w:vAlign w:val="center"/>
            <w:hideMark/>
          </w:tcPr>
          <w:p w14:paraId="6E2549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Price Component </w:t>
            </w:r>
            <w:r>
              <w:rPr>
                <w:b/>
                <w:bCs/>
                <w:color w:val="000000"/>
                <w:sz w:val="15"/>
                <w:szCs w:val="15"/>
                <w:vertAlign w:val="superscript"/>
              </w:rPr>
              <w:t>(3)</w:t>
            </w:r>
          </w:p>
        </w:tc>
        <w:tc>
          <w:tcPr>
            <w:tcW w:w="50" w:type="pct"/>
            <w:shd w:val="clear" w:color="auto" w:fill="FFFFFF"/>
            <w:noWrap/>
            <w:tcMar>
              <w:top w:w="15" w:type="dxa"/>
              <w:left w:w="0" w:type="dxa"/>
              <w:bottom w:w="0" w:type="dxa"/>
              <w:right w:w="15" w:type="dxa"/>
            </w:tcMar>
            <w:vAlign w:val="center"/>
            <w:hideMark/>
          </w:tcPr>
          <w:p w14:paraId="2773F838"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5" w:type="pct"/>
            <w:shd w:val="clear" w:color="auto" w:fill="FFFFFF"/>
            <w:tcMar>
              <w:top w:w="15" w:type="dxa"/>
              <w:left w:w="0" w:type="dxa"/>
              <w:bottom w:w="0" w:type="dxa"/>
              <w:right w:w="15" w:type="dxa"/>
            </w:tcMar>
            <w:vAlign w:val="center"/>
            <w:hideMark/>
          </w:tcPr>
          <w:p w14:paraId="270645D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954" w:type="pct"/>
            <w:gridSpan w:val="2"/>
            <w:tcBorders>
              <w:bottom w:val="single" w:sz="6" w:space="0" w:color="000000"/>
            </w:tcBorders>
            <w:shd w:val="clear" w:color="auto" w:fill="FFFFFF"/>
            <w:tcMar>
              <w:top w:w="15" w:type="dxa"/>
              <w:left w:w="0" w:type="dxa"/>
              <w:bottom w:w="0" w:type="dxa"/>
              <w:right w:w="15" w:type="dxa"/>
            </w:tcMar>
            <w:vAlign w:val="center"/>
            <w:hideMark/>
          </w:tcPr>
          <w:p w14:paraId="36B276F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Purchase Price</w:t>
            </w:r>
          </w:p>
        </w:tc>
        <w:tc>
          <w:tcPr>
            <w:tcW w:w="50" w:type="pct"/>
            <w:shd w:val="clear" w:color="auto" w:fill="FFFFFF"/>
            <w:noWrap/>
            <w:tcMar>
              <w:top w:w="15" w:type="dxa"/>
              <w:left w:w="0" w:type="dxa"/>
              <w:bottom w:w="0" w:type="dxa"/>
              <w:right w:w="15" w:type="dxa"/>
            </w:tcMar>
            <w:vAlign w:val="center"/>
            <w:hideMark/>
          </w:tcPr>
          <w:p w14:paraId="7789BE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99E81E1" w14:textId="77777777">
        <w:trPr>
          <w:divId w:val="1894392532"/>
        </w:trPr>
        <w:tc>
          <w:tcPr>
            <w:tcW w:w="561" w:type="pct"/>
            <w:shd w:val="clear" w:color="auto" w:fill="CFF0FC"/>
            <w:tcMar>
              <w:top w:w="15" w:type="dxa"/>
              <w:left w:w="0" w:type="dxa"/>
              <w:bottom w:w="0" w:type="dxa"/>
              <w:right w:w="15" w:type="dxa"/>
            </w:tcMar>
            <w:vAlign w:val="center"/>
            <w:hideMark/>
          </w:tcPr>
          <w:p w14:paraId="29962DC8" w14:textId="77777777" w:rsidR="00000000" w:rsidRDefault="00582324">
            <w:pPr>
              <w:pStyle w:val="a3"/>
              <w:spacing w:before="0" w:beforeAutospacing="0" w:after="0" w:afterAutospacing="0"/>
              <w:rPr>
                <w:color w:val="000000"/>
                <w:sz w:val="18"/>
                <w:szCs w:val="18"/>
              </w:rPr>
            </w:pPr>
            <w:r>
              <w:rPr>
                <w:color w:val="000000"/>
                <w:sz w:val="18"/>
                <w:szCs w:val="18"/>
              </w:rPr>
              <w:t>EI</w:t>
            </w:r>
          </w:p>
        </w:tc>
        <w:tc>
          <w:tcPr>
            <w:tcW w:w="105" w:type="pct"/>
            <w:shd w:val="clear" w:color="auto" w:fill="CFF0FC"/>
            <w:tcMar>
              <w:top w:w="15" w:type="dxa"/>
              <w:left w:w="0" w:type="dxa"/>
              <w:bottom w:w="0" w:type="dxa"/>
              <w:right w:w="15" w:type="dxa"/>
            </w:tcMar>
            <w:vAlign w:val="center"/>
            <w:hideMark/>
          </w:tcPr>
          <w:p w14:paraId="016708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68C6B4D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04" w:type="pct"/>
            <w:tcBorders>
              <w:top w:val="single" w:sz="6" w:space="0" w:color="000000"/>
            </w:tcBorders>
            <w:shd w:val="clear" w:color="auto" w:fill="CFF0FC"/>
            <w:noWrap/>
            <w:tcMar>
              <w:top w:w="15" w:type="dxa"/>
              <w:left w:w="0" w:type="dxa"/>
              <w:bottom w:w="0" w:type="dxa"/>
              <w:right w:w="15" w:type="dxa"/>
            </w:tcMar>
            <w:vAlign w:val="center"/>
            <w:hideMark/>
          </w:tcPr>
          <w:p w14:paraId="2A138953" w14:textId="77777777" w:rsidR="00000000" w:rsidRDefault="00582324">
            <w:pPr>
              <w:pStyle w:val="a3"/>
              <w:spacing w:before="0" w:beforeAutospacing="0" w:after="0" w:afterAutospacing="0"/>
              <w:jc w:val="right"/>
              <w:rPr>
                <w:color w:val="000000"/>
                <w:sz w:val="18"/>
                <w:szCs w:val="18"/>
              </w:rPr>
            </w:pPr>
            <w:r>
              <w:rPr>
                <w:color w:val="000000"/>
                <w:sz w:val="18"/>
                <w:szCs w:val="18"/>
              </w:rPr>
              <w:t>20,721</w:t>
            </w:r>
          </w:p>
        </w:tc>
        <w:tc>
          <w:tcPr>
            <w:tcW w:w="50" w:type="pct"/>
            <w:shd w:val="clear" w:color="auto" w:fill="CFF0FC"/>
            <w:noWrap/>
            <w:tcMar>
              <w:top w:w="15" w:type="dxa"/>
              <w:left w:w="0" w:type="dxa"/>
              <w:bottom w:w="0" w:type="dxa"/>
              <w:right w:w="15" w:type="dxa"/>
            </w:tcMar>
            <w:vAlign w:val="center"/>
            <w:hideMark/>
          </w:tcPr>
          <w:p w14:paraId="4A87FA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CFF0FC"/>
            <w:tcMar>
              <w:top w:w="15" w:type="dxa"/>
              <w:left w:w="0" w:type="dxa"/>
              <w:bottom w:w="0" w:type="dxa"/>
              <w:right w:w="15" w:type="dxa"/>
            </w:tcMar>
            <w:vAlign w:val="center"/>
            <w:hideMark/>
          </w:tcPr>
          <w:p w14:paraId="5DA05B6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6BDE82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04" w:type="pct"/>
            <w:tcBorders>
              <w:top w:val="single" w:sz="6" w:space="0" w:color="000000"/>
            </w:tcBorders>
            <w:shd w:val="clear" w:color="auto" w:fill="CFF0FC"/>
            <w:noWrap/>
            <w:tcMar>
              <w:top w:w="15" w:type="dxa"/>
              <w:left w:w="0" w:type="dxa"/>
              <w:bottom w:w="0" w:type="dxa"/>
              <w:right w:w="15" w:type="dxa"/>
            </w:tcMar>
            <w:vAlign w:val="center"/>
            <w:hideMark/>
          </w:tcPr>
          <w:p w14:paraId="52381F01" w14:textId="77777777" w:rsidR="00000000" w:rsidRDefault="00582324">
            <w:pPr>
              <w:pStyle w:val="a3"/>
              <w:spacing w:before="0" w:beforeAutospacing="0" w:after="0" w:afterAutospacing="0"/>
              <w:jc w:val="right"/>
              <w:rPr>
                <w:color w:val="000000"/>
                <w:sz w:val="18"/>
                <w:szCs w:val="18"/>
              </w:rPr>
            </w:pPr>
            <w:r>
              <w:rPr>
                <w:color w:val="000000"/>
                <w:sz w:val="18"/>
                <w:szCs w:val="18"/>
              </w:rPr>
              <w:t>2,274</w:t>
            </w:r>
          </w:p>
        </w:tc>
        <w:tc>
          <w:tcPr>
            <w:tcW w:w="50" w:type="pct"/>
            <w:shd w:val="clear" w:color="auto" w:fill="CFF0FC"/>
            <w:noWrap/>
            <w:tcMar>
              <w:top w:w="15" w:type="dxa"/>
              <w:left w:w="0" w:type="dxa"/>
              <w:bottom w:w="0" w:type="dxa"/>
              <w:right w:w="15" w:type="dxa"/>
            </w:tcMar>
            <w:vAlign w:val="center"/>
            <w:hideMark/>
          </w:tcPr>
          <w:p w14:paraId="4E0A3B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CFF0FC"/>
            <w:tcMar>
              <w:top w:w="15" w:type="dxa"/>
              <w:left w:w="0" w:type="dxa"/>
              <w:bottom w:w="0" w:type="dxa"/>
              <w:right w:w="15" w:type="dxa"/>
            </w:tcMar>
            <w:vAlign w:val="center"/>
            <w:hideMark/>
          </w:tcPr>
          <w:p w14:paraId="798A818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98088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04" w:type="pct"/>
            <w:tcBorders>
              <w:top w:val="single" w:sz="6" w:space="0" w:color="000000"/>
            </w:tcBorders>
            <w:shd w:val="clear" w:color="auto" w:fill="CFF0FC"/>
            <w:noWrap/>
            <w:tcMar>
              <w:top w:w="15" w:type="dxa"/>
              <w:left w:w="0" w:type="dxa"/>
              <w:bottom w:w="0" w:type="dxa"/>
              <w:right w:w="15" w:type="dxa"/>
            </w:tcMar>
            <w:vAlign w:val="bottom"/>
            <w:hideMark/>
          </w:tcPr>
          <w:p w14:paraId="508B55CB"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C671C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CFF0FC"/>
            <w:tcMar>
              <w:top w:w="15" w:type="dxa"/>
              <w:left w:w="0" w:type="dxa"/>
              <w:bottom w:w="0" w:type="dxa"/>
              <w:right w:w="15" w:type="dxa"/>
            </w:tcMar>
            <w:vAlign w:val="center"/>
            <w:hideMark/>
          </w:tcPr>
          <w:p w14:paraId="6AB08C2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11FD17D9"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904" w:type="pct"/>
            <w:tcBorders>
              <w:top w:val="single" w:sz="6" w:space="0" w:color="000000"/>
            </w:tcBorders>
            <w:shd w:val="clear" w:color="auto" w:fill="CFF0FC"/>
            <w:noWrap/>
            <w:tcMar>
              <w:top w:w="15" w:type="dxa"/>
              <w:left w:w="0" w:type="dxa"/>
              <w:bottom w:w="0" w:type="dxa"/>
              <w:right w:w="15" w:type="dxa"/>
            </w:tcMar>
            <w:vAlign w:val="center"/>
            <w:hideMark/>
          </w:tcPr>
          <w:p w14:paraId="3588A059" w14:textId="77777777" w:rsidR="00000000" w:rsidRDefault="00582324">
            <w:pPr>
              <w:pStyle w:val="a3"/>
              <w:spacing w:before="0" w:beforeAutospacing="0" w:after="0" w:afterAutospacing="0"/>
              <w:jc w:val="right"/>
              <w:rPr>
                <w:color w:val="000000"/>
                <w:sz w:val="18"/>
                <w:szCs w:val="18"/>
              </w:rPr>
            </w:pPr>
            <w:r>
              <w:rPr>
                <w:color w:val="000000"/>
                <w:sz w:val="18"/>
                <w:szCs w:val="18"/>
              </w:rPr>
              <w:t>22,995</w:t>
            </w:r>
          </w:p>
        </w:tc>
        <w:tc>
          <w:tcPr>
            <w:tcW w:w="50" w:type="pct"/>
            <w:shd w:val="clear" w:color="auto" w:fill="CFF0FC"/>
            <w:noWrap/>
            <w:tcMar>
              <w:top w:w="15" w:type="dxa"/>
              <w:left w:w="0" w:type="dxa"/>
              <w:bottom w:w="0" w:type="dxa"/>
              <w:right w:w="15" w:type="dxa"/>
            </w:tcMar>
            <w:vAlign w:val="center"/>
            <w:hideMark/>
          </w:tcPr>
          <w:p w14:paraId="557C38D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B078360" w14:textId="77777777">
        <w:trPr>
          <w:divId w:val="1894392532"/>
        </w:trPr>
        <w:tc>
          <w:tcPr>
            <w:tcW w:w="561" w:type="pct"/>
            <w:shd w:val="clear" w:color="auto" w:fill="FFFFFF"/>
            <w:tcMar>
              <w:top w:w="15" w:type="dxa"/>
              <w:left w:w="0" w:type="dxa"/>
              <w:bottom w:w="0" w:type="dxa"/>
              <w:right w:w="15" w:type="dxa"/>
            </w:tcMar>
            <w:vAlign w:val="center"/>
            <w:hideMark/>
          </w:tcPr>
          <w:p w14:paraId="70E9576C" w14:textId="77777777" w:rsidR="00000000" w:rsidRDefault="00582324">
            <w:pPr>
              <w:pStyle w:val="a3"/>
              <w:spacing w:before="0" w:beforeAutospacing="0" w:after="0" w:afterAutospacing="0"/>
              <w:rPr>
                <w:color w:val="000000"/>
                <w:sz w:val="18"/>
                <w:szCs w:val="18"/>
              </w:rPr>
            </w:pPr>
            <w:r>
              <w:rPr>
                <w:color w:val="000000"/>
                <w:sz w:val="18"/>
                <w:szCs w:val="18"/>
              </w:rPr>
              <w:t>Sensible</w:t>
            </w:r>
          </w:p>
        </w:tc>
        <w:tc>
          <w:tcPr>
            <w:tcW w:w="105" w:type="pct"/>
            <w:shd w:val="clear" w:color="auto" w:fill="FFFFFF"/>
            <w:tcMar>
              <w:top w:w="15" w:type="dxa"/>
              <w:left w:w="0" w:type="dxa"/>
              <w:bottom w:w="0" w:type="dxa"/>
              <w:right w:w="15" w:type="dxa"/>
            </w:tcMar>
            <w:vAlign w:val="bottom"/>
            <w:hideMark/>
          </w:tcPr>
          <w:p w14:paraId="42CBBD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2DD2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bottom"/>
            <w:hideMark/>
          </w:tcPr>
          <w:p w14:paraId="020215B6" w14:textId="77777777" w:rsidR="00000000" w:rsidRDefault="00582324">
            <w:pPr>
              <w:pStyle w:val="a3"/>
              <w:spacing w:before="0" w:beforeAutospacing="0" w:after="0" w:afterAutospacing="0"/>
              <w:jc w:val="right"/>
              <w:rPr>
                <w:color w:val="000000"/>
                <w:sz w:val="18"/>
                <w:szCs w:val="18"/>
              </w:rPr>
            </w:pPr>
            <w:r>
              <w:rPr>
                <w:color w:val="000000"/>
                <w:sz w:val="18"/>
                <w:szCs w:val="18"/>
              </w:rPr>
              <w:t>6,500</w:t>
            </w:r>
          </w:p>
        </w:tc>
        <w:tc>
          <w:tcPr>
            <w:tcW w:w="50" w:type="pct"/>
            <w:shd w:val="clear" w:color="auto" w:fill="FFFFFF"/>
            <w:noWrap/>
            <w:tcMar>
              <w:top w:w="15" w:type="dxa"/>
              <w:left w:w="0" w:type="dxa"/>
              <w:bottom w:w="0" w:type="dxa"/>
              <w:right w:w="15" w:type="dxa"/>
            </w:tcMar>
            <w:vAlign w:val="bottom"/>
            <w:hideMark/>
          </w:tcPr>
          <w:p w14:paraId="250796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2F2192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F013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bottom"/>
            <w:hideMark/>
          </w:tcPr>
          <w:p w14:paraId="5622ED83" w14:textId="77777777" w:rsidR="00000000" w:rsidRDefault="00582324">
            <w:pPr>
              <w:pStyle w:val="a3"/>
              <w:spacing w:before="0" w:beforeAutospacing="0" w:after="0" w:afterAutospacing="0"/>
              <w:jc w:val="right"/>
              <w:rPr>
                <w:color w:val="000000"/>
                <w:sz w:val="18"/>
                <w:szCs w:val="18"/>
              </w:rPr>
            </w:pPr>
            <w:r>
              <w:rPr>
                <w:color w:val="000000"/>
                <w:sz w:val="18"/>
                <w:szCs w:val="18"/>
              </w:rPr>
              <w:t>1,000</w:t>
            </w:r>
          </w:p>
        </w:tc>
        <w:tc>
          <w:tcPr>
            <w:tcW w:w="50" w:type="pct"/>
            <w:shd w:val="clear" w:color="auto" w:fill="FFFFFF"/>
            <w:noWrap/>
            <w:tcMar>
              <w:top w:w="15" w:type="dxa"/>
              <w:left w:w="0" w:type="dxa"/>
              <w:bottom w:w="0" w:type="dxa"/>
              <w:right w:w="15" w:type="dxa"/>
            </w:tcMar>
            <w:vAlign w:val="bottom"/>
            <w:hideMark/>
          </w:tcPr>
          <w:p w14:paraId="14FE8C9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04633F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7CDE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bottom"/>
            <w:hideMark/>
          </w:tcPr>
          <w:p w14:paraId="47792C75" w14:textId="77777777" w:rsidR="00000000" w:rsidRDefault="00582324">
            <w:pPr>
              <w:pStyle w:val="a3"/>
              <w:spacing w:before="0" w:beforeAutospacing="0" w:after="0" w:afterAutospacing="0"/>
              <w:jc w:val="right"/>
              <w:rPr>
                <w:color w:val="000000"/>
                <w:sz w:val="18"/>
                <w:szCs w:val="18"/>
              </w:rPr>
            </w:pPr>
            <w:r>
              <w:rPr>
                <w:color w:val="000000"/>
                <w:sz w:val="18"/>
                <w:szCs w:val="18"/>
              </w:rPr>
              <w:t>5,500</w:t>
            </w:r>
          </w:p>
        </w:tc>
        <w:tc>
          <w:tcPr>
            <w:tcW w:w="50" w:type="pct"/>
            <w:shd w:val="clear" w:color="auto" w:fill="FFFFFF"/>
            <w:noWrap/>
            <w:tcMar>
              <w:top w:w="15" w:type="dxa"/>
              <w:left w:w="0" w:type="dxa"/>
              <w:bottom w:w="0" w:type="dxa"/>
              <w:right w:w="15" w:type="dxa"/>
            </w:tcMar>
            <w:vAlign w:val="bottom"/>
            <w:hideMark/>
          </w:tcPr>
          <w:p w14:paraId="0EAB68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5" w:type="pct"/>
            <w:shd w:val="clear" w:color="auto" w:fill="FFFFFF"/>
            <w:tcMar>
              <w:top w:w="15" w:type="dxa"/>
              <w:left w:w="0" w:type="dxa"/>
              <w:bottom w:w="0" w:type="dxa"/>
              <w:right w:w="15" w:type="dxa"/>
            </w:tcMar>
            <w:vAlign w:val="bottom"/>
            <w:hideMark/>
          </w:tcPr>
          <w:p w14:paraId="60E195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493280A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904" w:type="pct"/>
            <w:shd w:val="clear" w:color="auto" w:fill="FFFFFF"/>
            <w:noWrap/>
            <w:tcMar>
              <w:top w:w="15" w:type="dxa"/>
              <w:left w:w="0" w:type="dxa"/>
              <w:bottom w:w="0" w:type="dxa"/>
              <w:right w:w="15" w:type="dxa"/>
            </w:tcMar>
            <w:vAlign w:val="center"/>
            <w:hideMark/>
          </w:tcPr>
          <w:p w14:paraId="317EAFB5" w14:textId="77777777" w:rsidR="00000000" w:rsidRDefault="00582324">
            <w:pPr>
              <w:pStyle w:val="a3"/>
              <w:spacing w:before="0" w:beforeAutospacing="0" w:after="0" w:afterAutospacing="0"/>
              <w:jc w:val="right"/>
              <w:rPr>
                <w:color w:val="000000"/>
                <w:sz w:val="18"/>
                <w:szCs w:val="18"/>
              </w:rPr>
            </w:pPr>
            <w:r>
              <w:rPr>
                <w:color w:val="000000"/>
                <w:sz w:val="18"/>
                <w:szCs w:val="18"/>
              </w:rPr>
              <w:t>13,000</w:t>
            </w:r>
          </w:p>
        </w:tc>
        <w:tc>
          <w:tcPr>
            <w:tcW w:w="50" w:type="pct"/>
            <w:shd w:val="clear" w:color="auto" w:fill="FFFFFF"/>
            <w:noWrap/>
            <w:tcMar>
              <w:top w:w="15" w:type="dxa"/>
              <w:left w:w="0" w:type="dxa"/>
              <w:bottom w:w="0" w:type="dxa"/>
              <w:right w:w="15" w:type="dxa"/>
            </w:tcMar>
            <w:vAlign w:val="center"/>
            <w:hideMark/>
          </w:tcPr>
          <w:p w14:paraId="64278433"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4A47D477" w14:textId="77777777" w:rsidR="00000000" w:rsidRDefault="00582324">
      <w:pPr>
        <w:pStyle w:val="a3"/>
        <w:pBdr>
          <w:bottom w:val="single" w:sz="6" w:space="1" w:color="auto"/>
        </w:pBdr>
        <w:shd w:val="clear" w:color="auto" w:fill="FFFFFF"/>
        <w:spacing w:before="0" w:beforeAutospacing="0" w:after="0" w:afterAutospacing="0"/>
        <w:ind w:right="6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08"/>
        <w:gridCol w:w="415"/>
        <w:gridCol w:w="7683"/>
      </w:tblGrid>
      <w:tr w:rsidR="00000000" w14:paraId="67CF31CA" w14:textId="77777777">
        <w:trPr>
          <w:divId w:val="1159922763"/>
        </w:trPr>
        <w:tc>
          <w:tcPr>
            <w:tcW w:w="125" w:type="pct"/>
            <w:noWrap/>
            <w:hideMark/>
          </w:tcPr>
          <w:p w14:paraId="40AEA3DC" w14:textId="77777777" w:rsidR="00000000" w:rsidRDefault="00582324">
            <w:pPr>
              <w:pStyle w:val="a3"/>
              <w:spacing w:before="40" w:beforeAutospacing="0" w:after="0" w:afterAutospacing="0"/>
            </w:pPr>
            <w:r>
              <w:t> </w:t>
            </w:r>
          </w:p>
        </w:tc>
        <w:tc>
          <w:tcPr>
            <w:tcW w:w="250" w:type="pct"/>
            <w:noWrap/>
            <w:hideMark/>
          </w:tcPr>
          <w:p w14:paraId="06D10578" w14:textId="77777777" w:rsidR="00000000" w:rsidRDefault="00582324">
            <w:pPr>
              <w:pStyle w:val="a3"/>
              <w:spacing w:before="40" w:beforeAutospacing="0" w:after="0" w:afterAutospacing="0"/>
              <w:rPr>
                <w:sz w:val="20"/>
                <w:szCs w:val="20"/>
              </w:rPr>
            </w:pPr>
            <w:r>
              <w:rPr>
                <w:sz w:val="20"/>
                <w:szCs w:val="20"/>
              </w:rPr>
              <w:t>(1</w:t>
            </w:r>
            <w:r>
              <w:rPr>
                <w:sz w:val="20"/>
                <w:szCs w:val="20"/>
              </w:rPr>
              <w:t>)</w:t>
            </w:r>
          </w:p>
        </w:tc>
        <w:tc>
          <w:tcPr>
            <w:tcW w:w="0" w:type="auto"/>
            <w:hideMark/>
          </w:tcPr>
          <w:p w14:paraId="1BCB7834" w14:textId="77777777" w:rsidR="00000000" w:rsidRDefault="00582324">
            <w:pPr>
              <w:pStyle w:val="a3"/>
              <w:spacing w:before="40" w:beforeAutospacing="0" w:after="0" w:afterAutospacing="0"/>
            </w:pPr>
            <w:r>
              <w:rPr>
                <w:color w:val="000000"/>
                <w:sz w:val="18"/>
                <w:szCs w:val="18"/>
              </w:rPr>
              <w:t xml:space="preserve">The cash portion of these acquisitions’ </w:t>
            </w:r>
            <w:r>
              <w:rPr>
                <w:color w:val="000000"/>
                <w:sz w:val="18"/>
                <w:szCs w:val="18"/>
              </w:rPr>
              <w:t>purchase price was funded through cash on hand.</w:t>
            </w:r>
          </w:p>
        </w:tc>
      </w:tr>
    </w:tbl>
    <w:tbl>
      <w:tblPr>
        <w:tblW w:w="5000" w:type="pct"/>
        <w:tblCellMar>
          <w:left w:w="0" w:type="dxa"/>
          <w:right w:w="0" w:type="dxa"/>
        </w:tblCellMar>
        <w:tblLook w:val="04A0" w:firstRow="1" w:lastRow="0" w:firstColumn="1" w:lastColumn="0" w:noHBand="0" w:noVBand="1"/>
      </w:tblPr>
      <w:tblGrid>
        <w:gridCol w:w="207"/>
        <w:gridCol w:w="415"/>
        <w:gridCol w:w="480"/>
      </w:tblGrid>
      <w:tr w:rsidR="00000000" w14:paraId="77194C7D" w14:textId="77777777">
        <w:tc>
          <w:tcPr>
            <w:tcW w:w="125" w:type="pct"/>
            <w:noWrap/>
            <w:hideMark/>
          </w:tcPr>
          <w:p w14:paraId="12B5F67D" w14:textId="77777777" w:rsidR="00000000" w:rsidRDefault="00582324">
            <w:pPr>
              <w:pStyle w:val="a3"/>
              <w:spacing w:before="40" w:beforeAutospacing="0" w:after="0" w:afterAutospacing="0"/>
            </w:pPr>
            <w:r>
              <w:t> </w:t>
            </w:r>
          </w:p>
        </w:tc>
        <w:tc>
          <w:tcPr>
            <w:tcW w:w="250" w:type="pct"/>
            <w:noWrap/>
            <w:hideMark/>
          </w:tcPr>
          <w:p w14:paraId="69BDE6A9" w14:textId="77777777" w:rsidR="00000000" w:rsidRDefault="00582324">
            <w:pPr>
              <w:pStyle w:val="a3"/>
              <w:spacing w:before="40" w:beforeAutospacing="0" w:after="0" w:afterAutospacing="0"/>
              <w:rPr>
                <w:sz w:val="20"/>
                <w:szCs w:val="20"/>
              </w:rPr>
            </w:pPr>
            <w:r>
              <w:rPr>
                <w:sz w:val="20"/>
                <w:szCs w:val="20"/>
              </w:rPr>
              <w:t>(2</w:t>
            </w:r>
            <w:r>
              <w:rPr>
                <w:sz w:val="20"/>
                <w:szCs w:val="20"/>
              </w:rPr>
              <w:t>)</w:t>
            </w:r>
          </w:p>
        </w:tc>
        <w:tc>
          <w:tcPr>
            <w:tcW w:w="0" w:type="auto"/>
            <w:hideMark/>
          </w:tcPr>
          <w:p w14:paraId="3546C5A6" w14:textId="77777777" w:rsidR="00000000" w:rsidRDefault="00582324">
            <w:pPr>
              <w:pStyle w:val="a3"/>
              <w:spacing w:before="40" w:beforeAutospacing="0" w:after="0" w:afterAutospacing="0"/>
            </w:pPr>
            <w:r>
              <w:rPr>
                <w:color w:val="000000"/>
                <w:sz w:val="18"/>
                <w:szCs w:val="18"/>
              </w:rPr>
              <w:t>The common stock component was paid through the issuance of 43,100 and 19,638 shares of common stock for EI and Sensible, respectively.</w:t>
            </w:r>
            <w:r>
              <w:t xml:space="preserve"> </w:t>
            </w:r>
          </w:p>
        </w:tc>
      </w:tr>
    </w:tbl>
    <w:p w14:paraId="209859CA" w14:textId="77777777" w:rsidR="00000000" w:rsidRDefault="00582324">
      <w:pPr>
        <w:divId w:val="791898383"/>
        <w:rPr>
          <w:rFonts w:eastAsia="Times New Roman"/>
          <w:vanish/>
        </w:rPr>
      </w:pPr>
    </w:p>
    <w:tbl>
      <w:tblPr>
        <w:tblW w:w="5000" w:type="pct"/>
        <w:tblCellMar>
          <w:left w:w="0" w:type="dxa"/>
          <w:right w:w="0" w:type="dxa"/>
        </w:tblCellMar>
        <w:tblLook w:val="04A0" w:firstRow="1" w:lastRow="0" w:firstColumn="1" w:lastColumn="0" w:noHBand="0" w:noVBand="1"/>
      </w:tblPr>
      <w:tblGrid>
        <w:gridCol w:w="208"/>
        <w:gridCol w:w="415"/>
        <w:gridCol w:w="7683"/>
      </w:tblGrid>
      <w:tr w:rsidR="00000000" w14:paraId="424C6693" w14:textId="77777777">
        <w:trPr>
          <w:divId w:val="791898383"/>
        </w:trPr>
        <w:tc>
          <w:tcPr>
            <w:tcW w:w="125" w:type="pct"/>
            <w:noWrap/>
            <w:hideMark/>
          </w:tcPr>
          <w:p w14:paraId="0FB94FF6" w14:textId="77777777" w:rsidR="00000000" w:rsidRDefault="00582324">
            <w:pPr>
              <w:pStyle w:val="a3"/>
              <w:spacing w:before="40" w:beforeAutospacing="0" w:after="0" w:afterAutospacing="0"/>
            </w:pPr>
            <w:r>
              <w:t> </w:t>
            </w:r>
          </w:p>
        </w:tc>
        <w:tc>
          <w:tcPr>
            <w:tcW w:w="250" w:type="pct"/>
            <w:noWrap/>
            <w:hideMark/>
          </w:tcPr>
          <w:p w14:paraId="533D3EF9" w14:textId="77777777" w:rsidR="00000000" w:rsidRDefault="00582324">
            <w:pPr>
              <w:pStyle w:val="a3"/>
              <w:spacing w:before="40" w:beforeAutospacing="0" w:after="0" w:afterAutospacing="0"/>
              <w:rPr>
                <w:sz w:val="20"/>
                <w:szCs w:val="20"/>
              </w:rPr>
            </w:pPr>
            <w:r>
              <w:rPr>
                <w:sz w:val="20"/>
                <w:szCs w:val="20"/>
              </w:rPr>
              <w:t>(3</w:t>
            </w:r>
            <w:r>
              <w:rPr>
                <w:sz w:val="20"/>
                <w:szCs w:val="20"/>
              </w:rPr>
              <w:t>)</w:t>
            </w:r>
          </w:p>
        </w:tc>
        <w:tc>
          <w:tcPr>
            <w:tcW w:w="0" w:type="auto"/>
            <w:hideMark/>
          </w:tcPr>
          <w:p w14:paraId="6FA5AF8B" w14:textId="77777777" w:rsidR="00000000" w:rsidRDefault="00582324">
            <w:pPr>
              <w:pStyle w:val="a3"/>
              <w:spacing w:before="40" w:beforeAutospacing="0" w:after="0" w:afterAutospacing="0"/>
            </w:pPr>
            <w:r>
              <w:rPr>
                <w:color w:val="000000"/>
                <w:sz w:val="18"/>
                <w:szCs w:val="18"/>
              </w:rPr>
              <w:t>The other purchase price component for EI consists of a</w:t>
            </w:r>
            <w:r>
              <w:rPr>
                <w:color w:val="000000"/>
                <w:sz w:val="18"/>
                <w:szCs w:val="18"/>
              </w:rPr>
              <w:t xml:space="preserve"> potential working capital target payment, which is undetermined at this time. The other purchase price components of Sensible consist of an earn out that will be paid in common stock as targets are met, as well as, a potential working capital target payme</w:t>
            </w:r>
            <w:r>
              <w:rPr>
                <w:color w:val="000000"/>
                <w:sz w:val="18"/>
                <w:szCs w:val="18"/>
              </w:rPr>
              <w:t xml:space="preserve">nt, which is undetermined at this time. </w:t>
            </w:r>
          </w:p>
        </w:tc>
      </w:tr>
    </w:tbl>
    <w:p w14:paraId="0807F1A5" w14:textId="77777777" w:rsidR="00000000" w:rsidRDefault="00582324">
      <w:pPr>
        <w:pStyle w:val="a3"/>
        <w:spacing w:before="240" w:beforeAutospacing="0" w:after="0" w:afterAutospacing="0"/>
        <w:ind w:firstLine="545"/>
        <w:rPr>
          <w:color w:val="000000"/>
          <w:sz w:val="20"/>
          <w:szCs w:val="20"/>
        </w:rPr>
      </w:pPr>
      <w:r>
        <w:rPr>
          <w:color w:val="000000"/>
          <w:sz w:val="20"/>
          <w:szCs w:val="20"/>
        </w:rPr>
        <w:t>The Company has not yet completed the initial purchase price allocation for these acquisitions, including obtaining all of the information required for the valuation of the acquired intangible assets, goodwill, ass</w:t>
      </w:r>
      <w:r>
        <w:rPr>
          <w:color w:val="000000"/>
          <w:sz w:val="20"/>
          <w:szCs w:val="20"/>
        </w:rPr>
        <w:t>ets and liabilities assumed, due to the timing of the close of the transaction.</w:t>
      </w:r>
    </w:p>
    <w:p w14:paraId="33CDEB0F" w14:textId="77777777" w:rsidR="00000000" w:rsidRDefault="00582324">
      <w:pPr>
        <w:pStyle w:val="a3"/>
        <w:spacing w:before="120" w:beforeAutospacing="0" w:after="0" w:afterAutospacing="0"/>
        <w:ind w:firstLine="416"/>
        <w:rPr>
          <w:sz w:val="20"/>
          <w:szCs w:val="20"/>
        </w:rPr>
      </w:pPr>
      <w:r>
        <w:rPr>
          <w:sz w:val="20"/>
          <w:szCs w:val="20"/>
        </w:rPr>
        <w:t>   </w:t>
      </w:r>
    </w:p>
    <w:p w14:paraId="7DBF670D" w14:textId="77777777" w:rsidR="00000000" w:rsidRDefault="00582324">
      <w:pPr>
        <w:pStyle w:val="a3"/>
        <w:spacing w:before="120" w:beforeAutospacing="0" w:after="0" w:afterAutospacing="0"/>
        <w:rPr>
          <w:sz w:val="20"/>
          <w:szCs w:val="20"/>
        </w:rPr>
      </w:pPr>
      <w:r>
        <w:rPr>
          <w:sz w:val="20"/>
          <w:szCs w:val="20"/>
        </w:rPr>
        <w:t>   </w:t>
      </w:r>
    </w:p>
    <w:p w14:paraId="32E15E4D" w14:textId="77777777" w:rsidR="00000000" w:rsidRDefault="00582324">
      <w:pPr>
        <w:pStyle w:val="a3"/>
        <w:spacing w:before="120" w:beforeAutospacing="0" w:after="0" w:afterAutospacing="0"/>
        <w:rPr>
          <w:sz w:val="20"/>
          <w:szCs w:val="20"/>
        </w:rPr>
      </w:pPr>
      <w:r>
        <w:rPr>
          <w:sz w:val="20"/>
          <w:szCs w:val="20"/>
        </w:rPr>
        <w:t>    </w:t>
      </w:r>
    </w:p>
    <w:p w14:paraId="0AEB7E20" w14:textId="77777777" w:rsidR="00000000" w:rsidRDefault="00582324">
      <w:pPr>
        <w:pStyle w:val="a3"/>
        <w:spacing w:before="240" w:beforeAutospacing="0" w:after="0" w:afterAutospacing="0"/>
        <w:jc w:val="center"/>
        <w:rPr>
          <w:sz w:val="20"/>
          <w:szCs w:val="20"/>
        </w:rPr>
      </w:pPr>
      <w:r>
        <w:rPr>
          <w:sz w:val="20"/>
          <w:szCs w:val="20"/>
        </w:rPr>
        <w:t>30</w:t>
      </w:r>
    </w:p>
    <w:p w14:paraId="0752566A" w14:textId="77777777" w:rsidR="00000000" w:rsidRDefault="00582324">
      <w:pPr>
        <w:rPr>
          <w:rFonts w:eastAsia="Times New Roman"/>
        </w:rPr>
      </w:pPr>
      <w:r>
        <w:rPr>
          <w:rFonts w:eastAsia="Times New Roman"/>
        </w:rPr>
        <w:pict w14:anchorId="4571B86E">
          <v:rect id="_x0000_i1056" style="width:0;height:1.5pt" o:hralign="center" o:hrstd="t" o:hr="t" fillcolor="#a0a0a0" stroked="f"/>
        </w:pict>
      </w:r>
    </w:p>
    <w:p w14:paraId="7CC9CA3D" w14:textId="77777777" w:rsidR="00000000" w:rsidRDefault="00582324">
      <w:pPr>
        <w:pStyle w:val="a3"/>
        <w:spacing w:before="0" w:beforeAutospacing="0" w:after="0" w:afterAutospacing="0"/>
        <w:rPr>
          <w:sz w:val="20"/>
          <w:szCs w:val="20"/>
        </w:rPr>
      </w:pPr>
      <w:r>
        <w:rPr>
          <w:sz w:val="20"/>
          <w:szCs w:val="20"/>
        </w:rPr>
        <w:t> </w:t>
      </w:r>
    </w:p>
    <w:p w14:paraId="64608D07" w14:textId="77777777" w:rsidR="00000000" w:rsidRDefault="00582324">
      <w:pPr>
        <w:pStyle w:val="a3"/>
        <w:spacing w:before="0" w:beforeAutospacing="0" w:after="0" w:afterAutospacing="0"/>
        <w:rPr>
          <w:sz w:val="20"/>
          <w:szCs w:val="20"/>
        </w:rPr>
      </w:pPr>
      <w:r>
        <w:rPr>
          <w:sz w:val="20"/>
          <w:szCs w:val="20"/>
        </w:rPr>
        <w:t> </w:t>
      </w:r>
    </w:p>
    <w:p w14:paraId="670F43F2" w14:textId="77777777" w:rsidR="00000000" w:rsidRDefault="00582324">
      <w:pPr>
        <w:pStyle w:val="a3"/>
        <w:spacing w:before="0" w:beforeAutospacing="0" w:after="0" w:afterAutospacing="0"/>
        <w:jc w:val="center"/>
        <w:rPr>
          <w:b/>
          <w:bCs/>
          <w:sz w:val="20"/>
          <w:szCs w:val="20"/>
        </w:rPr>
      </w:pPr>
      <w:r>
        <w:rPr>
          <w:b/>
          <w:bCs/>
          <w:sz w:val="20"/>
          <w:szCs w:val="20"/>
        </w:rPr>
        <w:t>FORWARD-LOOKING STATEMENTS</w:t>
      </w:r>
    </w:p>
    <w:p w14:paraId="4FAE8529" w14:textId="77777777" w:rsidR="00000000" w:rsidRDefault="00582324">
      <w:pPr>
        <w:pStyle w:val="a3"/>
        <w:spacing w:before="240" w:beforeAutospacing="0" w:after="0" w:afterAutospacing="0"/>
        <w:ind w:firstLine="416"/>
        <w:rPr>
          <w:sz w:val="20"/>
          <w:szCs w:val="20"/>
        </w:rPr>
      </w:pPr>
      <w:r>
        <w:rPr>
          <w:sz w:val="20"/>
          <w:szCs w:val="20"/>
        </w:rPr>
        <w:t xml:space="preserve">This Quarterly Report on Form 10-Q contains “forward-looking statements” within the meaning of Section 27A of the Securities Act of 1933, as amended, or the Securities Act, and Section 21E </w:t>
      </w:r>
      <w:r>
        <w:rPr>
          <w:sz w:val="20"/>
          <w:szCs w:val="20"/>
        </w:rPr>
        <w:t>of the Securities Exchange Act of 1934, as amended, or the Exchange Act. These forward-looking statements relate to matters such as our industry, business strategy, goals and expectations concerning our market position, future operations, margins, profitab</w:t>
      </w:r>
      <w:r>
        <w:rPr>
          <w:sz w:val="20"/>
          <w:szCs w:val="20"/>
        </w:rPr>
        <w:t>ility, capital expenditures, liquidity, capital resources and other financial and operating information. We use words such as “anticipate,” “assume,” “believe,” “contemplate,” “continue,” “could,” “estimate,” “expect,” “future,” “intend,” “may,” “plan,” “p</w:t>
      </w:r>
      <w:r>
        <w:rPr>
          <w:sz w:val="20"/>
          <w:szCs w:val="20"/>
        </w:rPr>
        <w:t>osition,” “potential,” “predict,” “project,” “seek,” “should,” “target,” “will” and similar terms and phrases to identify forward-looking statements in this filing. All of our forward-looking statements are subject to risks and uncertainties that may cause</w:t>
      </w:r>
      <w:r>
        <w:rPr>
          <w:sz w:val="20"/>
          <w:szCs w:val="20"/>
        </w:rPr>
        <w:t xml:space="preserve"> actual results to differ materially from those that we are expecting, including:</w:t>
      </w: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1AF38514" w14:textId="77777777">
        <w:trPr>
          <w:divId w:val="2097747953"/>
        </w:trPr>
        <w:tc>
          <w:tcPr>
            <w:tcW w:w="170" w:type="pct"/>
            <w:noWrap/>
            <w:hideMark/>
          </w:tcPr>
          <w:p w14:paraId="75376576"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693C4B76"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4927E7C6" w14:textId="77777777" w:rsidR="00000000" w:rsidRDefault="00582324">
            <w:pPr>
              <w:pStyle w:val="a3"/>
              <w:spacing w:before="120" w:beforeAutospacing="0" w:after="0" w:afterAutospacing="0"/>
              <w:rPr>
                <w:sz w:val="20"/>
                <w:szCs w:val="20"/>
              </w:rPr>
            </w:pPr>
            <w:r>
              <w:rPr>
                <w:color w:val="000000"/>
                <w:sz w:val="20"/>
                <w:szCs w:val="20"/>
              </w:rPr>
              <w:t>our limited operating history;</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0AD69F9B" w14:textId="77777777">
        <w:tc>
          <w:tcPr>
            <w:tcW w:w="170" w:type="pct"/>
            <w:noWrap/>
            <w:hideMark/>
          </w:tcPr>
          <w:p w14:paraId="0B450432"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1BEA0EB"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39303E66" w14:textId="77777777" w:rsidR="00000000" w:rsidRDefault="00582324">
            <w:pPr>
              <w:pStyle w:val="a3"/>
              <w:spacing w:before="120" w:beforeAutospacing="0" w:after="0" w:afterAutospacing="0"/>
              <w:rPr>
                <w:sz w:val="20"/>
                <w:szCs w:val="20"/>
              </w:rPr>
            </w:pPr>
            <w:r>
              <w:rPr>
                <w:color w:val="000000"/>
                <w:sz w:val="20"/>
                <w:szCs w:val="20"/>
              </w:rPr>
              <w:t xml:space="preserve">our history of losses and ability to achieve profitability; </w:t>
            </w:r>
          </w:p>
        </w:tc>
      </w:tr>
    </w:tbl>
    <w:p w14:paraId="66B5BAE6" w14:textId="77777777" w:rsidR="00000000" w:rsidRDefault="00582324">
      <w:pPr>
        <w:divId w:val="1516572061"/>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693C149C" w14:textId="77777777">
        <w:trPr>
          <w:divId w:val="1516572061"/>
        </w:trPr>
        <w:tc>
          <w:tcPr>
            <w:tcW w:w="170" w:type="pct"/>
            <w:noWrap/>
            <w:hideMark/>
          </w:tcPr>
          <w:p w14:paraId="64CFEF3B"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181996EF"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28C002E7" w14:textId="77777777" w:rsidR="00000000" w:rsidRDefault="00582324">
            <w:pPr>
              <w:pStyle w:val="a3"/>
              <w:spacing w:before="120" w:beforeAutospacing="0" w:after="0" w:afterAutospacing="0"/>
              <w:rPr>
                <w:sz w:val="20"/>
                <w:szCs w:val="20"/>
              </w:rPr>
            </w:pPr>
            <w:r>
              <w:rPr>
                <w:color w:val="000000"/>
                <w:sz w:val="20"/>
                <w:szCs w:val="20"/>
              </w:rPr>
              <w:t>general global economic, business and other conditions, the cyclical nature of our industry and the significant fluctuations in events that impact our business;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7956B98A" w14:textId="77777777">
        <w:tc>
          <w:tcPr>
            <w:tcW w:w="170" w:type="pct"/>
            <w:noWrap/>
            <w:hideMark/>
          </w:tcPr>
          <w:p w14:paraId="40EF8375"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3F92F0BA"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0329E584" w14:textId="77777777" w:rsidR="00000000" w:rsidRDefault="00582324">
            <w:pPr>
              <w:pStyle w:val="a3"/>
              <w:spacing w:before="120" w:beforeAutospacing="0" w:after="0" w:afterAutospacing="0"/>
              <w:rPr>
                <w:sz w:val="20"/>
                <w:szCs w:val="20"/>
              </w:rPr>
            </w:pPr>
            <w:r>
              <w:rPr>
                <w:color w:val="000000"/>
                <w:sz w:val="20"/>
                <w:szCs w:val="20"/>
              </w:rPr>
              <w:t>the impact of the COVID-19 pandemic on our business operations and on local, national and</w:t>
            </w:r>
            <w:r>
              <w:rPr>
                <w:color w:val="000000"/>
                <w:sz w:val="20"/>
                <w:szCs w:val="20"/>
              </w:rPr>
              <w:t xml:space="preserve"> global economies;</w:t>
            </w:r>
          </w:p>
        </w:tc>
      </w:tr>
    </w:tbl>
    <w:p w14:paraId="0F18D302" w14:textId="77777777" w:rsidR="00000000" w:rsidRDefault="00582324">
      <w:pPr>
        <w:divId w:val="1374959392"/>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6C6A49CA" w14:textId="77777777">
        <w:trPr>
          <w:divId w:val="1374959392"/>
        </w:trPr>
        <w:tc>
          <w:tcPr>
            <w:tcW w:w="170" w:type="pct"/>
            <w:noWrap/>
            <w:hideMark/>
          </w:tcPr>
          <w:p w14:paraId="46639F1C"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6DBD587"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A9B8C82" w14:textId="77777777" w:rsidR="00000000" w:rsidRDefault="00582324">
            <w:pPr>
              <w:pStyle w:val="a3"/>
              <w:spacing w:before="120" w:beforeAutospacing="0" w:after="0" w:afterAutospacing="0"/>
              <w:rPr>
                <w:sz w:val="20"/>
                <w:szCs w:val="20"/>
              </w:rPr>
            </w:pPr>
            <w:r>
              <w:rPr>
                <w:color w:val="000000"/>
                <w:sz w:val="20"/>
                <w:szCs w:val="20"/>
              </w:rPr>
              <w:t>the parts of our business that depend on difficult to predict natural or manmade events and the fluctuations in our revenue and customer concentration as a result thereof;</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2AB9D47F" w14:textId="77777777">
        <w:tc>
          <w:tcPr>
            <w:tcW w:w="170" w:type="pct"/>
            <w:noWrap/>
            <w:hideMark/>
          </w:tcPr>
          <w:p w14:paraId="449DC02C"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2E22023"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7F7DBD8" w14:textId="77777777" w:rsidR="00000000" w:rsidRDefault="00582324">
            <w:pPr>
              <w:pStyle w:val="a3"/>
              <w:spacing w:before="120" w:beforeAutospacing="0" w:after="0" w:afterAutospacing="0"/>
              <w:rPr>
                <w:sz w:val="20"/>
                <w:szCs w:val="20"/>
              </w:rPr>
            </w:pPr>
            <w:r>
              <w:rPr>
                <w:color w:val="000000"/>
                <w:sz w:val="20"/>
                <w:szCs w:val="20"/>
              </w:rPr>
              <w:t>the highly competitive nature of our business;</w:t>
            </w:r>
          </w:p>
        </w:tc>
      </w:tr>
    </w:tbl>
    <w:p w14:paraId="3619DC9C" w14:textId="77777777" w:rsidR="00000000" w:rsidRDefault="00582324">
      <w:pPr>
        <w:divId w:val="1035471712"/>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26B77CAD" w14:textId="77777777">
        <w:trPr>
          <w:divId w:val="1035471712"/>
        </w:trPr>
        <w:tc>
          <w:tcPr>
            <w:tcW w:w="170" w:type="pct"/>
            <w:noWrap/>
            <w:hideMark/>
          </w:tcPr>
          <w:p w14:paraId="193129A9"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0E17FBD5"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4924E023" w14:textId="77777777" w:rsidR="00000000" w:rsidRDefault="00582324">
            <w:pPr>
              <w:pStyle w:val="a3"/>
              <w:spacing w:before="120" w:beforeAutospacing="0" w:after="0" w:afterAutospacing="0"/>
              <w:rPr>
                <w:sz w:val="20"/>
                <w:szCs w:val="20"/>
              </w:rPr>
            </w:pPr>
            <w:r>
              <w:rPr>
                <w:color w:val="000000"/>
                <w:sz w:val="20"/>
                <w:szCs w:val="20"/>
              </w:rPr>
              <w:t>our ability to execute on our acquisition strategy and successfully integrate and realize benefits of our acquisitions;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22ED21ED" w14:textId="77777777">
        <w:tc>
          <w:tcPr>
            <w:tcW w:w="170" w:type="pct"/>
            <w:noWrap/>
            <w:hideMark/>
          </w:tcPr>
          <w:p w14:paraId="6836CA25"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18F5CA5B"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2860C187" w14:textId="77777777" w:rsidR="00000000" w:rsidRDefault="00582324">
            <w:pPr>
              <w:pStyle w:val="a3"/>
              <w:spacing w:before="120" w:beforeAutospacing="0" w:after="0" w:afterAutospacing="0"/>
              <w:rPr>
                <w:sz w:val="20"/>
                <w:szCs w:val="20"/>
              </w:rPr>
            </w:pPr>
            <w:r>
              <w:rPr>
                <w:color w:val="000000"/>
                <w:sz w:val="20"/>
                <w:szCs w:val="20"/>
              </w:rPr>
              <w:t>our ability to promote and develop our brands;</w:t>
            </w:r>
          </w:p>
        </w:tc>
      </w:tr>
    </w:tbl>
    <w:p w14:paraId="7E3B3851" w14:textId="77777777" w:rsidR="00000000" w:rsidRDefault="00582324">
      <w:pPr>
        <w:divId w:val="1999765969"/>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701B7028" w14:textId="77777777">
        <w:trPr>
          <w:divId w:val="1999765969"/>
        </w:trPr>
        <w:tc>
          <w:tcPr>
            <w:tcW w:w="170" w:type="pct"/>
            <w:noWrap/>
            <w:hideMark/>
          </w:tcPr>
          <w:p w14:paraId="40EC769C"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4A8F09D3"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C78C49B" w14:textId="77777777" w:rsidR="00000000" w:rsidRDefault="00582324">
            <w:pPr>
              <w:pStyle w:val="a3"/>
              <w:spacing w:before="120" w:beforeAutospacing="0" w:after="0" w:afterAutospacing="0"/>
              <w:rPr>
                <w:sz w:val="20"/>
                <w:szCs w:val="20"/>
              </w:rPr>
            </w:pPr>
            <w:r>
              <w:rPr>
                <w:color w:val="000000"/>
                <w:sz w:val="20"/>
                <w:szCs w:val="20"/>
              </w:rPr>
              <w:t>our ability to maintain and expand our client base;</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0D7578DD" w14:textId="77777777">
        <w:tc>
          <w:tcPr>
            <w:tcW w:w="170" w:type="pct"/>
            <w:noWrap/>
            <w:hideMark/>
          </w:tcPr>
          <w:p w14:paraId="67AAA67D"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18C20246"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5DDEA61" w14:textId="77777777" w:rsidR="00000000" w:rsidRDefault="00582324">
            <w:pPr>
              <w:pStyle w:val="a3"/>
              <w:spacing w:before="120" w:beforeAutospacing="0" w:after="0" w:afterAutospacing="0"/>
              <w:rPr>
                <w:sz w:val="20"/>
                <w:szCs w:val="20"/>
              </w:rPr>
            </w:pPr>
            <w:r>
              <w:rPr>
                <w:color w:val="000000"/>
                <w:sz w:val="20"/>
                <w:szCs w:val="20"/>
              </w:rPr>
              <w:t>our ability to main</w:t>
            </w:r>
            <w:r>
              <w:rPr>
                <w:color w:val="000000"/>
                <w:sz w:val="20"/>
                <w:szCs w:val="20"/>
              </w:rPr>
              <w:t>tain necessary accreditations and other authorizations in varying jurisdictions;</w:t>
            </w:r>
          </w:p>
        </w:tc>
      </w:tr>
    </w:tbl>
    <w:p w14:paraId="6EAA5FCB" w14:textId="77777777" w:rsidR="00000000" w:rsidRDefault="00582324">
      <w:pPr>
        <w:divId w:val="1336570777"/>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6898A1B6" w14:textId="77777777">
        <w:trPr>
          <w:divId w:val="1336570777"/>
        </w:trPr>
        <w:tc>
          <w:tcPr>
            <w:tcW w:w="170" w:type="pct"/>
            <w:noWrap/>
            <w:hideMark/>
          </w:tcPr>
          <w:p w14:paraId="1929E0B7"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69E8A98"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3B37D950" w14:textId="77777777" w:rsidR="00000000" w:rsidRDefault="00582324">
            <w:pPr>
              <w:pStyle w:val="a3"/>
              <w:spacing w:before="120" w:beforeAutospacing="0" w:after="0" w:afterAutospacing="0"/>
              <w:rPr>
                <w:sz w:val="20"/>
                <w:szCs w:val="20"/>
              </w:rPr>
            </w:pPr>
            <w:r>
              <w:rPr>
                <w:color w:val="000000"/>
                <w:sz w:val="20"/>
                <w:szCs w:val="20"/>
              </w:rPr>
              <w:t>significant environmental governmental regulation;</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05102D1C" w14:textId="77777777">
        <w:tc>
          <w:tcPr>
            <w:tcW w:w="170" w:type="pct"/>
            <w:noWrap/>
            <w:hideMark/>
          </w:tcPr>
          <w:p w14:paraId="4280A02E"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5B8DCF1D"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A4F7389" w14:textId="77777777" w:rsidR="00000000" w:rsidRDefault="00582324">
            <w:pPr>
              <w:pStyle w:val="a3"/>
              <w:spacing w:before="120" w:beforeAutospacing="0" w:after="0" w:afterAutospacing="0"/>
              <w:rPr>
                <w:sz w:val="20"/>
                <w:szCs w:val="20"/>
              </w:rPr>
            </w:pPr>
            <w:r>
              <w:rPr>
                <w:color w:val="000000"/>
                <w:sz w:val="20"/>
                <w:szCs w:val="20"/>
              </w:rPr>
              <w:t>our ability to attract and retain qualified managerial and skilled technical personnel;</w:t>
            </w:r>
          </w:p>
        </w:tc>
      </w:tr>
    </w:tbl>
    <w:p w14:paraId="589F3295" w14:textId="77777777" w:rsidR="00000000" w:rsidRDefault="00582324">
      <w:pPr>
        <w:divId w:val="420491743"/>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1923CBD1" w14:textId="77777777">
        <w:trPr>
          <w:divId w:val="420491743"/>
        </w:trPr>
        <w:tc>
          <w:tcPr>
            <w:tcW w:w="170" w:type="pct"/>
            <w:noWrap/>
            <w:hideMark/>
          </w:tcPr>
          <w:p w14:paraId="6E646CCC"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1DAEB2D1"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520EB432" w14:textId="77777777" w:rsidR="00000000" w:rsidRDefault="00582324">
            <w:pPr>
              <w:pStyle w:val="a3"/>
              <w:spacing w:before="120" w:beforeAutospacing="0" w:after="0" w:afterAutospacing="0"/>
              <w:rPr>
                <w:sz w:val="20"/>
                <w:szCs w:val="20"/>
              </w:rPr>
            </w:pPr>
            <w:r>
              <w:rPr>
                <w:color w:val="000000"/>
                <w:sz w:val="20"/>
                <w:szCs w:val="20"/>
              </w:rPr>
              <w:t>safety-related issues;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1656B560" w14:textId="77777777">
        <w:tc>
          <w:tcPr>
            <w:tcW w:w="170" w:type="pct"/>
            <w:noWrap/>
            <w:hideMark/>
          </w:tcPr>
          <w:p w14:paraId="0D4EC8C0"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22782D97"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7779CA66" w14:textId="77777777" w:rsidR="00000000" w:rsidRDefault="00582324">
            <w:pPr>
              <w:pStyle w:val="a3"/>
              <w:spacing w:before="120" w:beforeAutospacing="0" w:after="0" w:afterAutospacing="0"/>
              <w:rPr>
                <w:sz w:val="20"/>
                <w:szCs w:val="20"/>
              </w:rPr>
            </w:pPr>
            <w:r>
              <w:rPr>
                <w:color w:val="000000"/>
                <w:sz w:val="20"/>
                <w:szCs w:val="20"/>
              </w:rPr>
              <w:t>allegations regarding compliance with professional standards, duties and statutory obligations and our ability to provide accurate re</w:t>
            </w:r>
            <w:r>
              <w:rPr>
                <w:color w:val="000000"/>
                <w:sz w:val="20"/>
                <w:szCs w:val="20"/>
              </w:rPr>
              <w:t>sults;</w:t>
            </w:r>
          </w:p>
        </w:tc>
      </w:tr>
    </w:tbl>
    <w:p w14:paraId="1778E358" w14:textId="77777777" w:rsidR="00000000" w:rsidRDefault="00582324">
      <w:pPr>
        <w:divId w:val="723061525"/>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1567F037" w14:textId="77777777">
        <w:trPr>
          <w:divId w:val="723061525"/>
        </w:trPr>
        <w:tc>
          <w:tcPr>
            <w:tcW w:w="170" w:type="pct"/>
            <w:noWrap/>
            <w:hideMark/>
          </w:tcPr>
          <w:p w14:paraId="13B654AE"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54DB430B"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7AA7E0CC" w14:textId="77777777" w:rsidR="00000000" w:rsidRDefault="00582324">
            <w:pPr>
              <w:pStyle w:val="a3"/>
              <w:spacing w:before="120" w:beforeAutospacing="0" w:after="0" w:afterAutospacing="0"/>
              <w:rPr>
                <w:sz w:val="20"/>
                <w:szCs w:val="20"/>
              </w:rPr>
            </w:pPr>
            <w:r>
              <w:rPr>
                <w:color w:val="000000"/>
                <w:sz w:val="20"/>
                <w:szCs w:val="20"/>
              </w:rPr>
              <w:t>the lack of formal long-term agreements with many of our clients;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286413E2" w14:textId="77777777">
        <w:tc>
          <w:tcPr>
            <w:tcW w:w="170" w:type="pct"/>
            <w:noWrap/>
            <w:hideMark/>
          </w:tcPr>
          <w:p w14:paraId="4F773C6E"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2C56289F"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00611B61" w14:textId="77777777" w:rsidR="00000000" w:rsidRDefault="00582324">
            <w:pPr>
              <w:pStyle w:val="a3"/>
              <w:spacing w:before="120" w:beforeAutospacing="0" w:after="0" w:afterAutospacing="0"/>
              <w:rPr>
                <w:sz w:val="20"/>
                <w:szCs w:val="20"/>
              </w:rPr>
            </w:pPr>
            <w:r>
              <w:rPr>
                <w:color w:val="000000"/>
                <w:sz w:val="20"/>
                <w:szCs w:val="20"/>
              </w:rPr>
              <w:t>our ability to successfully implement our new enterprise resource planning system;</w:t>
            </w:r>
          </w:p>
        </w:tc>
      </w:tr>
    </w:tbl>
    <w:p w14:paraId="225B8F0F" w14:textId="77777777" w:rsidR="00000000" w:rsidRDefault="00582324">
      <w:pPr>
        <w:divId w:val="1063482319"/>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74BDD527" w14:textId="77777777">
        <w:trPr>
          <w:divId w:val="1063482319"/>
        </w:trPr>
        <w:tc>
          <w:tcPr>
            <w:tcW w:w="170" w:type="pct"/>
            <w:noWrap/>
            <w:hideMark/>
          </w:tcPr>
          <w:p w14:paraId="2D8BFF07"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6EC37B71"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5C639E54" w14:textId="77777777" w:rsidR="00000000" w:rsidRDefault="00582324">
            <w:pPr>
              <w:pStyle w:val="a3"/>
              <w:spacing w:before="120" w:beforeAutospacing="0" w:after="0" w:afterAutospacing="0"/>
              <w:rPr>
                <w:sz w:val="20"/>
                <w:szCs w:val="20"/>
              </w:rPr>
            </w:pPr>
            <w:r>
              <w:rPr>
                <w:color w:val="000000"/>
                <w:sz w:val="20"/>
                <w:szCs w:val="20"/>
              </w:rPr>
              <w:t>our ability to adapt to changing technology, industry standards or regulatory requirements;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43EE4A05" w14:textId="77777777">
        <w:tc>
          <w:tcPr>
            <w:tcW w:w="170" w:type="pct"/>
            <w:noWrap/>
            <w:hideMark/>
          </w:tcPr>
          <w:p w14:paraId="31A734CD"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6A16B38"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299B3FE0" w14:textId="77777777" w:rsidR="00000000" w:rsidRDefault="00582324">
            <w:pPr>
              <w:pStyle w:val="a3"/>
              <w:spacing w:before="120" w:beforeAutospacing="0" w:after="0" w:afterAutospacing="0"/>
              <w:rPr>
                <w:sz w:val="20"/>
                <w:szCs w:val="20"/>
              </w:rPr>
            </w:pPr>
            <w:r>
              <w:rPr>
                <w:color w:val="000000"/>
                <w:sz w:val="20"/>
                <w:szCs w:val="20"/>
              </w:rPr>
              <w:t>government clients and contracts;</w:t>
            </w:r>
          </w:p>
        </w:tc>
      </w:tr>
    </w:tbl>
    <w:p w14:paraId="279A6CE5" w14:textId="77777777" w:rsidR="00000000" w:rsidRDefault="00582324">
      <w:pPr>
        <w:divId w:val="824785691"/>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0C6E1F2A" w14:textId="77777777">
        <w:trPr>
          <w:divId w:val="824785691"/>
        </w:trPr>
        <w:tc>
          <w:tcPr>
            <w:tcW w:w="170" w:type="pct"/>
            <w:noWrap/>
            <w:hideMark/>
          </w:tcPr>
          <w:p w14:paraId="6A50672E"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29932F52"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0E8B2DF1" w14:textId="77777777" w:rsidR="00000000" w:rsidRDefault="00582324">
            <w:pPr>
              <w:pStyle w:val="a3"/>
              <w:spacing w:before="120" w:beforeAutospacing="0" w:after="0" w:afterAutospacing="0"/>
              <w:rPr>
                <w:sz w:val="20"/>
                <w:szCs w:val="20"/>
              </w:rPr>
            </w:pPr>
            <w:r>
              <w:rPr>
                <w:color w:val="000000"/>
                <w:sz w:val="20"/>
                <w:szCs w:val="20"/>
              </w:rPr>
              <w:t xml:space="preserve">our ability to maintain our prices and manage costs; </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447372FC" w14:textId="77777777">
        <w:tc>
          <w:tcPr>
            <w:tcW w:w="170" w:type="pct"/>
            <w:noWrap/>
            <w:hideMark/>
          </w:tcPr>
          <w:p w14:paraId="77AE52F7"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5B1BD39"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3EB51856" w14:textId="77777777" w:rsidR="00000000" w:rsidRDefault="00582324">
            <w:pPr>
              <w:pStyle w:val="a3"/>
              <w:spacing w:before="120" w:beforeAutospacing="0" w:after="0" w:afterAutospacing="0"/>
              <w:rPr>
                <w:sz w:val="20"/>
                <w:szCs w:val="20"/>
              </w:rPr>
            </w:pPr>
            <w:r>
              <w:rPr>
                <w:color w:val="000000"/>
                <w:sz w:val="20"/>
                <w:szCs w:val="20"/>
              </w:rPr>
              <w:t>our ability to protect our intellectual property or claims</w:t>
            </w:r>
            <w:r>
              <w:rPr>
                <w:color w:val="000000"/>
                <w:sz w:val="20"/>
                <w:szCs w:val="20"/>
              </w:rPr>
              <w:t xml:space="preserve"> that we infringe on the intellectual property rights of others;</w:t>
            </w:r>
          </w:p>
        </w:tc>
      </w:tr>
    </w:tbl>
    <w:p w14:paraId="1C0EFBED" w14:textId="77777777" w:rsidR="00000000" w:rsidRDefault="00582324">
      <w:pPr>
        <w:divId w:val="234291652"/>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04517425" w14:textId="77777777">
        <w:trPr>
          <w:divId w:val="234291652"/>
        </w:trPr>
        <w:tc>
          <w:tcPr>
            <w:tcW w:w="170" w:type="pct"/>
            <w:noWrap/>
            <w:hideMark/>
          </w:tcPr>
          <w:p w14:paraId="05E3666D"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7FDD2754"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623AC982" w14:textId="77777777" w:rsidR="00000000" w:rsidRDefault="00582324">
            <w:pPr>
              <w:pStyle w:val="a3"/>
              <w:spacing w:before="120" w:beforeAutospacing="0" w:after="0" w:afterAutospacing="0"/>
              <w:rPr>
                <w:sz w:val="20"/>
                <w:szCs w:val="20"/>
              </w:rPr>
            </w:pPr>
            <w:r>
              <w:rPr>
                <w:color w:val="000000"/>
                <w:sz w:val="20"/>
                <w:szCs w:val="20"/>
              </w:rPr>
              <w:t>laws and regulations regarding handling of confidential information;</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474071FD" w14:textId="77777777">
        <w:tc>
          <w:tcPr>
            <w:tcW w:w="170" w:type="pct"/>
            <w:noWrap/>
            <w:hideMark/>
          </w:tcPr>
          <w:p w14:paraId="43E162D8"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3899C32C"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7DE14C7E" w14:textId="77777777" w:rsidR="00000000" w:rsidRDefault="00582324">
            <w:pPr>
              <w:pStyle w:val="a3"/>
              <w:spacing w:before="120" w:beforeAutospacing="0" w:after="0" w:afterAutospacing="0"/>
              <w:rPr>
                <w:sz w:val="20"/>
                <w:szCs w:val="20"/>
              </w:rPr>
            </w:pPr>
            <w:r>
              <w:rPr>
                <w:color w:val="000000"/>
                <w:sz w:val="20"/>
                <w:szCs w:val="20"/>
              </w:rPr>
              <w:t>any failure in or breach of our networks and systems;</w:t>
            </w:r>
          </w:p>
        </w:tc>
      </w:tr>
    </w:tbl>
    <w:p w14:paraId="0E61C643" w14:textId="77777777" w:rsidR="00000000" w:rsidRDefault="00582324">
      <w:pPr>
        <w:divId w:val="599146369"/>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113733CB" w14:textId="77777777">
        <w:trPr>
          <w:divId w:val="599146369"/>
        </w:trPr>
        <w:tc>
          <w:tcPr>
            <w:tcW w:w="170" w:type="pct"/>
            <w:noWrap/>
            <w:hideMark/>
          </w:tcPr>
          <w:p w14:paraId="57FFB987"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087D4AEF"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49B072F6" w14:textId="77777777" w:rsidR="00000000" w:rsidRDefault="00582324">
            <w:pPr>
              <w:pStyle w:val="a3"/>
              <w:spacing w:before="120" w:beforeAutospacing="0" w:after="0" w:afterAutospacing="0"/>
              <w:rPr>
                <w:sz w:val="20"/>
                <w:szCs w:val="20"/>
              </w:rPr>
            </w:pPr>
            <w:r>
              <w:rPr>
                <w:color w:val="000000"/>
                <w:sz w:val="20"/>
                <w:szCs w:val="20"/>
              </w:rPr>
              <w:t>our international operations;</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01A3617B" w14:textId="77777777">
        <w:tc>
          <w:tcPr>
            <w:tcW w:w="170" w:type="pct"/>
            <w:noWrap/>
            <w:hideMark/>
          </w:tcPr>
          <w:p w14:paraId="0DCA9FDB"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3163555F"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4ACEFBEC" w14:textId="77777777" w:rsidR="00000000" w:rsidRDefault="00582324">
            <w:pPr>
              <w:pStyle w:val="a3"/>
              <w:spacing w:before="120" w:beforeAutospacing="0" w:after="0" w:afterAutospacing="0"/>
              <w:rPr>
                <w:sz w:val="20"/>
                <w:szCs w:val="20"/>
              </w:rPr>
            </w:pPr>
            <w:r>
              <w:rPr>
                <w:color w:val="000000"/>
                <w:sz w:val="20"/>
                <w:szCs w:val="20"/>
              </w:rPr>
              <w:t>product related risks;</w:t>
            </w:r>
          </w:p>
        </w:tc>
      </w:tr>
    </w:tbl>
    <w:p w14:paraId="73DF6FDE" w14:textId="77777777" w:rsidR="00000000" w:rsidRDefault="00582324">
      <w:pPr>
        <w:divId w:val="1355764763"/>
        <w:rPr>
          <w:rFonts w:eastAsia="Times New Roman"/>
          <w:vanish/>
        </w:rPr>
      </w:pPr>
    </w:p>
    <w:tbl>
      <w:tblPr>
        <w:tblW w:w="5000" w:type="pct"/>
        <w:tblCellMar>
          <w:left w:w="0" w:type="dxa"/>
          <w:right w:w="0" w:type="dxa"/>
        </w:tblCellMar>
        <w:tblLook w:val="04A0" w:firstRow="1" w:lastRow="0" w:firstColumn="1" w:lastColumn="0" w:noHBand="0" w:noVBand="1"/>
      </w:tblPr>
      <w:tblGrid>
        <w:gridCol w:w="283"/>
        <w:gridCol w:w="282"/>
        <w:gridCol w:w="7741"/>
      </w:tblGrid>
      <w:tr w:rsidR="00000000" w14:paraId="75583682" w14:textId="77777777">
        <w:trPr>
          <w:divId w:val="1355764763"/>
        </w:trPr>
        <w:tc>
          <w:tcPr>
            <w:tcW w:w="170" w:type="pct"/>
            <w:noWrap/>
            <w:hideMark/>
          </w:tcPr>
          <w:p w14:paraId="5DD37CBA"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1564D24D"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57E48892" w14:textId="77777777" w:rsidR="00000000" w:rsidRDefault="00582324">
            <w:pPr>
              <w:pStyle w:val="a3"/>
              <w:spacing w:before="120" w:beforeAutospacing="0" w:after="0" w:afterAutospacing="0"/>
              <w:rPr>
                <w:sz w:val="20"/>
                <w:szCs w:val="20"/>
              </w:rPr>
            </w:pPr>
            <w:r>
              <w:rPr>
                <w:color w:val="000000"/>
                <w:sz w:val="20"/>
                <w:szCs w:val="20"/>
              </w:rPr>
              <w:t>environmental regulations and liabilities; and</w:t>
            </w:r>
          </w:p>
        </w:tc>
      </w:tr>
    </w:tbl>
    <w:tbl>
      <w:tblPr>
        <w:tblW w:w="5000" w:type="pct"/>
        <w:tblCellMar>
          <w:left w:w="0" w:type="dxa"/>
          <w:right w:w="0" w:type="dxa"/>
        </w:tblCellMar>
        <w:tblLook w:val="04A0" w:firstRow="1" w:lastRow="0" w:firstColumn="1" w:lastColumn="0" w:noHBand="0" w:noVBand="1"/>
      </w:tblPr>
      <w:tblGrid>
        <w:gridCol w:w="282"/>
        <w:gridCol w:w="282"/>
        <w:gridCol w:w="480"/>
      </w:tblGrid>
      <w:tr w:rsidR="00000000" w14:paraId="108DBA12" w14:textId="77777777">
        <w:tc>
          <w:tcPr>
            <w:tcW w:w="170" w:type="pct"/>
            <w:noWrap/>
            <w:hideMark/>
          </w:tcPr>
          <w:p w14:paraId="54300187" w14:textId="77777777" w:rsidR="00000000" w:rsidRDefault="00582324">
            <w:pPr>
              <w:pStyle w:val="a3"/>
              <w:spacing w:before="120" w:beforeAutospacing="0" w:after="0" w:afterAutospacing="0"/>
              <w:rPr>
                <w:sz w:val="20"/>
                <w:szCs w:val="20"/>
              </w:rPr>
            </w:pPr>
            <w:r>
              <w:rPr>
                <w:sz w:val="20"/>
                <w:szCs w:val="20"/>
              </w:rPr>
              <w:t> </w:t>
            </w:r>
          </w:p>
        </w:tc>
        <w:tc>
          <w:tcPr>
            <w:tcW w:w="170" w:type="pct"/>
            <w:noWrap/>
            <w:hideMark/>
          </w:tcPr>
          <w:p w14:paraId="50B76BE3" w14:textId="77777777" w:rsidR="00000000" w:rsidRDefault="00582324">
            <w:pPr>
              <w:pStyle w:val="a3"/>
              <w:spacing w:before="120" w:beforeAutospacing="0" w:after="0" w:afterAutospacing="0"/>
              <w:rPr>
                <w:sz w:val="20"/>
                <w:szCs w:val="20"/>
              </w:rPr>
            </w:pPr>
            <w:r>
              <w:rPr>
                <w:sz w:val="20"/>
                <w:szCs w:val="20"/>
              </w:rPr>
              <w:t>•</w:t>
            </w:r>
          </w:p>
        </w:tc>
        <w:tc>
          <w:tcPr>
            <w:tcW w:w="0" w:type="auto"/>
            <w:hideMark/>
          </w:tcPr>
          <w:p w14:paraId="27B2C71F" w14:textId="77777777" w:rsidR="00000000" w:rsidRDefault="00582324">
            <w:pPr>
              <w:pStyle w:val="a3"/>
              <w:spacing w:before="120" w:beforeAutospacing="0" w:after="0" w:afterAutospacing="0"/>
              <w:rPr>
                <w:sz w:val="20"/>
                <w:szCs w:val="20"/>
              </w:rPr>
            </w:pPr>
            <w:r>
              <w:rPr>
                <w:color w:val="000000"/>
                <w:sz w:val="20"/>
                <w:szCs w:val="20"/>
              </w:rPr>
              <w:t>additional factors discussed in our filings with the Securities and Exchange Commission, or the SEC.</w:t>
            </w:r>
          </w:p>
        </w:tc>
      </w:tr>
    </w:tbl>
    <w:p w14:paraId="2827F4CB" w14:textId="77777777" w:rsidR="00000000" w:rsidRDefault="00582324">
      <w:pPr>
        <w:pStyle w:val="a3"/>
        <w:spacing w:before="240" w:beforeAutospacing="0" w:after="0" w:afterAutospacing="0"/>
        <w:jc w:val="center"/>
        <w:rPr>
          <w:sz w:val="20"/>
          <w:szCs w:val="20"/>
        </w:rPr>
      </w:pPr>
      <w:r>
        <w:rPr>
          <w:sz w:val="20"/>
          <w:szCs w:val="20"/>
        </w:rPr>
        <w:t>31</w:t>
      </w:r>
    </w:p>
    <w:p w14:paraId="1FE6E8B0" w14:textId="77777777" w:rsidR="00000000" w:rsidRDefault="00582324">
      <w:pPr>
        <w:rPr>
          <w:rFonts w:eastAsia="Times New Roman"/>
        </w:rPr>
      </w:pPr>
      <w:r>
        <w:rPr>
          <w:rFonts w:eastAsia="Times New Roman"/>
        </w:rPr>
        <w:pict w14:anchorId="36BD3166">
          <v:rect id="_x0000_i1057" style="width:0;height:1.5pt" o:hralign="center" o:hrstd="t" o:hr="t" fillcolor="#a0a0a0" stroked="f"/>
        </w:pict>
      </w:r>
    </w:p>
    <w:p w14:paraId="787972B6" w14:textId="77777777" w:rsidR="00000000" w:rsidRDefault="00582324">
      <w:pPr>
        <w:pStyle w:val="a3"/>
        <w:spacing w:before="0" w:beforeAutospacing="0" w:after="0" w:afterAutospacing="0"/>
        <w:rPr>
          <w:sz w:val="20"/>
          <w:szCs w:val="20"/>
        </w:rPr>
      </w:pPr>
      <w:r>
        <w:rPr>
          <w:sz w:val="20"/>
          <w:szCs w:val="20"/>
        </w:rPr>
        <w:t> </w:t>
      </w:r>
    </w:p>
    <w:p w14:paraId="6632BAF5" w14:textId="77777777" w:rsidR="00000000" w:rsidRDefault="00582324">
      <w:pPr>
        <w:pStyle w:val="a3"/>
        <w:spacing w:before="0" w:beforeAutospacing="0" w:after="0" w:afterAutospacing="0"/>
        <w:rPr>
          <w:sz w:val="20"/>
          <w:szCs w:val="20"/>
        </w:rPr>
      </w:pPr>
      <w:r>
        <w:rPr>
          <w:sz w:val="20"/>
          <w:szCs w:val="20"/>
        </w:rPr>
        <w:t> </w:t>
      </w:r>
    </w:p>
    <w:p w14:paraId="433B392C" w14:textId="77777777" w:rsidR="00000000" w:rsidRDefault="00582324">
      <w:pPr>
        <w:pStyle w:val="a3"/>
        <w:spacing w:before="240" w:beforeAutospacing="0" w:after="0" w:afterAutospacing="0"/>
        <w:ind w:firstLine="416"/>
        <w:rPr>
          <w:sz w:val="20"/>
          <w:szCs w:val="20"/>
        </w:rPr>
      </w:pPr>
      <w:r>
        <w:rPr>
          <w:sz w:val="20"/>
          <w:szCs w:val="20"/>
        </w:rPr>
        <w:t>The forward-looking statements in this Quarterly Report on Form 10-Q are based on historical performance and m</w:t>
      </w:r>
      <w:r>
        <w:rPr>
          <w:sz w:val="20"/>
          <w:szCs w:val="20"/>
        </w:rPr>
        <w:t xml:space="preserve">anagement’s current plans, estimates and expectations in light of information currently available to us and are subject to uncertainty and changes in circumstances. There can be no assurance that future developments affecting us will be those that we have </w:t>
      </w:r>
      <w:r>
        <w:rPr>
          <w:sz w:val="20"/>
          <w:szCs w:val="20"/>
        </w:rPr>
        <w:t>anticipated. Actual results may differ materially from these expectations due to changes in global, regional or local political, economic, business, competitive, market, regulatory and other factors, many of which are beyond our control, as well as the oth</w:t>
      </w:r>
      <w:r>
        <w:rPr>
          <w:sz w:val="20"/>
          <w:szCs w:val="20"/>
        </w:rPr>
        <w:t>er factors described in Item 1A. “Risk Factors” in our Annual Report on Form 10-K for the year ended December 31, 2020 filed with the SEC on March 24, 2021, or the 2020 Form 10-K. Further, many of these factors are, and may continue to be, amplified by the</w:t>
      </w:r>
      <w:r>
        <w:rPr>
          <w:sz w:val="20"/>
          <w:szCs w:val="20"/>
        </w:rPr>
        <w:t xml:space="preserve"> COVID-19 pandemic. </w:t>
      </w:r>
    </w:p>
    <w:p w14:paraId="520D239A" w14:textId="77777777" w:rsidR="00000000" w:rsidRDefault="00582324">
      <w:pPr>
        <w:pStyle w:val="a3"/>
        <w:spacing w:before="240" w:beforeAutospacing="0" w:after="0" w:afterAutospacing="0"/>
        <w:ind w:firstLine="416"/>
        <w:rPr>
          <w:sz w:val="20"/>
          <w:szCs w:val="20"/>
        </w:rPr>
      </w:pPr>
      <w:r>
        <w:rPr>
          <w:sz w:val="20"/>
          <w:szCs w:val="20"/>
        </w:rPr>
        <w:t>Additional factors or events that could cause our actual results to differ may also emerge from time to time, and it is not possible for us to predict all of them. Should one or more of these risks or uncertainties materialize, or shou</w:t>
      </w:r>
      <w:r>
        <w:rPr>
          <w:sz w:val="20"/>
          <w:szCs w:val="20"/>
        </w:rPr>
        <w:t>ld any of our assumptions prove to be incorrect, our actual results may vary in material respects from what we may have expressed or implied by any forward-looking statement and, therefore, you should not regard any forward-looking statement as a represent</w:t>
      </w:r>
      <w:r>
        <w:rPr>
          <w:sz w:val="20"/>
          <w:szCs w:val="20"/>
        </w:rPr>
        <w:t xml:space="preserve">ation or warranty by us or any other person that we will successfully achieve the expectation, plan or objective expressed in such forward-looking statement in any specified time frame, or at all. We caution that you should not place undue reliance on any </w:t>
      </w:r>
      <w:r>
        <w:rPr>
          <w:sz w:val="20"/>
          <w:szCs w:val="20"/>
        </w:rPr>
        <w:t>of our forward-looking statements. Any forward-looking statement made by us speaks only as of the date on which we make it. We undertake no obligation to publicly update any forward-looking statement, whether as a result of new information, future developm</w:t>
      </w:r>
      <w:r>
        <w:rPr>
          <w:sz w:val="20"/>
          <w:szCs w:val="20"/>
        </w:rPr>
        <w:t>ents or otherwise, except as may be required by applicable securities laws.</w:t>
      </w:r>
    </w:p>
    <w:p w14:paraId="5D1BA3E2" w14:textId="77777777" w:rsidR="00000000" w:rsidRDefault="00582324">
      <w:pPr>
        <w:pStyle w:val="a3"/>
        <w:spacing w:before="0" w:beforeAutospacing="0" w:after="0" w:afterAutospacing="0"/>
        <w:rPr>
          <w:sz w:val="20"/>
          <w:szCs w:val="20"/>
        </w:rPr>
      </w:pPr>
      <w:r>
        <w:rPr>
          <w:sz w:val="20"/>
          <w:szCs w:val="20"/>
        </w:rPr>
        <w:t> </w:t>
      </w:r>
    </w:p>
    <w:p w14:paraId="086B063F" w14:textId="77777777" w:rsidR="00000000" w:rsidRDefault="00582324">
      <w:pPr>
        <w:pStyle w:val="a3"/>
        <w:spacing w:before="240" w:beforeAutospacing="0" w:after="0" w:afterAutospacing="0"/>
        <w:jc w:val="center"/>
        <w:rPr>
          <w:sz w:val="20"/>
          <w:szCs w:val="20"/>
        </w:rPr>
      </w:pPr>
      <w:r>
        <w:rPr>
          <w:sz w:val="20"/>
          <w:szCs w:val="20"/>
        </w:rPr>
        <w:t>32</w:t>
      </w:r>
    </w:p>
    <w:p w14:paraId="0CDB5D01" w14:textId="77777777" w:rsidR="00000000" w:rsidRDefault="00582324">
      <w:pPr>
        <w:rPr>
          <w:rFonts w:eastAsia="Times New Roman"/>
        </w:rPr>
      </w:pPr>
      <w:r>
        <w:rPr>
          <w:rFonts w:eastAsia="Times New Roman"/>
        </w:rPr>
        <w:pict w14:anchorId="131CDCF1">
          <v:rect id="_x0000_i1058" style="width:0;height:1.5pt" o:hralign="center" o:hrstd="t" o:hr="t" fillcolor="#a0a0a0" stroked="f"/>
        </w:pict>
      </w:r>
    </w:p>
    <w:p w14:paraId="568BB917" w14:textId="77777777" w:rsidR="00000000" w:rsidRDefault="00582324">
      <w:pPr>
        <w:pStyle w:val="a3"/>
        <w:spacing w:before="0" w:beforeAutospacing="0" w:after="0" w:afterAutospacing="0"/>
        <w:rPr>
          <w:sz w:val="20"/>
          <w:szCs w:val="20"/>
        </w:rPr>
      </w:pPr>
      <w:r>
        <w:rPr>
          <w:sz w:val="20"/>
          <w:szCs w:val="20"/>
        </w:rPr>
        <w:t> </w:t>
      </w:r>
    </w:p>
    <w:p w14:paraId="49489D5E" w14:textId="77777777" w:rsidR="00000000" w:rsidRDefault="00582324">
      <w:pPr>
        <w:pStyle w:val="a3"/>
        <w:spacing w:before="0" w:beforeAutospacing="0" w:after="0" w:afterAutospacing="0"/>
        <w:rPr>
          <w:sz w:val="20"/>
          <w:szCs w:val="20"/>
        </w:rPr>
      </w:pPr>
      <w:r>
        <w:rPr>
          <w:sz w:val="20"/>
          <w:szCs w:val="20"/>
        </w:rPr>
        <w:t> </w:t>
      </w:r>
    </w:p>
    <w:p w14:paraId="01C9FC37" w14:textId="77777777" w:rsidR="00000000" w:rsidRDefault="00582324">
      <w:pPr>
        <w:pStyle w:val="a3"/>
        <w:spacing w:before="0" w:beforeAutospacing="0" w:after="0" w:afterAutospacing="0"/>
        <w:rPr>
          <w:b/>
          <w:bCs/>
          <w:sz w:val="20"/>
          <w:szCs w:val="20"/>
        </w:rPr>
      </w:pPr>
      <w:r>
        <w:rPr>
          <w:b/>
          <w:bCs/>
          <w:sz w:val="20"/>
          <w:szCs w:val="20"/>
        </w:rPr>
        <w:t>Item 2. Management’s Discussion and Analysis of Financial Condition and Results of Operations.</w:t>
      </w:r>
    </w:p>
    <w:p w14:paraId="3CDD6E06" w14:textId="77777777" w:rsidR="00000000" w:rsidRDefault="00582324">
      <w:pPr>
        <w:pStyle w:val="a3"/>
        <w:shd w:val="clear" w:color="auto" w:fill="FFFFFF"/>
        <w:spacing w:before="120" w:beforeAutospacing="0" w:after="0" w:afterAutospacing="0"/>
        <w:ind w:firstLine="416"/>
        <w:rPr>
          <w:i/>
          <w:iCs/>
          <w:color w:val="000000"/>
          <w:sz w:val="20"/>
          <w:szCs w:val="20"/>
        </w:rPr>
      </w:pPr>
      <w:r>
        <w:rPr>
          <w:i/>
          <w:iCs/>
          <w:color w:val="000000"/>
          <w:sz w:val="20"/>
          <w:szCs w:val="20"/>
        </w:rPr>
        <w:t>The following discussion and analysis o</w:t>
      </w:r>
      <w:r>
        <w:rPr>
          <w:i/>
          <w:iCs/>
          <w:color w:val="000000"/>
          <w:sz w:val="20"/>
          <w:szCs w:val="20"/>
        </w:rPr>
        <w:t>f our financial condition and results of operations should be read in conjunction with our historical audited and unaudited consolidated financial statements and related notes and other information included elsewhere in this filing and our other filings wi</w:t>
      </w:r>
      <w:r>
        <w:rPr>
          <w:i/>
          <w:iCs/>
          <w:color w:val="000000"/>
          <w:sz w:val="20"/>
          <w:szCs w:val="20"/>
        </w:rPr>
        <w:t>th the SEC, including our unaudited condensed consolidated financial statements and the accompanying notes as of and for the three and six months ended June 30, 2021 and 2020 included in Part I, Item 1. “Financial Statements” in this Quarterly Report on Fo</w:t>
      </w:r>
      <w:r>
        <w:rPr>
          <w:i/>
          <w:iCs/>
          <w:color w:val="000000"/>
          <w:sz w:val="20"/>
          <w:szCs w:val="20"/>
        </w:rPr>
        <w:t>rm 10-Q. This discussion contains forward-looking statements that involve risks and uncertainties. Our actual results could differ materially from such forward-looking statements. Factors that could cause or contribute to those differences include, but are</w:t>
      </w:r>
      <w:r>
        <w:rPr>
          <w:i/>
          <w:iCs/>
          <w:color w:val="000000"/>
          <w:sz w:val="20"/>
          <w:szCs w:val="20"/>
        </w:rPr>
        <w:t xml:space="preserve"> not limited to, those identified below and those discussed in the section entitled “Forward-Looking Statements”, and elsewhere in this filing and our other filings with the SEC.</w:t>
      </w:r>
    </w:p>
    <w:p w14:paraId="15D29DD2"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Overview</w:t>
      </w:r>
    </w:p>
    <w:p w14:paraId="4BFD5043"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Since our inception in 2012, our mission has been to help clients and communities meet their environmental goals and needs. Today, we have emerged as one of the fastest growing companies in a highly fragmented and growing $1.25 trillion global environmenta</w:t>
      </w:r>
      <w:r>
        <w:rPr>
          <w:color w:val="000000"/>
          <w:sz w:val="20"/>
          <w:szCs w:val="20"/>
        </w:rPr>
        <w:t>l industry.</w:t>
      </w:r>
    </w:p>
    <w:p w14:paraId="4FFD0569"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Our Segments</w:t>
      </w:r>
    </w:p>
    <w:p w14:paraId="38C57CA3"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We provide environmental services to our clients through three business segments—Assessment, Permitting and Response, Measurement and Analysis and Remediation and Reuse.</w:t>
      </w:r>
    </w:p>
    <w:p w14:paraId="0B4B5DD9"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Assessment, Permitting and Response</w:t>
      </w:r>
    </w:p>
    <w:p w14:paraId="655BFF2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Through our Assessment, P</w:t>
      </w:r>
      <w:r>
        <w:rPr>
          <w:color w:val="000000"/>
          <w:sz w:val="20"/>
          <w:szCs w:val="20"/>
        </w:rPr>
        <w:t>ermitting and Response segment, we provide scientific advisory and consulting services to support environmental assessments, environmental emergency response, and environmental audits and permits for current operations, facility upgrades, new projects, dec</w:t>
      </w:r>
      <w:r>
        <w:rPr>
          <w:color w:val="000000"/>
          <w:sz w:val="20"/>
          <w:szCs w:val="20"/>
        </w:rPr>
        <w:t>ommissioning projects and development projects. Our technical advisory and consulting offerings include regulatory compliance support and planning, environmental, ecosystem and toxicological assessments and support during responses to environmental disrupt</w:t>
      </w:r>
      <w:r>
        <w:rPr>
          <w:color w:val="000000"/>
          <w:sz w:val="20"/>
          <w:szCs w:val="20"/>
        </w:rPr>
        <w:t>ion. We help clients navigate regulations at the local, state, provincial and federal levels. In addition to environmental toxicology, and given our expertise in helping businesses plan for and respond to disruptions, our scientists and response teams have</w:t>
      </w:r>
      <w:r>
        <w:rPr>
          <w:color w:val="000000"/>
          <w:sz w:val="20"/>
          <w:szCs w:val="20"/>
        </w:rPr>
        <w:t xml:space="preserve"> helped clients navigate their preparation for and response to the COVID-19 pandemic. </w:t>
      </w:r>
    </w:p>
    <w:p w14:paraId="1557A920"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Measurement and Analysis</w:t>
      </w:r>
    </w:p>
    <w:p w14:paraId="5EFFE81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Through our Measurement and Analysis segment, our highly credentialed teams test and analyze air, water and soil to determine concentrations of </w:t>
      </w:r>
      <w:r>
        <w:rPr>
          <w:color w:val="000000"/>
          <w:sz w:val="20"/>
          <w:szCs w:val="20"/>
        </w:rPr>
        <w:t>contaminants, including emerging contaminants such as PFAS, as well as determine the toxicological impact of contaminants on flora, fauna and human health. Our offerings include source and ambient air testing and monitoring, leak detection and advanced ana</w:t>
      </w:r>
      <w:r>
        <w:rPr>
          <w:color w:val="000000"/>
          <w:sz w:val="20"/>
          <w:szCs w:val="20"/>
        </w:rPr>
        <w:t xml:space="preserve">lytical laboratory services such as air, storm water, wastewater and drinking water analysis. </w:t>
      </w:r>
    </w:p>
    <w:p w14:paraId="1A76E444"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Remediation and Reuse</w:t>
      </w:r>
    </w:p>
    <w:p w14:paraId="5E1FC37E"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Through our Remediation and Reuse segment, we provide clients with engineering, design, implementation and operations and maintenance servi</w:t>
      </w:r>
      <w:r>
        <w:rPr>
          <w:color w:val="000000"/>
          <w:sz w:val="20"/>
          <w:szCs w:val="20"/>
        </w:rPr>
        <w:t>ces, primarily to treat contaminated water, remove contaminants from soil or create biogas from waste. We do not own the properties or facilities at which we implement these projects or the underlying liabilities, nor do we own material amounts of the equi</w:t>
      </w:r>
      <w:r>
        <w:rPr>
          <w:color w:val="000000"/>
          <w:sz w:val="20"/>
          <w:szCs w:val="20"/>
        </w:rPr>
        <w:t>pment used in projects; instead, we assist our clients in designing solutions, managing projects and mitigating their environmental risks and liabilities.</w:t>
      </w:r>
    </w:p>
    <w:p w14:paraId="039B9AD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These operating segments have been structured and organized to align with how we view and manage the </w:t>
      </w:r>
      <w:r>
        <w:rPr>
          <w:color w:val="000000"/>
          <w:sz w:val="20"/>
          <w:szCs w:val="20"/>
        </w:rPr>
        <w:t>business with the full lifecycle of our clients’ targeted environmental concerns and needs in mind. Within each segment, we cover similar service offerings, regulatory frameworks, internal operating structures and client types. Corporate activities not dir</w:t>
      </w:r>
      <w:r>
        <w:rPr>
          <w:color w:val="000000"/>
          <w:sz w:val="20"/>
          <w:szCs w:val="20"/>
        </w:rPr>
        <w:t>ectly related to segment performance, including general corporate expenses, interest and taxes, are reported separately. For more information on each of our operating segments, see Item 1. “Business” in the 2020 Form 10-K.</w:t>
      </w:r>
    </w:p>
    <w:p w14:paraId="0390947C"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COVID-19</w:t>
      </w:r>
    </w:p>
    <w:p w14:paraId="5C9D131D" w14:textId="77777777" w:rsidR="00000000" w:rsidRDefault="00582324">
      <w:pPr>
        <w:pStyle w:val="a3"/>
        <w:spacing w:before="120" w:beforeAutospacing="0" w:after="0" w:afterAutospacing="0"/>
        <w:ind w:firstLine="416"/>
        <w:rPr>
          <w:color w:val="000000"/>
          <w:sz w:val="20"/>
          <w:szCs w:val="20"/>
        </w:rPr>
      </w:pPr>
      <w:r>
        <w:rPr>
          <w:color w:val="000000"/>
          <w:sz w:val="20"/>
          <w:szCs w:val="20"/>
        </w:rPr>
        <w:t>We are closely monitorin</w:t>
      </w:r>
      <w:r>
        <w:rPr>
          <w:color w:val="000000"/>
          <w:sz w:val="20"/>
          <w:szCs w:val="20"/>
        </w:rPr>
        <w:t>g the impact of the COVID-19 pandemic on our business, including the impact on our customers, employees and suppliers. While COVID-19 has not had a material adverse effect on our reported results, we have experienced some changes to our business operations</w:t>
      </w:r>
      <w:r>
        <w:rPr>
          <w:color w:val="000000"/>
          <w:sz w:val="20"/>
          <w:szCs w:val="20"/>
        </w:rPr>
        <w:t xml:space="preserve">. The changes were primarily composed of client postponement of on-site environmental </w:t>
      </w:r>
    </w:p>
    <w:p w14:paraId="10F336F9" w14:textId="77777777" w:rsidR="00000000" w:rsidRDefault="00582324">
      <w:pPr>
        <w:pStyle w:val="a3"/>
        <w:spacing w:before="240" w:beforeAutospacing="0" w:after="0" w:afterAutospacing="0"/>
        <w:jc w:val="center"/>
        <w:rPr>
          <w:sz w:val="20"/>
          <w:szCs w:val="20"/>
        </w:rPr>
      </w:pPr>
      <w:r>
        <w:rPr>
          <w:sz w:val="20"/>
          <w:szCs w:val="20"/>
        </w:rPr>
        <w:t>33</w:t>
      </w:r>
    </w:p>
    <w:p w14:paraId="5D90B676" w14:textId="77777777" w:rsidR="00000000" w:rsidRDefault="00582324">
      <w:pPr>
        <w:rPr>
          <w:rFonts w:eastAsia="Times New Roman"/>
        </w:rPr>
      </w:pPr>
      <w:r>
        <w:rPr>
          <w:rFonts w:eastAsia="Times New Roman"/>
        </w:rPr>
        <w:pict w14:anchorId="5554B695">
          <v:rect id="_x0000_i1059" style="width:0;height:1.5pt" o:hralign="center" o:hrstd="t" o:hr="t" fillcolor="#a0a0a0" stroked="f"/>
        </w:pict>
      </w:r>
    </w:p>
    <w:p w14:paraId="13B4BC10" w14:textId="77777777" w:rsidR="00000000" w:rsidRDefault="00582324">
      <w:pPr>
        <w:pStyle w:val="a3"/>
        <w:spacing w:before="0" w:beforeAutospacing="0" w:after="0" w:afterAutospacing="0"/>
        <w:rPr>
          <w:sz w:val="20"/>
          <w:szCs w:val="20"/>
        </w:rPr>
      </w:pPr>
      <w:r>
        <w:rPr>
          <w:sz w:val="20"/>
          <w:szCs w:val="20"/>
        </w:rPr>
        <w:t> </w:t>
      </w:r>
    </w:p>
    <w:p w14:paraId="179F7A92" w14:textId="77777777" w:rsidR="00000000" w:rsidRDefault="00582324">
      <w:pPr>
        <w:pStyle w:val="a3"/>
        <w:spacing w:before="120" w:beforeAutospacing="0" w:after="0" w:afterAutospacing="0"/>
        <w:rPr>
          <w:color w:val="000000"/>
          <w:sz w:val="20"/>
          <w:szCs w:val="20"/>
        </w:rPr>
      </w:pPr>
      <w:r>
        <w:rPr>
          <w:color w:val="000000"/>
          <w:sz w:val="20"/>
          <w:szCs w:val="20"/>
        </w:rPr>
        <w:t>compliance testing, delays in project start dates particularly within our Remediation and Reuse segment, and postponement or reformatting of scientific presentations and sales visits. We have also had small numbers of employees either exposed to or contrac</w:t>
      </w:r>
      <w:r>
        <w:rPr>
          <w:color w:val="000000"/>
          <w:sz w:val="20"/>
          <w:szCs w:val="20"/>
        </w:rPr>
        <w:t>t COVID-19. Exposed employees have been asked to quarantine per Company protocols. To date, COVID-19 related quarantines have not had a material adverse effect on our reported results. In the second quarter of 2020 we instituted temporary cost mitigation m</w:t>
      </w:r>
      <w:r>
        <w:rPr>
          <w:color w:val="000000"/>
          <w:sz w:val="20"/>
          <w:szCs w:val="20"/>
        </w:rPr>
        <w:t>easures such as reducing non-billable time for a subset of our impacted workforce. Some of these cost mitigation measures were reversed during the first quarter of 2021, with the remaining measures reversed in the second quarter of 2021. Our businesses exp</w:t>
      </w:r>
      <w:r>
        <w:rPr>
          <w:color w:val="000000"/>
          <w:sz w:val="20"/>
          <w:szCs w:val="20"/>
        </w:rPr>
        <w:t>osed to commercial food waste and non-specialized municipal water engineering projects also saw more significant disruptions and, as a result, in the first quarter of 2020 we exited those service lines as described further below. On the other hand, we have</w:t>
      </w:r>
      <w:r>
        <w:rPr>
          <w:color w:val="000000"/>
          <w:sz w:val="20"/>
          <w:szCs w:val="20"/>
        </w:rPr>
        <w:t xml:space="preserve"> seen benefits from COVID-19 given client demand for CTEH’s toxicology and response services, which represented a meaningful revenue stream in the three and six months ended June 30, 2021 and the three months ended June 30, 2020, and that, once the pandemi</w:t>
      </w:r>
      <w:r>
        <w:rPr>
          <w:color w:val="000000"/>
          <w:sz w:val="20"/>
          <w:szCs w:val="20"/>
        </w:rPr>
        <w:t>c subsides, we may not be able to replace in future periods. Although many parts of our business saw some impact from COVID-19, in</w:t>
      </w:r>
      <w:r>
        <w:rPr>
          <w:color w:val="000000"/>
        </w:rPr>
        <w:t> </w:t>
      </w:r>
      <w:r>
        <w:rPr>
          <w:color w:val="000000"/>
          <w:sz w:val="20"/>
          <w:szCs w:val="20"/>
        </w:rPr>
        <w:t>the aggregate, our overall business</w:t>
      </w:r>
      <w:r>
        <w:rPr>
          <w:color w:val="000000"/>
          <w:sz w:val="16"/>
          <w:szCs w:val="16"/>
        </w:rPr>
        <w:t> </w:t>
      </w:r>
      <w:r>
        <w:rPr>
          <w:color w:val="000000"/>
          <w:sz w:val="20"/>
          <w:szCs w:val="20"/>
        </w:rPr>
        <w:t>benefitted from COVID-19</w:t>
      </w:r>
      <w:r>
        <w:rPr>
          <w:color w:val="000000"/>
          <w:sz w:val="16"/>
          <w:szCs w:val="16"/>
        </w:rPr>
        <w:t xml:space="preserve"> </w:t>
      </w:r>
      <w:r>
        <w:rPr>
          <w:color w:val="000000"/>
          <w:sz w:val="20"/>
          <w:szCs w:val="20"/>
        </w:rPr>
        <w:t>during the three and six months ended June 30, 2021 and the thre</w:t>
      </w:r>
      <w:r>
        <w:rPr>
          <w:color w:val="000000"/>
          <w:sz w:val="20"/>
          <w:szCs w:val="20"/>
        </w:rPr>
        <w:t>e months ended June 30, 2020, primarily as a result of COVID-19 response work performed by CTEH.</w:t>
      </w:r>
    </w:p>
    <w:p w14:paraId="5C2DF4D3" w14:textId="77777777" w:rsidR="00000000" w:rsidRDefault="00582324">
      <w:pPr>
        <w:pStyle w:val="a3"/>
        <w:spacing w:before="120" w:beforeAutospacing="0" w:after="0" w:afterAutospacing="0"/>
        <w:ind w:firstLine="416"/>
        <w:rPr>
          <w:color w:val="000000"/>
          <w:sz w:val="20"/>
          <w:szCs w:val="20"/>
        </w:rPr>
      </w:pPr>
      <w:r>
        <w:rPr>
          <w:color w:val="000000"/>
          <w:sz w:val="20"/>
          <w:szCs w:val="20"/>
        </w:rPr>
        <w:t>COVID-19 has had an impact on our historical seasonality trends given the various government stay at home or business closure orders staring in the second quar</w:t>
      </w:r>
      <w:r>
        <w:rPr>
          <w:color w:val="000000"/>
          <w:sz w:val="20"/>
          <w:szCs w:val="20"/>
        </w:rPr>
        <w:t>ter of 2020. We have not experienced a significant slowdown in cash collections, and as a result cash flow from operations has not been materially adversely impacted. In addition, in the second quarter of 2021 we entered into a 2021 Credit Facility, replac</w:t>
      </w:r>
      <w:r>
        <w:rPr>
          <w:color w:val="000000"/>
          <w:sz w:val="20"/>
          <w:szCs w:val="20"/>
        </w:rPr>
        <w:t>ing our 2020 Credit Facility, and as a result, increased borrowing capacity. We expect our sources of liquidity to be sufficient for our operating needs for the next twelve months. See “—Liquidity and Capital Resources.”</w:t>
      </w:r>
    </w:p>
    <w:p w14:paraId="6A162EEC" w14:textId="77777777" w:rsidR="00000000" w:rsidRDefault="00582324">
      <w:pPr>
        <w:pStyle w:val="a3"/>
        <w:spacing w:before="240" w:beforeAutospacing="0" w:after="0" w:afterAutospacing="0"/>
        <w:ind w:firstLine="416"/>
        <w:rPr>
          <w:color w:val="000000"/>
          <w:sz w:val="20"/>
          <w:szCs w:val="20"/>
        </w:rPr>
      </w:pPr>
      <w:r>
        <w:rPr>
          <w:color w:val="000000"/>
          <w:sz w:val="20"/>
          <w:szCs w:val="20"/>
        </w:rPr>
        <w:t xml:space="preserve">On March 27, 2020, the Coronavirus </w:t>
      </w:r>
      <w:r>
        <w:rPr>
          <w:color w:val="000000"/>
          <w:sz w:val="20"/>
          <w:szCs w:val="20"/>
        </w:rPr>
        <w:t>Aid, Relief, and Economic Security Act, or the CARES Act, was enacted. The CARES Act includes several significant provisions for corporations, including those pertaining to net operating losses, interest deductions and payroll tax benefits. We utilized cer</w:t>
      </w:r>
      <w:r>
        <w:rPr>
          <w:color w:val="000000"/>
          <w:sz w:val="20"/>
          <w:szCs w:val="20"/>
        </w:rPr>
        <w:t xml:space="preserve">tain of these provisions in 2020, including the deferral of the employer side social security payments for payroll for the eligible portion of the year. In total, we deferred approximately $5.0 million of 2020 payments to 2021 and 2022. </w:t>
      </w:r>
    </w:p>
    <w:p w14:paraId="7012FFA1" w14:textId="77777777" w:rsidR="00000000" w:rsidRDefault="00582324">
      <w:pPr>
        <w:pStyle w:val="a3"/>
        <w:spacing w:before="240" w:beforeAutospacing="0" w:after="0" w:afterAutospacing="0"/>
        <w:ind w:firstLine="416"/>
        <w:rPr>
          <w:color w:val="000000"/>
          <w:sz w:val="20"/>
          <w:szCs w:val="20"/>
        </w:rPr>
      </w:pPr>
      <w:r>
        <w:rPr>
          <w:color w:val="000000"/>
          <w:sz w:val="20"/>
          <w:szCs w:val="20"/>
        </w:rPr>
        <w:t>It is difficult to</w:t>
      </w:r>
      <w:r>
        <w:rPr>
          <w:color w:val="000000"/>
          <w:sz w:val="20"/>
          <w:szCs w:val="20"/>
        </w:rPr>
        <w:t xml:space="preserve"> predict the future impact COVID-19 may have on our business, results of operations, financial position, or cash flows. The extent to which we may be impacted will depend largely on future and rapidly evolving developments, including new information on the</w:t>
      </w:r>
      <w:r>
        <w:rPr>
          <w:color w:val="000000"/>
          <w:sz w:val="20"/>
          <w:szCs w:val="20"/>
        </w:rPr>
        <w:t xml:space="preserve"> severity of new strains, the roll-out and long-term efficacy of vaccines, and actions by various government authorities to contain the pandemic and mitigate its impact. We intend to closely monitor the impact of COVID-19 on our business and will respond a</w:t>
      </w:r>
      <w:r>
        <w:rPr>
          <w:color w:val="000000"/>
          <w:sz w:val="20"/>
          <w:szCs w:val="20"/>
        </w:rPr>
        <w:t>s we believe is appropriate.</w:t>
      </w:r>
    </w:p>
    <w:p w14:paraId="23E5B2E9"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Key Factors that Affect Our Business and Our Results</w:t>
      </w:r>
    </w:p>
    <w:p w14:paraId="3E0D4C0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operating results and financial performance are influenced by a variety of internal and external trends and other factors. Some of the more important factors are discusse</w:t>
      </w:r>
      <w:r>
        <w:rPr>
          <w:color w:val="000000"/>
          <w:sz w:val="20"/>
          <w:szCs w:val="20"/>
        </w:rPr>
        <w:t>d briefly below.</w:t>
      </w:r>
    </w:p>
    <w:p w14:paraId="1F2A1836"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Acquisitions</w:t>
      </w:r>
    </w:p>
    <w:p w14:paraId="2CEF9288"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We have been, and expect to continue to be, an acquisitive company. Acquisitions have expanded our environmental service capabilities across all three segments, our access to technology, as well as our geographic reach in the </w:t>
      </w:r>
      <w:r>
        <w:rPr>
          <w:color w:val="000000"/>
          <w:sz w:val="20"/>
          <w:szCs w:val="20"/>
        </w:rPr>
        <w:t>United States, Canada and Australia. The table below sets forth the number of acquisitions completed, revenues generated by and the percentage of total revenues attributable to those acquisitions completed during the three and six months ended June 30, 202</w:t>
      </w:r>
      <w:r>
        <w:rPr>
          <w:color w:val="000000"/>
          <w:sz w:val="20"/>
          <w:szCs w:val="20"/>
        </w:rPr>
        <w:t>1 and 2020:</w:t>
      </w:r>
    </w:p>
    <w:p w14:paraId="7DD526BF" w14:textId="77777777" w:rsidR="00000000" w:rsidRDefault="00582324">
      <w:pPr>
        <w:pStyle w:val="a3"/>
        <w:shd w:val="clear" w:color="auto" w:fill="FFFFFF"/>
        <w:spacing w:before="120" w:beforeAutospacing="0" w:after="0" w:afterAutospacing="0"/>
        <w:ind w:firstLine="41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54"/>
        <w:gridCol w:w="195"/>
        <w:gridCol w:w="61"/>
        <w:gridCol w:w="1158"/>
        <w:gridCol w:w="165"/>
        <w:gridCol w:w="133"/>
        <w:gridCol w:w="60"/>
        <w:gridCol w:w="816"/>
        <w:gridCol w:w="165"/>
        <w:gridCol w:w="134"/>
        <w:gridCol w:w="60"/>
        <w:gridCol w:w="725"/>
        <w:gridCol w:w="165"/>
        <w:gridCol w:w="134"/>
        <w:gridCol w:w="60"/>
        <w:gridCol w:w="625"/>
        <w:gridCol w:w="165"/>
      </w:tblGrid>
      <w:tr w:rsidR="00000000" w14:paraId="3F492464" w14:textId="77777777">
        <w:trPr>
          <w:divId w:val="1953317667"/>
        </w:trPr>
        <w:tc>
          <w:tcPr>
            <w:tcW w:w="1793" w:type="pct"/>
            <w:shd w:val="clear" w:color="auto" w:fill="FFFFFF"/>
            <w:tcMar>
              <w:top w:w="15" w:type="dxa"/>
              <w:left w:w="0" w:type="dxa"/>
              <w:bottom w:w="0" w:type="dxa"/>
              <w:right w:w="15" w:type="dxa"/>
            </w:tcMar>
            <w:vAlign w:val="bottom"/>
            <w:hideMark/>
          </w:tcPr>
          <w:p w14:paraId="753C6831" w14:textId="77777777" w:rsidR="00000000" w:rsidRDefault="00582324">
            <w:pPr>
              <w:pStyle w:val="a3"/>
              <w:spacing w:before="0" w:beforeAutospacing="0" w:after="0" w:afterAutospacing="0"/>
              <w:rPr>
                <w:sz w:val="20"/>
                <w:szCs w:val="20"/>
              </w:rPr>
            </w:pPr>
            <w:r>
              <w:rPr>
                <w:sz w:val="20"/>
                <w:szCs w:val="20"/>
              </w:rPr>
              <w:t> </w:t>
            </w:r>
          </w:p>
        </w:tc>
        <w:tc>
          <w:tcPr>
            <w:tcW w:w="149" w:type="pct"/>
            <w:shd w:val="clear" w:color="auto" w:fill="FFFFFF"/>
            <w:tcMar>
              <w:top w:w="15" w:type="dxa"/>
              <w:left w:w="0" w:type="dxa"/>
              <w:bottom w:w="0" w:type="dxa"/>
              <w:right w:w="15" w:type="dxa"/>
            </w:tcMar>
            <w:vAlign w:val="bottom"/>
            <w:hideMark/>
          </w:tcPr>
          <w:p w14:paraId="297614E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34" w:type="pct"/>
            <w:gridSpan w:val="6"/>
            <w:tcBorders>
              <w:bottom w:val="single" w:sz="6" w:space="0" w:color="000000"/>
            </w:tcBorders>
            <w:shd w:val="clear" w:color="auto" w:fill="FFFFFF"/>
            <w:tcMar>
              <w:top w:w="15" w:type="dxa"/>
              <w:left w:w="0" w:type="dxa"/>
              <w:bottom w:w="0" w:type="dxa"/>
              <w:right w:w="15" w:type="dxa"/>
            </w:tcMar>
            <w:vAlign w:val="center"/>
            <w:hideMark/>
          </w:tcPr>
          <w:p w14:paraId="320D2B4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center"/>
            <w:hideMark/>
          </w:tcPr>
          <w:p w14:paraId="3E4112B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shd w:val="clear" w:color="auto" w:fill="FFFFFF"/>
            <w:tcMar>
              <w:top w:w="15" w:type="dxa"/>
              <w:left w:w="0" w:type="dxa"/>
              <w:bottom w:w="0" w:type="dxa"/>
              <w:right w:w="15" w:type="dxa"/>
            </w:tcMar>
            <w:vAlign w:val="center"/>
            <w:hideMark/>
          </w:tcPr>
          <w:p w14:paraId="6177AF8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213" w:type="pct"/>
            <w:gridSpan w:val="6"/>
            <w:tcBorders>
              <w:bottom w:val="single" w:sz="6" w:space="0" w:color="000000"/>
            </w:tcBorders>
            <w:shd w:val="clear" w:color="auto" w:fill="FFFFFF"/>
            <w:tcMar>
              <w:top w:w="15" w:type="dxa"/>
              <w:left w:w="0" w:type="dxa"/>
              <w:bottom w:w="0" w:type="dxa"/>
              <w:right w:w="15" w:type="dxa"/>
            </w:tcMar>
            <w:vAlign w:val="center"/>
            <w:hideMark/>
          </w:tcPr>
          <w:p w14:paraId="4794A41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center"/>
            <w:hideMark/>
          </w:tcPr>
          <w:p w14:paraId="2C687B2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9D5183C" w14:textId="77777777">
        <w:trPr>
          <w:divId w:val="1953317667"/>
        </w:trPr>
        <w:tc>
          <w:tcPr>
            <w:tcW w:w="1793" w:type="pct"/>
            <w:shd w:val="clear" w:color="auto" w:fill="FFFFFF"/>
            <w:tcMar>
              <w:top w:w="15" w:type="dxa"/>
              <w:left w:w="0" w:type="dxa"/>
              <w:bottom w:w="0" w:type="dxa"/>
              <w:right w:w="15" w:type="dxa"/>
            </w:tcMar>
            <w:vAlign w:val="bottom"/>
            <w:hideMark/>
          </w:tcPr>
          <w:p w14:paraId="7405E40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49" w:type="pct"/>
            <w:shd w:val="clear" w:color="auto" w:fill="FFFFFF"/>
            <w:tcMar>
              <w:top w:w="15" w:type="dxa"/>
              <w:left w:w="0" w:type="dxa"/>
              <w:bottom w:w="0" w:type="dxa"/>
              <w:right w:w="15" w:type="dxa"/>
            </w:tcMar>
            <w:vAlign w:val="bottom"/>
            <w:hideMark/>
          </w:tcPr>
          <w:p w14:paraId="21098F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5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06E23C9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center"/>
            <w:hideMark/>
          </w:tcPr>
          <w:p w14:paraId="303BB5D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tcBorders>
              <w:top w:val="single" w:sz="6" w:space="0" w:color="000000"/>
            </w:tcBorders>
            <w:shd w:val="clear" w:color="auto" w:fill="FFFFFF"/>
            <w:tcMar>
              <w:top w:w="15" w:type="dxa"/>
              <w:left w:w="0" w:type="dxa"/>
              <w:bottom w:w="0" w:type="dxa"/>
              <w:right w:w="15" w:type="dxa"/>
            </w:tcMar>
            <w:vAlign w:val="center"/>
            <w:hideMark/>
          </w:tcPr>
          <w:p w14:paraId="7DBACC8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0245E47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center"/>
            <w:hideMark/>
          </w:tcPr>
          <w:p w14:paraId="4E5B49C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shd w:val="clear" w:color="auto" w:fill="FFFFFF"/>
            <w:tcMar>
              <w:top w:w="15" w:type="dxa"/>
              <w:left w:w="0" w:type="dxa"/>
              <w:bottom w:w="0" w:type="dxa"/>
              <w:right w:w="15" w:type="dxa"/>
            </w:tcMar>
            <w:vAlign w:val="center"/>
            <w:hideMark/>
          </w:tcPr>
          <w:p w14:paraId="1F2A443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5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3388CD0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center"/>
            <w:hideMark/>
          </w:tcPr>
          <w:p w14:paraId="222F2CF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08" w:type="pct"/>
            <w:tcBorders>
              <w:top w:val="single" w:sz="6" w:space="0" w:color="000000"/>
            </w:tcBorders>
            <w:shd w:val="clear" w:color="auto" w:fill="FFFFFF"/>
            <w:tcMar>
              <w:top w:w="15" w:type="dxa"/>
              <w:left w:w="0" w:type="dxa"/>
              <w:bottom w:w="0" w:type="dxa"/>
              <w:right w:w="15" w:type="dxa"/>
            </w:tcMar>
            <w:vAlign w:val="center"/>
            <w:hideMark/>
          </w:tcPr>
          <w:p w14:paraId="06DDA16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4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7F85CEC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center"/>
            <w:hideMark/>
          </w:tcPr>
          <w:p w14:paraId="4B5B54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36BC983" w14:textId="77777777">
        <w:trPr>
          <w:divId w:val="1953317667"/>
        </w:trPr>
        <w:tc>
          <w:tcPr>
            <w:tcW w:w="1793" w:type="pct"/>
            <w:shd w:val="clear" w:color="auto" w:fill="CFF0FC"/>
            <w:tcMar>
              <w:top w:w="15" w:type="dxa"/>
              <w:left w:w="0" w:type="dxa"/>
              <w:bottom w:w="0" w:type="dxa"/>
              <w:right w:w="15" w:type="dxa"/>
            </w:tcMar>
            <w:vAlign w:val="bottom"/>
            <w:hideMark/>
          </w:tcPr>
          <w:p w14:paraId="4F0F6201" w14:textId="77777777" w:rsidR="00000000" w:rsidRDefault="00582324">
            <w:pPr>
              <w:pStyle w:val="a3"/>
              <w:spacing w:before="0" w:beforeAutospacing="0" w:after="0" w:afterAutospacing="0"/>
              <w:rPr>
                <w:color w:val="000000"/>
                <w:sz w:val="18"/>
                <w:szCs w:val="18"/>
              </w:rPr>
            </w:pPr>
            <w:r>
              <w:rPr>
                <w:color w:val="000000"/>
                <w:sz w:val="18"/>
                <w:szCs w:val="18"/>
              </w:rPr>
              <w:t>Acquisitions completed</w:t>
            </w:r>
          </w:p>
        </w:tc>
        <w:tc>
          <w:tcPr>
            <w:tcW w:w="149" w:type="pct"/>
            <w:shd w:val="clear" w:color="auto" w:fill="CFF0FC"/>
            <w:tcMar>
              <w:top w:w="15" w:type="dxa"/>
              <w:left w:w="0" w:type="dxa"/>
              <w:bottom w:w="0" w:type="dxa"/>
              <w:right w:w="15" w:type="dxa"/>
            </w:tcMar>
            <w:vAlign w:val="bottom"/>
            <w:hideMark/>
          </w:tcPr>
          <w:p w14:paraId="1C2FA0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53" w:type="pct"/>
            <w:gridSpan w:val="2"/>
            <w:tcBorders>
              <w:top w:val="single" w:sz="6" w:space="0" w:color="000000"/>
            </w:tcBorders>
            <w:shd w:val="clear" w:color="auto" w:fill="CFF0FC"/>
            <w:tcMar>
              <w:top w:w="15" w:type="dxa"/>
              <w:left w:w="0" w:type="dxa"/>
              <w:bottom w:w="0" w:type="dxa"/>
              <w:right w:w="15" w:type="dxa"/>
            </w:tcMar>
            <w:vAlign w:val="bottom"/>
            <w:hideMark/>
          </w:tcPr>
          <w:p w14:paraId="6A32C370"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388096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3812D00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622" w:type="pct"/>
            <w:gridSpan w:val="2"/>
            <w:tcBorders>
              <w:top w:val="single" w:sz="6" w:space="0" w:color="000000"/>
            </w:tcBorders>
            <w:shd w:val="clear" w:color="auto" w:fill="CFF0FC"/>
            <w:tcMar>
              <w:top w:w="15" w:type="dxa"/>
              <w:left w:w="0" w:type="dxa"/>
              <w:bottom w:w="0" w:type="dxa"/>
              <w:right w:w="15" w:type="dxa"/>
            </w:tcMar>
            <w:vAlign w:val="bottom"/>
            <w:hideMark/>
          </w:tcPr>
          <w:p w14:paraId="44C478E2"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405E61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7FBFE49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61" w:type="pct"/>
            <w:gridSpan w:val="2"/>
            <w:tcBorders>
              <w:top w:val="single" w:sz="6" w:space="0" w:color="000000"/>
            </w:tcBorders>
            <w:shd w:val="clear" w:color="auto" w:fill="CFF0FC"/>
            <w:tcMar>
              <w:top w:w="15" w:type="dxa"/>
              <w:left w:w="0" w:type="dxa"/>
              <w:bottom w:w="0" w:type="dxa"/>
              <w:right w:w="15" w:type="dxa"/>
            </w:tcMar>
            <w:vAlign w:val="bottom"/>
            <w:hideMark/>
          </w:tcPr>
          <w:p w14:paraId="7FB1F70E" w14:textId="77777777" w:rsidR="00000000" w:rsidRDefault="00582324">
            <w:pPr>
              <w:pStyle w:val="a3"/>
              <w:spacing w:before="0" w:beforeAutospacing="0" w:after="0" w:afterAutospacing="0"/>
              <w:jc w:val="right"/>
              <w:rPr>
                <w:color w:val="000000"/>
                <w:sz w:val="18"/>
                <w:szCs w:val="18"/>
              </w:rPr>
            </w:pPr>
            <w:r>
              <w:rPr>
                <w:color w:val="000000"/>
                <w:sz w:val="18"/>
                <w:szCs w:val="18"/>
              </w:rPr>
              <w:t>2</w:t>
            </w:r>
          </w:p>
        </w:tc>
        <w:tc>
          <w:tcPr>
            <w:tcW w:w="50" w:type="pct"/>
            <w:shd w:val="clear" w:color="auto" w:fill="CFF0FC"/>
            <w:noWrap/>
            <w:tcMar>
              <w:top w:w="15" w:type="dxa"/>
              <w:left w:w="0" w:type="dxa"/>
              <w:bottom w:w="0" w:type="dxa"/>
              <w:right w:w="15" w:type="dxa"/>
            </w:tcMar>
            <w:vAlign w:val="bottom"/>
            <w:hideMark/>
          </w:tcPr>
          <w:p w14:paraId="695FD1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CFF0FC"/>
            <w:tcMar>
              <w:top w:w="15" w:type="dxa"/>
              <w:left w:w="0" w:type="dxa"/>
              <w:bottom w:w="0" w:type="dxa"/>
              <w:right w:w="15" w:type="dxa"/>
            </w:tcMar>
            <w:vAlign w:val="bottom"/>
            <w:hideMark/>
          </w:tcPr>
          <w:p w14:paraId="1C03F0C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493" w:type="pct"/>
            <w:gridSpan w:val="2"/>
            <w:tcBorders>
              <w:top w:val="single" w:sz="6" w:space="0" w:color="000000"/>
            </w:tcBorders>
            <w:shd w:val="clear" w:color="auto" w:fill="CFF0FC"/>
            <w:tcMar>
              <w:top w:w="15" w:type="dxa"/>
              <w:left w:w="0" w:type="dxa"/>
              <w:bottom w:w="0" w:type="dxa"/>
              <w:right w:w="15" w:type="dxa"/>
            </w:tcMar>
            <w:vAlign w:val="bottom"/>
            <w:hideMark/>
          </w:tcPr>
          <w:p w14:paraId="5E388058" w14:textId="77777777" w:rsidR="00000000" w:rsidRDefault="00582324">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38A0947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20DC467" w14:textId="77777777">
        <w:trPr>
          <w:divId w:val="1953317667"/>
        </w:trPr>
        <w:tc>
          <w:tcPr>
            <w:tcW w:w="1793" w:type="pct"/>
            <w:shd w:val="clear" w:color="auto" w:fill="FFFFFF"/>
            <w:tcMar>
              <w:top w:w="15" w:type="dxa"/>
              <w:left w:w="0" w:type="dxa"/>
              <w:bottom w:w="0" w:type="dxa"/>
              <w:right w:w="15" w:type="dxa"/>
            </w:tcMar>
            <w:vAlign w:val="bottom"/>
            <w:hideMark/>
          </w:tcPr>
          <w:p w14:paraId="591E4FE0" w14:textId="77777777" w:rsidR="00000000" w:rsidRDefault="00582324">
            <w:pPr>
              <w:pStyle w:val="a3"/>
              <w:spacing w:before="0" w:beforeAutospacing="0" w:after="0" w:afterAutospacing="0"/>
              <w:rPr>
                <w:color w:val="000000"/>
                <w:sz w:val="18"/>
                <w:szCs w:val="18"/>
              </w:rPr>
            </w:pPr>
            <w:r>
              <w:rPr>
                <w:color w:val="000000"/>
                <w:sz w:val="18"/>
                <w:szCs w:val="18"/>
              </w:rPr>
              <w:t>Revenues attributable to acquisitions</w:t>
            </w:r>
          </w:p>
        </w:tc>
        <w:tc>
          <w:tcPr>
            <w:tcW w:w="149" w:type="pct"/>
            <w:shd w:val="clear" w:color="auto" w:fill="FFFFFF"/>
            <w:tcMar>
              <w:top w:w="15" w:type="dxa"/>
              <w:left w:w="0" w:type="dxa"/>
              <w:bottom w:w="0" w:type="dxa"/>
              <w:right w:w="15" w:type="dxa"/>
            </w:tcMar>
            <w:vAlign w:val="bottom"/>
            <w:hideMark/>
          </w:tcPr>
          <w:p w14:paraId="7AEB21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53" w:type="pct"/>
            <w:gridSpan w:val="2"/>
            <w:shd w:val="clear" w:color="auto" w:fill="FFFFFF"/>
            <w:tcMar>
              <w:top w:w="15" w:type="dxa"/>
              <w:left w:w="0" w:type="dxa"/>
              <w:bottom w:w="0" w:type="dxa"/>
              <w:right w:w="15" w:type="dxa"/>
            </w:tcMar>
            <w:vAlign w:val="bottom"/>
            <w:hideMark/>
          </w:tcPr>
          <w:p w14:paraId="296E9018" w14:textId="77777777" w:rsidR="00000000" w:rsidRDefault="00582324">
            <w:pPr>
              <w:pStyle w:val="a3"/>
              <w:spacing w:before="0" w:beforeAutospacing="0" w:after="0" w:afterAutospacing="0"/>
              <w:jc w:val="right"/>
              <w:rPr>
                <w:color w:val="000000"/>
                <w:sz w:val="18"/>
                <w:szCs w:val="18"/>
              </w:rPr>
            </w:pPr>
            <w:r>
              <w:rPr>
                <w:color w:val="000000"/>
                <w:sz w:val="18"/>
                <w:szCs w:val="18"/>
              </w:rPr>
              <w:t>457</w:t>
            </w:r>
          </w:p>
        </w:tc>
        <w:tc>
          <w:tcPr>
            <w:tcW w:w="50" w:type="pct"/>
            <w:shd w:val="clear" w:color="auto" w:fill="FFFFFF"/>
            <w:noWrap/>
            <w:tcMar>
              <w:top w:w="15" w:type="dxa"/>
              <w:left w:w="0" w:type="dxa"/>
              <w:bottom w:w="0" w:type="dxa"/>
              <w:right w:w="15" w:type="dxa"/>
            </w:tcMar>
            <w:vAlign w:val="bottom"/>
            <w:hideMark/>
          </w:tcPr>
          <w:p w14:paraId="119AAA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7589234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291AB1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72" w:type="pct"/>
            <w:shd w:val="clear" w:color="auto" w:fill="FFFFFF"/>
            <w:noWrap/>
            <w:tcMar>
              <w:top w:w="15" w:type="dxa"/>
              <w:left w:w="0" w:type="dxa"/>
              <w:bottom w:w="0" w:type="dxa"/>
              <w:right w:w="15" w:type="dxa"/>
            </w:tcMar>
            <w:vAlign w:val="center"/>
            <w:hideMark/>
          </w:tcPr>
          <w:p w14:paraId="0012DF2E" w14:textId="77777777" w:rsidR="00000000" w:rsidRDefault="00582324">
            <w:pPr>
              <w:pStyle w:val="a3"/>
              <w:spacing w:before="0" w:beforeAutospacing="0" w:after="0" w:afterAutospacing="0"/>
              <w:jc w:val="right"/>
              <w:rPr>
                <w:color w:val="000000"/>
                <w:sz w:val="18"/>
                <w:szCs w:val="18"/>
              </w:rPr>
            </w:pPr>
            <w:r>
              <w:rPr>
                <w:color w:val="000000"/>
                <w:sz w:val="18"/>
                <w:szCs w:val="18"/>
              </w:rPr>
              <w:t>14,631</w:t>
            </w:r>
          </w:p>
        </w:tc>
        <w:tc>
          <w:tcPr>
            <w:tcW w:w="50" w:type="pct"/>
            <w:shd w:val="clear" w:color="auto" w:fill="FFFFFF"/>
            <w:noWrap/>
            <w:tcMar>
              <w:top w:w="15" w:type="dxa"/>
              <w:left w:w="0" w:type="dxa"/>
              <w:bottom w:w="0" w:type="dxa"/>
              <w:right w:w="15" w:type="dxa"/>
            </w:tcMar>
            <w:vAlign w:val="center"/>
            <w:hideMark/>
          </w:tcPr>
          <w:p w14:paraId="6F08A9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3A5B596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81E4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11" w:type="pct"/>
            <w:shd w:val="clear" w:color="auto" w:fill="FFFFFF"/>
            <w:noWrap/>
            <w:tcMar>
              <w:top w:w="15" w:type="dxa"/>
              <w:left w:w="0" w:type="dxa"/>
              <w:bottom w:w="0" w:type="dxa"/>
              <w:right w:w="15" w:type="dxa"/>
            </w:tcMar>
            <w:vAlign w:val="bottom"/>
            <w:hideMark/>
          </w:tcPr>
          <w:p w14:paraId="5B23A299" w14:textId="77777777" w:rsidR="00000000" w:rsidRDefault="00582324">
            <w:pPr>
              <w:pStyle w:val="a3"/>
              <w:spacing w:before="0" w:beforeAutospacing="0" w:after="0" w:afterAutospacing="0"/>
              <w:jc w:val="right"/>
              <w:rPr>
                <w:color w:val="000000"/>
                <w:sz w:val="18"/>
                <w:szCs w:val="18"/>
              </w:rPr>
            </w:pPr>
            <w:r>
              <w:rPr>
                <w:color w:val="000000"/>
                <w:sz w:val="18"/>
                <w:szCs w:val="18"/>
              </w:rPr>
              <w:t>7,831</w:t>
            </w:r>
          </w:p>
        </w:tc>
        <w:tc>
          <w:tcPr>
            <w:tcW w:w="50" w:type="pct"/>
            <w:shd w:val="clear" w:color="auto" w:fill="FFFFFF"/>
            <w:noWrap/>
            <w:tcMar>
              <w:top w:w="15" w:type="dxa"/>
              <w:left w:w="0" w:type="dxa"/>
              <w:bottom w:w="0" w:type="dxa"/>
              <w:right w:w="15" w:type="dxa"/>
            </w:tcMar>
            <w:vAlign w:val="bottom"/>
            <w:hideMark/>
          </w:tcPr>
          <w:p w14:paraId="0121B2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08" w:type="pct"/>
            <w:shd w:val="clear" w:color="auto" w:fill="FFFFFF"/>
            <w:tcMar>
              <w:top w:w="15" w:type="dxa"/>
              <w:left w:w="0" w:type="dxa"/>
              <w:bottom w:w="0" w:type="dxa"/>
              <w:right w:w="15" w:type="dxa"/>
            </w:tcMar>
            <w:vAlign w:val="bottom"/>
            <w:hideMark/>
          </w:tcPr>
          <w:p w14:paraId="04C420A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732681F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3" w:type="pct"/>
            <w:shd w:val="clear" w:color="auto" w:fill="FFFFFF"/>
            <w:noWrap/>
            <w:tcMar>
              <w:top w:w="15" w:type="dxa"/>
              <w:left w:w="0" w:type="dxa"/>
              <w:bottom w:w="0" w:type="dxa"/>
              <w:right w:w="15" w:type="dxa"/>
            </w:tcMar>
            <w:vAlign w:val="center"/>
            <w:hideMark/>
          </w:tcPr>
          <w:p w14:paraId="27549C09" w14:textId="77777777" w:rsidR="00000000" w:rsidRDefault="00582324">
            <w:pPr>
              <w:pStyle w:val="a3"/>
              <w:spacing w:before="0" w:beforeAutospacing="0" w:after="0" w:afterAutospacing="0"/>
              <w:jc w:val="right"/>
              <w:rPr>
                <w:color w:val="000000"/>
                <w:sz w:val="18"/>
                <w:szCs w:val="18"/>
              </w:rPr>
            </w:pPr>
            <w:r>
              <w:rPr>
                <w:color w:val="000000"/>
                <w:sz w:val="18"/>
                <w:szCs w:val="18"/>
              </w:rPr>
              <w:t>14,631</w:t>
            </w:r>
          </w:p>
        </w:tc>
        <w:tc>
          <w:tcPr>
            <w:tcW w:w="50" w:type="pct"/>
            <w:shd w:val="clear" w:color="auto" w:fill="FFFFFF"/>
            <w:noWrap/>
            <w:tcMar>
              <w:top w:w="15" w:type="dxa"/>
              <w:left w:w="0" w:type="dxa"/>
              <w:bottom w:w="0" w:type="dxa"/>
              <w:right w:w="15" w:type="dxa"/>
            </w:tcMar>
            <w:vAlign w:val="center"/>
            <w:hideMark/>
          </w:tcPr>
          <w:p w14:paraId="73F2BB7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2B91AF4" w14:textId="77777777">
        <w:trPr>
          <w:divId w:val="1953317667"/>
        </w:trPr>
        <w:tc>
          <w:tcPr>
            <w:tcW w:w="1793" w:type="pct"/>
            <w:shd w:val="clear" w:color="auto" w:fill="CFF0FC"/>
            <w:tcMar>
              <w:top w:w="15" w:type="dxa"/>
              <w:left w:w="0" w:type="dxa"/>
              <w:bottom w:w="0" w:type="dxa"/>
              <w:right w:w="15" w:type="dxa"/>
            </w:tcMar>
            <w:vAlign w:val="bottom"/>
            <w:hideMark/>
          </w:tcPr>
          <w:p w14:paraId="2534820E" w14:textId="77777777" w:rsidR="00000000" w:rsidRDefault="00582324">
            <w:pPr>
              <w:pStyle w:val="a3"/>
              <w:spacing w:before="0" w:beforeAutospacing="0" w:after="0" w:afterAutospacing="0"/>
              <w:rPr>
                <w:color w:val="000000"/>
                <w:sz w:val="18"/>
                <w:szCs w:val="18"/>
              </w:rPr>
            </w:pPr>
            <w:r>
              <w:rPr>
                <w:color w:val="000000"/>
                <w:sz w:val="18"/>
                <w:szCs w:val="18"/>
              </w:rPr>
              <w:t>Percentage of revenues</w:t>
            </w:r>
          </w:p>
        </w:tc>
        <w:tc>
          <w:tcPr>
            <w:tcW w:w="149" w:type="pct"/>
            <w:shd w:val="clear" w:color="auto" w:fill="CFF0FC"/>
            <w:tcMar>
              <w:top w:w="15" w:type="dxa"/>
              <w:left w:w="0" w:type="dxa"/>
              <w:bottom w:w="0" w:type="dxa"/>
              <w:right w:w="15" w:type="dxa"/>
            </w:tcMar>
            <w:vAlign w:val="bottom"/>
            <w:hideMark/>
          </w:tcPr>
          <w:p w14:paraId="6A6E16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5D18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03" w:type="pct"/>
            <w:shd w:val="clear" w:color="auto" w:fill="CFF0FC"/>
            <w:noWrap/>
            <w:tcMar>
              <w:top w:w="15" w:type="dxa"/>
              <w:left w:w="0" w:type="dxa"/>
              <w:bottom w:w="0" w:type="dxa"/>
              <w:right w:w="15" w:type="dxa"/>
            </w:tcMar>
            <w:vAlign w:val="bottom"/>
            <w:hideMark/>
          </w:tcPr>
          <w:p w14:paraId="3A894ADE" w14:textId="77777777" w:rsidR="00000000" w:rsidRDefault="00582324">
            <w:pPr>
              <w:pStyle w:val="a3"/>
              <w:spacing w:before="0" w:beforeAutospacing="0" w:after="0" w:afterAutospacing="0"/>
              <w:jc w:val="right"/>
              <w:rPr>
                <w:color w:val="000000"/>
                <w:sz w:val="18"/>
                <w:szCs w:val="18"/>
              </w:rPr>
            </w:pPr>
            <w:r>
              <w:rPr>
                <w:color w:val="000000"/>
                <w:sz w:val="18"/>
                <w:szCs w:val="18"/>
              </w:rPr>
              <w:t>0.3</w:t>
            </w:r>
          </w:p>
        </w:tc>
        <w:tc>
          <w:tcPr>
            <w:tcW w:w="50" w:type="pct"/>
            <w:shd w:val="clear" w:color="auto" w:fill="CFF0FC"/>
            <w:noWrap/>
            <w:tcMar>
              <w:top w:w="15" w:type="dxa"/>
              <w:left w:w="0" w:type="dxa"/>
              <w:bottom w:w="0" w:type="dxa"/>
              <w:right w:w="15" w:type="dxa"/>
            </w:tcMar>
            <w:vAlign w:val="bottom"/>
            <w:hideMark/>
          </w:tcPr>
          <w:p w14:paraId="4009F73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08" w:type="pct"/>
            <w:shd w:val="clear" w:color="auto" w:fill="CFF0FC"/>
            <w:tcMar>
              <w:top w:w="15" w:type="dxa"/>
              <w:left w:w="0" w:type="dxa"/>
              <w:bottom w:w="0" w:type="dxa"/>
              <w:right w:w="15" w:type="dxa"/>
            </w:tcMar>
            <w:vAlign w:val="bottom"/>
            <w:hideMark/>
          </w:tcPr>
          <w:p w14:paraId="595D1D1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432ED9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72" w:type="pct"/>
            <w:shd w:val="clear" w:color="auto" w:fill="CFF0FC"/>
            <w:noWrap/>
            <w:tcMar>
              <w:top w:w="15" w:type="dxa"/>
              <w:left w:w="0" w:type="dxa"/>
              <w:bottom w:w="0" w:type="dxa"/>
              <w:right w:w="15" w:type="dxa"/>
            </w:tcMar>
            <w:vAlign w:val="bottom"/>
            <w:hideMark/>
          </w:tcPr>
          <w:p w14:paraId="10D10CE7" w14:textId="77777777" w:rsidR="00000000" w:rsidRDefault="00582324">
            <w:pPr>
              <w:pStyle w:val="a3"/>
              <w:spacing w:before="0" w:beforeAutospacing="0" w:after="0" w:afterAutospacing="0"/>
              <w:jc w:val="right"/>
              <w:rPr>
                <w:color w:val="000000"/>
                <w:sz w:val="18"/>
                <w:szCs w:val="18"/>
              </w:rPr>
            </w:pPr>
            <w:r>
              <w:rPr>
                <w:color w:val="000000"/>
                <w:sz w:val="18"/>
                <w:szCs w:val="18"/>
              </w:rPr>
              <w:t>19.8</w:t>
            </w:r>
          </w:p>
        </w:tc>
        <w:tc>
          <w:tcPr>
            <w:tcW w:w="50" w:type="pct"/>
            <w:shd w:val="clear" w:color="auto" w:fill="CFF0FC"/>
            <w:noWrap/>
            <w:tcMar>
              <w:top w:w="15" w:type="dxa"/>
              <w:left w:w="0" w:type="dxa"/>
              <w:bottom w:w="0" w:type="dxa"/>
              <w:right w:w="15" w:type="dxa"/>
            </w:tcMar>
            <w:vAlign w:val="bottom"/>
            <w:hideMark/>
          </w:tcPr>
          <w:p w14:paraId="3EE8ADF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08" w:type="pct"/>
            <w:shd w:val="clear" w:color="auto" w:fill="CFF0FC"/>
            <w:tcMar>
              <w:top w:w="15" w:type="dxa"/>
              <w:left w:w="0" w:type="dxa"/>
              <w:bottom w:w="0" w:type="dxa"/>
              <w:right w:w="15" w:type="dxa"/>
            </w:tcMar>
            <w:vAlign w:val="bottom"/>
            <w:hideMark/>
          </w:tcPr>
          <w:p w14:paraId="7F67CC5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C1691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11" w:type="pct"/>
            <w:shd w:val="clear" w:color="auto" w:fill="CFF0FC"/>
            <w:noWrap/>
            <w:tcMar>
              <w:top w:w="15" w:type="dxa"/>
              <w:left w:w="0" w:type="dxa"/>
              <w:bottom w:w="0" w:type="dxa"/>
              <w:right w:w="15" w:type="dxa"/>
            </w:tcMar>
            <w:vAlign w:val="bottom"/>
            <w:hideMark/>
          </w:tcPr>
          <w:p w14:paraId="18D10846" w14:textId="77777777" w:rsidR="00000000" w:rsidRDefault="00582324">
            <w:pPr>
              <w:pStyle w:val="a3"/>
              <w:spacing w:before="0" w:beforeAutospacing="0" w:after="0" w:afterAutospacing="0"/>
              <w:jc w:val="right"/>
              <w:rPr>
                <w:color w:val="000000"/>
                <w:sz w:val="18"/>
                <w:szCs w:val="18"/>
              </w:rPr>
            </w:pPr>
            <w:r>
              <w:rPr>
                <w:color w:val="000000"/>
                <w:sz w:val="18"/>
                <w:szCs w:val="18"/>
              </w:rPr>
              <w:t>2.9</w:t>
            </w:r>
          </w:p>
        </w:tc>
        <w:tc>
          <w:tcPr>
            <w:tcW w:w="50" w:type="pct"/>
            <w:shd w:val="clear" w:color="auto" w:fill="CFF0FC"/>
            <w:noWrap/>
            <w:tcMar>
              <w:top w:w="15" w:type="dxa"/>
              <w:left w:w="0" w:type="dxa"/>
              <w:bottom w:w="0" w:type="dxa"/>
              <w:right w:w="15" w:type="dxa"/>
            </w:tcMar>
            <w:vAlign w:val="bottom"/>
            <w:hideMark/>
          </w:tcPr>
          <w:p w14:paraId="26371BF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108" w:type="pct"/>
            <w:shd w:val="clear" w:color="auto" w:fill="CFF0FC"/>
            <w:tcMar>
              <w:top w:w="15" w:type="dxa"/>
              <w:left w:w="0" w:type="dxa"/>
              <w:bottom w:w="0" w:type="dxa"/>
              <w:right w:w="15" w:type="dxa"/>
            </w:tcMar>
            <w:vAlign w:val="bottom"/>
            <w:hideMark/>
          </w:tcPr>
          <w:p w14:paraId="2B3928A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D958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3" w:type="pct"/>
            <w:shd w:val="clear" w:color="auto" w:fill="CFF0FC"/>
            <w:noWrap/>
            <w:tcMar>
              <w:top w:w="15" w:type="dxa"/>
              <w:left w:w="0" w:type="dxa"/>
              <w:bottom w:w="0" w:type="dxa"/>
              <w:right w:w="15" w:type="dxa"/>
            </w:tcMar>
            <w:vAlign w:val="bottom"/>
            <w:hideMark/>
          </w:tcPr>
          <w:p w14:paraId="0F26D073" w14:textId="77777777" w:rsidR="00000000" w:rsidRDefault="00582324">
            <w:pPr>
              <w:pStyle w:val="a3"/>
              <w:spacing w:before="0" w:beforeAutospacing="0" w:after="0" w:afterAutospacing="0"/>
              <w:jc w:val="right"/>
              <w:rPr>
                <w:color w:val="000000"/>
                <w:sz w:val="18"/>
                <w:szCs w:val="18"/>
              </w:rPr>
            </w:pPr>
            <w:r>
              <w:rPr>
                <w:color w:val="000000"/>
                <w:sz w:val="18"/>
                <w:szCs w:val="18"/>
              </w:rPr>
              <w:t>10.9</w:t>
            </w:r>
          </w:p>
        </w:tc>
        <w:tc>
          <w:tcPr>
            <w:tcW w:w="50" w:type="pct"/>
            <w:shd w:val="clear" w:color="auto" w:fill="CFF0FC"/>
            <w:noWrap/>
            <w:tcMar>
              <w:top w:w="15" w:type="dxa"/>
              <w:left w:w="0" w:type="dxa"/>
              <w:bottom w:w="0" w:type="dxa"/>
              <w:right w:w="15" w:type="dxa"/>
            </w:tcMar>
            <w:vAlign w:val="bottom"/>
            <w:hideMark/>
          </w:tcPr>
          <w:p w14:paraId="5F177A3B"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324BBD3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Revenues from acquired companies exclude intercompany revenues from revenue synergies realized between business lines within operating segments, as these are eliminated at the consolidated segment and Company level. We expect our revenue growth to continue</w:t>
      </w:r>
      <w:r>
        <w:rPr>
          <w:color w:val="000000"/>
          <w:sz w:val="20"/>
          <w:szCs w:val="20"/>
        </w:rPr>
        <w:t xml:space="preserve"> to be driven in significant part by acquisitions.</w:t>
      </w:r>
    </w:p>
    <w:p w14:paraId="1EA78249" w14:textId="77777777" w:rsidR="00000000" w:rsidRDefault="00582324">
      <w:pPr>
        <w:pStyle w:val="a3"/>
        <w:spacing w:before="240" w:beforeAutospacing="0" w:after="0" w:afterAutospacing="0"/>
        <w:ind w:firstLine="416"/>
        <w:rPr>
          <w:color w:val="000000"/>
          <w:sz w:val="20"/>
          <w:szCs w:val="20"/>
        </w:rPr>
      </w:pPr>
      <w:r>
        <w:rPr>
          <w:color w:val="000000"/>
          <w:sz w:val="20"/>
          <w:szCs w:val="20"/>
        </w:rPr>
        <w:t>As a result of our acquisitions, goodwill and other intangible assets represent a significant proportion of our total assets, and amortization of intangible assets has historically been a significant expen</w:t>
      </w:r>
      <w:r>
        <w:rPr>
          <w:color w:val="000000"/>
          <w:sz w:val="20"/>
          <w:szCs w:val="20"/>
        </w:rPr>
        <w:t>se. Our historical financial statements also include other acquisition-related costs, including costs relating to external legal support, diligence and valuation services and other transaction and integration-related matters. In addition, in any year gains</w:t>
      </w:r>
      <w:r>
        <w:rPr>
          <w:color w:val="000000"/>
          <w:sz w:val="20"/>
          <w:szCs w:val="20"/>
        </w:rPr>
        <w:t xml:space="preserve"> and losses from changes in the fair value of earn-out related contingent consideration related to acquisitions could be significant. The amount of each for the three and six months ended June 30, was:</w:t>
      </w:r>
    </w:p>
    <w:p w14:paraId="1B3DFC0B" w14:textId="77777777" w:rsidR="00000000" w:rsidRDefault="00582324">
      <w:pPr>
        <w:pStyle w:val="a3"/>
        <w:spacing w:before="240" w:beforeAutospacing="0" w:after="0" w:afterAutospacing="0"/>
        <w:jc w:val="center"/>
        <w:rPr>
          <w:sz w:val="20"/>
          <w:szCs w:val="20"/>
        </w:rPr>
      </w:pPr>
      <w:r>
        <w:rPr>
          <w:sz w:val="20"/>
          <w:szCs w:val="20"/>
        </w:rPr>
        <w:t>34</w:t>
      </w:r>
    </w:p>
    <w:p w14:paraId="33FAFD73" w14:textId="77777777" w:rsidR="00000000" w:rsidRDefault="00582324">
      <w:pPr>
        <w:rPr>
          <w:rFonts w:eastAsia="Times New Roman"/>
        </w:rPr>
      </w:pPr>
      <w:r>
        <w:rPr>
          <w:rFonts w:eastAsia="Times New Roman"/>
        </w:rPr>
        <w:pict w14:anchorId="2DED5257">
          <v:rect id="_x0000_i1060" style="width:0;height:1.5pt" o:hralign="center" o:hrstd="t" o:hr="t" fillcolor="#a0a0a0" stroked="f"/>
        </w:pict>
      </w:r>
    </w:p>
    <w:p w14:paraId="3ED9FB3F" w14:textId="77777777" w:rsidR="00000000" w:rsidRDefault="00582324">
      <w:pPr>
        <w:pStyle w:val="a3"/>
        <w:spacing w:before="0" w:beforeAutospacing="0" w:after="0" w:afterAutospacing="0"/>
        <w:rPr>
          <w:sz w:val="20"/>
          <w:szCs w:val="20"/>
        </w:rPr>
      </w:pPr>
      <w:r>
        <w:rPr>
          <w:sz w:val="20"/>
          <w:szCs w:val="20"/>
        </w:rPr>
        <w:t> </w:t>
      </w:r>
    </w:p>
    <w:p w14:paraId="4B886AE4" w14:textId="77777777" w:rsidR="00000000" w:rsidRDefault="00582324">
      <w:pPr>
        <w:pStyle w:val="a3"/>
        <w:spacing w:before="0" w:beforeAutospacing="0" w:after="0" w:afterAutospacing="0"/>
        <w:ind w:firstLine="545"/>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2869"/>
        <w:gridCol w:w="113"/>
        <w:gridCol w:w="105"/>
        <w:gridCol w:w="866"/>
        <w:gridCol w:w="66"/>
        <w:gridCol w:w="114"/>
        <w:gridCol w:w="105"/>
        <w:gridCol w:w="867"/>
        <w:gridCol w:w="66"/>
        <w:gridCol w:w="114"/>
        <w:gridCol w:w="105"/>
        <w:gridCol w:w="867"/>
        <w:gridCol w:w="66"/>
        <w:gridCol w:w="114"/>
        <w:gridCol w:w="105"/>
        <w:gridCol w:w="867"/>
        <w:gridCol w:w="66"/>
      </w:tblGrid>
      <w:tr w:rsidR="00000000" w14:paraId="18B0D6A3" w14:textId="77777777">
        <w:trPr>
          <w:divId w:val="1639383264"/>
        </w:trPr>
        <w:tc>
          <w:tcPr>
            <w:tcW w:w="1925" w:type="pct"/>
            <w:shd w:val="clear" w:color="auto" w:fill="FFFFFF"/>
            <w:tcMar>
              <w:top w:w="15" w:type="dxa"/>
              <w:left w:w="0" w:type="dxa"/>
              <w:bottom w:w="0" w:type="dxa"/>
              <w:right w:w="15" w:type="dxa"/>
            </w:tcMar>
            <w:vAlign w:val="center"/>
            <w:hideMark/>
          </w:tcPr>
          <w:p w14:paraId="4B797FD9" w14:textId="77777777" w:rsidR="00000000" w:rsidRDefault="00582324">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center"/>
            <w:hideMark/>
          </w:tcPr>
          <w:p w14:paraId="0F2A8B9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4" w:type="pct"/>
            <w:gridSpan w:val="6"/>
            <w:tcBorders>
              <w:bottom w:val="single" w:sz="6" w:space="0" w:color="000000"/>
            </w:tcBorders>
            <w:shd w:val="clear" w:color="auto" w:fill="FFFFFF"/>
            <w:tcMar>
              <w:top w:w="15" w:type="dxa"/>
              <w:left w:w="0" w:type="dxa"/>
              <w:bottom w:w="0" w:type="dxa"/>
              <w:right w:w="15" w:type="dxa"/>
            </w:tcMar>
            <w:vAlign w:val="center"/>
            <w:hideMark/>
          </w:tcPr>
          <w:p w14:paraId="6E38E41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xml:space="preserve">Three </w:t>
            </w:r>
            <w:r>
              <w:rPr>
                <w:b/>
                <w:bCs/>
                <w:color w:val="000000"/>
                <w:sz w:val="18"/>
                <w:szCs w:val="18"/>
              </w:rPr>
              <w:t>Months Ended June 30,</w:t>
            </w:r>
          </w:p>
        </w:tc>
        <w:tc>
          <w:tcPr>
            <w:tcW w:w="50" w:type="pct"/>
            <w:shd w:val="clear" w:color="auto" w:fill="FFFFFF"/>
            <w:noWrap/>
            <w:tcMar>
              <w:top w:w="15" w:type="dxa"/>
              <w:left w:w="0" w:type="dxa"/>
              <w:bottom w:w="0" w:type="dxa"/>
              <w:right w:w="15" w:type="dxa"/>
            </w:tcMar>
            <w:vAlign w:val="center"/>
            <w:hideMark/>
          </w:tcPr>
          <w:p w14:paraId="1792F27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center"/>
            <w:hideMark/>
          </w:tcPr>
          <w:p w14:paraId="7B6D7EC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4" w:type="pct"/>
            <w:gridSpan w:val="6"/>
            <w:tcBorders>
              <w:bottom w:val="single" w:sz="6" w:space="0" w:color="000000"/>
            </w:tcBorders>
            <w:shd w:val="clear" w:color="auto" w:fill="FFFFFF"/>
            <w:tcMar>
              <w:top w:w="15" w:type="dxa"/>
              <w:left w:w="0" w:type="dxa"/>
              <w:bottom w:w="0" w:type="dxa"/>
              <w:right w:w="15" w:type="dxa"/>
            </w:tcMar>
            <w:vAlign w:val="center"/>
            <w:hideMark/>
          </w:tcPr>
          <w:p w14:paraId="32A64CB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center"/>
            <w:hideMark/>
          </w:tcPr>
          <w:p w14:paraId="30D93AC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4B13849" w14:textId="77777777">
        <w:trPr>
          <w:divId w:val="1639383264"/>
        </w:trPr>
        <w:tc>
          <w:tcPr>
            <w:tcW w:w="1925" w:type="pct"/>
            <w:shd w:val="clear" w:color="auto" w:fill="FFFFFF"/>
            <w:tcMar>
              <w:top w:w="15" w:type="dxa"/>
              <w:left w:w="0" w:type="dxa"/>
              <w:bottom w:w="0" w:type="dxa"/>
              <w:right w:w="15" w:type="dxa"/>
            </w:tcMar>
            <w:vAlign w:val="center"/>
            <w:hideMark/>
          </w:tcPr>
          <w:p w14:paraId="5326E5BC"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w:t>
            </w:r>
          </w:p>
        </w:tc>
        <w:tc>
          <w:tcPr>
            <w:tcW w:w="82" w:type="pct"/>
            <w:shd w:val="clear" w:color="auto" w:fill="FFFFFF"/>
            <w:tcMar>
              <w:top w:w="15" w:type="dxa"/>
              <w:left w:w="0" w:type="dxa"/>
              <w:bottom w:w="0" w:type="dxa"/>
              <w:right w:w="15" w:type="dxa"/>
            </w:tcMar>
            <w:vAlign w:val="center"/>
            <w:hideMark/>
          </w:tcPr>
          <w:p w14:paraId="164831D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AABF49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center"/>
            <w:hideMark/>
          </w:tcPr>
          <w:p w14:paraId="61D250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tcBorders>
              <w:top w:val="single" w:sz="6" w:space="0" w:color="000000"/>
            </w:tcBorders>
            <w:shd w:val="clear" w:color="auto" w:fill="FFFFFF"/>
            <w:tcMar>
              <w:top w:w="15" w:type="dxa"/>
              <w:left w:w="0" w:type="dxa"/>
              <w:bottom w:w="0" w:type="dxa"/>
              <w:right w:w="15" w:type="dxa"/>
            </w:tcMar>
            <w:vAlign w:val="center"/>
            <w:hideMark/>
          </w:tcPr>
          <w:p w14:paraId="5C5868E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46BCAC1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center"/>
            <w:hideMark/>
          </w:tcPr>
          <w:p w14:paraId="4F22260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shd w:val="clear" w:color="auto" w:fill="FFFFFF"/>
            <w:tcMar>
              <w:top w:w="15" w:type="dxa"/>
              <w:left w:w="0" w:type="dxa"/>
              <w:bottom w:w="0" w:type="dxa"/>
              <w:right w:w="15" w:type="dxa"/>
            </w:tcMar>
            <w:vAlign w:val="center"/>
            <w:hideMark/>
          </w:tcPr>
          <w:p w14:paraId="6C1A8FB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2078AB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center"/>
            <w:hideMark/>
          </w:tcPr>
          <w:p w14:paraId="06623DD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2" w:type="pct"/>
            <w:tcBorders>
              <w:top w:val="single" w:sz="6" w:space="0" w:color="000000"/>
            </w:tcBorders>
            <w:shd w:val="clear" w:color="auto" w:fill="FFFFFF"/>
            <w:tcMar>
              <w:top w:w="15" w:type="dxa"/>
              <w:left w:w="0" w:type="dxa"/>
              <w:bottom w:w="0" w:type="dxa"/>
              <w:right w:w="15" w:type="dxa"/>
            </w:tcMar>
            <w:vAlign w:val="center"/>
            <w:hideMark/>
          </w:tcPr>
          <w:p w14:paraId="01EC32E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D68DBA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center"/>
            <w:hideMark/>
          </w:tcPr>
          <w:p w14:paraId="1ABF371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60789C3" w14:textId="77777777">
        <w:trPr>
          <w:divId w:val="1639383264"/>
        </w:trPr>
        <w:tc>
          <w:tcPr>
            <w:tcW w:w="1925" w:type="pct"/>
            <w:shd w:val="clear" w:color="auto" w:fill="CFF0FC"/>
            <w:tcMar>
              <w:top w:w="15" w:type="dxa"/>
              <w:left w:w="0" w:type="dxa"/>
              <w:bottom w:w="0" w:type="dxa"/>
              <w:right w:w="15" w:type="dxa"/>
            </w:tcMar>
            <w:vAlign w:val="center"/>
            <w:hideMark/>
          </w:tcPr>
          <w:p w14:paraId="0DC91493" w14:textId="77777777" w:rsidR="00000000" w:rsidRDefault="00582324">
            <w:pPr>
              <w:pStyle w:val="a3"/>
              <w:spacing w:before="0" w:beforeAutospacing="0" w:after="0" w:afterAutospacing="0"/>
              <w:rPr>
                <w:color w:val="000000"/>
                <w:sz w:val="18"/>
                <w:szCs w:val="18"/>
              </w:rPr>
            </w:pPr>
            <w:r>
              <w:rPr>
                <w:color w:val="000000"/>
                <w:sz w:val="18"/>
                <w:szCs w:val="18"/>
              </w:rPr>
              <w:t>Amortization expense</w:t>
            </w:r>
          </w:p>
        </w:tc>
        <w:tc>
          <w:tcPr>
            <w:tcW w:w="82" w:type="pct"/>
            <w:shd w:val="clear" w:color="auto" w:fill="CFF0FC"/>
            <w:tcMar>
              <w:top w:w="15" w:type="dxa"/>
              <w:left w:w="0" w:type="dxa"/>
              <w:bottom w:w="0" w:type="dxa"/>
              <w:right w:w="15" w:type="dxa"/>
            </w:tcMar>
            <w:vAlign w:val="center"/>
            <w:hideMark/>
          </w:tcPr>
          <w:p w14:paraId="76270C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5326573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6" w:type="pct"/>
            <w:tcBorders>
              <w:top w:val="single" w:sz="6" w:space="0" w:color="000000"/>
            </w:tcBorders>
            <w:shd w:val="clear" w:color="auto" w:fill="CFF0FC"/>
            <w:noWrap/>
            <w:tcMar>
              <w:top w:w="15" w:type="dxa"/>
              <w:left w:w="0" w:type="dxa"/>
              <w:bottom w:w="0" w:type="dxa"/>
              <w:right w:w="15" w:type="dxa"/>
            </w:tcMar>
            <w:vAlign w:val="center"/>
            <w:hideMark/>
          </w:tcPr>
          <w:p w14:paraId="00ED222B" w14:textId="77777777" w:rsidR="00000000" w:rsidRDefault="00582324">
            <w:pPr>
              <w:pStyle w:val="a3"/>
              <w:spacing w:before="0" w:beforeAutospacing="0" w:after="0" w:afterAutospacing="0"/>
              <w:jc w:val="right"/>
              <w:rPr>
                <w:color w:val="000000"/>
                <w:sz w:val="18"/>
                <w:szCs w:val="18"/>
              </w:rPr>
            </w:pPr>
            <w:r>
              <w:rPr>
                <w:color w:val="000000"/>
                <w:sz w:val="18"/>
                <w:szCs w:val="18"/>
              </w:rPr>
              <w:t>8,407</w:t>
            </w:r>
          </w:p>
        </w:tc>
        <w:tc>
          <w:tcPr>
            <w:tcW w:w="50" w:type="pct"/>
            <w:shd w:val="clear" w:color="auto" w:fill="CFF0FC"/>
            <w:noWrap/>
            <w:tcMar>
              <w:top w:w="15" w:type="dxa"/>
              <w:left w:w="0" w:type="dxa"/>
              <w:bottom w:w="0" w:type="dxa"/>
              <w:right w:w="15" w:type="dxa"/>
            </w:tcMar>
            <w:vAlign w:val="center"/>
            <w:hideMark/>
          </w:tcPr>
          <w:p w14:paraId="244473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711AA7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2690628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6" w:type="pct"/>
            <w:tcBorders>
              <w:top w:val="single" w:sz="6" w:space="0" w:color="000000"/>
            </w:tcBorders>
            <w:shd w:val="clear" w:color="auto" w:fill="CFF0FC"/>
            <w:noWrap/>
            <w:tcMar>
              <w:top w:w="15" w:type="dxa"/>
              <w:left w:w="0" w:type="dxa"/>
              <w:bottom w:w="0" w:type="dxa"/>
              <w:right w:w="15" w:type="dxa"/>
            </w:tcMar>
            <w:vAlign w:val="center"/>
            <w:hideMark/>
          </w:tcPr>
          <w:p w14:paraId="0C202CA9" w14:textId="77777777" w:rsidR="00000000" w:rsidRDefault="00582324">
            <w:pPr>
              <w:pStyle w:val="a3"/>
              <w:spacing w:before="0" w:beforeAutospacing="0" w:after="0" w:afterAutospacing="0"/>
              <w:jc w:val="right"/>
              <w:rPr>
                <w:color w:val="000000"/>
                <w:sz w:val="18"/>
                <w:szCs w:val="18"/>
              </w:rPr>
            </w:pPr>
            <w:r>
              <w:rPr>
                <w:color w:val="000000"/>
                <w:sz w:val="18"/>
                <w:szCs w:val="18"/>
              </w:rPr>
              <w:t>7,717</w:t>
            </w:r>
          </w:p>
        </w:tc>
        <w:tc>
          <w:tcPr>
            <w:tcW w:w="50" w:type="pct"/>
            <w:shd w:val="clear" w:color="auto" w:fill="CFF0FC"/>
            <w:noWrap/>
            <w:tcMar>
              <w:top w:w="15" w:type="dxa"/>
              <w:left w:w="0" w:type="dxa"/>
              <w:bottom w:w="0" w:type="dxa"/>
              <w:right w:w="15" w:type="dxa"/>
            </w:tcMar>
            <w:vAlign w:val="center"/>
            <w:hideMark/>
          </w:tcPr>
          <w:p w14:paraId="495E06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372DD0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739EB59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6" w:type="pct"/>
            <w:tcBorders>
              <w:top w:val="single" w:sz="6" w:space="0" w:color="000000"/>
            </w:tcBorders>
            <w:shd w:val="clear" w:color="auto" w:fill="CFF0FC"/>
            <w:noWrap/>
            <w:tcMar>
              <w:top w:w="15" w:type="dxa"/>
              <w:left w:w="0" w:type="dxa"/>
              <w:bottom w:w="0" w:type="dxa"/>
              <w:right w:w="15" w:type="dxa"/>
            </w:tcMar>
            <w:vAlign w:val="center"/>
            <w:hideMark/>
          </w:tcPr>
          <w:p w14:paraId="2AA9DBE5" w14:textId="77777777" w:rsidR="00000000" w:rsidRDefault="00582324">
            <w:pPr>
              <w:pStyle w:val="a3"/>
              <w:spacing w:before="0" w:beforeAutospacing="0" w:after="0" w:afterAutospacing="0"/>
              <w:jc w:val="right"/>
              <w:rPr>
                <w:color w:val="000000"/>
                <w:sz w:val="18"/>
                <w:szCs w:val="18"/>
              </w:rPr>
            </w:pPr>
            <w:r>
              <w:rPr>
                <w:color w:val="000000"/>
                <w:sz w:val="18"/>
                <w:szCs w:val="18"/>
              </w:rPr>
              <w:t>17,002</w:t>
            </w:r>
          </w:p>
        </w:tc>
        <w:tc>
          <w:tcPr>
            <w:tcW w:w="50" w:type="pct"/>
            <w:shd w:val="clear" w:color="auto" w:fill="CFF0FC"/>
            <w:noWrap/>
            <w:tcMar>
              <w:top w:w="15" w:type="dxa"/>
              <w:left w:w="0" w:type="dxa"/>
              <w:bottom w:w="0" w:type="dxa"/>
              <w:right w:w="15" w:type="dxa"/>
            </w:tcMar>
            <w:vAlign w:val="center"/>
            <w:hideMark/>
          </w:tcPr>
          <w:p w14:paraId="516598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41A80F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6770B17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86" w:type="pct"/>
            <w:tcBorders>
              <w:top w:val="single" w:sz="6" w:space="0" w:color="000000"/>
            </w:tcBorders>
            <w:shd w:val="clear" w:color="auto" w:fill="CFF0FC"/>
            <w:noWrap/>
            <w:tcMar>
              <w:top w:w="15" w:type="dxa"/>
              <w:left w:w="0" w:type="dxa"/>
              <w:bottom w:w="0" w:type="dxa"/>
              <w:right w:w="15" w:type="dxa"/>
            </w:tcMar>
            <w:vAlign w:val="center"/>
            <w:hideMark/>
          </w:tcPr>
          <w:p w14:paraId="6955A422" w14:textId="77777777" w:rsidR="00000000" w:rsidRDefault="00582324">
            <w:pPr>
              <w:pStyle w:val="a3"/>
              <w:spacing w:before="0" w:beforeAutospacing="0" w:after="0" w:afterAutospacing="0"/>
              <w:jc w:val="right"/>
              <w:rPr>
                <w:color w:val="000000"/>
                <w:sz w:val="18"/>
                <w:szCs w:val="18"/>
              </w:rPr>
            </w:pPr>
            <w:r>
              <w:rPr>
                <w:color w:val="000000"/>
                <w:sz w:val="18"/>
                <w:szCs w:val="18"/>
              </w:rPr>
              <w:t>13,326</w:t>
            </w:r>
          </w:p>
        </w:tc>
        <w:tc>
          <w:tcPr>
            <w:tcW w:w="50" w:type="pct"/>
            <w:shd w:val="clear" w:color="auto" w:fill="CFF0FC"/>
            <w:noWrap/>
            <w:tcMar>
              <w:top w:w="15" w:type="dxa"/>
              <w:left w:w="0" w:type="dxa"/>
              <w:bottom w:w="0" w:type="dxa"/>
              <w:right w:w="15" w:type="dxa"/>
            </w:tcMar>
            <w:vAlign w:val="center"/>
            <w:hideMark/>
          </w:tcPr>
          <w:p w14:paraId="15868E2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3BF1DA6" w14:textId="77777777">
        <w:trPr>
          <w:divId w:val="1639383264"/>
        </w:trPr>
        <w:tc>
          <w:tcPr>
            <w:tcW w:w="1925" w:type="pct"/>
            <w:shd w:val="clear" w:color="auto" w:fill="FFFFFF"/>
            <w:tcMar>
              <w:top w:w="15" w:type="dxa"/>
              <w:left w:w="0" w:type="dxa"/>
              <w:bottom w:w="0" w:type="dxa"/>
              <w:right w:w="15" w:type="dxa"/>
            </w:tcMar>
            <w:vAlign w:val="center"/>
            <w:hideMark/>
          </w:tcPr>
          <w:p w14:paraId="4A3CEEC2" w14:textId="77777777" w:rsidR="00000000" w:rsidRDefault="00582324">
            <w:pPr>
              <w:pStyle w:val="a3"/>
              <w:spacing w:before="0" w:beforeAutospacing="0" w:after="0" w:afterAutospacing="0"/>
              <w:rPr>
                <w:color w:val="000000"/>
                <w:sz w:val="18"/>
                <w:szCs w:val="18"/>
              </w:rPr>
            </w:pPr>
            <w:r>
              <w:rPr>
                <w:color w:val="000000"/>
                <w:sz w:val="18"/>
                <w:szCs w:val="18"/>
              </w:rPr>
              <w:t>Acquisition-related costs</w:t>
            </w:r>
          </w:p>
        </w:tc>
        <w:tc>
          <w:tcPr>
            <w:tcW w:w="82" w:type="pct"/>
            <w:shd w:val="clear" w:color="auto" w:fill="FFFFFF"/>
            <w:tcMar>
              <w:top w:w="15" w:type="dxa"/>
              <w:left w:w="0" w:type="dxa"/>
              <w:bottom w:w="0" w:type="dxa"/>
              <w:right w:w="15" w:type="dxa"/>
            </w:tcMar>
            <w:vAlign w:val="center"/>
            <w:hideMark/>
          </w:tcPr>
          <w:p w14:paraId="1EA058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085EC0D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FFFFFF"/>
            <w:noWrap/>
            <w:tcMar>
              <w:top w:w="15" w:type="dxa"/>
              <w:left w:w="0" w:type="dxa"/>
              <w:bottom w:w="0" w:type="dxa"/>
              <w:right w:w="15" w:type="dxa"/>
            </w:tcMar>
            <w:vAlign w:val="center"/>
            <w:hideMark/>
          </w:tcPr>
          <w:p w14:paraId="3617E074" w14:textId="77777777" w:rsidR="00000000" w:rsidRDefault="00582324">
            <w:pPr>
              <w:pStyle w:val="a3"/>
              <w:spacing w:before="0" w:beforeAutospacing="0" w:after="0" w:afterAutospacing="0"/>
              <w:jc w:val="right"/>
              <w:rPr>
                <w:color w:val="000000"/>
                <w:sz w:val="18"/>
                <w:szCs w:val="18"/>
              </w:rPr>
            </w:pPr>
            <w:r>
              <w:rPr>
                <w:color w:val="000000"/>
                <w:sz w:val="18"/>
                <w:szCs w:val="18"/>
              </w:rPr>
              <w:t>506</w:t>
            </w:r>
          </w:p>
        </w:tc>
        <w:tc>
          <w:tcPr>
            <w:tcW w:w="50" w:type="pct"/>
            <w:shd w:val="clear" w:color="auto" w:fill="FFFFFF"/>
            <w:noWrap/>
            <w:tcMar>
              <w:top w:w="15" w:type="dxa"/>
              <w:left w:w="0" w:type="dxa"/>
              <w:bottom w:w="0" w:type="dxa"/>
              <w:right w:w="15" w:type="dxa"/>
            </w:tcMar>
            <w:vAlign w:val="center"/>
            <w:hideMark/>
          </w:tcPr>
          <w:p w14:paraId="4D0A83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center"/>
            <w:hideMark/>
          </w:tcPr>
          <w:p w14:paraId="275FE8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255EA7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FFFFFF"/>
            <w:noWrap/>
            <w:tcMar>
              <w:top w:w="15" w:type="dxa"/>
              <w:left w:w="0" w:type="dxa"/>
              <w:bottom w:w="0" w:type="dxa"/>
              <w:right w:w="15" w:type="dxa"/>
            </w:tcMar>
            <w:vAlign w:val="center"/>
            <w:hideMark/>
          </w:tcPr>
          <w:p w14:paraId="3B589CFF" w14:textId="77777777" w:rsidR="00000000" w:rsidRDefault="00582324">
            <w:pPr>
              <w:pStyle w:val="a3"/>
              <w:spacing w:before="0" w:beforeAutospacing="0" w:after="0" w:afterAutospacing="0"/>
              <w:jc w:val="right"/>
              <w:rPr>
                <w:color w:val="000000"/>
                <w:sz w:val="18"/>
                <w:szCs w:val="18"/>
              </w:rPr>
            </w:pPr>
            <w:r>
              <w:rPr>
                <w:color w:val="000000"/>
                <w:sz w:val="18"/>
                <w:szCs w:val="18"/>
              </w:rPr>
              <w:t>2,454</w:t>
            </w:r>
          </w:p>
        </w:tc>
        <w:tc>
          <w:tcPr>
            <w:tcW w:w="50" w:type="pct"/>
            <w:shd w:val="clear" w:color="auto" w:fill="FFFFFF"/>
            <w:noWrap/>
            <w:tcMar>
              <w:top w:w="15" w:type="dxa"/>
              <w:left w:w="0" w:type="dxa"/>
              <w:bottom w:w="0" w:type="dxa"/>
              <w:right w:w="15" w:type="dxa"/>
            </w:tcMar>
            <w:vAlign w:val="center"/>
            <w:hideMark/>
          </w:tcPr>
          <w:p w14:paraId="518BB2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center"/>
            <w:hideMark/>
          </w:tcPr>
          <w:p w14:paraId="774EF7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2B6901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FFFFFF"/>
            <w:noWrap/>
            <w:tcMar>
              <w:top w:w="15" w:type="dxa"/>
              <w:left w:w="0" w:type="dxa"/>
              <w:bottom w:w="0" w:type="dxa"/>
              <w:right w:w="15" w:type="dxa"/>
            </w:tcMar>
            <w:vAlign w:val="center"/>
            <w:hideMark/>
          </w:tcPr>
          <w:p w14:paraId="765BDF4A" w14:textId="77777777" w:rsidR="00000000" w:rsidRDefault="00582324">
            <w:pPr>
              <w:pStyle w:val="a3"/>
              <w:spacing w:before="0" w:beforeAutospacing="0" w:after="0" w:afterAutospacing="0"/>
              <w:jc w:val="right"/>
              <w:rPr>
                <w:color w:val="000000"/>
                <w:sz w:val="18"/>
                <w:szCs w:val="18"/>
              </w:rPr>
            </w:pPr>
            <w:r>
              <w:rPr>
                <w:color w:val="000000"/>
                <w:sz w:val="18"/>
                <w:szCs w:val="18"/>
              </w:rPr>
              <w:t>743</w:t>
            </w:r>
          </w:p>
        </w:tc>
        <w:tc>
          <w:tcPr>
            <w:tcW w:w="50" w:type="pct"/>
            <w:shd w:val="clear" w:color="auto" w:fill="FFFFFF"/>
            <w:noWrap/>
            <w:tcMar>
              <w:top w:w="15" w:type="dxa"/>
              <w:left w:w="0" w:type="dxa"/>
              <w:bottom w:w="0" w:type="dxa"/>
              <w:right w:w="15" w:type="dxa"/>
            </w:tcMar>
            <w:vAlign w:val="center"/>
            <w:hideMark/>
          </w:tcPr>
          <w:p w14:paraId="3D9217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FFFFFF"/>
            <w:tcMar>
              <w:top w:w="15" w:type="dxa"/>
              <w:left w:w="0" w:type="dxa"/>
              <w:bottom w:w="0" w:type="dxa"/>
              <w:right w:w="15" w:type="dxa"/>
            </w:tcMar>
            <w:vAlign w:val="center"/>
            <w:hideMark/>
          </w:tcPr>
          <w:p w14:paraId="289AF4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center"/>
            <w:hideMark/>
          </w:tcPr>
          <w:p w14:paraId="5B96CB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FFFFFF"/>
            <w:noWrap/>
            <w:tcMar>
              <w:top w:w="15" w:type="dxa"/>
              <w:left w:w="0" w:type="dxa"/>
              <w:bottom w:w="0" w:type="dxa"/>
              <w:right w:w="15" w:type="dxa"/>
            </w:tcMar>
            <w:vAlign w:val="center"/>
            <w:hideMark/>
          </w:tcPr>
          <w:p w14:paraId="431BF6EF" w14:textId="77777777" w:rsidR="00000000" w:rsidRDefault="00582324">
            <w:pPr>
              <w:pStyle w:val="a3"/>
              <w:spacing w:before="0" w:beforeAutospacing="0" w:after="0" w:afterAutospacing="0"/>
              <w:jc w:val="right"/>
              <w:rPr>
                <w:color w:val="000000"/>
                <w:sz w:val="18"/>
                <w:szCs w:val="18"/>
              </w:rPr>
            </w:pPr>
            <w:r>
              <w:rPr>
                <w:color w:val="000000"/>
                <w:sz w:val="18"/>
                <w:szCs w:val="18"/>
              </w:rPr>
              <w:t>3,761</w:t>
            </w:r>
          </w:p>
        </w:tc>
        <w:tc>
          <w:tcPr>
            <w:tcW w:w="50" w:type="pct"/>
            <w:shd w:val="clear" w:color="auto" w:fill="FFFFFF"/>
            <w:noWrap/>
            <w:tcMar>
              <w:top w:w="15" w:type="dxa"/>
              <w:left w:w="0" w:type="dxa"/>
              <w:bottom w:w="0" w:type="dxa"/>
              <w:right w:w="15" w:type="dxa"/>
            </w:tcMar>
            <w:vAlign w:val="center"/>
            <w:hideMark/>
          </w:tcPr>
          <w:p w14:paraId="22DD02B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09B5B96" w14:textId="77777777">
        <w:trPr>
          <w:divId w:val="1639383264"/>
        </w:trPr>
        <w:tc>
          <w:tcPr>
            <w:tcW w:w="1925" w:type="pct"/>
            <w:shd w:val="clear" w:color="auto" w:fill="CFF0FC"/>
            <w:tcMar>
              <w:top w:w="15" w:type="dxa"/>
              <w:left w:w="0" w:type="dxa"/>
              <w:bottom w:w="0" w:type="dxa"/>
              <w:right w:w="15" w:type="dxa"/>
            </w:tcMar>
            <w:vAlign w:val="center"/>
            <w:hideMark/>
          </w:tcPr>
          <w:p w14:paraId="25E12EFD" w14:textId="77777777" w:rsidR="00000000" w:rsidRDefault="00582324">
            <w:pPr>
              <w:pStyle w:val="a3"/>
              <w:spacing w:before="0" w:beforeAutospacing="0" w:after="0" w:afterAutospacing="0"/>
              <w:rPr>
                <w:color w:val="000000"/>
                <w:sz w:val="18"/>
                <w:szCs w:val="18"/>
              </w:rPr>
            </w:pPr>
            <w:r>
              <w:rPr>
                <w:color w:val="000000"/>
                <w:sz w:val="18"/>
                <w:szCs w:val="18"/>
              </w:rPr>
              <w:t>Fair value changes in business acquisitions</w:t>
            </w:r>
          </w:p>
          <w:p w14:paraId="4AD476E7" w14:textId="77777777" w:rsidR="00000000" w:rsidRDefault="00582324">
            <w:pPr>
              <w:pStyle w:val="a3"/>
              <w:spacing w:before="0" w:beforeAutospacing="0" w:after="0" w:afterAutospacing="0"/>
              <w:rPr>
                <w:color w:val="000000"/>
                <w:sz w:val="18"/>
                <w:szCs w:val="18"/>
              </w:rPr>
            </w:pPr>
            <w:r>
              <w:rPr>
                <w:color w:val="000000"/>
                <w:sz w:val="18"/>
                <w:szCs w:val="18"/>
              </w:rPr>
              <w:t>   contingent consideration</w:t>
            </w:r>
          </w:p>
        </w:tc>
        <w:tc>
          <w:tcPr>
            <w:tcW w:w="82" w:type="pct"/>
            <w:shd w:val="clear" w:color="auto" w:fill="CFF0FC"/>
            <w:tcMar>
              <w:top w:w="15" w:type="dxa"/>
              <w:left w:w="0" w:type="dxa"/>
              <w:bottom w:w="0" w:type="dxa"/>
              <w:right w:w="15" w:type="dxa"/>
            </w:tcMar>
            <w:vAlign w:val="center"/>
            <w:hideMark/>
          </w:tcPr>
          <w:p w14:paraId="53E2515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2C572C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CFF0FC"/>
            <w:noWrap/>
            <w:tcMar>
              <w:top w:w="15" w:type="dxa"/>
              <w:left w:w="0" w:type="dxa"/>
              <w:bottom w:w="0" w:type="dxa"/>
              <w:right w:w="15" w:type="dxa"/>
            </w:tcMar>
            <w:vAlign w:val="center"/>
            <w:hideMark/>
          </w:tcPr>
          <w:p w14:paraId="275DB4A6" w14:textId="77777777" w:rsidR="00000000" w:rsidRDefault="00582324">
            <w:pPr>
              <w:pStyle w:val="a3"/>
              <w:spacing w:before="0" w:beforeAutospacing="0" w:after="0" w:afterAutospacing="0"/>
              <w:jc w:val="right"/>
              <w:rPr>
                <w:color w:val="000000"/>
                <w:sz w:val="18"/>
                <w:szCs w:val="18"/>
              </w:rPr>
            </w:pPr>
            <w:r>
              <w:rPr>
                <w:color w:val="000000"/>
                <w:sz w:val="18"/>
                <w:szCs w:val="18"/>
              </w:rPr>
              <w:t>12,971</w:t>
            </w:r>
          </w:p>
        </w:tc>
        <w:tc>
          <w:tcPr>
            <w:tcW w:w="50" w:type="pct"/>
            <w:shd w:val="clear" w:color="auto" w:fill="CFF0FC"/>
            <w:noWrap/>
            <w:tcMar>
              <w:top w:w="15" w:type="dxa"/>
              <w:left w:w="0" w:type="dxa"/>
              <w:bottom w:w="0" w:type="dxa"/>
              <w:right w:w="15" w:type="dxa"/>
            </w:tcMar>
            <w:vAlign w:val="center"/>
            <w:hideMark/>
          </w:tcPr>
          <w:p w14:paraId="50E7FC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6ECBBD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192A66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CFF0FC"/>
            <w:noWrap/>
            <w:tcMar>
              <w:top w:w="15" w:type="dxa"/>
              <w:left w:w="0" w:type="dxa"/>
              <w:bottom w:w="0" w:type="dxa"/>
              <w:right w:w="15" w:type="dxa"/>
            </w:tcMar>
            <w:vAlign w:val="center"/>
            <w:hideMark/>
          </w:tcPr>
          <w:p w14:paraId="0A9CBF28"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center"/>
            <w:hideMark/>
          </w:tcPr>
          <w:p w14:paraId="3A5E19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470DD7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790794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CFF0FC"/>
            <w:noWrap/>
            <w:tcMar>
              <w:top w:w="15" w:type="dxa"/>
              <w:left w:w="0" w:type="dxa"/>
              <w:bottom w:w="0" w:type="dxa"/>
              <w:right w:w="15" w:type="dxa"/>
            </w:tcMar>
            <w:vAlign w:val="center"/>
            <w:hideMark/>
          </w:tcPr>
          <w:p w14:paraId="32DAF16A" w14:textId="77777777" w:rsidR="00000000" w:rsidRDefault="00582324">
            <w:pPr>
              <w:pStyle w:val="a3"/>
              <w:spacing w:before="0" w:beforeAutospacing="0" w:after="0" w:afterAutospacing="0"/>
              <w:jc w:val="right"/>
              <w:rPr>
                <w:color w:val="000000"/>
                <w:sz w:val="18"/>
                <w:szCs w:val="18"/>
              </w:rPr>
            </w:pPr>
            <w:r>
              <w:rPr>
                <w:color w:val="000000"/>
                <w:sz w:val="18"/>
                <w:szCs w:val="18"/>
              </w:rPr>
              <w:t>24,035</w:t>
            </w:r>
          </w:p>
        </w:tc>
        <w:tc>
          <w:tcPr>
            <w:tcW w:w="50" w:type="pct"/>
            <w:shd w:val="clear" w:color="auto" w:fill="CFF0FC"/>
            <w:noWrap/>
            <w:tcMar>
              <w:top w:w="15" w:type="dxa"/>
              <w:left w:w="0" w:type="dxa"/>
              <w:bottom w:w="0" w:type="dxa"/>
              <w:right w:w="15" w:type="dxa"/>
            </w:tcMar>
            <w:vAlign w:val="center"/>
            <w:hideMark/>
          </w:tcPr>
          <w:p w14:paraId="146C43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2" w:type="pct"/>
            <w:shd w:val="clear" w:color="auto" w:fill="CFF0FC"/>
            <w:tcMar>
              <w:top w:w="15" w:type="dxa"/>
              <w:left w:w="0" w:type="dxa"/>
              <w:bottom w:w="0" w:type="dxa"/>
              <w:right w:w="15" w:type="dxa"/>
            </w:tcMar>
            <w:vAlign w:val="center"/>
            <w:hideMark/>
          </w:tcPr>
          <w:p w14:paraId="186C36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center"/>
            <w:hideMark/>
          </w:tcPr>
          <w:p w14:paraId="0A8069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6" w:type="pct"/>
            <w:shd w:val="clear" w:color="auto" w:fill="CFF0FC"/>
            <w:noWrap/>
            <w:tcMar>
              <w:top w:w="15" w:type="dxa"/>
              <w:left w:w="0" w:type="dxa"/>
              <w:bottom w:w="0" w:type="dxa"/>
              <w:right w:w="15" w:type="dxa"/>
            </w:tcMar>
            <w:vAlign w:val="center"/>
            <w:hideMark/>
          </w:tcPr>
          <w:p w14:paraId="7B4B62ED"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center"/>
            <w:hideMark/>
          </w:tcPr>
          <w:p w14:paraId="161F0F51"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23155612" w14:textId="77777777" w:rsidR="00000000" w:rsidRDefault="00582324">
      <w:pPr>
        <w:pStyle w:val="a3"/>
        <w:spacing w:before="0" w:beforeAutospacing="0" w:after="0" w:afterAutospacing="0"/>
        <w:ind w:firstLine="545"/>
        <w:rPr>
          <w:sz w:val="20"/>
          <w:szCs w:val="20"/>
        </w:rPr>
      </w:pPr>
      <w:r>
        <w:rPr>
          <w:sz w:val="20"/>
          <w:szCs w:val="20"/>
        </w:rPr>
        <w:t> </w:t>
      </w:r>
    </w:p>
    <w:p w14:paraId="0493BC72" w14:textId="77777777" w:rsidR="00000000" w:rsidRDefault="00582324">
      <w:pPr>
        <w:pStyle w:val="a3"/>
        <w:spacing w:before="40" w:beforeAutospacing="0" w:after="0" w:afterAutospacing="0"/>
        <w:ind w:firstLine="416"/>
        <w:rPr>
          <w:color w:val="000000"/>
          <w:sz w:val="20"/>
          <w:szCs w:val="20"/>
        </w:rPr>
      </w:pPr>
      <w:r>
        <w:rPr>
          <w:color w:val="000000"/>
          <w:sz w:val="20"/>
          <w:szCs w:val="20"/>
        </w:rPr>
        <w:t>We expect that amortization of identifiable intangi</w:t>
      </w:r>
      <w:r>
        <w:rPr>
          <w:color w:val="000000"/>
          <w:sz w:val="20"/>
          <w:szCs w:val="20"/>
        </w:rPr>
        <w:t>ble assets and other acquisition-related costs, assuming we continue to acquire, will continue to be significant.</w:t>
      </w:r>
    </w:p>
    <w:p w14:paraId="32B114F7" w14:textId="77777777" w:rsidR="00000000" w:rsidRDefault="00582324">
      <w:pPr>
        <w:pStyle w:val="a3"/>
        <w:spacing w:before="40" w:beforeAutospacing="0" w:after="0" w:afterAutospacing="0"/>
        <w:ind w:firstLine="545"/>
        <w:rPr>
          <w:color w:val="000000"/>
          <w:sz w:val="20"/>
          <w:szCs w:val="20"/>
        </w:rPr>
      </w:pPr>
      <w:r>
        <w:rPr>
          <w:color w:val="000000"/>
          <w:sz w:val="20"/>
          <w:szCs w:val="20"/>
        </w:rPr>
        <w:t> </w:t>
      </w:r>
    </w:p>
    <w:p w14:paraId="4E7E205F" w14:textId="77777777" w:rsidR="00000000" w:rsidRDefault="00582324">
      <w:pPr>
        <w:pStyle w:val="a3"/>
        <w:spacing w:before="40" w:beforeAutospacing="0" w:after="0" w:afterAutospacing="0"/>
        <w:ind w:firstLine="416"/>
        <w:rPr>
          <w:color w:val="000000"/>
          <w:sz w:val="20"/>
          <w:szCs w:val="20"/>
        </w:rPr>
      </w:pPr>
      <w:r>
        <w:rPr>
          <w:color w:val="000000"/>
          <w:sz w:val="20"/>
          <w:szCs w:val="20"/>
        </w:rPr>
        <w:t>Additionally, we made a $50.0 million earn-out payment in April 2021 (50.0% of which was paid in the form of shares of our common stock) and</w:t>
      </w:r>
      <w:r>
        <w:rPr>
          <w:color w:val="000000"/>
          <w:sz w:val="20"/>
          <w:szCs w:val="20"/>
        </w:rPr>
        <w:t xml:space="preserve"> may make a future payment of up to $30.0 million in earn-out payments in 2022 in connection with our CTEH acquisition. In connection with our MSE and Vista acquisitions, we may make up to $7.2 million in aggregate purchase price true up and earn-out payme</w:t>
      </w:r>
      <w:r>
        <w:rPr>
          <w:color w:val="000000"/>
          <w:sz w:val="20"/>
          <w:szCs w:val="20"/>
        </w:rPr>
        <w:t>nts in 2022 and 2023. See Note 7 to our unaudited condensed consolidated financial statements included in Part I, Item 1. “Financial Statements.”</w:t>
      </w:r>
    </w:p>
    <w:p w14:paraId="57ACB1C7" w14:textId="77777777" w:rsidR="00000000" w:rsidRDefault="00582324">
      <w:pPr>
        <w:pStyle w:val="a3"/>
        <w:spacing w:before="360" w:beforeAutospacing="0" w:after="0" w:afterAutospacing="0"/>
        <w:ind w:firstLine="416"/>
        <w:rPr>
          <w:b/>
          <w:bCs/>
          <w:i/>
          <w:iCs/>
          <w:color w:val="000000"/>
          <w:sz w:val="20"/>
          <w:szCs w:val="20"/>
        </w:rPr>
      </w:pPr>
      <w:r>
        <w:rPr>
          <w:b/>
          <w:bCs/>
          <w:i/>
          <w:iCs/>
          <w:color w:val="000000"/>
          <w:sz w:val="20"/>
          <w:szCs w:val="20"/>
        </w:rPr>
        <w:t>Organic Growth</w:t>
      </w:r>
    </w:p>
    <w:p w14:paraId="172D144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We have grown organically and expect to continue to do so. We define organic growth as the chan</w:t>
      </w:r>
      <w:r>
        <w:rPr>
          <w:color w:val="000000"/>
          <w:sz w:val="20"/>
          <w:szCs w:val="20"/>
        </w:rPr>
        <w:t>ge in revenues excluding revenues from acquisitions for the first twelve months following the date of acquisition and excluding revenues from businesses disposed of or discontinued. As a result of the significance of the CTEH acquisition to Montrose, and t</w:t>
      </w:r>
      <w:r>
        <w:rPr>
          <w:color w:val="000000"/>
          <w:sz w:val="20"/>
          <w:szCs w:val="20"/>
        </w:rPr>
        <w:t>he potential annual volatility in CTEH’s revenues, we may also disclose organic growth without the annual organic revenue growth of CTEH. We expect to continue to disclose organic revenue growth with and without CTEH, typically on an annual basis. Manageme</w:t>
      </w:r>
      <w:r>
        <w:rPr>
          <w:color w:val="000000"/>
          <w:sz w:val="20"/>
          <w:szCs w:val="20"/>
        </w:rPr>
        <w:t>nt uses organic growth as one of the means by which it assesses our results of operations. Organic growth is not, however, a measure of revenue growth calculated in accordance with U.S. generally accepted accounting principles, or GAAP, and should be consi</w:t>
      </w:r>
      <w:r>
        <w:rPr>
          <w:color w:val="000000"/>
          <w:sz w:val="20"/>
          <w:szCs w:val="20"/>
        </w:rPr>
        <w:t xml:space="preserve">dered in conjunction with revenue growth calculated in accordance with GAAP. We have grown organically and expect to continue to do so. </w:t>
      </w:r>
    </w:p>
    <w:p w14:paraId="376EF035"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Discontinued Service Lines</w:t>
      </w:r>
    </w:p>
    <w:p w14:paraId="3601FEF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Periodically, or when circumstances warrant, we evaluate the performance of our business ser</w:t>
      </w:r>
      <w:r>
        <w:rPr>
          <w:color w:val="000000"/>
          <w:sz w:val="20"/>
          <w:szCs w:val="20"/>
        </w:rPr>
        <w:t>vices to ensure that performance and outlook are consistent with expectations. During the first quarter of 2020, as part of this evaluation, we determined to scale back operations of our environmental lab in Berkeley, California, and to exit our non-specia</w:t>
      </w:r>
      <w:r>
        <w:rPr>
          <w:color w:val="000000"/>
          <w:sz w:val="20"/>
          <w:szCs w:val="20"/>
        </w:rPr>
        <w:t>lized municipal water engineering service line and our food-waste biogas engineering service line, collectively, the Discontinued Service Lines. The factors underlying these decisions were accelerated and amplified by the COVID-19 pandemic, which for examp</w:t>
      </w:r>
      <w:r>
        <w:rPr>
          <w:color w:val="000000"/>
          <w:sz w:val="20"/>
          <w:szCs w:val="20"/>
        </w:rPr>
        <w:t>le, has made the collection of commercial food waste used in biodigesters less consistent and delayed the approval or initiation of certain projects dependent on municipal or state funding. As a part of discontinuing these service lines, a process which wa</w:t>
      </w:r>
      <w:r>
        <w:rPr>
          <w:color w:val="000000"/>
          <w:sz w:val="20"/>
          <w:szCs w:val="20"/>
        </w:rPr>
        <w:t>s completed in the second quarter of 2020, we eliminated select personnel and, in the first quarter of 2020, booked an additional bad debt reserve related to the increased uncertainty around the ability to collect on receivables related to these service li</w:t>
      </w:r>
      <w:r>
        <w:rPr>
          <w:color w:val="000000"/>
          <w:sz w:val="20"/>
          <w:szCs w:val="20"/>
        </w:rPr>
        <w:t>nes. Revenues from our non-specialized municipal water engineering service line and our food-waste biogas engineering, which are included in the results of our Remediation and Reuse segment, were zero in the three and six months ended June 30, 2021 and $0.</w:t>
      </w:r>
      <w:r>
        <w:rPr>
          <w:color w:val="000000"/>
          <w:sz w:val="20"/>
          <w:szCs w:val="20"/>
        </w:rPr>
        <w:t>4 million and $1.3 million in the three and six months ended June 30, 2020, respectively. Revenues from our Berkeley lab, which are included in the results of our Measurement and Analysis segment, were zero during the three and six months ended June 30, 20</w:t>
      </w:r>
      <w:r>
        <w:rPr>
          <w:color w:val="000000"/>
          <w:sz w:val="20"/>
          <w:szCs w:val="20"/>
        </w:rPr>
        <w:t xml:space="preserve">21 and $0.9 million and $2.5 million in the three and six months ended June 30, 2020, respectively. We no longer generate any revenues from the Discontinued Service Lines. </w:t>
      </w:r>
    </w:p>
    <w:p w14:paraId="05A012AB"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Revenue Mix</w:t>
      </w:r>
    </w:p>
    <w:p w14:paraId="68F8ED08"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segments generate different levels of profitability and, accordingly, shifts in the mix of revenues between segments can impact our consolidated reported net income, operating margin, Adjusted EBITDA and Adjusted EBITDA margin from quarter to quarter a</w:t>
      </w:r>
      <w:r>
        <w:rPr>
          <w:color w:val="000000"/>
          <w:sz w:val="20"/>
          <w:szCs w:val="20"/>
        </w:rPr>
        <w:t xml:space="preserve">nd year to year. Inter-company revenues between business lines within segments have been eliminated. See Note 20 to our unaudited condensed consolidated financial statements included in Part 1, Item 1 “Financial Statements.” </w:t>
      </w:r>
    </w:p>
    <w:p w14:paraId="30AA2D9D"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Financing Costs</w:t>
      </w:r>
    </w:p>
    <w:p w14:paraId="0BA4B47C"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Financing cost</w:t>
      </w:r>
      <w:r>
        <w:rPr>
          <w:color w:val="000000"/>
          <w:sz w:val="20"/>
          <w:szCs w:val="20"/>
        </w:rPr>
        <w:t>s, relating primarily to interest expense on our debt, continue to be a significant component of our results of operations. We incurred interest expense of $6.8 million and $9.5 million during the three and six months ended June 30, 2021, respectively, and</w:t>
      </w:r>
      <w:r>
        <w:rPr>
          <w:color w:val="000000"/>
          <w:sz w:val="20"/>
          <w:szCs w:val="20"/>
        </w:rPr>
        <w:t xml:space="preserve"> $5.3 million and $7.9 million during the three and six months ended June 30, 2020, respectively. </w:t>
      </w:r>
    </w:p>
    <w:p w14:paraId="48ACA15C" w14:textId="77777777" w:rsidR="00000000" w:rsidRDefault="00582324">
      <w:pPr>
        <w:pStyle w:val="a3"/>
        <w:spacing w:before="240" w:beforeAutospacing="0" w:after="0" w:afterAutospacing="0"/>
        <w:jc w:val="center"/>
        <w:rPr>
          <w:sz w:val="20"/>
          <w:szCs w:val="20"/>
        </w:rPr>
      </w:pPr>
      <w:r>
        <w:rPr>
          <w:sz w:val="20"/>
          <w:szCs w:val="20"/>
        </w:rPr>
        <w:t>35</w:t>
      </w:r>
    </w:p>
    <w:p w14:paraId="21B715A0" w14:textId="77777777" w:rsidR="00000000" w:rsidRDefault="00582324">
      <w:pPr>
        <w:rPr>
          <w:rFonts w:eastAsia="Times New Roman"/>
        </w:rPr>
      </w:pPr>
      <w:r>
        <w:rPr>
          <w:rFonts w:eastAsia="Times New Roman"/>
        </w:rPr>
        <w:pict w14:anchorId="047C8FC7">
          <v:rect id="_x0000_i1061" style="width:0;height:1.5pt" o:hralign="center" o:hrstd="t" o:hr="t" fillcolor="#a0a0a0" stroked="f"/>
        </w:pict>
      </w:r>
    </w:p>
    <w:p w14:paraId="07C54E61" w14:textId="77777777" w:rsidR="00000000" w:rsidRDefault="00582324">
      <w:pPr>
        <w:pStyle w:val="a3"/>
        <w:spacing w:before="0" w:beforeAutospacing="0" w:after="0" w:afterAutospacing="0"/>
        <w:rPr>
          <w:sz w:val="20"/>
          <w:szCs w:val="20"/>
        </w:rPr>
      </w:pPr>
      <w:r>
        <w:rPr>
          <w:sz w:val="20"/>
          <w:szCs w:val="20"/>
        </w:rPr>
        <w:t> </w:t>
      </w:r>
    </w:p>
    <w:p w14:paraId="375C9C0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On April 13, 2020, we entered into the 2020 Credit Facility providing for a $225.0 million credit facility comprised</w:t>
      </w:r>
      <w:r>
        <w:rPr>
          <w:color w:val="000000"/>
          <w:sz w:val="20"/>
          <w:szCs w:val="20"/>
        </w:rPr>
        <w:t xml:space="preserve"> of a $175.0 million term loan and a $50.0 million revolving credit facility, and used the proceeds therefrom to repay in full all amounts outstanding under our prior senior secured credit facility. We incurred debt extinguishment costs of $1.4 million in </w:t>
      </w:r>
      <w:r>
        <w:rPr>
          <w:color w:val="000000"/>
          <w:sz w:val="20"/>
          <w:szCs w:val="20"/>
        </w:rPr>
        <w:t>connection with this refinancing transaction. Effective October 6, 2020, the Company amended its 2020 Credit Facility to provide for a reduction on the applicable interest rate on the term loan from LIBOR plus 5.0% with a 1.0% LIBOR floor to LIBOR plus 4.5</w:t>
      </w:r>
      <w:r>
        <w:rPr>
          <w:color w:val="000000"/>
          <w:sz w:val="20"/>
          <w:szCs w:val="20"/>
        </w:rPr>
        <w:t xml:space="preserve">% with a 1.0% LIBOR floor. The revolver interest rate remained unchanged. </w:t>
      </w:r>
    </w:p>
    <w:p w14:paraId="76D9B81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On April 27, 2021, we entered into the 2021 Credit Facility and repaid all amounts outstanding under the 2020 Credit Facility. The 2021 Credit Facility consists of a $175.0 million </w:t>
      </w:r>
      <w:r>
        <w:rPr>
          <w:color w:val="000000"/>
          <w:sz w:val="20"/>
          <w:szCs w:val="20"/>
        </w:rPr>
        <w:t xml:space="preserve">term loan and a $125.0 million revolving credit facility. The interest rate on the 2021 Credit Facility varies depending on leverage, with a minimum of LIBOR plus 1.5% and a maximum of LIBOR plus 2.5%. We incurred debt extinguishment costs of $3.9 million </w:t>
      </w:r>
      <w:r>
        <w:rPr>
          <w:color w:val="000000"/>
          <w:sz w:val="20"/>
          <w:szCs w:val="20"/>
        </w:rPr>
        <w:t>in connection with this refinancing transaction.</w:t>
      </w:r>
    </w:p>
    <w:p w14:paraId="1979240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As a result of the lower interest rates under the 2021 Credit Facility, we expect interest expense to be lower for the remainder of 2021 as compared to 2020 periods despite higher outstanding debt balances. We expect interest expense to remain a significan</w:t>
      </w:r>
      <w:r>
        <w:rPr>
          <w:color w:val="000000"/>
          <w:sz w:val="20"/>
          <w:szCs w:val="20"/>
        </w:rPr>
        <w:t xml:space="preserve">t cost as we continue to leverage our credit facility to support our operations and future acquisitions. </w:t>
      </w:r>
    </w:p>
    <w:p w14:paraId="5766EA6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See Note 13 to our unaudited condensed consolidated financial statements included in Part 1, Item 1 “Financial Statements” and “Liquidity and Capital </w:t>
      </w:r>
      <w:r>
        <w:rPr>
          <w:color w:val="000000"/>
          <w:sz w:val="20"/>
          <w:szCs w:val="20"/>
        </w:rPr>
        <w:t>Resources.”</w:t>
      </w:r>
    </w:p>
    <w:p w14:paraId="223AE8BA"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Corporate and Operational Infrastructure Investments</w:t>
      </w:r>
    </w:p>
    <w:p w14:paraId="48FEFEB6"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historical operating results reflect the impact of our ongoing investments in our corporate infrastructure to support our growth. We have made and expect to continue to make investments i</w:t>
      </w:r>
      <w:r>
        <w:rPr>
          <w:color w:val="000000"/>
          <w:sz w:val="20"/>
          <w:szCs w:val="20"/>
        </w:rPr>
        <w:t xml:space="preserve">n our business platform that we believe have laid the foundation for continued growth. Investments in logistics, quality, risk management, sales and marketing, safety, human resources, research and development, finance and information technology and other </w:t>
      </w:r>
      <w:r>
        <w:rPr>
          <w:color w:val="000000"/>
          <w:sz w:val="20"/>
          <w:szCs w:val="20"/>
        </w:rPr>
        <w:t>areas enable us to support continued growth. These investments have allowed us to improve our operating margins.</w:t>
      </w:r>
    </w:p>
    <w:p w14:paraId="797E6F78"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Seasonality</w:t>
      </w:r>
    </w:p>
    <w:p w14:paraId="0287494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Because demand for environmental services is not driven by specific or predictable patterns in one or more fiscal quarters, our bus</w:t>
      </w:r>
      <w:r>
        <w:rPr>
          <w:color w:val="000000"/>
          <w:sz w:val="20"/>
          <w:szCs w:val="20"/>
        </w:rPr>
        <w:t>iness is better assessed based on yearly results. In addition, our operating results experience some quarterly variability. Excluding the impact of revenues and earnings from new acquisitions, and the temporary impact of COVID, we typically generate slight</w:t>
      </w:r>
      <w:r>
        <w:rPr>
          <w:color w:val="000000"/>
          <w:sz w:val="20"/>
          <w:szCs w:val="20"/>
        </w:rPr>
        <w:t>ly lower revenues and lower earnings in the first and fourth quarters and higher overall revenues and earnings in the second and third quarters. Historically, quarterly variability has been driven by weather patterns, which generally impact our field-based</w:t>
      </w:r>
      <w:r>
        <w:rPr>
          <w:color w:val="000000"/>
          <w:sz w:val="20"/>
          <w:szCs w:val="20"/>
        </w:rPr>
        <w:t xml:space="preserve"> teams’ ability to operate in the winter months. As we continue to grow and expand into new geographies and service lines, quarterly variability may deviate from historical trends.</w:t>
      </w:r>
    </w:p>
    <w:p w14:paraId="1B12036E"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Earnings Volatility</w:t>
      </w:r>
    </w:p>
    <w:p w14:paraId="1D1A4B03"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acquisition of CTEH exposes us to potentially signi</w:t>
      </w:r>
      <w:r>
        <w:rPr>
          <w:color w:val="000000"/>
          <w:sz w:val="20"/>
          <w:szCs w:val="20"/>
        </w:rPr>
        <w:t>ficant revenue and earnings fluctuations tied both to the timing of large environmental emergency response projects following an incident or natural disaster, and more recently, the benefit from COVID related work. We expect change in demand for COVID-19 r</w:t>
      </w:r>
      <w:r>
        <w:rPr>
          <w:color w:val="000000"/>
          <w:sz w:val="20"/>
          <w:szCs w:val="20"/>
        </w:rPr>
        <w:t>elated response services provided by CTEH towards the end of 2021 and into 2022. As a result, we may have experienced revenues and earnings in the second half of 2020 and the first half of 2021 that are not indicative of future results.</w:t>
      </w:r>
    </w:p>
    <w:p w14:paraId="14BC777A" w14:textId="77777777" w:rsidR="00000000" w:rsidRDefault="00582324">
      <w:pPr>
        <w:pStyle w:val="a3"/>
        <w:spacing w:before="240" w:beforeAutospacing="0" w:after="0" w:afterAutospacing="0"/>
        <w:jc w:val="center"/>
        <w:rPr>
          <w:sz w:val="20"/>
          <w:szCs w:val="20"/>
        </w:rPr>
      </w:pPr>
      <w:r>
        <w:rPr>
          <w:sz w:val="20"/>
          <w:szCs w:val="20"/>
        </w:rPr>
        <w:t>36</w:t>
      </w:r>
    </w:p>
    <w:p w14:paraId="1D403E71" w14:textId="77777777" w:rsidR="00000000" w:rsidRDefault="00582324">
      <w:pPr>
        <w:rPr>
          <w:rFonts w:eastAsia="Times New Roman"/>
        </w:rPr>
      </w:pPr>
      <w:r>
        <w:rPr>
          <w:rFonts w:eastAsia="Times New Roman"/>
        </w:rPr>
        <w:pict w14:anchorId="39A4734D">
          <v:rect id="_x0000_i1062" style="width:0;height:1.5pt" o:hralign="center" o:hrstd="t" o:hr="t" fillcolor="#a0a0a0" stroked="f"/>
        </w:pict>
      </w:r>
    </w:p>
    <w:p w14:paraId="44A83497" w14:textId="77777777" w:rsidR="00000000" w:rsidRDefault="00582324">
      <w:pPr>
        <w:pStyle w:val="a3"/>
        <w:spacing w:before="0" w:beforeAutospacing="0" w:after="0" w:afterAutospacing="0"/>
        <w:rPr>
          <w:sz w:val="20"/>
          <w:szCs w:val="20"/>
        </w:rPr>
      </w:pPr>
      <w:r>
        <w:rPr>
          <w:sz w:val="20"/>
          <w:szCs w:val="20"/>
        </w:rPr>
        <w:t> </w:t>
      </w:r>
    </w:p>
    <w:p w14:paraId="03F65FE6"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Results of Operations</w:t>
      </w:r>
    </w:p>
    <w:p w14:paraId="1DC9A245" w14:textId="77777777" w:rsidR="00000000" w:rsidRDefault="00582324">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June 30, 2021 Compared to the Three Months Ended June 30, 2020</w:t>
      </w:r>
    </w:p>
    <w:p w14:paraId="5B62EEE2"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09"/>
        <w:gridCol w:w="60"/>
        <w:gridCol w:w="105"/>
        <w:gridCol w:w="612"/>
        <w:gridCol w:w="225"/>
        <w:gridCol w:w="60"/>
        <w:gridCol w:w="105"/>
        <w:gridCol w:w="613"/>
        <w:gridCol w:w="225"/>
      </w:tblGrid>
      <w:tr w:rsidR="00000000" w14:paraId="4EDF2F69" w14:textId="77777777">
        <w:trPr>
          <w:divId w:val="1500971655"/>
        </w:trPr>
        <w:tc>
          <w:tcPr>
            <w:tcW w:w="3349" w:type="pct"/>
            <w:shd w:val="clear" w:color="auto" w:fill="FFFFFF"/>
            <w:tcMar>
              <w:top w:w="15" w:type="dxa"/>
              <w:left w:w="0" w:type="dxa"/>
              <w:bottom w:w="0" w:type="dxa"/>
              <w:right w:w="15" w:type="dxa"/>
            </w:tcMar>
            <w:vAlign w:val="bottom"/>
            <w:hideMark/>
          </w:tcPr>
          <w:p w14:paraId="7D732851" w14:textId="77777777" w:rsidR="00000000" w:rsidRDefault="00582324">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45DEB1E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0B5C866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Three Months</w:t>
            </w:r>
          </w:p>
          <w:p w14:paraId="779BC9F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2EA018A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401E9BF" w14:textId="77777777">
        <w:trPr>
          <w:divId w:val="1500971655"/>
        </w:trPr>
        <w:tc>
          <w:tcPr>
            <w:tcW w:w="3349" w:type="pct"/>
            <w:shd w:val="clear" w:color="auto" w:fill="FFFFFF"/>
            <w:tcMar>
              <w:top w:w="15" w:type="dxa"/>
              <w:left w:w="0" w:type="dxa"/>
              <w:bottom w:w="0" w:type="dxa"/>
              <w:right w:w="15" w:type="dxa"/>
            </w:tcMar>
            <w:vAlign w:val="bottom"/>
            <w:hideMark/>
          </w:tcPr>
          <w:p w14:paraId="632AC06F"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 except per share and percentage data)</w:t>
            </w:r>
          </w:p>
        </w:tc>
        <w:tc>
          <w:tcPr>
            <w:tcW w:w="81" w:type="pct"/>
            <w:shd w:val="clear" w:color="auto" w:fill="FFFFFF"/>
            <w:tcMar>
              <w:top w:w="15" w:type="dxa"/>
              <w:left w:w="0" w:type="dxa"/>
              <w:bottom w:w="0" w:type="dxa"/>
              <w:right w:w="15" w:type="dxa"/>
            </w:tcMar>
            <w:vAlign w:val="bottom"/>
            <w:hideMark/>
          </w:tcPr>
          <w:p w14:paraId="7A2554B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30BE8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3A09782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1852BAA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D017C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22DD9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473C46B" w14:textId="77777777">
        <w:trPr>
          <w:divId w:val="1500971655"/>
        </w:trPr>
        <w:tc>
          <w:tcPr>
            <w:tcW w:w="3349" w:type="pct"/>
            <w:shd w:val="clear" w:color="auto" w:fill="CFF0FC"/>
            <w:tcMar>
              <w:top w:w="15" w:type="dxa"/>
              <w:left w:w="0" w:type="dxa"/>
              <w:bottom w:w="0" w:type="dxa"/>
              <w:right w:w="15" w:type="dxa"/>
            </w:tcMar>
            <w:hideMark/>
          </w:tcPr>
          <w:p w14:paraId="68712771" w14:textId="77777777" w:rsidR="00000000" w:rsidRDefault="00582324">
            <w:pPr>
              <w:pStyle w:val="a3"/>
              <w:spacing w:before="0" w:beforeAutospacing="0" w:after="0" w:afterAutospacing="0"/>
              <w:rPr>
                <w:b/>
                <w:bCs/>
                <w:color w:val="000000"/>
                <w:sz w:val="18"/>
                <w:szCs w:val="18"/>
              </w:rPr>
            </w:pPr>
            <w:r>
              <w:rPr>
                <w:b/>
                <w:bCs/>
                <w:color w:val="000000"/>
                <w:sz w:val="18"/>
                <w:szCs w:val="18"/>
              </w:rPr>
              <w:t>Statements of operations data:</w:t>
            </w:r>
          </w:p>
        </w:tc>
        <w:tc>
          <w:tcPr>
            <w:tcW w:w="81" w:type="pct"/>
            <w:shd w:val="clear" w:color="auto" w:fill="CFF0FC"/>
            <w:tcMar>
              <w:top w:w="15" w:type="dxa"/>
              <w:left w:w="0" w:type="dxa"/>
              <w:bottom w:w="0" w:type="dxa"/>
              <w:right w:w="15" w:type="dxa"/>
            </w:tcMar>
            <w:vAlign w:val="bottom"/>
            <w:hideMark/>
          </w:tcPr>
          <w:p w14:paraId="5802F8D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10FA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778ABA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5ECC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ED5AE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8E2E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7A3575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5B2A55"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35B3E0B" w14:textId="77777777">
        <w:trPr>
          <w:divId w:val="1500971655"/>
        </w:trPr>
        <w:tc>
          <w:tcPr>
            <w:tcW w:w="3349" w:type="pct"/>
            <w:shd w:val="clear" w:color="auto" w:fill="FFFFFF"/>
            <w:tcMar>
              <w:top w:w="15" w:type="dxa"/>
              <w:left w:w="0" w:type="dxa"/>
              <w:bottom w:w="0" w:type="dxa"/>
              <w:right w:w="15" w:type="dxa"/>
            </w:tcMar>
            <w:hideMark/>
          </w:tcPr>
          <w:p w14:paraId="6842DF90" w14:textId="77777777" w:rsidR="00000000" w:rsidRDefault="00582324">
            <w:pPr>
              <w:pStyle w:val="a3"/>
              <w:spacing w:before="0" w:beforeAutospacing="0" w:after="0" w:afterAutospacing="0"/>
              <w:rPr>
                <w:color w:val="000000"/>
                <w:sz w:val="18"/>
                <w:szCs w:val="18"/>
              </w:rPr>
            </w:pPr>
            <w:r>
              <w:rPr>
                <w:color w:val="000000"/>
                <w:sz w:val="18"/>
                <w:szCs w:val="18"/>
              </w:rPr>
              <w:t>Revenues</w:t>
            </w:r>
          </w:p>
        </w:tc>
        <w:tc>
          <w:tcPr>
            <w:tcW w:w="81" w:type="pct"/>
            <w:shd w:val="clear" w:color="auto" w:fill="FFFFFF"/>
            <w:tcMar>
              <w:top w:w="15" w:type="dxa"/>
              <w:left w:w="0" w:type="dxa"/>
              <w:bottom w:w="0" w:type="dxa"/>
              <w:right w:w="15" w:type="dxa"/>
            </w:tcMar>
            <w:vAlign w:val="bottom"/>
            <w:hideMark/>
          </w:tcPr>
          <w:p w14:paraId="688774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F9F503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0DD647EC" w14:textId="77777777" w:rsidR="00000000" w:rsidRDefault="00582324">
            <w:pPr>
              <w:pStyle w:val="a3"/>
              <w:spacing w:before="0" w:beforeAutospacing="0" w:after="0" w:afterAutospacing="0"/>
              <w:jc w:val="right"/>
              <w:rPr>
                <w:color w:val="000000"/>
                <w:sz w:val="18"/>
                <w:szCs w:val="18"/>
              </w:rPr>
            </w:pPr>
            <w:r>
              <w:rPr>
                <w:color w:val="000000"/>
                <w:sz w:val="18"/>
                <w:szCs w:val="18"/>
              </w:rPr>
              <w:t>136,224</w:t>
            </w:r>
          </w:p>
        </w:tc>
        <w:tc>
          <w:tcPr>
            <w:tcW w:w="50" w:type="pct"/>
            <w:shd w:val="clear" w:color="auto" w:fill="FFFFFF"/>
            <w:noWrap/>
            <w:tcMar>
              <w:top w:w="15" w:type="dxa"/>
              <w:left w:w="0" w:type="dxa"/>
              <w:bottom w:w="0" w:type="dxa"/>
              <w:right w:w="15" w:type="dxa"/>
            </w:tcMar>
            <w:vAlign w:val="bottom"/>
            <w:hideMark/>
          </w:tcPr>
          <w:p w14:paraId="7091E3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27D948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B9AE7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4" w:type="pct"/>
            <w:shd w:val="clear" w:color="auto" w:fill="FFFFFF"/>
            <w:noWrap/>
            <w:tcMar>
              <w:top w:w="15" w:type="dxa"/>
              <w:left w:w="0" w:type="dxa"/>
              <w:bottom w:w="0" w:type="dxa"/>
              <w:right w:w="15" w:type="dxa"/>
            </w:tcMar>
            <w:vAlign w:val="bottom"/>
            <w:hideMark/>
          </w:tcPr>
          <w:p w14:paraId="4F67CCAC" w14:textId="77777777" w:rsidR="00000000" w:rsidRDefault="00582324">
            <w:pPr>
              <w:pStyle w:val="a3"/>
              <w:spacing w:before="0" w:beforeAutospacing="0" w:after="0" w:afterAutospacing="0"/>
              <w:jc w:val="right"/>
              <w:rPr>
                <w:color w:val="000000"/>
                <w:sz w:val="18"/>
                <w:szCs w:val="18"/>
              </w:rPr>
            </w:pPr>
            <w:r>
              <w:rPr>
                <w:color w:val="000000"/>
                <w:sz w:val="18"/>
                <w:szCs w:val="18"/>
              </w:rPr>
              <w:t>73,766</w:t>
            </w:r>
          </w:p>
        </w:tc>
        <w:tc>
          <w:tcPr>
            <w:tcW w:w="50" w:type="pct"/>
            <w:shd w:val="clear" w:color="auto" w:fill="FFFFFF"/>
            <w:noWrap/>
            <w:tcMar>
              <w:top w:w="15" w:type="dxa"/>
              <w:left w:w="0" w:type="dxa"/>
              <w:bottom w:w="0" w:type="dxa"/>
              <w:right w:w="15" w:type="dxa"/>
            </w:tcMar>
            <w:vAlign w:val="bottom"/>
            <w:hideMark/>
          </w:tcPr>
          <w:p w14:paraId="5C23C57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7C81C6D" w14:textId="77777777">
        <w:trPr>
          <w:divId w:val="1500971655"/>
        </w:trPr>
        <w:tc>
          <w:tcPr>
            <w:tcW w:w="3349" w:type="pct"/>
            <w:shd w:val="clear" w:color="auto" w:fill="CFF0FC"/>
            <w:tcMar>
              <w:top w:w="15" w:type="dxa"/>
              <w:left w:w="0" w:type="dxa"/>
              <w:bottom w:w="0" w:type="dxa"/>
              <w:right w:w="15" w:type="dxa"/>
            </w:tcMar>
            <w:hideMark/>
          </w:tcPr>
          <w:p w14:paraId="3E6827B4" w14:textId="77777777" w:rsidR="00000000" w:rsidRDefault="00582324">
            <w:pPr>
              <w:pStyle w:val="a3"/>
              <w:spacing w:before="0" w:beforeAutospacing="0" w:after="0" w:afterAutospacing="0"/>
              <w:rPr>
                <w:color w:val="000000"/>
                <w:sz w:val="18"/>
                <w:szCs w:val="18"/>
              </w:rPr>
            </w:pPr>
            <w:r>
              <w:rPr>
                <w:color w:val="000000"/>
                <w:sz w:val="18"/>
                <w:szCs w:val="18"/>
              </w:rPr>
              <w:t>Cost of revenues (exclusive of depreciation and amortization)</w:t>
            </w:r>
          </w:p>
        </w:tc>
        <w:tc>
          <w:tcPr>
            <w:tcW w:w="81" w:type="pct"/>
            <w:shd w:val="clear" w:color="auto" w:fill="CFF0FC"/>
            <w:tcMar>
              <w:top w:w="15" w:type="dxa"/>
              <w:left w:w="0" w:type="dxa"/>
              <w:bottom w:w="0" w:type="dxa"/>
              <w:right w:w="15" w:type="dxa"/>
            </w:tcMar>
            <w:vAlign w:val="bottom"/>
            <w:hideMark/>
          </w:tcPr>
          <w:p w14:paraId="3CC7F9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CD16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CE4246D" w14:textId="77777777" w:rsidR="00000000" w:rsidRDefault="00582324">
            <w:pPr>
              <w:pStyle w:val="a3"/>
              <w:spacing w:before="0" w:beforeAutospacing="0" w:after="0" w:afterAutospacing="0"/>
              <w:jc w:val="right"/>
              <w:rPr>
                <w:color w:val="000000"/>
                <w:sz w:val="18"/>
                <w:szCs w:val="18"/>
              </w:rPr>
            </w:pPr>
            <w:r>
              <w:rPr>
                <w:color w:val="000000"/>
                <w:sz w:val="18"/>
                <w:szCs w:val="18"/>
              </w:rPr>
              <w:t>92,104</w:t>
            </w:r>
          </w:p>
        </w:tc>
        <w:tc>
          <w:tcPr>
            <w:tcW w:w="50" w:type="pct"/>
            <w:shd w:val="clear" w:color="auto" w:fill="CFF0FC"/>
            <w:noWrap/>
            <w:tcMar>
              <w:top w:w="15" w:type="dxa"/>
              <w:left w:w="0" w:type="dxa"/>
              <w:bottom w:w="0" w:type="dxa"/>
              <w:right w:w="15" w:type="dxa"/>
            </w:tcMar>
            <w:vAlign w:val="bottom"/>
            <w:hideMark/>
          </w:tcPr>
          <w:p w14:paraId="57566F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9F4A5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8D9F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39396D18" w14:textId="77777777" w:rsidR="00000000" w:rsidRDefault="00582324">
            <w:pPr>
              <w:pStyle w:val="a3"/>
              <w:spacing w:before="0" w:beforeAutospacing="0" w:after="0" w:afterAutospacing="0"/>
              <w:jc w:val="right"/>
              <w:rPr>
                <w:color w:val="000000"/>
                <w:sz w:val="18"/>
                <w:szCs w:val="18"/>
              </w:rPr>
            </w:pPr>
            <w:r>
              <w:rPr>
                <w:color w:val="000000"/>
                <w:sz w:val="18"/>
                <w:szCs w:val="18"/>
              </w:rPr>
              <w:t>45,889</w:t>
            </w:r>
          </w:p>
        </w:tc>
        <w:tc>
          <w:tcPr>
            <w:tcW w:w="50" w:type="pct"/>
            <w:shd w:val="clear" w:color="auto" w:fill="CFF0FC"/>
            <w:noWrap/>
            <w:tcMar>
              <w:top w:w="15" w:type="dxa"/>
              <w:left w:w="0" w:type="dxa"/>
              <w:bottom w:w="0" w:type="dxa"/>
              <w:right w:w="15" w:type="dxa"/>
            </w:tcMar>
            <w:vAlign w:val="bottom"/>
            <w:hideMark/>
          </w:tcPr>
          <w:p w14:paraId="6B1B0CD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26D587F7" w14:textId="77777777">
        <w:trPr>
          <w:divId w:val="1500971655"/>
        </w:trPr>
        <w:tc>
          <w:tcPr>
            <w:tcW w:w="3349" w:type="pct"/>
            <w:shd w:val="clear" w:color="auto" w:fill="FFFFFF"/>
            <w:tcMar>
              <w:top w:w="15" w:type="dxa"/>
              <w:left w:w="0" w:type="dxa"/>
              <w:bottom w:w="0" w:type="dxa"/>
              <w:right w:w="15" w:type="dxa"/>
            </w:tcMar>
            <w:hideMark/>
          </w:tcPr>
          <w:p w14:paraId="22F73B5F" w14:textId="77777777" w:rsidR="00000000" w:rsidRDefault="00582324">
            <w:pPr>
              <w:pStyle w:val="a3"/>
              <w:spacing w:before="0" w:beforeAutospacing="0" w:after="0" w:afterAutospacing="0"/>
              <w:rPr>
                <w:color w:val="000000"/>
                <w:sz w:val="18"/>
                <w:szCs w:val="18"/>
              </w:rPr>
            </w:pPr>
            <w:r>
              <w:rPr>
                <w:color w:val="000000"/>
                <w:sz w:val="18"/>
                <w:szCs w:val="18"/>
              </w:rPr>
              <w:t>Selling, general and administrative expense</w:t>
            </w:r>
          </w:p>
        </w:tc>
        <w:tc>
          <w:tcPr>
            <w:tcW w:w="81" w:type="pct"/>
            <w:shd w:val="clear" w:color="auto" w:fill="FFFFFF"/>
            <w:tcMar>
              <w:top w:w="15" w:type="dxa"/>
              <w:left w:w="0" w:type="dxa"/>
              <w:bottom w:w="0" w:type="dxa"/>
              <w:right w:w="15" w:type="dxa"/>
            </w:tcMar>
            <w:vAlign w:val="bottom"/>
            <w:hideMark/>
          </w:tcPr>
          <w:p w14:paraId="01AD60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63FE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5E2B6E01" w14:textId="77777777" w:rsidR="00000000" w:rsidRDefault="00582324">
            <w:pPr>
              <w:pStyle w:val="a3"/>
              <w:spacing w:before="0" w:beforeAutospacing="0" w:after="0" w:afterAutospacing="0"/>
              <w:jc w:val="right"/>
              <w:rPr>
                <w:color w:val="000000"/>
                <w:sz w:val="18"/>
                <w:szCs w:val="18"/>
              </w:rPr>
            </w:pPr>
            <w:r>
              <w:rPr>
                <w:color w:val="000000"/>
                <w:sz w:val="18"/>
                <w:szCs w:val="18"/>
              </w:rPr>
              <w:t>27,366</w:t>
            </w:r>
          </w:p>
        </w:tc>
        <w:tc>
          <w:tcPr>
            <w:tcW w:w="50" w:type="pct"/>
            <w:shd w:val="clear" w:color="auto" w:fill="FFFFFF"/>
            <w:noWrap/>
            <w:tcMar>
              <w:top w:w="15" w:type="dxa"/>
              <w:left w:w="0" w:type="dxa"/>
              <w:bottom w:w="0" w:type="dxa"/>
              <w:right w:w="15" w:type="dxa"/>
            </w:tcMar>
            <w:vAlign w:val="bottom"/>
            <w:hideMark/>
          </w:tcPr>
          <w:p w14:paraId="43280A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721F57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7C1A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2F0DA109" w14:textId="77777777" w:rsidR="00000000" w:rsidRDefault="00582324">
            <w:pPr>
              <w:pStyle w:val="a3"/>
              <w:spacing w:before="0" w:beforeAutospacing="0" w:after="0" w:afterAutospacing="0"/>
              <w:jc w:val="right"/>
              <w:rPr>
                <w:color w:val="000000"/>
                <w:sz w:val="18"/>
                <w:szCs w:val="18"/>
              </w:rPr>
            </w:pPr>
            <w:r>
              <w:rPr>
                <w:color w:val="000000"/>
                <w:sz w:val="18"/>
                <w:szCs w:val="18"/>
              </w:rPr>
              <w:t>19,318</w:t>
            </w:r>
          </w:p>
        </w:tc>
        <w:tc>
          <w:tcPr>
            <w:tcW w:w="50" w:type="pct"/>
            <w:shd w:val="clear" w:color="auto" w:fill="FFFFFF"/>
            <w:noWrap/>
            <w:tcMar>
              <w:top w:w="15" w:type="dxa"/>
              <w:left w:w="0" w:type="dxa"/>
              <w:bottom w:w="0" w:type="dxa"/>
              <w:right w:w="15" w:type="dxa"/>
            </w:tcMar>
            <w:vAlign w:val="bottom"/>
            <w:hideMark/>
          </w:tcPr>
          <w:p w14:paraId="38E791E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B6B87C" w14:textId="77777777">
        <w:trPr>
          <w:divId w:val="1500971655"/>
        </w:trPr>
        <w:tc>
          <w:tcPr>
            <w:tcW w:w="3349" w:type="pct"/>
            <w:shd w:val="clear" w:color="auto" w:fill="CFF0FC"/>
            <w:tcMar>
              <w:top w:w="15" w:type="dxa"/>
              <w:left w:w="0" w:type="dxa"/>
              <w:bottom w:w="0" w:type="dxa"/>
              <w:right w:w="15" w:type="dxa"/>
            </w:tcMar>
            <w:hideMark/>
          </w:tcPr>
          <w:p w14:paraId="68CDCCEB" w14:textId="77777777" w:rsidR="00000000" w:rsidRDefault="00582324">
            <w:pPr>
              <w:pStyle w:val="a3"/>
              <w:spacing w:before="0" w:beforeAutospacing="0" w:after="0" w:afterAutospacing="0"/>
              <w:rPr>
                <w:color w:val="000000"/>
                <w:sz w:val="18"/>
                <w:szCs w:val="18"/>
              </w:rPr>
            </w:pPr>
            <w:r>
              <w:rPr>
                <w:color w:val="000000"/>
                <w:sz w:val="18"/>
                <w:szCs w:val="18"/>
              </w:rPr>
              <w:t>Initial public offering expense</w:t>
            </w:r>
          </w:p>
        </w:tc>
        <w:tc>
          <w:tcPr>
            <w:tcW w:w="81" w:type="pct"/>
            <w:shd w:val="clear" w:color="auto" w:fill="CFF0FC"/>
            <w:tcMar>
              <w:top w:w="15" w:type="dxa"/>
              <w:left w:w="0" w:type="dxa"/>
              <w:bottom w:w="0" w:type="dxa"/>
              <w:right w:w="15" w:type="dxa"/>
            </w:tcMar>
            <w:vAlign w:val="bottom"/>
            <w:hideMark/>
          </w:tcPr>
          <w:p w14:paraId="3A3B4A6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A34FD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073B3BA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66B7C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649D0B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D665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CFF0FC"/>
            <w:noWrap/>
            <w:tcMar>
              <w:top w:w="15" w:type="dxa"/>
              <w:left w:w="0" w:type="dxa"/>
              <w:bottom w:w="0" w:type="dxa"/>
              <w:right w:w="15" w:type="dxa"/>
            </w:tcMar>
            <w:vAlign w:val="bottom"/>
            <w:hideMark/>
          </w:tcPr>
          <w:p w14:paraId="77010EC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E9FFCE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13FFAB4" w14:textId="77777777">
        <w:trPr>
          <w:divId w:val="1500971655"/>
        </w:trPr>
        <w:tc>
          <w:tcPr>
            <w:tcW w:w="3349" w:type="pct"/>
            <w:shd w:val="clear" w:color="auto" w:fill="FFFFFF"/>
            <w:tcMar>
              <w:top w:w="15" w:type="dxa"/>
              <w:left w:w="0" w:type="dxa"/>
              <w:bottom w:w="0" w:type="dxa"/>
              <w:right w:w="15" w:type="dxa"/>
            </w:tcMar>
            <w:hideMark/>
          </w:tcPr>
          <w:p w14:paraId="2ED0434A" w14:textId="77777777" w:rsidR="00000000" w:rsidRDefault="00582324">
            <w:pPr>
              <w:pStyle w:val="a3"/>
              <w:spacing w:before="0" w:beforeAutospacing="0" w:after="0" w:afterAutospacing="0"/>
              <w:rPr>
                <w:color w:val="000000"/>
                <w:sz w:val="18"/>
                <w:szCs w:val="18"/>
              </w:rPr>
            </w:pPr>
            <w:r>
              <w:rPr>
                <w:color w:val="000000"/>
                <w:sz w:val="18"/>
                <w:szCs w:val="18"/>
              </w:rPr>
              <w:t>Fair value changes in business acquisitions</w:t>
            </w:r>
          </w:p>
          <w:p w14:paraId="06B24A59" w14:textId="77777777" w:rsidR="00000000" w:rsidRDefault="00582324">
            <w:pPr>
              <w:pStyle w:val="a3"/>
              <w:spacing w:before="0" w:beforeAutospacing="0" w:after="0" w:afterAutospacing="0"/>
              <w:rPr>
                <w:color w:val="000000"/>
                <w:sz w:val="18"/>
                <w:szCs w:val="18"/>
              </w:rPr>
            </w:pPr>
            <w:r>
              <w:rPr>
                <w:color w:val="000000"/>
                <w:sz w:val="18"/>
                <w:szCs w:val="18"/>
              </w:rPr>
              <w:t>   contingent consideration</w:t>
            </w:r>
          </w:p>
        </w:tc>
        <w:tc>
          <w:tcPr>
            <w:tcW w:w="81" w:type="pct"/>
            <w:shd w:val="clear" w:color="auto" w:fill="FFFFFF"/>
            <w:tcMar>
              <w:top w:w="15" w:type="dxa"/>
              <w:left w:w="0" w:type="dxa"/>
              <w:bottom w:w="0" w:type="dxa"/>
              <w:right w:w="15" w:type="dxa"/>
            </w:tcMar>
            <w:vAlign w:val="bottom"/>
            <w:hideMark/>
          </w:tcPr>
          <w:p w14:paraId="00DAF15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69EC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7C9B214F" w14:textId="77777777" w:rsidR="00000000" w:rsidRDefault="00582324">
            <w:pPr>
              <w:pStyle w:val="a3"/>
              <w:spacing w:before="0" w:beforeAutospacing="0" w:after="0" w:afterAutospacing="0"/>
              <w:jc w:val="right"/>
              <w:rPr>
                <w:color w:val="000000"/>
                <w:sz w:val="18"/>
                <w:szCs w:val="18"/>
              </w:rPr>
            </w:pPr>
            <w:r>
              <w:rPr>
                <w:color w:val="000000"/>
                <w:sz w:val="18"/>
                <w:szCs w:val="18"/>
              </w:rPr>
              <w:t>12,971</w:t>
            </w:r>
          </w:p>
        </w:tc>
        <w:tc>
          <w:tcPr>
            <w:tcW w:w="50" w:type="pct"/>
            <w:shd w:val="clear" w:color="auto" w:fill="FFFFFF"/>
            <w:noWrap/>
            <w:tcMar>
              <w:top w:w="15" w:type="dxa"/>
              <w:left w:w="0" w:type="dxa"/>
              <w:bottom w:w="0" w:type="dxa"/>
              <w:right w:w="15" w:type="dxa"/>
            </w:tcMar>
            <w:vAlign w:val="bottom"/>
            <w:hideMark/>
          </w:tcPr>
          <w:p w14:paraId="6659C9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1D8529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88DC7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123923CF"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FFFFFF"/>
            <w:noWrap/>
            <w:tcMar>
              <w:top w:w="15" w:type="dxa"/>
              <w:left w:w="0" w:type="dxa"/>
              <w:bottom w:w="0" w:type="dxa"/>
              <w:right w:w="15" w:type="dxa"/>
            </w:tcMar>
            <w:vAlign w:val="bottom"/>
            <w:hideMark/>
          </w:tcPr>
          <w:p w14:paraId="351F6A5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E2BB0D4" w14:textId="77777777">
        <w:trPr>
          <w:divId w:val="1500971655"/>
        </w:trPr>
        <w:tc>
          <w:tcPr>
            <w:tcW w:w="3349" w:type="pct"/>
            <w:shd w:val="clear" w:color="auto" w:fill="CFF0FC"/>
            <w:tcMar>
              <w:top w:w="15" w:type="dxa"/>
              <w:left w:w="0" w:type="dxa"/>
              <w:bottom w:w="0" w:type="dxa"/>
              <w:right w:w="15" w:type="dxa"/>
            </w:tcMar>
            <w:hideMark/>
          </w:tcPr>
          <w:p w14:paraId="5E819678" w14:textId="77777777" w:rsidR="00000000" w:rsidRDefault="00582324">
            <w:pPr>
              <w:pStyle w:val="a3"/>
              <w:spacing w:before="0" w:beforeAutospacing="0" w:after="0" w:afterAutospacing="0"/>
              <w:rPr>
                <w:color w:val="000000"/>
                <w:sz w:val="18"/>
                <w:szCs w:val="18"/>
              </w:rPr>
            </w:pPr>
            <w:r>
              <w:rPr>
                <w:color w:val="000000"/>
                <w:sz w:val="18"/>
                <w:szCs w:val="18"/>
              </w:rPr>
              <w:t>Depreciation and amortization</w:t>
            </w:r>
          </w:p>
        </w:tc>
        <w:tc>
          <w:tcPr>
            <w:tcW w:w="81" w:type="pct"/>
            <w:shd w:val="clear" w:color="auto" w:fill="CFF0FC"/>
            <w:tcMar>
              <w:top w:w="15" w:type="dxa"/>
              <w:left w:w="0" w:type="dxa"/>
              <w:bottom w:w="0" w:type="dxa"/>
              <w:right w:w="15" w:type="dxa"/>
            </w:tcMar>
            <w:vAlign w:val="bottom"/>
            <w:hideMark/>
          </w:tcPr>
          <w:p w14:paraId="2C76539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2715A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1B2D5CE" w14:textId="77777777" w:rsidR="00000000" w:rsidRDefault="00582324">
            <w:pPr>
              <w:pStyle w:val="a3"/>
              <w:spacing w:before="0" w:beforeAutospacing="0" w:after="0" w:afterAutospacing="0"/>
              <w:jc w:val="right"/>
              <w:rPr>
                <w:color w:val="000000"/>
                <w:sz w:val="18"/>
                <w:szCs w:val="18"/>
              </w:rPr>
            </w:pPr>
            <w:r>
              <w:rPr>
                <w:color w:val="000000"/>
                <w:sz w:val="18"/>
                <w:szCs w:val="18"/>
              </w:rPr>
              <w:t>10,905</w:t>
            </w:r>
          </w:p>
        </w:tc>
        <w:tc>
          <w:tcPr>
            <w:tcW w:w="50" w:type="pct"/>
            <w:shd w:val="clear" w:color="auto" w:fill="CFF0FC"/>
            <w:noWrap/>
            <w:tcMar>
              <w:top w:w="15" w:type="dxa"/>
              <w:left w:w="0" w:type="dxa"/>
              <w:bottom w:w="0" w:type="dxa"/>
              <w:right w:w="15" w:type="dxa"/>
            </w:tcMar>
            <w:vAlign w:val="bottom"/>
            <w:hideMark/>
          </w:tcPr>
          <w:p w14:paraId="24C135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2321C4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6B3C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9FFDE64" w14:textId="77777777" w:rsidR="00000000" w:rsidRDefault="00582324">
            <w:pPr>
              <w:pStyle w:val="a3"/>
              <w:spacing w:before="0" w:beforeAutospacing="0" w:after="0" w:afterAutospacing="0"/>
              <w:jc w:val="right"/>
              <w:rPr>
                <w:color w:val="000000"/>
                <w:sz w:val="18"/>
                <w:szCs w:val="18"/>
              </w:rPr>
            </w:pPr>
            <w:r>
              <w:rPr>
                <w:color w:val="000000"/>
                <w:sz w:val="18"/>
                <w:szCs w:val="18"/>
              </w:rPr>
              <w:t>9,784</w:t>
            </w:r>
          </w:p>
        </w:tc>
        <w:tc>
          <w:tcPr>
            <w:tcW w:w="50" w:type="pct"/>
            <w:shd w:val="clear" w:color="auto" w:fill="CFF0FC"/>
            <w:noWrap/>
            <w:tcMar>
              <w:top w:w="15" w:type="dxa"/>
              <w:left w:w="0" w:type="dxa"/>
              <w:bottom w:w="0" w:type="dxa"/>
              <w:right w:w="15" w:type="dxa"/>
            </w:tcMar>
            <w:vAlign w:val="bottom"/>
            <w:hideMark/>
          </w:tcPr>
          <w:p w14:paraId="1803A05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CEC4697" w14:textId="77777777">
        <w:trPr>
          <w:divId w:val="1500971655"/>
        </w:trPr>
        <w:tc>
          <w:tcPr>
            <w:tcW w:w="3349" w:type="pct"/>
            <w:shd w:val="clear" w:color="auto" w:fill="FFFFFF"/>
            <w:tcMar>
              <w:top w:w="15" w:type="dxa"/>
              <w:left w:w="0" w:type="dxa"/>
              <w:bottom w:w="0" w:type="dxa"/>
              <w:right w:w="15" w:type="dxa"/>
            </w:tcMar>
            <w:hideMark/>
          </w:tcPr>
          <w:p w14:paraId="4D2B92D3" w14:textId="77777777" w:rsidR="00000000" w:rsidRDefault="00582324">
            <w:pPr>
              <w:pStyle w:val="a3"/>
              <w:spacing w:before="0" w:beforeAutospacing="0" w:after="0" w:afterAutospacing="0"/>
              <w:rPr>
                <w:b/>
                <w:bCs/>
                <w:color w:val="000000"/>
                <w:sz w:val="18"/>
                <w:szCs w:val="18"/>
              </w:rPr>
            </w:pPr>
            <w:r>
              <w:rPr>
                <w:b/>
                <w:bCs/>
                <w:color w:val="000000"/>
                <w:sz w:val="18"/>
                <w:szCs w:val="18"/>
              </w:rPr>
              <w:t>Loss from operations</w:t>
            </w:r>
          </w:p>
        </w:tc>
        <w:tc>
          <w:tcPr>
            <w:tcW w:w="81" w:type="pct"/>
            <w:shd w:val="clear" w:color="auto" w:fill="FFFFFF"/>
            <w:tcMar>
              <w:top w:w="15" w:type="dxa"/>
              <w:left w:w="0" w:type="dxa"/>
              <w:bottom w:w="0" w:type="dxa"/>
              <w:right w:w="15" w:type="dxa"/>
            </w:tcMar>
            <w:vAlign w:val="bottom"/>
            <w:hideMark/>
          </w:tcPr>
          <w:p w14:paraId="1BAC926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78520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EFB8A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(7,122</w:t>
            </w:r>
          </w:p>
        </w:tc>
        <w:tc>
          <w:tcPr>
            <w:tcW w:w="50" w:type="pct"/>
            <w:shd w:val="clear" w:color="auto" w:fill="FFFFFF"/>
            <w:noWrap/>
            <w:tcMar>
              <w:top w:w="15" w:type="dxa"/>
              <w:left w:w="0" w:type="dxa"/>
              <w:bottom w:w="0" w:type="dxa"/>
              <w:right w:w="15" w:type="dxa"/>
            </w:tcMar>
            <w:vAlign w:val="bottom"/>
            <w:hideMark/>
          </w:tcPr>
          <w:p w14:paraId="578AA30C"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FFFFFF"/>
            <w:tcMar>
              <w:top w:w="15" w:type="dxa"/>
              <w:left w:w="0" w:type="dxa"/>
              <w:bottom w:w="0" w:type="dxa"/>
              <w:right w:w="15" w:type="dxa"/>
            </w:tcMar>
            <w:vAlign w:val="bottom"/>
            <w:hideMark/>
          </w:tcPr>
          <w:p w14:paraId="7C9DE3C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38B3D1"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57477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(5,208</w:t>
            </w:r>
          </w:p>
        </w:tc>
        <w:tc>
          <w:tcPr>
            <w:tcW w:w="50" w:type="pct"/>
            <w:shd w:val="clear" w:color="auto" w:fill="FFFFFF"/>
            <w:noWrap/>
            <w:tcMar>
              <w:top w:w="15" w:type="dxa"/>
              <w:left w:w="0" w:type="dxa"/>
              <w:bottom w:w="0" w:type="dxa"/>
              <w:right w:w="15" w:type="dxa"/>
            </w:tcMar>
            <w:vAlign w:val="bottom"/>
            <w:hideMark/>
          </w:tcPr>
          <w:p w14:paraId="715CB72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2D8F2FC9" w14:textId="77777777">
        <w:trPr>
          <w:divId w:val="1500971655"/>
        </w:trPr>
        <w:tc>
          <w:tcPr>
            <w:tcW w:w="3349" w:type="pct"/>
            <w:shd w:val="clear" w:color="auto" w:fill="CFF0FC"/>
            <w:tcMar>
              <w:top w:w="15" w:type="dxa"/>
              <w:left w:w="0" w:type="dxa"/>
              <w:bottom w:w="0" w:type="dxa"/>
              <w:right w:w="15" w:type="dxa"/>
            </w:tcMar>
            <w:hideMark/>
          </w:tcPr>
          <w:p w14:paraId="5F5CD177" w14:textId="77777777" w:rsidR="00000000" w:rsidRDefault="00582324">
            <w:pPr>
              <w:pStyle w:val="a3"/>
              <w:spacing w:before="0" w:beforeAutospacing="0" w:after="0" w:afterAutospacing="0"/>
              <w:rPr>
                <w:color w:val="000000"/>
                <w:sz w:val="18"/>
                <w:szCs w:val="18"/>
              </w:rPr>
            </w:pPr>
            <w:r>
              <w:rPr>
                <w:color w:val="000000"/>
                <w:sz w:val="18"/>
                <w:szCs w:val="18"/>
              </w:rPr>
              <w:t>Other (expense) income</w:t>
            </w:r>
          </w:p>
        </w:tc>
        <w:tc>
          <w:tcPr>
            <w:tcW w:w="81" w:type="pct"/>
            <w:shd w:val="clear" w:color="auto" w:fill="CFF0FC"/>
            <w:tcMar>
              <w:top w:w="15" w:type="dxa"/>
              <w:left w:w="0" w:type="dxa"/>
              <w:bottom w:w="0" w:type="dxa"/>
              <w:right w:w="15" w:type="dxa"/>
            </w:tcMar>
            <w:vAlign w:val="bottom"/>
            <w:hideMark/>
          </w:tcPr>
          <w:p w14:paraId="06DCAE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B1C70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6D15B837" w14:textId="77777777" w:rsidR="00000000" w:rsidRDefault="00582324">
            <w:pPr>
              <w:pStyle w:val="a3"/>
              <w:spacing w:before="0" w:beforeAutospacing="0" w:after="0" w:afterAutospacing="0"/>
              <w:jc w:val="right"/>
              <w:rPr>
                <w:color w:val="000000"/>
                <w:sz w:val="18"/>
                <w:szCs w:val="18"/>
              </w:rPr>
            </w:pPr>
            <w:r>
              <w:rPr>
                <w:color w:val="000000"/>
                <w:sz w:val="18"/>
                <w:szCs w:val="18"/>
              </w:rPr>
              <w:t>(819</w:t>
            </w:r>
          </w:p>
        </w:tc>
        <w:tc>
          <w:tcPr>
            <w:tcW w:w="50" w:type="pct"/>
            <w:shd w:val="clear" w:color="auto" w:fill="CFF0FC"/>
            <w:noWrap/>
            <w:tcMar>
              <w:top w:w="15" w:type="dxa"/>
              <w:left w:w="0" w:type="dxa"/>
              <w:bottom w:w="0" w:type="dxa"/>
              <w:right w:w="15" w:type="dxa"/>
            </w:tcMar>
            <w:vAlign w:val="bottom"/>
            <w:hideMark/>
          </w:tcPr>
          <w:p w14:paraId="754919A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CFF0FC"/>
            <w:tcMar>
              <w:top w:w="15" w:type="dxa"/>
              <w:left w:w="0" w:type="dxa"/>
              <w:bottom w:w="0" w:type="dxa"/>
              <w:right w:w="15" w:type="dxa"/>
            </w:tcMar>
            <w:vAlign w:val="bottom"/>
            <w:hideMark/>
          </w:tcPr>
          <w:p w14:paraId="106914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A5291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3CAC159B" w14:textId="77777777" w:rsidR="00000000" w:rsidRDefault="00582324">
            <w:pPr>
              <w:pStyle w:val="a3"/>
              <w:spacing w:before="0" w:beforeAutospacing="0" w:after="0" w:afterAutospacing="0"/>
              <w:jc w:val="right"/>
              <w:rPr>
                <w:color w:val="000000"/>
                <w:sz w:val="18"/>
                <w:szCs w:val="18"/>
              </w:rPr>
            </w:pPr>
            <w:r>
              <w:rPr>
                <w:color w:val="000000"/>
                <w:sz w:val="18"/>
                <w:szCs w:val="18"/>
              </w:rPr>
              <w:t>21,933</w:t>
            </w:r>
          </w:p>
        </w:tc>
        <w:tc>
          <w:tcPr>
            <w:tcW w:w="50" w:type="pct"/>
            <w:shd w:val="clear" w:color="auto" w:fill="CFF0FC"/>
            <w:noWrap/>
            <w:tcMar>
              <w:top w:w="15" w:type="dxa"/>
              <w:left w:w="0" w:type="dxa"/>
              <w:bottom w:w="0" w:type="dxa"/>
              <w:right w:w="15" w:type="dxa"/>
            </w:tcMar>
            <w:vAlign w:val="bottom"/>
            <w:hideMark/>
          </w:tcPr>
          <w:p w14:paraId="30C5C12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E5AB07E" w14:textId="77777777">
        <w:trPr>
          <w:divId w:val="1500971655"/>
        </w:trPr>
        <w:tc>
          <w:tcPr>
            <w:tcW w:w="3349" w:type="pct"/>
            <w:shd w:val="clear" w:color="auto" w:fill="FFFFFF"/>
            <w:tcMar>
              <w:top w:w="15" w:type="dxa"/>
              <w:left w:w="0" w:type="dxa"/>
              <w:bottom w:w="0" w:type="dxa"/>
              <w:right w:w="15" w:type="dxa"/>
            </w:tcMar>
            <w:hideMark/>
          </w:tcPr>
          <w:p w14:paraId="69290437" w14:textId="77777777" w:rsidR="00000000" w:rsidRDefault="00582324">
            <w:pPr>
              <w:pStyle w:val="a3"/>
              <w:spacing w:before="0" w:beforeAutospacing="0" w:after="0" w:afterAutospacing="0"/>
              <w:rPr>
                <w:color w:val="000000"/>
                <w:sz w:val="18"/>
                <w:szCs w:val="18"/>
              </w:rPr>
            </w:pPr>
            <w:r>
              <w:rPr>
                <w:color w:val="000000"/>
                <w:sz w:val="18"/>
                <w:szCs w:val="18"/>
              </w:rPr>
              <w:t>Interest expense, net</w:t>
            </w:r>
          </w:p>
        </w:tc>
        <w:tc>
          <w:tcPr>
            <w:tcW w:w="81" w:type="pct"/>
            <w:shd w:val="clear" w:color="auto" w:fill="FFFFFF"/>
            <w:tcMar>
              <w:top w:w="15" w:type="dxa"/>
              <w:left w:w="0" w:type="dxa"/>
              <w:bottom w:w="0" w:type="dxa"/>
              <w:right w:w="15" w:type="dxa"/>
            </w:tcMar>
            <w:vAlign w:val="bottom"/>
            <w:hideMark/>
          </w:tcPr>
          <w:p w14:paraId="659395C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E617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B2A6237" w14:textId="77777777" w:rsidR="00000000" w:rsidRDefault="00582324">
            <w:pPr>
              <w:pStyle w:val="a3"/>
              <w:spacing w:before="0" w:beforeAutospacing="0" w:after="0" w:afterAutospacing="0"/>
              <w:jc w:val="right"/>
              <w:rPr>
                <w:color w:val="000000"/>
                <w:sz w:val="18"/>
                <w:szCs w:val="18"/>
              </w:rPr>
            </w:pPr>
            <w:r>
              <w:rPr>
                <w:color w:val="000000"/>
                <w:sz w:val="18"/>
                <w:szCs w:val="18"/>
              </w:rPr>
              <w:t>(6,798</w:t>
            </w:r>
          </w:p>
        </w:tc>
        <w:tc>
          <w:tcPr>
            <w:tcW w:w="50" w:type="pct"/>
            <w:shd w:val="clear" w:color="auto" w:fill="FFFFFF"/>
            <w:noWrap/>
            <w:tcMar>
              <w:top w:w="15" w:type="dxa"/>
              <w:left w:w="0" w:type="dxa"/>
              <w:bottom w:w="0" w:type="dxa"/>
              <w:right w:w="15" w:type="dxa"/>
            </w:tcMar>
            <w:vAlign w:val="bottom"/>
            <w:hideMark/>
          </w:tcPr>
          <w:p w14:paraId="6406B1A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6FDAD7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7F60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6B8245E" w14:textId="77777777" w:rsidR="00000000" w:rsidRDefault="00582324">
            <w:pPr>
              <w:pStyle w:val="a3"/>
              <w:spacing w:before="0" w:beforeAutospacing="0" w:after="0" w:afterAutospacing="0"/>
              <w:jc w:val="right"/>
              <w:rPr>
                <w:color w:val="000000"/>
                <w:sz w:val="18"/>
                <w:szCs w:val="18"/>
              </w:rPr>
            </w:pPr>
            <w:r>
              <w:rPr>
                <w:color w:val="000000"/>
                <w:sz w:val="18"/>
                <w:szCs w:val="18"/>
              </w:rPr>
              <w:t>(5,260</w:t>
            </w:r>
          </w:p>
        </w:tc>
        <w:tc>
          <w:tcPr>
            <w:tcW w:w="50" w:type="pct"/>
            <w:shd w:val="clear" w:color="auto" w:fill="FFFFFF"/>
            <w:noWrap/>
            <w:tcMar>
              <w:top w:w="15" w:type="dxa"/>
              <w:left w:w="0" w:type="dxa"/>
              <w:bottom w:w="0" w:type="dxa"/>
              <w:right w:w="15" w:type="dxa"/>
            </w:tcMar>
            <w:vAlign w:val="bottom"/>
            <w:hideMark/>
          </w:tcPr>
          <w:p w14:paraId="41582A47"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EC07F0F" w14:textId="77777777">
        <w:trPr>
          <w:divId w:val="1500971655"/>
        </w:trPr>
        <w:tc>
          <w:tcPr>
            <w:tcW w:w="3349" w:type="pct"/>
            <w:shd w:val="clear" w:color="auto" w:fill="CFF0FC"/>
            <w:tcMar>
              <w:top w:w="15" w:type="dxa"/>
              <w:left w:w="0" w:type="dxa"/>
              <w:bottom w:w="0" w:type="dxa"/>
              <w:right w:w="15" w:type="dxa"/>
            </w:tcMar>
            <w:hideMark/>
          </w:tcPr>
          <w:p w14:paraId="2831D5A6" w14:textId="77777777" w:rsidR="00000000" w:rsidRDefault="00582324">
            <w:pPr>
              <w:pStyle w:val="a3"/>
              <w:spacing w:before="0" w:beforeAutospacing="0" w:after="0" w:afterAutospacing="0"/>
              <w:rPr>
                <w:b/>
                <w:bCs/>
                <w:color w:val="000000"/>
                <w:sz w:val="18"/>
                <w:szCs w:val="18"/>
              </w:rPr>
            </w:pPr>
            <w:r>
              <w:rPr>
                <w:b/>
                <w:bCs/>
                <w:color w:val="000000"/>
                <w:sz w:val="18"/>
                <w:szCs w:val="18"/>
              </w:rPr>
              <w:t>(Loss) income before income taxes</w:t>
            </w:r>
          </w:p>
        </w:tc>
        <w:tc>
          <w:tcPr>
            <w:tcW w:w="81" w:type="pct"/>
            <w:shd w:val="clear" w:color="auto" w:fill="CFF0FC"/>
            <w:tcMar>
              <w:top w:w="15" w:type="dxa"/>
              <w:left w:w="0" w:type="dxa"/>
              <w:bottom w:w="0" w:type="dxa"/>
              <w:right w:w="15" w:type="dxa"/>
            </w:tcMar>
            <w:vAlign w:val="bottom"/>
            <w:hideMark/>
          </w:tcPr>
          <w:p w14:paraId="1ADE0F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F840C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5DAFF6A"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(14,739</w:t>
            </w:r>
          </w:p>
        </w:tc>
        <w:tc>
          <w:tcPr>
            <w:tcW w:w="50" w:type="pct"/>
            <w:shd w:val="clear" w:color="auto" w:fill="CFF0FC"/>
            <w:noWrap/>
            <w:tcMar>
              <w:top w:w="15" w:type="dxa"/>
              <w:left w:w="0" w:type="dxa"/>
              <w:bottom w:w="0" w:type="dxa"/>
              <w:right w:w="15" w:type="dxa"/>
            </w:tcMar>
            <w:vAlign w:val="bottom"/>
            <w:hideMark/>
          </w:tcPr>
          <w:p w14:paraId="6D858AE1"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CFF0FC"/>
            <w:tcMar>
              <w:top w:w="15" w:type="dxa"/>
              <w:left w:w="0" w:type="dxa"/>
              <w:bottom w:w="0" w:type="dxa"/>
              <w:right w:w="15" w:type="dxa"/>
            </w:tcMar>
            <w:vAlign w:val="bottom"/>
            <w:hideMark/>
          </w:tcPr>
          <w:p w14:paraId="372DBFD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126714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6AD58604"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11,465</w:t>
            </w:r>
          </w:p>
        </w:tc>
        <w:tc>
          <w:tcPr>
            <w:tcW w:w="50" w:type="pct"/>
            <w:shd w:val="clear" w:color="auto" w:fill="CFF0FC"/>
            <w:noWrap/>
            <w:tcMar>
              <w:top w:w="15" w:type="dxa"/>
              <w:left w:w="0" w:type="dxa"/>
              <w:bottom w:w="0" w:type="dxa"/>
              <w:right w:w="15" w:type="dxa"/>
            </w:tcMar>
            <w:vAlign w:val="bottom"/>
            <w:hideMark/>
          </w:tcPr>
          <w:p w14:paraId="1C8328C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51BEBCB9" w14:textId="77777777">
        <w:trPr>
          <w:divId w:val="1500971655"/>
        </w:trPr>
        <w:tc>
          <w:tcPr>
            <w:tcW w:w="3349" w:type="pct"/>
            <w:shd w:val="clear" w:color="auto" w:fill="FFFFFF"/>
            <w:tcMar>
              <w:top w:w="15" w:type="dxa"/>
              <w:left w:w="0" w:type="dxa"/>
              <w:bottom w:w="0" w:type="dxa"/>
              <w:right w:w="15" w:type="dxa"/>
            </w:tcMar>
            <w:hideMark/>
          </w:tcPr>
          <w:p w14:paraId="69D74CB2" w14:textId="77777777" w:rsidR="00000000" w:rsidRDefault="00582324">
            <w:pPr>
              <w:pStyle w:val="a3"/>
              <w:spacing w:before="0" w:beforeAutospacing="0" w:after="0" w:afterAutospacing="0"/>
              <w:rPr>
                <w:color w:val="000000"/>
                <w:sz w:val="18"/>
                <w:szCs w:val="18"/>
              </w:rPr>
            </w:pPr>
            <w:r>
              <w:rPr>
                <w:color w:val="000000"/>
                <w:sz w:val="18"/>
                <w:szCs w:val="18"/>
              </w:rPr>
              <w:t>Income tax expense (benefit)</w:t>
            </w:r>
          </w:p>
        </w:tc>
        <w:tc>
          <w:tcPr>
            <w:tcW w:w="81" w:type="pct"/>
            <w:shd w:val="clear" w:color="auto" w:fill="FFFFFF"/>
            <w:tcMar>
              <w:top w:w="15" w:type="dxa"/>
              <w:left w:w="0" w:type="dxa"/>
              <w:bottom w:w="0" w:type="dxa"/>
              <w:right w:w="15" w:type="dxa"/>
            </w:tcMar>
            <w:vAlign w:val="bottom"/>
            <w:hideMark/>
          </w:tcPr>
          <w:p w14:paraId="03A638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CDDA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64EA93B" w14:textId="77777777" w:rsidR="00000000" w:rsidRDefault="00582324">
            <w:pPr>
              <w:pStyle w:val="a3"/>
              <w:spacing w:before="0" w:beforeAutospacing="0" w:after="0" w:afterAutospacing="0"/>
              <w:jc w:val="right"/>
              <w:rPr>
                <w:color w:val="000000"/>
                <w:sz w:val="18"/>
                <w:szCs w:val="18"/>
              </w:rPr>
            </w:pPr>
            <w:r>
              <w:rPr>
                <w:color w:val="000000"/>
                <w:sz w:val="18"/>
                <w:szCs w:val="18"/>
              </w:rPr>
              <w:t>(256</w:t>
            </w:r>
          </w:p>
        </w:tc>
        <w:tc>
          <w:tcPr>
            <w:tcW w:w="50" w:type="pct"/>
            <w:shd w:val="clear" w:color="auto" w:fill="FFFFFF"/>
            <w:noWrap/>
            <w:tcMar>
              <w:top w:w="15" w:type="dxa"/>
              <w:left w:w="0" w:type="dxa"/>
              <w:bottom w:w="0" w:type="dxa"/>
              <w:right w:w="15" w:type="dxa"/>
            </w:tcMar>
            <w:vAlign w:val="bottom"/>
            <w:hideMark/>
          </w:tcPr>
          <w:p w14:paraId="72BF2B5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2AEE08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D2F3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1FC843D1" w14:textId="77777777" w:rsidR="00000000" w:rsidRDefault="00582324">
            <w:pPr>
              <w:pStyle w:val="a3"/>
              <w:spacing w:before="0" w:beforeAutospacing="0" w:after="0" w:afterAutospacing="0"/>
              <w:jc w:val="right"/>
              <w:rPr>
                <w:color w:val="000000"/>
                <w:sz w:val="18"/>
                <w:szCs w:val="18"/>
              </w:rPr>
            </w:pPr>
            <w:r>
              <w:rPr>
                <w:color w:val="000000"/>
                <w:sz w:val="18"/>
                <w:szCs w:val="18"/>
              </w:rPr>
              <w:t>(1,759</w:t>
            </w:r>
          </w:p>
        </w:tc>
        <w:tc>
          <w:tcPr>
            <w:tcW w:w="50" w:type="pct"/>
            <w:shd w:val="clear" w:color="auto" w:fill="FFFFFF"/>
            <w:noWrap/>
            <w:tcMar>
              <w:top w:w="15" w:type="dxa"/>
              <w:left w:w="0" w:type="dxa"/>
              <w:bottom w:w="0" w:type="dxa"/>
              <w:right w:w="15" w:type="dxa"/>
            </w:tcMar>
            <w:vAlign w:val="bottom"/>
            <w:hideMark/>
          </w:tcPr>
          <w:p w14:paraId="60DE786C"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1003AFE6" w14:textId="77777777">
        <w:trPr>
          <w:divId w:val="1500971655"/>
        </w:trPr>
        <w:tc>
          <w:tcPr>
            <w:tcW w:w="3349" w:type="pct"/>
            <w:shd w:val="clear" w:color="auto" w:fill="CFF0FC"/>
            <w:tcMar>
              <w:top w:w="15" w:type="dxa"/>
              <w:left w:w="0" w:type="dxa"/>
              <w:bottom w:w="0" w:type="dxa"/>
              <w:right w:w="15" w:type="dxa"/>
            </w:tcMar>
            <w:hideMark/>
          </w:tcPr>
          <w:p w14:paraId="1D5AD7DB" w14:textId="77777777" w:rsidR="00000000" w:rsidRDefault="00582324">
            <w:pPr>
              <w:pStyle w:val="a3"/>
              <w:spacing w:before="0" w:beforeAutospacing="0" w:after="0" w:afterAutospacing="0"/>
              <w:rPr>
                <w:b/>
                <w:bCs/>
                <w:color w:val="000000"/>
                <w:sz w:val="18"/>
                <w:szCs w:val="18"/>
              </w:rPr>
            </w:pPr>
            <w:r>
              <w:rPr>
                <w:b/>
                <w:bCs/>
                <w:color w:val="000000"/>
                <w:sz w:val="18"/>
                <w:szCs w:val="18"/>
              </w:rPr>
              <w:t>Net (loss) income</w:t>
            </w:r>
          </w:p>
        </w:tc>
        <w:tc>
          <w:tcPr>
            <w:tcW w:w="81" w:type="pct"/>
            <w:shd w:val="clear" w:color="auto" w:fill="CFF0FC"/>
            <w:tcMar>
              <w:top w:w="15" w:type="dxa"/>
              <w:left w:w="0" w:type="dxa"/>
              <w:bottom w:w="0" w:type="dxa"/>
              <w:right w:w="15" w:type="dxa"/>
            </w:tcMar>
            <w:vAlign w:val="bottom"/>
            <w:hideMark/>
          </w:tcPr>
          <w:p w14:paraId="4117AD7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65D3CB"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7AE35F"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(14,483</w:t>
            </w:r>
          </w:p>
        </w:tc>
        <w:tc>
          <w:tcPr>
            <w:tcW w:w="50" w:type="pct"/>
            <w:shd w:val="clear" w:color="auto" w:fill="CFF0FC"/>
            <w:noWrap/>
            <w:tcMar>
              <w:top w:w="15" w:type="dxa"/>
              <w:left w:w="0" w:type="dxa"/>
              <w:bottom w:w="0" w:type="dxa"/>
              <w:right w:w="15" w:type="dxa"/>
            </w:tcMar>
            <w:vAlign w:val="bottom"/>
            <w:hideMark/>
          </w:tcPr>
          <w:p w14:paraId="32717812"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CFF0FC"/>
            <w:tcMar>
              <w:top w:w="15" w:type="dxa"/>
              <w:left w:w="0" w:type="dxa"/>
              <w:bottom w:w="0" w:type="dxa"/>
              <w:right w:w="15" w:type="dxa"/>
            </w:tcMar>
            <w:vAlign w:val="bottom"/>
            <w:hideMark/>
          </w:tcPr>
          <w:p w14:paraId="46182C1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60819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5854C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13,224</w:t>
            </w:r>
          </w:p>
        </w:tc>
        <w:tc>
          <w:tcPr>
            <w:tcW w:w="50" w:type="pct"/>
            <w:shd w:val="clear" w:color="auto" w:fill="CFF0FC"/>
            <w:noWrap/>
            <w:tcMar>
              <w:top w:w="15" w:type="dxa"/>
              <w:left w:w="0" w:type="dxa"/>
              <w:bottom w:w="0" w:type="dxa"/>
              <w:right w:w="15" w:type="dxa"/>
            </w:tcMar>
            <w:vAlign w:val="bottom"/>
            <w:hideMark/>
          </w:tcPr>
          <w:p w14:paraId="6CB8FE6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4993665" w14:textId="77777777">
        <w:trPr>
          <w:divId w:val="1500971655"/>
        </w:trPr>
        <w:tc>
          <w:tcPr>
            <w:tcW w:w="3349" w:type="pct"/>
            <w:shd w:val="clear" w:color="auto" w:fill="FFFFFF"/>
            <w:tcMar>
              <w:top w:w="15" w:type="dxa"/>
              <w:left w:w="0" w:type="dxa"/>
              <w:bottom w:w="0" w:type="dxa"/>
              <w:right w:w="15" w:type="dxa"/>
            </w:tcMar>
            <w:hideMark/>
          </w:tcPr>
          <w:p w14:paraId="787FCA51" w14:textId="77777777" w:rsidR="00000000" w:rsidRDefault="00582324">
            <w:pPr>
              <w:pStyle w:val="a3"/>
              <w:spacing w:before="0" w:beforeAutospacing="0" w:after="0" w:afterAutospacing="0"/>
              <w:ind w:left="274"/>
              <w:rPr>
                <w:color w:val="000000"/>
                <w:sz w:val="18"/>
                <w:szCs w:val="18"/>
              </w:rPr>
            </w:pPr>
            <w:r>
              <w:rPr>
                <w:color w:val="000000"/>
                <w:sz w:val="18"/>
                <w:szCs w:val="18"/>
              </w:rPr>
              <w:t>Accretion of Series A-1 redeemable preferred stock</w:t>
            </w:r>
          </w:p>
        </w:tc>
        <w:tc>
          <w:tcPr>
            <w:tcW w:w="81" w:type="pct"/>
            <w:shd w:val="clear" w:color="auto" w:fill="FFFFFF"/>
            <w:tcMar>
              <w:top w:w="15" w:type="dxa"/>
              <w:left w:w="0" w:type="dxa"/>
              <w:bottom w:w="0" w:type="dxa"/>
              <w:right w:w="15" w:type="dxa"/>
            </w:tcMar>
            <w:vAlign w:val="bottom"/>
            <w:hideMark/>
          </w:tcPr>
          <w:p w14:paraId="598175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6807F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1AA352C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6AA77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FFFFFF"/>
            <w:tcMar>
              <w:top w:w="15" w:type="dxa"/>
              <w:left w:w="0" w:type="dxa"/>
              <w:bottom w:w="0" w:type="dxa"/>
              <w:right w:w="15" w:type="dxa"/>
            </w:tcMar>
            <w:vAlign w:val="bottom"/>
            <w:hideMark/>
          </w:tcPr>
          <w:p w14:paraId="54B83F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B67DF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1AE68944" w14:textId="77777777" w:rsidR="00000000" w:rsidRDefault="00582324">
            <w:pPr>
              <w:pStyle w:val="a3"/>
              <w:spacing w:before="0" w:beforeAutospacing="0" w:after="0" w:afterAutospacing="0"/>
              <w:jc w:val="right"/>
              <w:rPr>
                <w:color w:val="000000"/>
                <w:sz w:val="18"/>
                <w:szCs w:val="18"/>
              </w:rPr>
            </w:pPr>
            <w:r>
              <w:rPr>
                <w:color w:val="000000"/>
                <w:sz w:val="18"/>
                <w:szCs w:val="18"/>
              </w:rPr>
              <w:t>(5,644</w:t>
            </w:r>
          </w:p>
        </w:tc>
        <w:tc>
          <w:tcPr>
            <w:tcW w:w="50" w:type="pct"/>
            <w:shd w:val="clear" w:color="auto" w:fill="FFFFFF"/>
            <w:noWrap/>
            <w:tcMar>
              <w:top w:w="15" w:type="dxa"/>
              <w:left w:w="0" w:type="dxa"/>
              <w:bottom w:w="0" w:type="dxa"/>
              <w:right w:w="15" w:type="dxa"/>
            </w:tcMar>
            <w:vAlign w:val="bottom"/>
            <w:hideMark/>
          </w:tcPr>
          <w:p w14:paraId="192CBE9C"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9DADB18" w14:textId="77777777">
        <w:trPr>
          <w:divId w:val="1500971655"/>
        </w:trPr>
        <w:tc>
          <w:tcPr>
            <w:tcW w:w="3349" w:type="pct"/>
            <w:shd w:val="clear" w:color="auto" w:fill="CFF0FC"/>
            <w:tcMar>
              <w:top w:w="15" w:type="dxa"/>
              <w:left w:w="0" w:type="dxa"/>
              <w:bottom w:w="0" w:type="dxa"/>
              <w:right w:w="15" w:type="dxa"/>
            </w:tcMar>
            <w:hideMark/>
          </w:tcPr>
          <w:p w14:paraId="64C8A4B8" w14:textId="77777777" w:rsidR="00000000" w:rsidRDefault="00582324">
            <w:pPr>
              <w:pStyle w:val="a3"/>
              <w:spacing w:before="0" w:beforeAutospacing="0" w:after="0" w:afterAutospacing="0"/>
              <w:ind w:left="274"/>
              <w:rPr>
                <w:color w:val="000000"/>
                <w:sz w:val="18"/>
                <w:szCs w:val="18"/>
              </w:rPr>
            </w:pPr>
            <w:r>
              <w:rPr>
                <w:color w:val="000000"/>
                <w:sz w:val="18"/>
                <w:szCs w:val="18"/>
              </w:rPr>
              <w:t>Series A-2 dividend payment</w:t>
            </w:r>
          </w:p>
        </w:tc>
        <w:tc>
          <w:tcPr>
            <w:tcW w:w="81" w:type="pct"/>
            <w:shd w:val="clear" w:color="auto" w:fill="CFF0FC"/>
            <w:tcMar>
              <w:top w:w="15" w:type="dxa"/>
              <w:left w:w="0" w:type="dxa"/>
              <w:bottom w:w="0" w:type="dxa"/>
              <w:right w:w="15" w:type="dxa"/>
            </w:tcMar>
            <w:vAlign w:val="bottom"/>
            <w:hideMark/>
          </w:tcPr>
          <w:p w14:paraId="006413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4C8A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5751BD7" w14:textId="77777777" w:rsidR="00000000" w:rsidRDefault="00582324">
            <w:pPr>
              <w:pStyle w:val="a3"/>
              <w:spacing w:before="0" w:beforeAutospacing="0" w:after="0" w:afterAutospacing="0"/>
              <w:jc w:val="right"/>
              <w:rPr>
                <w:color w:val="000000"/>
                <w:sz w:val="18"/>
                <w:szCs w:val="18"/>
              </w:rPr>
            </w:pPr>
            <w:r>
              <w:rPr>
                <w:color w:val="000000"/>
                <w:sz w:val="18"/>
                <w:szCs w:val="18"/>
              </w:rPr>
              <w:t>(4,100</w:t>
            </w:r>
          </w:p>
        </w:tc>
        <w:tc>
          <w:tcPr>
            <w:tcW w:w="50" w:type="pct"/>
            <w:shd w:val="clear" w:color="auto" w:fill="CFF0FC"/>
            <w:noWrap/>
            <w:tcMar>
              <w:top w:w="15" w:type="dxa"/>
              <w:left w:w="0" w:type="dxa"/>
              <w:bottom w:w="0" w:type="dxa"/>
              <w:right w:w="15" w:type="dxa"/>
            </w:tcMar>
            <w:vAlign w:val="bottom"/>
            <w:hideMark/>
          </w:tcPr>
          <w:p w14:paraId="78B9A847"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CFF0FC"/>
            <w:tcMar>
              <w:top w:w="15" w:type="dxa"/>
              <w:left w:w="0" w:type="dxa"/>
              <w:bottom w:w="0" w:type="dxa"/>
              <w:right w:w="15" w:type="dxa"/>
            </w:tcMar>
            <w:vAlign w:val="bottom"/>
            <w:hideMark/>
          </w:tcPr>
          <w:p w14:paraId="05799F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E485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AD27AF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7C3B3F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3BF858B" w14:textId="77777777">
        <w:trPr>
          <w:divId w:val="1500971655"/>
        </w:trPr>
        <w:tc>
          <w:tcPr>
            <w:tcW w:w="3349" w:type="pct"/>
            <w:shd w:val="clear" w:color="auto" w:fill="FFFFFF"/>
            <w:tcMar>
              <w:top w:w="15" w:type="dxa"/>
              <w:left w:w="0" w:type="dxa"/>
              <w:bottom w:w="0" w:type="dxa"/>
              <w:right w:w="15" w:type="dxa"/>
            </w:tcMar>
            <w:hideMark/>
          </w:tcPr>
          <w:p w14:paraId="5C1430E9" w14:textId="77777777" w:rsidR="00000000" w:rsidRDefault="00582324">
            <w:pPr>
              <w:pStyle w:val="a3"/>
              <w:spacing w:before="0" w:beforeAutospacing="0" w:after="0" w:afterAutospacing="0"/>
              <w:rPr>
                <w:b/>
                <w:bCs/>
                <w:color w:val="000000"/>
                <w:sz w:val="18"/>
                <w:szCs w:val="18"/>
              </w:rPr>
            </w:pPr>
            <w:r>
              <w:rPr>
                <w:b/>
                <w:bCs/>
                <w:color w:val="000000"/>
                <w:sz w:val="18"/>
                <w:szCs w:val="18"/>
              </w:rPr>
              <w:t>Net (loss) income attributable to common stockholders</w:t>
            </w:r>
          </w:p>
        </w:tc>
        <w:tc>
          <w:tcPr>
            <w:tcW w:w="81" w:type="pct"/>
            <w:shd w:val="clear" w:color="auto" w:fill="FFFFFF"/>
            <w:tcMar>
              <w:top w:w="15" w:type="dxa"/>
              <w:left w:w="0" w:type="dxa"/>
              <w:bottom w:w="0" w:type="dxa"/>
              <w:right w:w="15" w:type="dxa"/>
            </w:tcMar>
            <w:vAlign w:val="bottom"/>
            <w:hideMark/>
          </w:tcPr>
          <w:p w14:paraId="0DA54AF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39A3EC"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52656E"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(18,583</w:t>
            </w:r>
          </w:p>
        </w:tc>
        <w:tc>
          <w:tcPr>
            <w:tcW w:w="50" w:type="pct"/>
            <w:shd w:val="clear" w:color="auto" w:fill="FFFFFF"/>
            <w:noWrap/>
            <w:tcMar>
              <w:top w:w="15" w:type="dxa"/>
              <w:left w:w="0" w:type="dxa"/>
              <w:bottom w:w="0" w:type="dxa"/>
              <w:right w:w="15" w:type="dxa"/>
            </w:tcMar>
            <w:vAlign w:val="bottom"/>
            <w:hideMark/>
          </w:tcPr>
          <w:p w14:paraId="1B0A1EDB"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FFFFFF"/>
            <w:tcMar>
              <w:top w:w="15" w:type="dxa"/>
              <w:left w:w="0" w:type="dxa"/>
              <w:bottom w:w="0" w:type="dxa"/>
              <w:right w:w="15" w:type="dxa"/>
            </w:tcMar>
            <w:vAlign w:val="bottom"/>
            <w:hideMark/>
          </w:tcPr>
          <w:p w14:paraId="6E4E6EA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F703BC"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5716D8"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7,580</w:t>
            </w:r>
          </w:p>
        </w:tc>
        <w:tc>
          <w:tcPr>
            <w:tcW w:w="50" w:type="pct"/>
            <w:shd w:val="clear" w:color="auto" w:fill="FFFFFF"/>
            <w:noWrap/>
            <w:tcMar>
              <w:top w:w="15" w:type="dxa"/>
              <w:left w:w="0" w:type="dxa"/>
              <w:bottom w:w="0" w:type="dxa"/>
              <w:right w:w="15" w:type="dxa"/>
            </w:tcMar>
            <w:vAlign w:val="bottom"/>
            <w:hideMark/>
          </w:tcPr>
          <w:p w14:paraId="0414244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361CC4F" w14:textId="77777777">
        <w:trPr>
          <w:divId w:val="1500971655"/>
        </w:trPr>
        <w:tc>
          <w:tcPr>
            <w:tcW w:w="3349" w:type="pct"/>
            <w:shd w:val="clear" w:color="auto" w:fill="CFF0FC"/>
            <w:tcMar>
              <w:top w:w="15" w:type="dxa"/>
              <w:left w:w="0" w:type="dxa"/>
              <w:bottom w:w="0" w:type="dxa"/>
              <w:right w:w="15" w:type="dxa"/>
            </w:tcMar>
            <w:hideMark/>
          </w:tcPr>
          <w:p w14:paraId="3572D441" w14:textId="77777777" w:rsidR="00000000" w:rsidRDefault="00582324">
            <w:pPr>
              <w:pStyle w:val="a3"/>
              <w:spacing w:before="0" w:beforeAutospacing="0" w:after="0" w:afterAutospacing="0"/>
              <w:rPr>
                <w:color w:val="000000"/>
                <w:sz w:val="18"/>
                <w:szCs w:val="18"/>
              </w:rPr>
            </w:pPr>
            <w:r>
              <w:rPr>
                <w:color w:val="000000"/>
                <w:sz w:val="18"/>
                <w:szCs w:val="18"/>
              </w:rPr>
              <w:t>Weighted average number of shares — basic</w:t>
            </w:r>
          </w:p>
        </w:tc>
        <w:tc>
          <w:tcPr>
            <w:tcW w:w="81" w:type="pct"/>
            <w:shd w:val="clear" w:color="auto" w:fill="CFF0FC"/>
            <w:tcMar>
              <w:top w:w="15" w:type="dxa"/>
              <w:left w:w="0" w:type="dxa"/>
              <w:bottom w:w="0" w:type="dxa"/>
              <w:right w:w="15" w:type="dxa"/>
            </w:tcMar>
            <w:vAlign w:val="bottom"/>
            <w:hideMark/>
          </w:tcPr>
          <w:p w14:paraId="1145824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32A3AE4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C6143B0" w14:textId="77777777" w:rsidR="00000000" w:rsidRDefault="00582324">
            <w:pPr>
              <w:pStyle w:val="a3"/>
              <w:spacing w:before="0" w:beforeAutospacing="0" w:after="0" w:afterAutospacing="0"/>
              <w:jc w:val="right"/>
              <w:rPr>
                <w:color w:val="000000"/>
                <w:sz w:val="18"/>
                <w:szCs w:val="18"/>
              </w:rPr>
            </w:pPr>
            <w:r>
              <w:rPr>
                <w:color w:val="000000"/>
                <w:sz w:val="18"/>
                <w:szCs w:val="18"/>
              </w:rPr>
              <w:t>26,056</w:t>
            </w:r>
          </w:p>
        </w:tc>
        <w:tc>
          <w:tcPr>
            <w:tcW w:w="50" w:type="pct"/>
            <w:shd w:val="clear" w:color="auto" w:fill="CFF0FC"/>
            <w:noWrap/>
            <w:tcMar>
              <w:top w:w="15" w:type="dxa"/>
              <w:left w:w="0" w:type="dxa"/>
              <w:bottom w:w="0" w:type="dxa"/>
              <w:right w:w="15" w:type="dxa"/>
            </w:tcMar>
            <w:vAlign w:val="bottom"/>
            <w:hideMark/>
          </w:tcPr>
          <w:p w14:paraId="4A6EA0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111938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F963E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11F542AE" w14:textId="77777777" w:rsidR="00000000" w:rsidRDefault="00582324">
            <w:pPr>
              <w:pStyle w:val="a3"/>
              <w:spacing w:before="0" w:beforeAutospacing="0" w:after="0" w:afterAutospacing="0"/>
              <w:jc w:val="right"/>
              <w:rPr>
                <w:color w:val="000000"/>
                <w:sz w:val="18"/>
                <w:szCs w:val="18"/>
              </w:rPr>
            </w:pPr>
            <w:r>
              <w:rPr>
                <w:color w:val="000000"/>
                <w:sz w:val="18"/>
                <w:szCs w:val="18"/>
              </w:rPr>
              <w:t>10,649</w:t>
            </w:r>
          </w:p>
        </w:tc>
        <w:tc>
          <w:tcPr>
            <w:tcW w:w="50" w:type="pct"/>
            <w:shd w:val="clear" w:color="auto" w:fill="CFF0FC"/>
            <w:noWrap/>
            <w:tcMar>
              <w:top w:w="15" w:type="dxa"/>
              <w:left w:w="0" w:type="dxa"/>
              <w:bottom w:w="0" w:type="dxa"/>
              <w:right w:w="15" w:type="dxa"/>
            </w:tcMar>
            <w:vAlign w:val="bottom"/>
            <w:hideMark/>
          </w:tcPr>
          <w:p w14:paraId="090BC3C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65BAFB8" w14:textId="77777777">
        <w:trPr>
          <w:divId w:val="1500971655"/>
        </w:trPr>
        <w:tc>
          <w:tcPr>
            <w:tcW w:w="3349" w:type="pct"/>
            <w:shd w:val="clear" w:color="auto" w:fill="FFFFFF"/>
            <w:tcMar>
              <w:top w:w="15" w:type="dxa"/>
              <w:left w:w="0" w:type="dxa"/>
              <w:bottom w:w="0" w:type="dxa"/>
              <w:right w:w="15" w:type="dxa"/>
            </w:tcMar>
            <w:hideMark/>
          </w:tcPr>
          <w:p w14:paraId="79E7BC93" w14:textId="77777777" w:rsidR="00000000" w:rsidRDefault="00582324">
            <w:pPr>
              <w:pStyle w:val="a3"/>
              <w:spacing w:before="0" w:beforeAutospacing="0" w:after="0" w:afterAutospacing="0"/>
              <w:rPr>
                <w:b/>
                <w:bCs/>
                <w:color w:val="000000"/>
                <w:sz w:val="18"/>
                <w:szCs w:val="18"/>
              </w:rPr>
            </w:pPr>
            <w:r>
              <w:rPr>
                <w:b/>
                <w:bCs/>
                <w:color w:val="000000"/>
                <w:sz w:val="18"/>
                <w:szCs w:val="18"/>
              </w:rPr>
              <w:t>(Loss) income per share — basic</w:t>
            </w:r>
          </w:p>
        </w:tc>
        <w:tc>
          <w:tcPr>
            <w:tcW w:w="81" w:type="pct"/>
            <w:shd w:val="clear" w:color="auto" w:fill="FFFFFF"/>
            <w:tcMar>
              <w:top w:w="15" w:type="dxa"/>
              <w:left w:w="0" w:type="dxa"/>
              <w:bottom w:w="0" w:type="dxa"/>
              <w:right w:w="15" w:type="dxa"/>
            </w:tcMar>
            <w:vAlign w:val="bottom"/>
            <w:hideMark/>
          </w:tcPr>
          <w:p w14:paraId="4A3A575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35EC9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C22EFB"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1A9109A9"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FFFFFF"/>
            <w:tcMar>
              <w:top w:w="15" w:type="dxa"/>
              <w:left w:w="0" w:type="dxa"/>
              <w:bottom w:w="0" w:type="dxa"/>
              <w:right w:w="15" w:type="dxa"/>
            </w:tcMar>
            <w:vAlign w:val="bottom"/>
            <w:hideMark/>
          </w:tcPr>
          <w:p w14:paraId="492C4DE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B51831"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6DED04"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352A646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FFFBE26" w14:textId="77777777">
        <w:trPr>
          <w:divId w:val="1500971655"/>
        </w:trPr>
        <w:tc>
          <w:tcPr>
            <w:tcW w:w="3349" w:type="pct"/>
            <w:shd w:val="clear" w:color="auto" w:fill="CFF0FC"/>
            <w:tcMar>
              <w:top w:w="15" w:type="dxa"/>
              <w:left w:w="0" w:type="dxa"/>
              <w:bottom w:w="0" w:type="dxa"/>
              <w:right w:w="15" w:type="dxa"/>
            </w:tcMar>
            <w:hideMark/>
          </w:tcPr>
          <w:p w14:paraId="767104ED" w14:textId="77777777" w:rsidR="00000000" w:rsidRDefault="00582324">
            <w:pPr>
              <w:pStyle w:val="a3"/>
              <w:spacing w:before="0" w:beforeAutospacing="0" w:after="0" w:afterAutospacing="0"/>
              <w:rPr>
                <w:color w:val="000000"/>
                <w:sz w:val="18"/>
                <w:szCs w:val="18"/>
              </w:rPr>
            </w:pPr>
            <w:r>
              <w:rPr>
                <w:color w:val="000000"/>
                <w:sz w:val="18"/>
                <w:szCs w:val="18"/>
              </w:rPr>
              <w:t>Weighted average number of shares — diluted</w:t>
            </w:r>
          </w:p>
        </w:tc>
        <w:tc>
          <w:tcPr>
            <w:tcW w:w="81" w:type="pct"/>
            <w:shd w:val="clear" w:color="auto" w:fill="CFF0FC"/>
            <w:tcMar>
              <w:top w:w="15" w:type="dxa"/>
              <w:left w:w="0" w:type="dxa"/>
              <w:bottom w:w="0" w:type="dxa"/>
              <w:right w:w="15" w:type="dxa"/>
            </w:tcMar>
            <w:vAlign w:val="bottom"/>
            <w:hideMark/>
          </w:tcPr>
          <w:p w14:paraId="68D6E53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172374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463DE036" w14:textId="77777777" w:rsidR="00000000" w:rsidRDefault="00582324">
            <w:pPr>
              <w:pStyle w:val="a3"/>
              <w:spacing w:before="0" w:beforeAutospacing="0" w:after="0" w:afterAutospacing="0"/>
              <w:jc w:val="right"/>
              <w:rPr>
                <w:color w:val="000000"/>
                <w:sz w:val="18"/>
                <w:szCs w:val="18"/>
              </w:rPr>
            </w:pPr>
            <w:r>
              <w:rPr>
                <w:color w:val="000000"/>
                <w:sz w:val="18"/>
                <w:szCs w:val="18"/>
              </w:rPr>
              <w:t>26,056</w:t>
            </w:r>
          </w:p>
        </w:tc>
        <w:tc>
          <w:tcPr>
            <w:tcW w:w="50" w:type="pct"/>
            <w:shd w:val="clear" w:color="auto" w:fill="CFF0FC"/>
            <w:noWrap/>
            <w:tcMar>
              <w:top w:w="15" w:type="dxa"/>
              <w:left w:w="0" w:type="dxa"/>
              <w:bottom w:w="0" w:type="dxa"/>
              <w:right w:w="15" w:type="dxa"/>
            </w:tcMar>
            <w:vAlign w:val="bottom"/>
            <w:hideMark/>
          </w:tcPr>
          <w:p w14:paraId="4ECF59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03A579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7E31BB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54E57061" w14:textId="77777777" w:rsidR="00000000" w:rsidRDefault="00582324">
            <w:pPr>
              <w:pStyle w:val="a3"/>
              <w:spacing w:before="0" w:beforeAutospacing="0" w:after="0" w:afterAutospacing="0"/>
              <w:jc w:val="right"/>
              <w:rPr>
                <w:color w:val="000000"/>
                <w:sz w:val="18"/>
                <w:szCs w:val="18"/>
              </w:rPr>
            </w:pPr>
            <w:r>
              <w:rPr>
                <w:color w:val="000000"/>
                <w:sz w:val="18"/>
                <w:szCs w:val="18"/>
              </w:rPr>
              <w:t>19,139</w:t>
            </w:r>
          </w:p>
        </w:tc>
        <w:tc>
          <w:tcPr>
            <w:tcW w:w="50" w:type="pct"/>
            <w:shd w:val="clear" w:color="auto" w:fill="CFF0FC"/>
            <w:noWrap/>
            <w:tcMar>
              <w:top w:w="15" w:type="dxa"/>
              <w:left w:w="0" w:type="dxa"/>
              <w:bottom w:w="0" w:type="dxa"/>
              <w:right w:w="15" w:type="dxa"/>
            </w:tcMar>
            <w:vAlign w:val="bottom"/>
            <w:hideMark/>
          </w:tcPr>
          <w:p w14:paraId="01150F7C"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8FB936E" w14:textId="77777777">
        <w:trPr>
          <w:divId w:val="1500971655"/>
        </w:trPr>
        <w:tc>
          <w:tcPr>
            <w:tcW w:w="3349" w:type="pct"/>
            <w:shd w:val="clear" w:color="auto" w:fill="FFFFFF"/>
            <w:tcMar>
              <w:top w:w="15" w:type="dxa"/>
              <w:left w:w="0" w:type="dxa"/>
              <w:bottom w:w="0" w:type="dxa"/>
              <w:right w:w="15" w:type="dxa"/>
            </w:tcMar>
            <w:hideMark/>
          </w:tcPr>
          <w:p w14:paraId="312E70D4" w14:textId="77777777" w:rsidR="00000000" w:rsidRDefault="00582324">
            <w:pPr>
              <w:pStyle w:val="a3"/>
              <w:spacing w:before="0" w:beforeAutospacing="0" w:after="0" w:afterAutospacing="0"/>
              <w:rPr>
                <w:b/>
                <w:bCs/>
                <w:color w:val="000000"/>
                <w:sz w:val="18"/>
                <w:szCs w:val="18"/>
              </w:rPr>
            </w:pPr>
            <w:r>
              <w:rPr>
                <w:b/>
                <w:bCs/>
                <w:color w:val="000000"/>
                <w:sz w:val="18"/>
                <w:szCs w:val="18"/>
              </w:rPr>
              <w:t>(Loss) income per share — diluted</w:t>
            </w:r>
          </w:p>
        </w:tc>
        <w:tc>
          <w:tcPr>
            <w:tcW w:w="81" w:type="pct"/>
            <w:shd w:val="clear" w:color="auto" w:fill="FFFFFF"/>
            <w:tcMar>
              <w:top w:w="15" w:type="dxa"/>
              <w:left w:w="0" w:type="dxa"/>
              <w:bottom w:w="0" w:type="dxa"/>
              <w:right w:w="15" w:type="dxa"/>
            </w:tcMar>
            <w:vAlign w:val="bottom"/>
            <w:hideMark/>
          </w:tcPr>
          <w:p w14:paraId="5DAB3CC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46C87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854143"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(0.71</w:t>
            </w:r>
          </w:p>
        </w:tc>
        <w:tc>
          <w:tcPr>
            <w:tcW w:w="50" w:type="pct"/>
            <w:shd w:val="clear" w:color="auto" w:fill="FFFFFF"/>
            <w:noWrap/>
            <w:tcMar>
              <w:top w:w="15" w:type="dxa"/>
              <w:left w:w="0" w:type="dxa"/>
              <w:bottom w:w="0" w:type="dxa"/>
              <w:right w:w="15" w:type="dxa"/>
            </w:tcMar>
            <w:vAlign w:val="bottom"/>
            <w:hideMark/>
          </w:tcPr>
          <w:p w14:paraId="6625A4D8"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81" w:type="pct"/>
            <w:shd w:val="clear" w:color="auto" w:fill="FFFFFF"/>
            <w:tcMar>
              <w:top w:w="15" w:type="dxa"/>
              <w:left w:w="0" w:type="dxa"/>
              <w:bottom w:w="0" w:type="dxa"/>
              <w:right w:w="15" w:type="dxa"/>
            </w:tcMar>
            <w:vAlign w:val="bottom"/>
            <w:hideMark/>
          </w:tcPr>
          <w:p w14:paraId="4D31D5E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E7B3D2"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EA3BE8"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0.40</w:t>
            </w:r>
          </w:p>
        </w:tc>
        <w:tc>
          <w:tcPr>
            <w:tcW w:w="50" w:type="pct"/>
            <w:shd w:val="clear" w:color="auto" w:fill="FFFFFF"/>
            <w:noWrap/>
            <w:tcMar>
              <w:top w:w="15" w:type="dxa"/>
              <w:left w:w="0" w:type="dxa"/>
              <w:bottom w:w="0" w:type="dxa"/>
              <w:right w:w="15" w:type="dxa"/>
            </w:tcMar>
            <w:vAlign w:val="bottom"/>
            <w:hideMark/>
          </w:tcPr>
          <w:p w14:paraId="7F090B1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3DDB9909" w14:textId="77777777">
        <w:trPr>
          <w:divId w:val="1500971655"/>
        </w:trPr>
        <w:tc>
          <w:tcPr>
            <w:tcW w:w="3349" w:type="pct"/>
            <w:shd w:val="clear" w:color="auto" w:fill="CFF0FC"/>
            <w:tcMar>
              <w:top w:w="15" w:type="dxa"/>
              <w:left w:w="0" w:type="dxa"/>
              <w:bottom w:w="0" w:type="dxa"/>
              <w:right w:w="15" w:type="dxa"/>
            </w:tcMar>
            <w:hideMark/>
          </w:tcPr>
          <w:p w14:paraId="0653923F" w14:textId="77777777" w:rsidR="00000000" w:rsidRDefault="00582324">
            <w:pPr>
              <w:pStyle w:val="a3"/>
              <w:spacing w:before="0" w:beforeAutospacing="0" w:after="0" w:afterAutospacing="0"/>
              <w:rPr>
                <w:b/>
                <w:bCs/>
                <w:color w:val="000000"/>
                <w:sz w:val="18"/>
                <w:szCs w:val="18"/>
              </w:rPr>
            </w:pPr>
            <w:r>
              <w:rPr>
                <w:b/>
                <w:bCs/>
                <w:color w:val="000000"/>
                <w:sz w:val="18"/>
                <w:szCs w:val="18"/>
              </w:rPr>
              <w:t>Other financial data:</w:t>
            </w:r>
          </w:p>
        </w:tc>
        <w:tc>
          <w:tcPr>
            <w:tcW w:w="81" w:type="pct"/>
            <w:shd w:val="clear" w:color="auto" w:fill="CFF0FC"/>
            <w:tcMar>
              <w:top w:w="15" w:type="dxa"/>
              <w:left w:w="0" w:type="dxa"/>
              <w:bottom w:w="0" w:type="dxa"/>
              <w:right w:w="15" w:type="dxa"/>
            </w:tcMar>
            <w:vAlign w:val="bottom"/>
            <w:hideMark/>
          </w:tcPr>
          <w:p w14:paraId="4F1E1F9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1AF30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48F5206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EA13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81" w:type="pct"/>
            <w:shd w:val="clear" w:color="auto" w:fill="CFF0FC"/>
            <w:tcMar>
              <w:top w:w="15" w:type="dxa"/>
              <w:left w:w="0" w:type="dxa"/>
              <w:bottom w:w="0" w:type="dxa"/>
              <w:right w:w="15" w:type="dxa"/>
            </w:tcMar>
            <w:vAlign w:val="bottom"/>
            <w:hideMark/>
          </w:tcPr>
          <w:p w14:paraId="74F9D7E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FDDB0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66D000B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B84FD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9DF0A80" w14:textId="77777777">
        <w:trPr>
          <w:divId w:val="1500971655"/>
        </w:trPr>
        <w:tc>
          <w:tcPr>
            <w:tcW w:w="3349" w:type="pct"/>
            <w:shd w:val="clear" w:color="auto" w:fill="FFFFFF"/>
            <w:tcMar>
              <w:top w:w="15" w:type="dxa"/>
              <w:left w:w="0" w:type="dxa"/>
              <w:bottom w:w="0" w:type="dxa"/>
              <w:right w:w="15" w:type="dxa"/>
            </w:tcMar>
            <w:hideMark/>
          </w:tcPr>
          <w:p w14:paraId="2C8AD55F" w14:textId="77777777" w:rsidR="00000000" w:rsidRDefault="00582324">
            <w:pPr>
              <w:pStyle w:val="a3"/>
              <w:spacing w:before="0" w:beforeAutospacing="0" w:after="0" w:afterAutospacing="0"/>
              <w:rPr>
                <w:color w:val="000000"/>
                <w:sz w:val="18"/>
                <w:szCs w:val="18"/>
              </w:rPr>
            </w:pPr>
            <w:r>
              <w:rPr>
                <w:color w:val="000000"/>
                <w:sz w:val="18"/>
                <w:szCs w:val="18"/>
              </w:rPr>
              <w:t>Operating margin</w:t>
            </w:r>
            <w:r>
              <w:rPr>
                <w:color w:val="000000"/>
                <w:sz w:val="15"/>
                <w:szCs w:val="15"/>
                <w:vertAlign w:val="superscript"/>
              </w:rPr>
              <w:t>(1)</w:t>
            </w:r>
          </w:p>
        </w:tc>
        <w:tc>
          <w:tcPr>
            <w:tcW w:w="81" w:type="pct"/>
            <w:shd w:val="clear" w:color="auto" w:fill="FFFFFF"/>
            <w:tcMar>
              <w:top w:w="15" w:type="dxa"/>
              <w:left w:w="0" w:type="dxa"/>
              <w:bottom w:w="0" w:type="dxa"/>
              <w:right w:w="15" w:type="dxa"/>
            </w:tcMar>
            <w:vAlign w:val="bottom"/>
            <w:hideMark/>
          </w:tcPr>
          <w:p w14:paraId="652874F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1B8D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2810780A" w14:textId="77777777" w:rsidR="00000000" w:rsidRDefault="00582324">
            <w:pPr>
              <w:pStyle w:val="a3"/>
              <w:spacing w:before="0" w:beforeAutospacing="0" w:after="0" w:afterAutospacing="0"/>
              <w:jc w:val="right"/>
              <w:rPr>
                <w:color w:val="000000"/>
                <w:sz w:val="18"/>
                <w:szCs w:val="18"/>
              </w:rPr>
            </w:pPr>
            <w:r>
              <w:rPr>
                <w:color w:val="000000"/>
                <w:sz w:val="18"/>
                <w:szCs w:val="18"/>
              </w:rPr>
              <w:t>(5.2</w:t>
            </w:r>
          </w:p>
        </w:tc>
        <w:tc>
          <w:tcPr>
            <w:tcW w:w="50" w:type="pct"/>
            <w:shd w:val="clear" w:color="auto" w:fill="FFFFFF"/>
            <w:noWrap/>
            <w:tcMar>
              <w:top w:w="15" w:type="dxa"/>
              <w:left w:w="0" w:type="dxa"/>
              <w:bottom w:w="0" w:type="dxa"/>
              <w:right w:w="15" w:type="dxa"/>
            </w:tcMar>
            <w:vAlign w:val="bottom"/>
            <w:hideMark/>
          </w:tcPr>
          <w:p w14:paraId="1AD9D9DF"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328809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DC2E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44E9CB18" w14:textId="77777777" w:rsidR="00000000" w:rsidRDefault="00582324">
            <w:pPr>
              <w:pStyle w:val="a3"/>
              <w:spacing w:before="0" w:beforeAutospacing="0" w:after="0" w:afterAutospacing="0"/>
              <w:jc w:val="right"/>
              <w:rPr>
                <w:color w:val="000000"/>
                <w:sz w:val="18"/>
                <w:szCs w:val="18"/>
              </w:rPr>
            </w:pPr>
            <w:r>
              <w:rPr>
                <w:color w:val="000000"/>
                <w:sz w:val="18"/>
                <w:szCs w:val="18"/>
              </w:rPr>
              <w:t>(7.1</w:t>
            </w:r>
          </w:p>
        </w:tc>
        <w:tc>
          <w:tcPr>
            <w:tcW w:w="50" w:type="pct"/>
            <w:shd w:val="clear" w:color="auto" w:fill="FFFFFF"/>
            <w:noWrap/>
            <w:tcMar>
              <w:top w:w="15" w:type="dxa"/>
              <w:left w:w="0" w:type="dxa"/>
              <w:bottom w:w="0" w:type="dxa"/>
              <w:right w:w="15" w:type="dxa"/>
            </w:tcMar>
            <w:vAlign w:val="bottom"/>
            <w:hideMark/>
          </w:tcPr>
          <w:p w14:paraId="58212040"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50A01856" w14:textId="77777777">
        <w:trPr>
          <w:divId w:val="1500971655"/>
        </w:trPr>
        <w:tc>
          <w:tcPr>
            <w:tcW w:w="3349" w:type="pct"/>
            <w:shd w:val="clear" w:color="auto" w:fill="CFF0FC"/>
            <w:tcMar>
              <w:top w:w="15" w:type="dxa"/>
              <w:left w:w="0" w:type="dxa"/>
              <w:bottom w:w="0" w:type="dxa"/>
              <w:right w:w="15" w:type="dxa"/>
            </w:tcMar>
            <w:hideMark/>
          </w:tcPr>
          <w:p w14:paraId="4CA27C68" w14:textId="77777777" w:rsidR="00000000" w:rsidRDefault="00582324">
            <w:pPr>
              <w:pStyle w:val="a3"/>
              <w:spacing w:before="0" w:beforeAutospacing="0" w:after="0" w:afterAutospacing="0"/>
              <w:rPr>
                <w:b/>
                <w:bCs/>
                <w:color w:val="000000"/>
                <w:sz w:val="18"/>
                <w:szCs w:val="18"/>
              </w:rPr>
            </w:pPr>
            <w:r>
              <w:rPr>
                <w:b/>
                <w:bCs/>
                <w:color w:val="000000"/>
                <w:sz w:val="18"/>
                <w:szCs w:val="18"/>
              </w:rPr>
              <w:t>Adjusted EBITDA</w:t>
            </w:r>
            <w:r>
              <w:rPr>
                <w:b/>
                <w:bCs/>
                <w:color w:val="000000"/>
                <w:sz w:val="15"/>
                <w:szCs w:val="15"/>
                <w:vertAlign w:val="superscript"/>
              </w:rPr>
              <w:t>(2)</w:t>
            </w:r>
          </w:p>
        </w:tc>
        <w:tc>
          <w:tcPr>
            <w:tcW w:w="81" w:type="pct"/>
            <w:shd w:val="clear" w:color="auto" w:fill="CFF0FC"/>
            <w:tcMar>
              <w:top w:w="15" w:type="dxa"/>
              <w:left w:w="0" w:type="dxa"/>
              <w:bottom w:w="0" w:type="dxa"/>
              <w:right w:w="15" w:type="dxa"/>
            </w:tcMar>
            <w:vAlign w:val="bottom"/>
            <w:hideMark/>
          </w:tcPr>
          <w:p w14:paraId="108B8C8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9BF734"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7E677B00"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20,963</w:t>
            </w:r>
          </w:p>
        </w:tc>
        <w:tc>
          <w:tcPr>
            <w:tcW w:w="50" w:type="pct"/>
            <w:shd w:val="clear" w:color="auto" w:fill="CFF0FC"/>
            <w:noWrap/>
            <w:tcMar>
              <w:top w:w="15" w:type="dxa"/>
              <w:left w:w="0" w:type="dxa"/>
              <w:bottom w:w="0" w:type="dxa"/>
              <w:right w:w="15" w:type="dxa"/>
            </w:tcMar>
            <w:vAlign w:val="bottom"/>
            <w:hideMark/>
          </w:tcPr>
          <w:p w14:paraId="62E6AB8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81" w:type="pct"/>
            <w:shd w:val="clear" w:color="auto" w:fill="CFF0FC"/>
            <w:tcMar>
              <w:top w:w="15" w:type="dxa"/>
              <w:left w:w="0" w:type="dxa"/>
              <w:bottom w:w="0" w:type="dxa"/>
              <w:right w:w="15" w:type="dxa"/>
            </w:tcMar>
            <w:vAlign w:val="bottom"/>
            <w:hideMark/>
          </w:tcPr>
          <w:p w14:paraId="464F560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A4FBCC"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4" w:type="pct"/>
            <w:shd w:val="clear" w:color="auto" w:fill="CFF0FC"/>
            <w:noWrap/>
            <w:tcMar>
              <w:top w:w="15" w:type="dxa"/>
              <w:left w:w="0" w:type="dxa"/>
              <w:bottom w:w="0" w:type="dxa"/>
              <w:right w:w="15" w:type="dxa"/>
            </w:tcMar>
            <w:vAlign w:val="bottom"/>
            <w:hideMark/>
          </w:tcPr>
          <w:p w14:paraId="105CC177"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13,895</w:t>
            </w:r>
          </w:p>
        </w:tc>
        <w:tc>
          <w:tcPr>
            <w:tcW w:w="50" w:type="pct"/>
            <w:shd w:val="clear" w:color="auto" w:fill="CFF0FC"/>
            <w:noWrap/>
            <w:tcMar>
              <w:top w:w="15" w:type="dxa"/>
              <w:left w:w="0" w:type="dxa"/>
              <w:bottom w:w="0" w:type="dxa"/>
              <w:right w:w="15" w:type="dxa"/>
            </w:tcMar>
            <w:vAlign w:val="bottom"/>
            <w:hideMark/>
          </w:tcPr>
          <w:p w14:paraId="5176AB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AEE2C42" w14:textId="77777777">
        <w:trPr>
          <w:divId w:val="1500971655"/>
        </w:trPr>
        <w:tc>
          <w:tcPr>
            <w:tcW w:w="3349" w:type="pct"/>
            <w:shd w:val="clear" w:color="auto" w:fill="FFFFFF"/>
            <w:tcMar>
              <w:top w:w="15" w:type="dxa"/>
              <w:left w:w="0" w:type="dxa"/>
              <w:bottom w:w="0" w:type="dxa"/>
              <w:right w:w="15" w:type="dxa"/>
            </w:tcMar>
            <w:hideMark/>
          </w:tcPr>
          <w:p w14:paraId="28D28C76" w14:textId="77777777" w:rsidR="00000000" w:rsidRDefault="00582324">
            <w:pPr>
              <w:pStyle w:val="a3"/>
              <w:spacing w:before="0" w:beforeAutospacing="0" w:after="0" w:afterAutospacing="0"/>
              <w:rPr>
                <w:color w:val="000000"/>
                <w:sz w:val="18"/>
                <w:szCs w:val="18"/>
              </w:rPr>
            </w:pPr>
            <w:r>
              <w:rPr>
                <w:color w:val="000000"/>
                <w:sz w:val="18"/>
                <w:szCs w:val="18"/>
              </w:rPr>
              <w:t>Adjusted EBITDA margin</w:t>
            </w:r>
            <w:r>
              <w:rPr>
                <w:color w:val="000000"/>
                <w:sz w:val="15"/>
                <w:szCs w:val="15"/>
                <w:vertAlign w:val="superscript"/>
              </w:rPr>
              <w:t>(2)</w:t>
            </w:r>
          </w:p>
        </w:tc>
        <w:tc>
          <w:tcPr>
            <w:tcW w:w="81" w:type="pct"/>
            <w:shd w:val="clear" w:color="auto" w:fill="FFFFFF"/>
            <w:tcMar>
              <w:top w:w="15" w:type="dxa"/>
              <w:left w:w="0" w:type="dxa"/>
              <w:bottom w:w="0" w:type="dxa"/>
              <w:right w:w="15" w:type="dxa"/>
            </w:tcMar>
            <w:vAlign w:val="bottom"/>
            <w:hideMark/>
          </w:tcPr>
          <w:p w14:paraId="30634F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FF09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F12AC47" w14:textId="77777777" w:rsidR="00000000" w:rsidRDefault="00582324">
            <w:pPr>
              <w:pStyle w:val="a3"/>
              <w:spacing w:before="0" w:beforeAutospacing="0" w:after="0" w:afterAutospacing="0"/>
              <w:jc w:val="right"/>
              <w:rPr>
                <w:color w:val="000000"/>
                <w:sz w:val="18"/>
                <w:szCs w:val="18"/>
              </w:rPr>
            </w:pPr>
            <w:r>
              <w:rPr>
                <w:color w:val="000000"/>
                <w:sz w:val="18"/>
                <w:szCs w:val="18"/>
              </w:rPr>
              <w:t>15.4</w:t>
            </w:r>
          </w:p>
        </w:tc>
        <w:tc>
          <w:tcPr>
            <w:tcW w:w="50" w:type="pct"/>
            <w:shd w:val="clear" w:color="auto" w:fill="FFFFFF"/>
            <w:noWrap/>
            <w:tcMar>
              <w:top w:w="15" w:type="dxa"/>
              <w:left w:w="0" w:type="dxa"/>
              <w:bottom w:w="0" w:type="dxa"/>
              <w:right w:w="15" w:type="dxa"/>
            </w:tcMar>
            <w:vAlign w:val="bottom"/>
            <w:hideMark/>
          </w:tcPr>
          <w:p w14:paraId="5A67D2F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81" w:type="pct"/>
            <w:shd w:val="clear" w:color="auto" w:fill="FFFFFF"/>
            <w:tcMar>
              <w:top w:w="15" w:type="dxa"/>
              <w:left w:w="0" w:type="dxa"/>
              <w:bottom w:w="0" w:type="dxa"/>
              <w:right w:w="15" w:type="dxa"/>
            </w:tcMar>
            <w:vAlign w:val="bottom"/>
            <w:hideMark/>
          </w:tcPr>
          <w:p w14:paraId="5C1550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B4B7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4" w:type="pct"/>
            <w:shd w:val="clear" w:color="auto" w:fill="FFFFFF"/>
            <w:noWrap/>
            <w:tcMar>
              <w:top w:w="15" w:type="dxa"/>
              <w:left w:w="0" w:type="dxa"/>
              <w:bottom w:w="0" w:type="dxa"/>
              <w:right w:w="15" w:type="dxa"/>
            </w:tcMar>
            <w:vAlign w:val="bottom"/>
            <w:hideMark/>
          </w:tcPr>
          <w:p w14:paraId="07F00324" w14:textId="77777777" w:rsidR="00000000" w:rsidRDefault="00582324">
            <w:pPr>
              <w:pStyle w:val="a3"/>
              <w:spacing w:before="0" w:beforeAutospacing="0" w:after="0" w:afterAutospacing="0"/>
              <w:jc w:val="right"/>
              <w:rPr>
                <w:color w:val="000000"/>
                <w:sz w:val="18"/>
                <w:szCs w:val="18"/>
              </w:rPr>
            </w:pPr>
            <w:r>
              <w:rPr>
                <w:color w:val="000000"/>
                <w:sz w:val="18"/>
                <w:szCs w:val="18"/>
              </w:rPr>
              <w:t>18.8</w:t>
            </w:r>
          </w:p>
        </w:tc>
        <w:tc>
          <w:tcPr>
            <w:tcW w:w="50" w:type="pct"/>
            <w:shd w:val="clear" w:color="auto" w:fill="FFFFFF"/>
            <w:noWrap/>
            <w:tcMar>
              <w:top w:w="15" w:type="dxa"/>
              <w:left w:w="0" w:type="dxa"/>
              <w:bottom w:w="0" w:type="dxa"/>
              <w:right w:w="15" w:type="dxa"/>
            </w:tcMar>
            <w:vAlign w:val="bottom"/>
            <w:hideMark/>
          </w:tcPr>
          <w:p w14:paraId="1DB52F8E"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2E24B95E" w14:textId="77777777" w:rsidR="00000000" w:rsidRDefault="00582324">
      <w:pPr>
        <w:pStyle w:val="a3"/>
        <w:pBdr>
          <w:bottom w:val="single" w:sz="6" w:space="1" w:color="auto"/>
        </w:pBdr>
        <w:shd w:val="clear" w:color="auto" w:fill="FFFFFF"/>
        <w:spacing w:before="0" w:beforeAutospacing="0" w:after="0" w:afterAutospacing="0"/>
        <w:ind w:right="6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08"/>
        <w:gridCol w:w="415"/>
        <w:gridCol w:w="7683"/>
      </w:tblGrid>
      <w:tr w:rsidR="00000000" w14:paraId="25EE0D1D" w14:textId="77777777">
        <w:trPr>
          <w:divId w:val="125322531"/>
        </w:trPr>
        <w:tc>
          <w:tcPr>
            <w:tcW w:w="125" w:type="pct"/>
            <w:noWrap/>
            <w:hideMark/>
          </w:tcPr>
          <w:p w14:paraId="51E8195F" w14:textId="77777777" w:rsidR="00000000" w:rsidRDefault="00582324">
            <w:pPr>
              <w:pStyle w:val="a3"/>
              <w:spacing w:before="40" w:beforeAutospacing="0" w:after="0" w:afterAutospacing="0"/>
            </w:pPr>
            <w:r>
              <w:t> </w:t>
            </w:r>
          </w:p>
        </w:tc>
        <w:tc>
          <w:tcPr>
            <w:tcW w:w="250" w:type="pct"/>
            <w:noWrap/>
            <w:hideMark/>
          </w:tcPr>
          <w:p w14:paraId="502243A0" w14:textId="77777777" w:rsidR="00000000" w:rsidRDefault="00582324">
            <w:pPr>
              <w:pStyle w:val="a3"/>
              <w:spacing w:before="40" w:beforeAutospacing="0" w:after="0" w:afterAutospacing="0"/>
              <w:rPr>
                <w:sz w:val="20"/>
                <w:szCs w:val="20"/>
              </w:rPr>
            </w:pPr>
            <w:r>
              <w:rPr>
                <w:sz w:val="20"/>
                <w:szCs w:val="20"/>
              </w:rPr>
              <w:t>(4</w:t>
            </w:r>
            <w:r>
              <w:rPr>
                <w:sz w:val="20"/>
                <w:szCs w:val="20"/>
              </w:rPr>
              <w:t>)</w:t>
            </w:r>
          </w:p>
        </w:tc>
        <w:tc>
          <w:tcPr>
            <w:tcW w:w="0" w:type="auto"/>
            <w:hideMark/>
          </w:tcPr>
          <w:p w14:paraId="4D894377" w14:textId="77777777" w:rsidR="00000000" w:rsidRDefault="00582324">
            <w:pPr>
              <w:pStyle w:val="a3"/>
              <w:spacing w:before="40" w:beforeAutospacing="0" w:after="0" w:afterAutospacing="0"/>
            </w:pPr>
            <w:r>
              <w:rPr>
                <w:color w:val="000000"/>
                <w:sz w:val="18"/>
                <w:szCs w:val="18"/>
              </w:rPr>
              <w:t>Operating margin represents loss from operations as a percentage of revenues.</w:t>
            </w:r>
          </w:p>
        </w:tc>
      </w:tr>
    </w:tbl>
    <w:tbl>
      <w:tblPr>
        <w:tblW w:w="5000" w:type="pct"/>
        <w:tblCellMar>
          <w:left w:w="0" w:type="dxa"/>
          <w:right w:w="0" w:type="dxa"/>
        </w:tblCellMar>
        <w:tblLook w:val="04A0" w:firstRow="1" w:lastRow="0" w:firstColumn="1" w:lastColumn="0" w:noHBand="0" w:noVBand="1"/>
      </w:tblPr>
      <w:tblGrid>
        <w:gridCol w:w="207"/>
        <w:gridCol w:w="415"/>
        <w:gridCol w:w="480"/>
      </w:tblGrid>
      <w:tr w:rsidR="00000000" w14:paraId="46679614" w14:textId="77777777">
        <w:tc>
          <w:tcPr>
            <w:tcW w:w="125" w:type="pct"/>
            <w:noWrap/>
            <w:hideMark/>
          </w:tcPr>
          <w:p w14:paraId="3879E60E" w14:textId="77777777" w:rsidR="00000000" w:rsidRDefault="00582324">
            <w:pPr>
              <w:pStyle w:val="a3"/>
              <w:spacing w:before="40" w:beforeAutospacing="0" w:after="0" w:afterAutospacing="0"/>
            </w:pPr>
            <w:r>
              <w:t> </w:t>
            </w:r>
          </w:p>
        </w:tc>
        <w:tc>
          <w:tcPr>
            <w:tcW w:w="250" w:type="pct"/>
            <w:noWrap/>
            <w:hideMark/>
          </w:tcPr>
          <w:p w14:paraId="377B7CBB" w14:textId="77777777" w:rsidR="00000000" w:rsidRDefault="00582324">
            <w:pPr>
              <w:pStyle w:val="a3"/>
              <w:spacing w:before="40" w:beforeAutospacing="0" w:after="0" w:afterAutospacing="0"/>
              <w:rPr>
                <w:sz w:val="20"/>
                <w:szCs w:val="20"/>
              </w:rPr>
            </w:pPr>
            <w:r>
              <w:rPr>
                <w:sz w:val="20"/>
                <w:szCs w:val="20"/>
              </w:rPr>
              <w:t>(5</w:t>
            </w:r>
            <w:r>
              <w:rPr>
                <w:sz w:val="20"/>
                <w:szCs w:val="20"/>
              </w:rPr>
              <w:t>)</w:t>
            </w:r>
          </w:p>
        </w:tc>
        <w:tc>
          <w:tcPr>
            <w:tcW w:w="0" w:type="auto"/>
            <w:hideMark/>
          </w:tcPr>
          <w:p w14:paraId="176CDD04" w14:textId="77777777" w:rsidR="00000000" w:rsidRDefault="00582324">
            <w:pPr>
              <w:pStyle w:val="a3"/>
              <w:spacing w:before="40" w:beforeAutospacing="0" w:after="0" w:afterAutospacing="0"/>
            </w:pPr>
            <w:r>
              <w:rPr>
                <w:color w:val="000000"/>
                <w:sz w:val="18"/>
                <w:szCs w:val="18"/>
              </w:rPr>
              <w:t xml:space="preserve">Non-GAAP measure. See “—Non-GAAP Financial Information” </w:t>
            </w:r>
            <w:r>
              <w:rPr>
                <w:color w:val="000000"/>
                <w:sz w:val="18"/>
                <w:szCs w:val="18"/>
              </w:rPr>
              <w:t>for a discussion of non-GAAP measures and a reconciliation thereof to the most directly comparable GAAP measure.</w:t>
            </w:r>
          </w:p>
        </w:tc>
      </w:tr>
    </w:tbl>
    <w:p w14:paraId="0EF55CE1" w14:textId="77777777" w:rsidR="00000000" w:rsidRDefault="00582324">
      <w:pPr>
        <w:pStyle w:val="a3"/>
        <w:spacing w:before="0" w:beforeAutospacing="0" w:after="0" w:afterAutospacing="0"/>
        <w:ind w:left="357"/>
        <w:rPr>
          <w:sz w:val="20"/>
          <w:szCs w:val="20"/>
        </w:rPr>
      </w:pPr>
      <w:r>
        <w:rPr>
          <w:sz w:val="20"/>
          <w:szCs w:val="20"/>
        </w:rPr>
        <w:t> </w:t>
      </w:r>
    </w:p>
    <w:p w14:paraId="75F8CE85" w14:textId="77777777" w:rsidR="00000000" w:rsidRDefault="00582324">
      <w:pPr>
        <w:pStyle w:val="a3"/>
        <w:spacing w:before="0" w:beforeAutospacing="0" w:after="0" w:afterAutospacing="0"/>
        <w:ind w:left="357"/>
        <w:rPr>
          <w:b/>
          <w:bCs/>
          <w:i/>
          <w:iCs/>
          <w:color w:val="000000"/>
          <w:sz w:val="20"/>
          <w:szCs w:val="20"/>
        </w:rPr>
      </w:pPr>
      <w:r>
        <w:rPr>
          <w:b/>
          <w:bCs/>
          <w:i/>
          <w:iCs/>
          <w:color w:val="000000"/>
          <w:sz w:val="20"/>
          <w:szCs w:val="20"/>
        </w:rPr>
        <w:t>Revenues</w:t>
      </w:r>
    </w:p>
    <w:p w14:paraId="6517B9A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For the three months ended June 30, 2021, we had revenues of $136.2 million, an increase of $62.4 million, or 84.6% over the three </w:t>
      </w:r>
      <w:r>
        <w:rPr>
          <w:color w:val="000000"/>
          <w:sz w:val="20"/>
          <w:szCs w:val="20"/>
        </w:rPr>
        <w:t>months ended June 30, 2020. Excluding revenues from Discontinued Service Lines of zero and $1.3 million in the three months ended June 30, 2021 and June 30, 2020, respectively, revenues increased $63.7 million or 87.9%. The period over period increase in r</w:t>
      </w:r>
      <w:r>
        <w:rPr>
          <w:color w:val="000000"/>
          <w:sz w:val="20"/>
          <w:szCs w:val="20"/>
        </w:rPr>
        <w:t>evenues was driven by a full three-month period including the results of CTEH, which was acquired in the second quarter of 2020, organic growth in all three of our segments, and acquisitions completed subsequent to the quarter ended June 30,2020,</w:t>
      </w:r>
      <w:r>
        <w:rPr>
          <w:color w:val="000000"/>
          <w:sz w:val="20"/>
          <w:szCs w:val="20"/>
          <w:shd w:val="clear" w:color="auto" w:fill="FFFFFF"/>
        </w:rPr>
        <w:t xml:space="preserve"> which con</w:t>
      </w:r>
      <w:r>
        <w:rPr>
          <w:color w:val="000000"/>
          <w:sz w:val="20"/>
          <w:szCs w:val="20"/>
          <w:shd w:val="clear" w:color="auto" w:fill="FFFFFF"/>
        </w:rPr>
        <w:t>tributed $3.9</w:t>
      </w:r>
      <w:r>
        <w:rPr>
          <w:color w:val="000000"/>
          <w:sz w:val="20"/>
          <w:szCs w:val="20"/>
        </w:rPr>
        <w:t> </w:t>
      </w:r>
      <w:r>
        <w:rPr>
          <w:color w:val="000000"/>
          <w:sz w:val="20"/>
          <w:szCs w:val="20"/>
          <w:shd w:val="clear" w:color="auto" w:fill="FFFFFF"/>
        </w:rPr>
        <w:t xml:space="preserve">million. As was the case in the prior year, </w:t>
      </w:r>
      <w:r>
        <w:rPr>
          <w:color w:val="000000"/>
          <w:sz w:val="20"/>
          <w:szCs w:val="20"/>
        </w:rPr>
        <w:t>all segments continue to be impacted by COVID-19 in 2021, however, in the current year, COVID-19 related project delays and other impacts were more than offset by COVID-19 response work in our Asses</w:t>
      </w:r>
      <w:r>
        <w:rPr>
          <w:color w:val="000000"/>
          <w:sz w:val="20"/>
          <w:szCs w:val="20"/>
        </w:rPr>
        <w:t>sment, Permitting and Response segment from the acquisition of CTEH. Revenue from CTEH was $65.9 million in the three months ended June 30, 2021 compared to $14.6 million in the three months ended June 30, 2020. Revenue by segment and as a percentage of to</w:t>
      </w:r>
      <w:r>
        <w:rPr>
          <w:color w:val="000000"/>
          <w:sz w:val="20"/>
          <w:szCs w:val="20"/>
        </w:rPr>
        <w:t>tal revenues was as follows:</w:t>
      </w:r>
    </w:p>
    <w:p w14:paraId="5A3A26E4" w14:textId="77777777" w:rsidR="00000000" w:rsidRDefault="00582324">
      <w:pPr>
        <w:pStyle w:val="a3"/>
        <w:shd w:val="clear" w:color="auto" w:fill="FFFFFF"/>
        <w:spacing w:before="120" w:beforeAutospacing="0" w:after="0" w:afterAutospacing="0"/>
        <w:ind w:firstLine="416"/>
        <w:rPr>
          <w:color w:val="000000"/>
        </w:rPr>
      </w:pPr>
      <w:r>
        <w:rPr>
          <w:color w:val="000000"/>
        </w:rPr>
        <w:t> </w:t>
      </w:r>
    </w:p>
    <w:tbl>
      <w:tblPr>
        <w:tblW w:w="4500" w:type="pct"/>
        <w:tblCellMar>
          <w:left w:w="0" w:type="dxa"/>
          <w:right w:w="0" w:type="dxa"/>
        </w:tblCellMar>
        <w:tblLook w:val="04A0" w:firstRow="1" w:lastRow="0" w:firstColumn="1" w:lastColumn="0" w:noHBand="0" w:noVBand="1"/>
      </w:tblPr>
      <w:tblGrid>
        <w:gridCol w:w="2297"/>
        <w:gridCol w:w="209"/>
        <w:gridCol w:w="209"/>
        <w:gridCol w:w="75"/>
        <w:gridCol w:w="725"/>
        <w:gridCol w:w="75"/>
        <w:gridCol w:w="209"/>
        <w:gridCol w:w="75"/>
        <w:gridCol w:w="724"/>
        <w:gridCol w:w="75"/>
        <w:gridCol w:w="212"/>
        <w:gridCol w:w="209"/>
        <w:gridCol w:w="209"/>
        <w:gridCol w:w="75"/>
        <w:gridCol w:w="725"/>
        <w:gridCol w:w="75"/>
        <w:gridCol w:w="209"/>
        <w:gridCol w:w="75"/>
        <w:gridCol w:w="724"/>
        <w:gridCol w:w="75"/>
        <w:gridCol w:w="214"/>
      </w:tblGrid>
      <w:tr w:rsidR="00000000" w14:paraId="49F5F8A6" w14:textId="77777777">
        <w:trPr>
          <w:divId w:val="225261569"/>
        </w:trPr>
        <w:tc>
          <w:tcPr>
            <w:tcW w:w="1535" w:type="pct"/>
            <w:shd w:val="clear" w:color="auto" w:fill="FFFFFF"/>
            <w:tcMar>
              <w:top w:w="15" w:type="dxa"/>
              <w:left w:w="0" w:type="dxa"/>
              <w:bottom w:w="0" w:type="dxa"/>
              <w:right w:w="15" w:type="dxa"/>
            </w:tcMar>
            <w:vAlign w:val="center"/>
            <w:hideMark/>
          </w:tcPr>
          <w:p w14:paraId="03F2CFE6" w14:textId="77777777" w:rsidR="00000000" w:rsidRDefault="00582324">
            <w:pPr>
              <w:pStyle w:val="a3"/>
              <w:spacing w:before="0" w:beforeAutospacing="0" w:after="0" w:afterAutospacing="0"/>
              <w:rPr>
                <w:sz w:val="18"/>
                <w:szCs w:val="18"/>
              </w:rPr>
            </w:pPr>
            <w:r>
              <w:rPr>
                <w:sz w:val="18"/>
                <w:szCs w:val="18"/>
              </w:rPr>
              <w:t> </w:t>
            </w:r>
          </w:p>
        </w:tc>
        <w:tc>
          <w:tcPr>
            <w:tcW w:w="140" w:type="pct"/>
            <w:shd w:val="clear" w:color="auto" w:fill="FFFFFF"/>
            <w:tcMar>
              <w:top w:w="15" w:type="dxa"/>
              <w:left w:w="0" w:type="dxa"/>
              <w:bottom w:w="0" w:type="dxa"/>
              <w:right w:w="15" w:type="dxa"/>
            </w:tcMar>
            <w:vAlign w:val="center"/>
            <w:hideMark/>
          </w:tcPr>
          <w:p w14:paraId="151E609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323" w:type="pct"/>
            <w:gridSpan w:val="19"/>
            <w:tcBorders>
              <w:bottom w:val="single" w:sz="6" w:space="0" w:color="000000"/>
            </w:tcBorders>
            <w:shd w:val="clear" w:color="auto" w:fill="FFFFFF"/>
            <w:tcMar>
              <w:top w:w="15" w:type="dxa"/>
              <w:left w:w="0" w:type="dxa"/>
              <w:bottom w:w="0" w:type="dxa"/>
              <w:right w:w="15" w:type="dxa"/>
            </w:tcMar>
            <w:vAlign w:val="center"/>
            <w:hideMark/>
          </w:tcPr>
          <w:p w14:paraId="496BE62E"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Three Months Ended</w:t>
            </w:r>
          </w:p>
          <w:p w14:paraId="4B6A5970"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June 30,</w:t>
            </w:r>
          </w:p>
        </w:tc>
      </w:tr>
      <w:tr w:rsidR="00000000" w14:paraId="2155E67D" w14:textId="77777777">
        <w:trPr>
          <w:divId w:val="225261569"/>
        </w:trPr>
        <w:tc>
          <w:tcPr>
            <w:tcW w:w="1535" w:type="pct"/>
            <w:shd w:val="clear" w:color="auto" w:fill="FFFFFF"/>
            <w:tcMar>
              <w:top w:w="15" w:type="dxa"/>
              <w:left w:w="0" w:type="dxa"/>
              <w:bottom w:w="0" w:type="dxa"/>
              <w:right w:w="15" w:type="dxa"/>
            </w:tcMar>
            <w:vAlign w:val="bottom"/>
            <w:hideMark/>
          </w:tcPr>
          <w:p w14:paraId="7C50E5C6" w14:textId="77777777" w:rsidR="00000000" w:rsidRDefault="00582324">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40" w:type="pct"/>
            <w:shd w:val="clear" w:color="auto" w:fill="FFFFFF"/>
            <w:tcMar>
              <w:top w:w="15" w:type="dxa"/>
              <w:left w:w="0" w:type="dxa"/>
              <w:bottom w:w="0" w:type="dxa"/>
              <w:right w:w="15" w:type="dxa"/>
            </w:tcMar>
            <w:vAlign w:val="bottom"/>
            <w:hideMark/>
          </w:tcPr>
          <w:p w14:paraId="468BC53B" w14:textId="77777777" w:rsidR="00000000" w:rsidRDefault="00582324">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591" w:type="pct"/>
            <w:gridSpan w:val="9"/>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7B1A3C4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140" w:type="pct"/>
            <w:tcBorders>
              <w:top w:val="single" w:sz="6" w:space="0" w:color="000000"/>
            </w:tcBorders>
            <w:shd w:val="clear" w:color="auto" w:fill="FFFFFF"/>
            <w:tcMar>
              <w:top w:w="15" w:type="dxa"/>
              <w:left w:w="0" w:type="dxa"/>
              <w:bottom w:w="0" w:type="dxa"/>
              <w:right w:w="15" w:type="dxa"/>
            </w:tcMar>
            <w:vAlign w:val="center"/>
            <w:hideMark/>
          </w:tcPr>
          <w:p w14:paraId="3887537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591" w:type="pct"/>
            <w:gridSpan w:val="9"/>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3A992CB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r>
      <w:tr w:rsidR="00000000" w14:paraId="3FCCA72C" w14:textId="77777777">
        <w:trPr>
          <w:divId w:val="225261569"/>
        </w:trPr>
        <w:tc>
          <w:tcPr>
            <w:tcW w:w="1535" w:type="pct"/>
            <w:shd w:val="clear" w:color="auto" w:fill="FFFFFF"/>
            <w:tcMar>
              <w:top w:w="15" w:type="dxa"/>
              <w:left w:w="0" w:type="dxa"/>
              <w:bottom w:w="0" w:type="dxa"/>
              <w:right w:w="15" w:type="dxa"/>
            </w:tcMar>
            <w:vAlign w:val="center"/>
            <w:hideMark/>
          </w:tcPr>
          <w:p w14:paraId="77781A1B" w14:textId="77777777" w:rsidR="00000000" w:rsidRDefault="00582324">
            <w:pPr>
              <w:pStyle w:val="a3"/>
              <w:spacing w:before="0" w:beforeAutospacing="0" w:after="0" w:afterAutospacing="0"/>
              <w:rPr>
                <w:b/>
                <w:bCs/>
                <w:color w:val="000000"/>
                <w:sz w:val="18"/>
                <w:szCs w:val="18"/>
              </w:rPr>
            </w:pPr>
            <w:r>
              <w:rPr>
                <w:b/>
                <w:bCs/>
                <w:color w:val="000000"/>
                <w:sz w:val="18"/>
                <w:szCs w:val="18"/>
              </w:rPr>
              <w:t>(revenue in thousands)</w:t>
            </w:r>
          </w:p>
        </w:tc>
        <w:tc>
          <w:tcPr>
            <w:tcW w:w="140" w:type="pct"/>
            <w:shd w:val="clear" w:color="auto" w:fill="FFFFFF"/>
            <w:tcMar>
              <w:top w:w="15" w:type="dxa"/>
              <w:left w:w="0" w:type="dxa"/>
              <w:bottom w:w="0" w:type="dxa"/>
              <w:right w:w="15" w:type="dxa"/>
            </w:tcMar>
            <w:vAlign w:val="bottom"/>
            <w:hideMark/>
          </w:tcPr>
          <w:p w14:paraId="558E6FB3" w14:textId="77777777" w:rsidR="00000000" w:rsidRDefault="00582324">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5" w:type="pct"/>
            <w:gridSpan w:val="3"/>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460037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center"/>
            <w:hideMark/>
          </w:tcPr>
          <w:p w14:paraId="0271B3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 w:type="pct"/>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EF132E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25" w:type="pct"/>
            <w:gridSpan w:val="4"/>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63BB4A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of Total Revenues</w:t>
            </w:r>
          </w:p>
        </w:tc>
        <w:tc>
          <w:tcPr>
            <w:tcW w:w="140" w:type="pct"/>
            <w:shd w:val="clear" w:color="auto" w:fill="FFFFFF"/>
            <w:tcMar>
              <w:top w:w="15" w:type="dxa"/>
              <w:left w:w="0" w:type="dxa"/>
              <w:bottom w:w="0" w:type="dxa"/>
              <w:right w:w="15" w:type="dxa"/>
            </w:tcMar>
            <w:vAlign w:val="center"/>
            <w:hideMark/>
          </w:tcPr>
          <w:p w14:paraId="1B8EFDA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75" w:type="pct"/>
            <w:gridSpan w:val="3"/>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7A5E15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Revenues</w:t>
            </w:r>
          </w:p>
        </w:tc>
        <w:tc>
          <w:tcPr>
            <w:tcW w:w="50" w:type="pct"/>
            <w:shd w:val="clear" w:color="auto" w:fill="FFFFFF"/>
            <w:noWrap/>
            <w:tcMar>
              <w:top w:w="15" w:type="dxa"/>
              <w:left w:w="0" w:type="dxa"/>
              <w:bottom w:w="0" w:type="dxa"/>
              <w:right w:w="15" w:type="dxa"/>
            </w:tcMar>
            <w:vAlign w:val="center"/>
            <w:hideMark/>
          </w:tcPr>
          <w:p w14:paraId="11C268C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40" w:type="pct"/>
            <w:tcBorders>
              <w:top w:val="single" w:sz="6" w:space="0" w:color="000000"/>
            </w:tcBorders>
            <w:shd w:val="clear" w:color="auto" w:fill="FFFFFF"/>
            <w:tcMar>
              <w:top w:w="15" w:type="dxa"/>
              <w:left w:w="0" w:type="dxa"/>
              <w:bottom w:w="0" w:type="dxa"/>
              <w:right w:w="15" w:type="dxa"/>
            </w:tcMar>
            <w:vAlign w:val="center"/>
            <w:hideMark/>
          </w:tcPr>
          <w:p w14:paraId="6A3A472C" w14:textId="77777777" w:rsidR="00000000" w:rsidRDefault="00582324">
            <w:pPr>
              <w:pStyle w:val="a3"/>
              <w:spacing w:before="0" w:beforeAutospacing="0" w:after="0" w:afterAutospacing="0"/>
              <w:jc w:val="center"/>
              <w:rPr>
                <w:color w:val="000000"/>
                <w:sz w:val="18"/>
                <w:szCs w:val="18"/>
              </w:rPr>
            </w:pPr>
            <w:r>
              <w:rPr>
                <w:color w:val="000000"/>
                <w:sz w:val="18"/>
                <w:szCs w:val="18"/>
              </w:rPr>
              <w:t> </w:t>
            </w:r>
          </w:p>
        </w:tc>
        <w:tc>
          <w:tcPr>
            <w:tcW w:w="725" w:type="pct"/>
            <w:gridSpan w:val="4"/>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8C95B9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of Total Revenues</w:t>
            </w:r>
          </w:p>
        </w:tc>
      </w:tr>
      <w:tr w:rsidR="00000000" w14:paraId="1E9DEB64" w14:textId="77777777">
        <w:trPr>
          <w:divId w:val="225261569"/>
        </w:trPr>
        <w:tc>
          <w:tcPr>
            <w:tcW w:w="1535" w:type="pct"/>
            <w:shd w:val="clear" w:color="auto" w:fill="CFF0FC"/>
            <w:tcMar>
              <w:top w:w="15" w:type="dxa"/>
              <w:left w:w="0" w:type="dxa"/>
              <w:bottom w:w="0" w:type="dxa"/>
              <w:right w:w="15" w:type="dxa"/>
            </w:tcMar>
            <w:vAlign w:val="center"/>
            <w:hideMark/>
          </w:tcPr>
          <w:p w14:paraId="2936169B" w14:textId="77777777" w:rsidR="00000000" w:rsidRDefault="00582324">
            <w:pPr>
              <w:pStyle w:val="a3"/>
              <w:spacing w:before="0" w:beforeAutospacing="0" w:after="0" w:afterAutospacing="0"/>
              <w:rPr>
                <w:color w:val="000000"/>
                <w:sz w:val="20"/>
                <w:szCs w:val="20"/>
              </w:rPr>
            </w:pPr>
            <w:r>
              <w:rPr>
                <w:color w:val="000000"/>
                <w:sz w:val="20"/>
                <w:szCs w:val="20"/>
              </w:rPr>
              <w:t>Assessment, Permitting and</w:t>
            </w:r>
          </w:p>
          <w:p w14:paraId="1B0E0710" w14:textId="77777777" w:rsidR="00000000" w:rsidRDefault="00582324">
            <w:pPr>
              <w:pStyle w:val="a3"/>
              <w:spacing w:before="0" w:beforeAutospacing="0" w:after="0" w:afterAutospacing="0"/>
              <w:rPr>
                <w:color w:val="000000"/>
                <w:sz w:val="20"/>
                <w:szCs w:val="20"/>
              </w:rPr>
            </w:pPr>
            <w:r>
              <w:rPr>
                <w:color w:val="000000"/>
                <w:sz w:val="20"/>
                <w:szCs w:val="20"/>
              </w:rPr>
              <w:t>   Response</w:t>
            </w:r>
          </w:p>
        </w:tc>
        <w:tc>
          <w:tcPr>
            <w:tcW w:w="140" w:type="pct"/>
            <w:shd w:val="clear" w:color="auto" w:fill="CFF0FC"/>
            <w:tcMar>
              <w:top w:w="15" w:type="dxa"/>
              <w:left w:w="0" w:type="dxa"/>
              <w:bottom w:w="0" w:type="dxa"/>
              <w:right w:w="15" w:type="dxa"/>
            </w:tcMar>
            <w:vAlign w:val="center"/>
            <w:hideMark/>
          </w:tcPr>
          <w:p w14:paraId="0431A09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tcBorders>
              <w:top w:val="single" w:sz="6" w:space="0" w:color="000000"/>
            </w:tcBorders>
            <w:shd w:val="clear" w:color="auto" w:fill="CFF0FC"/>
            <w:tcMar>
              <w:top w:w="15" w:type="dxa"/>
              <w:left w:w="0" w:type="dxa"/>
              <w:bottom w:w="0" w:type="dxa"/>
              <w:right w:w="15" w:type="dxa"/>
            </w:tcMar>
            <w:vAlign w:val="center"/>
            <w:hideMark/>
          </w:tcPr>
          <w:p w14:paraId="7EEBA2E3"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30D4E85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tcBorders>
              <w:top w:val="single" w:sz="6" w:space="0" w:color="000000"/>
            </w:tcBorders>
            <w:shd w:val="clear" w:color="auto" w:fill="CFF0FC"/>
            <w:noWrap/>
            <w:tcMar>
              <w:top w:w="15" w:type="dxa"/>
              <w:left w:w="0" w:type="dxa"/>
              <w:bottom w:w="0" w:type="dxa"/>
              <w:right w:w="15" w:type="dxa"/>
            </w:tcMar>
            <w:vAlign w:val="center"/>
            <w:hideMark/>
          </w:tcPr>
          <w:p w14:paraId="72E1E71B" w14:textId="77777777" w:rsidR="00000000" w:rsidRDefault="00582324">
            <w:pPr>
              <w:pStyle w:val="a3"/>
              <w:spacing w:before="0" w:beforeAutospacing="0" w:after="0" w:afterAutospacing="0"/>
              <w:jc w:val="right"/>
              <w:rPr>
                <w:color w:val="000000"/>
                <w:sz w:val="20"/>
                <w:szCs w:val="20"/>
              </w:rPr>
            </w:pPr>
            <w:r>
              <w:rPr>
                <w:color w:val="000000"/>
                <w:sz w:val="20"/>
                <w:szCs w:val="20"/>
              </w:rPr>
              <w:t>70,705</w:t>
            </w:r>
          </w:p>
        </w:tc>
        <w:tc>
          <w:tcPr>
            <w:tcW w:w="50" w:type="pct"/>
            <w:shd w:val="clear" w:color="auto" w:fill="CFF0FC"/>
            <w:noWrap/>
            <w:tcMar>
              <w:top w:w="15" w:type="dxa"/>
              <w:left w:w="0" w:type="dxa"/>
              <w:bottom w:w="0" w:type="dxa"/>
              <w:right w:w="15" w:type="dxa"/>
            </w:tcMar>
            <w:vAlign w:val="center"/>
            <w:hideMark/>
          </w:tcPr>
          <w:p w14:paraId="5F6BFC0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tcBorders>
              <w:top w:val="single" w:sz="6" w:space="0" w:color="000000"/>
            </w:tcBorders>
            <w:shd w:val="clear" w:color="auto" w:fill="CFF0FC"/>
            <w:tcMar>
              <w:top w:w="15" w:type="dxa"/>
              <w:left w:w="0" w:type="dxa"/>
              <w:bottom w:w="0" w:type="dxa"/>
              <w:right w:w="15" w:type="dxa"/>
            </w:tcMar>
            <w:vAlign w:val="center"/>
            <w:hideMark/>
          </w:tcPr>
          <w:p w14:paraId="4CB0973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2DA72BA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tcBorders>
              <w:top w:val="single" w:sz="6" w:space="0" w:color="000000"/>
            </w:tcBorders>
            <w:shd w:val="clear" w:color="auto" w:fill="CFF0FC"/>
            <w:noWrap/>
            <w:tcMar>
              <w:top w:w="15" w:type="dxa"/>
              <w:left w:w="0" w:type="dxa"/>
              <w:bottom w:w="0" w:type="dxa"/>
              <w:right w:w="15" w:type="dxa"/>
            </w:tcMar>
            <w:vAlign w:val="center"/>
            <w:hideMark/>
          </w:tcPr>
          <w:p w14:paraId="01423808" w14:textId="77777777" w:rsidR="00000000" w:rsidRDefault="00582324">
            <w:pPr>
              <w:pStyle w:val="a3"/>
              <w:spacing w:before="0" w:beforeAutospacing="0" w:after="0" w:afterAutospacing="0"/>
              <w:jc w:val="right"/>
              <w:rPr>
                <w:color w:val="000000"/>
                <w:sz w:val="20"/>
                <w:szCs w:val="20"/>
              </w:rPr>
            </w:pPr>
            <w:r>
              <w:rPr>
                <w:color w:val="000000"/>
                <w:sz w:val="20"/>
                <w:szCs w:val="20"/>
              </w:rPr>
              <w:t>51.9</w:t>
            </w:r>
          </w:p>
        </w:tc>
        <w:tc>
          <w:tcPr>
            <w:tcW w:w="50" w:type="pct"/>
            <w:shd w:val="clear" w:color="auto" w:fill="CFF0FC"/>
            <w:noWrap/>
            <w:tcMar>
              <w:top w:w="15" w:type="dxa"/>
              <w:left w:w="0" w:type="dxa"/>
              <w:bottom w:w="0" w:type="dxa"/>
              <w:right w:w="15" w:type="dxa"/>
            </w:tcMar>
            <w:vAlign w:val="center"/>
            <w:hideMark/>
          </w:tcPr>
          <w:p w14:paraId="646C2B4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tcBorders>
              <w:top w:val="single" w:sz="6" w:space="0" w:color="000000"/>
            </w:tcBorders>
            <w:shd w:val="clear" w:color="auto" w:fill="CFF0FC"/>
            <w:tcMar>
              <w:top w:w="15" w:type="dxa"/>
              <w:left w:w="0" w:type="dxa"/>
              <w:bottom w:w="0" w:type="dxa"/>
              <w:right w:w="15" w:type="dxa"/>
            </w:tcMar>
            <w:vAlign w:val="center"/>
            <w:hideMark/>
          </w:tcPr>
          <w:p w14:paraId="24C50841"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140" w:type="pct"/>
            <w:shd w:val="clear" w:color="auto" w:fill="CFF0FC"/>
            <w:tcMar>
              <w:top w:w="15" w:type="dxa"/>
              <w:left w:w="0" w:type="dxa"/>
              <w:bottom w:w="0" w:type="dxa"/>
              <w:right w:w="15" w:type="dxa"/>
            </w:tcMar>
            <w:vAlign w:val="center"/>
            <w:hideMark/>
          </w:tcPr>
          <w:p w14:paraId="35DA732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tcBorders>
              <w:top w:val="single" w:sz="6" w:space="0" w:color="000000"/>
            </w:tcBorders>
            <w:shd w:val="clear" w:color="auto" w:fill="CFF0FC"/>
            <w:tcMar>
              <w:top w:w="15" w:type="dxa"/>
              <w:left w:w="0" w:type="dxa"/>
              <w:bottom w:w="0" w:type="dxa"/>
              <w:right w:w="15" w:type="dxa"/>
            </w:tcMar>
            <w:vAlign w:val="center"/>
            <w:hideMark/>
          </w:tcPr>
          <w:p w14:paraId="1880EC06"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24EB6CE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tcBorders>
              <w:top w:val="single" w:sz="6" w:space="0" w:color="000000"/>
            </w:tcBorders>
            <w:shd w:val="clear" w:color="auto" w:fill="CFF0FC"/>
            <w:noWrap/>
            <w:tcMar>
              <w:top w:w="15" w:type="dxa"/>
              <w:left w:w="0" w:type="dxa"/>
              <w:bottom w:w="0" w:type="dxa"/>
              <w:right w:w="15" w:type="dxa"/>
            </w:tcMar>
            <w:vAlign w:val="center"/>
            <w:hideMark/>
          </w:tcPr>
          <w:p w14:paraId="76BCF79C" w14:textId="77777777" w:rsidR="00000000" w:rsidRDefault="00582324">
            <w:pPr>
              <w:pStyle w:val="a3"/>
              <w:spacing w:before="0" w:beforeAutospacing="0" w:after="0" w:afterAutospacing="0"/>
              <w:jc w:val="right"/>
              <w:rPr>
                <w:color w:val="000000"/>
                <w:sz w:val="20"/>
                <w:szCs w:val="20"/>
              </w:rPr>
            </w:pPr>
            <w:r>
              <w:rPr>
                <w:color w:val="000000"/>
                <w:sz w:val="20"/>
                <w:szCs w:val="20"/>
              </w:rPr>
              <w:t>18,631</w:t>
            </w:r>
          </w:p>
        </w:tc>
        <w:tc>
          <w:tcPr>
            <w:tcW w:w="50" w:type="pct"/>
            <w:shd w:val="clear" w:color="auto" w:fill="CFF0FC"/>
            <w:noWrap/>
            <w:tcMar>
              <w:top w:w="15" w:type="dxa"/>
              <w:left w:w="0" w:type="dxa"/>
              <w:bottom w:w="0" w:type="dxa"/>
              <w:right w:w="15" w:type="dxa"/>
            </w:tcMar>
            <w:vAlign w:val="center"/>
            <w:hideMark/>
          </w:tcPr>
          <w:p w14:paraId="4A740FE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619246D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43B3811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tcBorders>
              <w:top w:val="single" w:sz="6" w:space="0" w:color="000000"/>
            </w:tcBorders>
            <w:shd w:val="clear" w:color="auto" w:fill="CFF0FC"/>
            <w:noWrap/>
            <w:tcMar>
              <w:top w:w="15" w:type="dxa"/>
              <w:left w:w="0" w:type="dxa"/>
              <w:bottom w:w="0" w:type="dxa"/>
              <w:right w:w="15" w:type="dxa"/>
            </w:tcMar>
            <w:vAlign w:val="center"/>
            <w:hideMark/>
          </w:tcPr>
          <w:p w14:paraId="586D106C" w14:textId="77777777" w:rsidR="00000000" w:rsidRDefault="00582324">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center"/>
            <w:hideMark/>
          </w:tcPr>
          <w:p w14:paraId="6B1BE5B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tcBorders>
              <w:top w:val="single" w:sz="6" w:space="0" w:color="000000"/>
            </w:tcBorders>
            <w:shd w:val="clear" w:color="auto" w:fill="CFF0FC"/>
            <w:tcMar>
              <w:top w:w="15" w:type="dxa"/>
              <w:left w:w="0" w:type="dxa"/>
              <w:bottom w:w="0" w:type="dxa"/>
              <w:right w:w="15" w:type="dxa"/>
            </w:tcMar>
            <w:vAlign w:val="center"/>
            <w:hideMark/>
          </w:tcPr>
          <w:p w14:paraId="284949B8"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0EB10E26" w14:textId="77777777">
        <w:trPr>
          <w:divId w:val="225261569"/>
        </w:trPr>
        <w:tc>
          <w:tcPr>
            <w:tcW w:w="1535" w:type="pct"/>
            <w:shd w:val="clear" w:color="auto" w:fill="FFFFFF"/>
            <w:tcMar>
              <w:top w:w="15" w:type="dxa"/>
              <w:left w:w="0" w:type="dxa"/>
              <w:bottom w:w="0" w:type="dxa"/>
              <w:right w:w="15" w:type="dxa"/>
            </w:tcMar>
            <w:vAlign w:val="center"/>
            <w:hideMark/>
          </w:tcPr>
          <w:p w14:paraId="2B5C231C" w14:textId="77777777" w:rsidR="00000000" w:rsidRDefault="00582324">
            <w:pPr>
              <w:pStyle w:val="a3"/>
              <w:spacing w:before="0" w:beforeAutospacing="0" w:after="0" w:afterAutospacing="0"/>
              <w:rPr>
                <w:color w:val="000000"/>
                <w:sz w:val="20"/>
                <w:szCs w:val="20"/>
              </w:rPr>
            </w:pPr>
            <w:r>
              <w:rPr>
                <w:color w:val="000000"/>
                <w:sz w:val="20"/>
                <w:szCs w:val="20"/>
              </w:rPr>
              <w:t>Measurement and Analysis</w:t>
            </w:r>
          </w:p>
        </w:tc>
        <w:tc>
          <w:tcPr>
            <w:tcW w:w="140" w:type="pct"/>
            <w:shd w:val="clear" w:color="auto" w:fill="FFFFFF"/>
            <w:tcMar>
              <w:top w:w="15" w:type="dxa"/>
              <w:left w:w="0" w:type="dxa"/>
              <w:bottom w:w="0" w:type="dxa"/>
              <w:right w:w="15" w:type="dxa"/>
            </w:tcMar>
            <w:vAlign w:val="center"/>
            <w:hideMark/>
          </w:tcPr>
          <w:p w14:paraId="08BBC37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26465AF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741D5C9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FFFFFF"/>
            <w:noWrap/>
            <w:tcMar>
              <w:top w:w="15" w:type="dxa"/>
              <w:left w:w="0" w:type="dxa"/>
              <w:bottom w:w="0" w:type="dxa"/>
              <w:right w:w="15" w:type="dxa"/>
            </w:tcMar>
            <w:vAlign w:val="center"/>
            <w:hideMark/>
          </w:tcPr>
          <w:p w14:paraId="257543E1" w14:textId="77777777" w:rsidR="00000000" w:rsidRDefault="00582324">
            <w:pPr>
              <w:pStyle w:val="a3"/>
              <w:spacing w:before="0" w:beforeAutospacing="0" w:after="0" w:afterAutospacing="0"/>
              <w:jc w:val="right"/>
              <w:rPr>
                <w:color w:val="000000"/>
                <w:sz w:val="20"/>
                <w:szCs w:val="20"/>
              </w:rPr>
            </w:pPr>
            <w:r>
              <w:rPr>
                <w:color w:val="000000"/>
                <w:sz w:val="20"/>
                <w:szCs w:val="20"/>
              </w:rPr>
              <w:t>39,117</w:t>
            </w:r>
          </w:p>
        </w:tc>
        <w:tc>
          <w:tcPr>
            <w:tcW w:w="50" w:type="pct"/>
            <w:shd w:val="clear" w:color="auto" w:fill="FFFFFF"/>
            <w:noWrap/>
            <w:tcMar>
              <w:top w:w="15" w:type="dxa"/>
              <w:left w:w="0" w:type="dxa"/>
              <w:bottom w:w="0" w:type="dxa"/>
              <w:right w:w="15" w:type="dxa"/>
            </w:tcMar>
            <w:vAlign w:val="center"/>
            <w:hideMark/>
          </w:tcPr>
          <w:p w14:paraId="1EB9C58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57DB03F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0833D84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FFFFFF"/>
            <w:noWrap/>
            <w:tcMar>
              <w:top w:w="15" w:type="dxa"/>
              <w:left w:w="0" w:type="dxa"/>
              <w:bottom w:w="0" w:type="dxa"/>
              <w:right w:w="15" w:type="dxa"/>
            </w:tcMar>
            <w:vAlign w:val="center"/>
            <w:hideMark/>
          </w:tcPr>
          <w:p w14:paraId="47FBC799" w14:textId="77777777" w:rsidR="00000000" w:rsidRDefault="00582324">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center"/>
            <w:hideMark/>
          </w:tcPr>
          <w:p w14:paraId="212502D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23EAA5C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7BE7B66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034DCD8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5AD2D01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FFFFFF"/>
            <w:noWrap/>
            <w:tcMar>
              <w:top w:w="15" w:type="dxa"/>
              <w:left w:w="0" w:type="dxa"/>
              <w:bottom w:w="0" w:type="dxa"/>
              <w:right w:w="15" w:type="dxa"/>
            </w:tcMar>
            <w:vAlign w:val="center"/>
            <w:hideMark/>
          </w:tcPr>
          <w:p w14:paraId="6486F673" w14:textId="77777777" w:rsidR="00000000" w:rsidRDefault="00582324">
            <w:pPr>
              <w:pStyle w:val="a3"/>
              <w:spacing w:before="0" w:beforeAutospacing="0" w:after="0" w:afterAutospacing="0"/>
              <w:jc w:val="right"/>
              <w:rPr>
                <w:color w:val="000000"/>
                <w:sz w:val="20"/>
                <w:szCs w:val="20"/>
              </w:rPr>
            </w:pPr>
            <w:r>
              <w:rPr>
                <w:color w:val="000000"/>
                <w:sz w:val="20"/>
                <w:szCs w:val="20"/>
              </w:rPr>
              <w:t>37,036</w:t>
            </w:r>
          </w:p>
        </w:tc>
        <w:tc>
          <w:tcPr>
            <w:tcW w:w="50" w:type="pct"/>
            <w:shd w:val="clear" w:color="auto" w:fill="FFFFFF"/>
            <w:noWrap/>
            <w:tcMar>
              <w:top w:w="15" w:type="dxa"/>
              <w:left w:w="0" w:type="dxa"/>
              <w:bottom w:w="0" w:type="dxa"/>
              <w:right w:w="15" w:type="dxa"/>
            </w:tcMar>
            <w:vAlign w:val="center"/>
            <w:hideMark/>
          </w:tcPr>
          <w:p w14:paraId="28A98BA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0B5FFC8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7C68C0D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FFFFFF"/>
            <w:noWrap/>
            <w:tcMar>
              <w:top w:w="15" w:type="dxa"/>
              <w:left w:w="0" w:type="dxa"/>
              <w:bottom w:w="0" w:type="dxa"/>
              <w:right w:w="15" w:type="dxa"/>
            </w:tcMar>
            <w:vAlign w:val="center"/>
            <w:hideMark/>
          </w:tcPr>
          <w:p w14:paraId="59BA7EC6" w14:textId="77777777" w:rsidR="00000000" w:rsidRDefault="00582324">
            <w:pPr>
              <w:pStyle w:val="a3"/>
              <w:spacing w:before="0" w:beforeAutospacing="0" w:after="0" w:afterAutospacing="0"/>
              <w:jc w:val="right"/>
              <w:rPr>
                <w:color w:val="000000"/>
                <w:sz w:val="20"/>
                <w:szCs w:val="20"/>
              </w:rPr>
            </w:pPr>
            <w:r>
              <w:rPr>
                <w:color w:val="000000"/>
                <w:sz w:val="20"/>
                <w:szCs w:val="20"/>
              </w:rPr>
              <w:t>50.2</w:t>
            </w:r>
          </w:p>
        </w:tc>
        <w:tc>
          <w:tcPr>
            <w:tcW w:w="50" w:type="pct"/>
            <w:shd w:val="clear" w:color="auto" w:fill="FFFFFF"/>
            <w:noWrap/>
            <w:tcMar>
              <w:top w:w="15" w:type="dxa"/>
              <w:left w:w="0" w:type="dxa"/>
              <w:bottom w:w="0" w:type="dxa"/>
              <w:right w:w="15" w:type="dxa"/>
            </w:tcMar>
            <w:vAlign w:val="center"/>
            <w:hideMark/>
          </w:tcPr>
          <w:p w14:paraId="629E5236"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FFFFFF"/>
            <w:tcMar>
              <w:top w:w="15" w:type="dxa"/>
              <w:left w:w="0" w:type="dxa"/>
              <w:bottom w:w="0" w:type="dxa"/>
              <w:right w:w="15" w:type="dxa"/>
            </w:tcMar>
            <w:vAlign w:val="center"/>
            <w:hideMark/>
          </w:tcPr>
          <w:p w14:paraId="6EC4CB1D"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3F02F34B" w14:textId="77777777">
        <w:trPr>
          <w:divId w:val="225261569"/>
        </w:trPr>
        <w:tc>
          <w:tcPr>
            <w:tcW w:w="1535" w:type="pct"/>
            <w:shd w:val="clear" w:color="auto" w:fill="CFF0FC"/>
            <w:tcMar>
              <w:top w:w="15" w:type="dxa"/>
              <w:left w:w="0" w:type="dxa"/>
              <w:bottom w:w="0" w:type="dxa"/>
              <w:right w:w="15" w:type="dxa"/>
            </w:tcMar>
            <w:vAlign w:val="center"/>
            <w:hideMark/>
          </w:tcPr>
          <w:p w14:paraId="39788FF6" w14:textId="77777777" w:rsidR="00000000" w:rsidRDefault="00582324">
            <w:pPr>
              <w:pStyle w:val="a3"/>
              <w:spacing w:before="0" w:beforeAutospacing="0" w:after="0" w:afterAutospacing="0"/>
              <w:rPr>
                <w:color w:val="000000"/>
                <w:sz w:val="20"/>
                <w:szCs w:val="20"/>
              </w:rPr>
            </w:pPr>
            <w:r>
              <w:rPr>
                <w:color w:val="000000"/>
                <w:sz w:val="20"/>
                <w:szCs w:val="20"/>
              </w:rPr>
              <w:t>Remediation and Reuse</w:t>
            </w:r>
          </w:p>
        </w:tc>
        <w:tc>
          <w:tcPr>
            <w:tcW w:w="140" w:type="pct"/>
            <w:shd w:val="clear" w:color="auto" w:fill="CFF0FC"/>
            <w:tcMar>
              <w:top w:w="15" w:type="dxa"/>
              <w:left w:w="0" w:type="dxa"/>
              <w:bottom w:w="0" w:type="dxa"/>
              <w:right w:w="15" w:type="dxa"/>
            </w:tcMar>
            <w:vAlign w:val="center"/>
            <w:hideMark/>
          </w:tcPr>
          <w:p w14:paraId="6137A72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2F13AA3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20765BF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CFF0FC"/>
            <w:noWrap/>
            <w:tcMar>
              <w:top w:w="15" w:type="dxa"/>
              <w:left w:w="0" w:type="dxa"/>
              <w:bottom w:w="0" w:type="dxa"/>
              <w:right w:w="15" w:type="dxa"/>
            </w:tcMar>
            <w:vAlign w:val="center"/>
            <w:hideMark/>
          </w:tcPr>
          <w:p w14:paraId="77B31E52" w14:textId="77777777" w:rsidR="00000000" w:rsidRDefault="00582324">
            <w:pPr>
              <w:pStyle w:val="a3"/>
              <w:spacing w:before="0" w:beforeAutospacing="0" w:after="0" w:afterAutospacing="0"/>
              <w:jc w:val="right"/>
              <w:rPr>
                <w:color w:val="000000"/>
                <w:sz w:val="20"/>
                <w:szCs w:val="20"/>
              </w:rPr>
            </w:pPr>
            <w:r>
              <w:rPr>
                <w:color w:val="000000"/>
                <w:sz w:val="20"/>
                <w:szCs w:val="20"/>
              </w:rPr>
              <w:t>26,402</w:t>
            </w:r>
          </w:p>
        </w:tc>
        <w:tc>
          <w:tcPr>
            <w:tcW w:w="50" w:type="pct"/>
            <w:shd w:val="clear" w:color="auto" w:fill="CFF0FC"/>
            <w:noWrap/>
            <w:tcMar>
              <w:top w:w="15" w:type="dxa"/>
              <w:left w:w="0" w:type="dxa"/>
              <w:bottom w:w="0" w:type="dxa"/>
              <w:right w:w="15" w:type="dxa"/>
            </w:tcMar>
            <w:vAlign w:val="center"/>
            <w:hideMark/>
          </w:tcPr>
          <w:p w14:paraId="2D9F18D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4B88BD0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57C9B0D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CFF0FC"/>
            <w:noWrap/>
            <w:tcMar>
              <w:top w:w="15" w:type="dxa"/>
              <w:left w:w="0" w:type="dxa"/>
              <w:bottom w:w="0" w:type="dxa"/>
              <w:right w:w="15" w:type="dxa"/>
            </w:tcMar>
            <w:vAlign w:val="center"/>
            <w:hideMark/>
          </w:tcPr>
          <w:p w14:paraId="6F91A0AF" w14:textId="77777777" w:rsidR="00000000" w:rsidRDefault="00582324">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center"/>
            <w:hideMark/>
          </w:tcPr>
          <w:p w14:paraId="40CE5A7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4770D7C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4F13AE2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410C465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0EF23D7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CFF0FC"/>
            <w:noWrap/>
            <w:tcMar>
              <w:top w:w="15" w:type="dxa"/>
              <w:left w:w="0" w:type="dxa"/>
              <w:bottom w:w="0" w:type="dxa"/>
              <w:right w:w="15" w:type="dxa"/>
            </w:tcMar>
            <w:vAlign w:val="center"/>
            <w:hideMark/>
          </w:tcPr>
          <w:p w14:paraId="7E2D9064" w14:textId="77777777" w:rsidR="00000000" w:rsidRDefault="00582324">
            <w:pPr>
              <w:pStyle w:val="a3"/>
              <w:spacing w:before="0" w:beforeAutospacing="0" w:after="0" w:afterAutospacing="0"/>
              <w:jc w:val="right"/>
              <w:rPr>
                <w:color w:val="000000"/>
                <w:sz w:val="20"/>
                <w:szCs w:val="20"/>
              </w:rPr>
            </w:pPr>
            <w:r>
              <w:rPr>
                <w:color w:val="000000"/>
                <w:sz w:val="20"/>
                <w:szCs w:val="20"/>
              </w:rPr>
              <w:t>18,099</w:t>
            </w:r>
          </w:p>
        </w:tc>
        <w:tc>
          <w:tcPr>
            <w:tcW w:w="50" w:type="pct"/>
            <w:shd w:val="clear" w:color="auto" w:fill="CFF0FC"/>
            <w:noWrap/>
            <w:tcMar>
              <w:top w:w="15" w:type="dxa"/>
              <w:left w:w="0" w:type="dxa"/>
              <w:bottom w:w="0" w:type="dxa"/>
              <w:right w:w="15" w:type="dxa"/>
            </w:tcMar>
            <w:vAlign w:val="center"/>
            <w:hideMark/>
          </w:tcPr>
          <w:p w14:paraId="35093E12"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3E9F083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7609F67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84" w:type="pct"/>
            <w:shd w:val="clear" w:color="auto" w:fill="CFF0FC"/>
            <w:noWrap/>
            <w:tcMar>
              <w:top w:w="15" w:type="dxa"/>
              <w:left w:w="0" w:type="dxa"/>
              <w:bottom w:w="0" w:type="dxa"/>
              <w:right w:w="15" w:type="dxa"/>
            </w:tcMar>
            <w:vAlign w:val="center"/>
            <w:hideMark/>
          </w:tcPr>
          <w:p w14:paraId="774256E7" w14:textId="77777777" w:rsidR="00000000" w:rsidRDefault="00582324">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center"/>
            <w:hideMark/>
          </w:tcPr>
          <w:p w14:paraId="470CC3F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40" w:type="pct"/>
            <w:shd w:val="clear" w:color="auto" w:fill="CFF0FC"/>
            <w:tcMar>
              <w:top w:w="15" w:type="dxa"/>
              <w:left w:w="0" w:type="dxa"/>
              <w:bottom w:w="0" w:type="dxa"/>
              <w:right w:w="15" w:type="dxa"/>
            </w:tcMar>
            <w:vAlign w:val="center"/>
            <w:hideMark/>
          </w:tcPr>
          <w:p w14:paraId="4FC7CCA7"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6F3C48CE" w14:textId="77777777" w:rsidR="00000000" w:rsidRDefault="00582324">
      <w:pPr>
        <w:pStyle w:val="a3"/>
        <w:spacing w:before="0" w:beforeAutospacing="0" w:after="0" w:afterAutospacing="0"/>
        <w:ind w:firstLine="545"/>
        <w:rPr>
          <w:sz w:val="20"/>
          <w:szCs w:val="20"/>
        </w:rPr>
      </w:pPr>
      <w:r>
        <w:rPr>
          <w:sz w:val="20"/>
          <w:szCs w:val="20"/>
        </w:rPr>
        <w:t> </w:t>
      </w:r>
    </w:p>
    <w:p w14:paraId="76C1E864" w14:textId="77777777" w:rsidR="00000000" w:rsidRDefault="00582324">
      <w:pPr>
        <w:pStyle w:val="a3"/>
        <w:spacing w:before="240" w:beforeAutospacing="0" w:after="0" w:afterAutospacing="0"/>
        <w:jc w:val="center"/>
        <w:rPr>
          <w:sz w:val="20"/>
          <w:szCs w:val="20"/>
        </w:rPr>
      </w:pPr>
      <w:r>
        <w:rPr>
          <w:sz w:val="20"/>
          <w:szCs w:val="20"/>
        </w:rPr>
        <w:t>37</w:t>
      </w:r>
    </w:p>
    <w:p w14:paraId="07FD315A" w14:textId="77777777" w:rsidR="00000000" w:rsidRDefault="00582324">
      <w:pPr>
        <w:rPr>
          <w:rFonts w:eastAsia="Times New Roman"/>
        </w:rPr>
      </w:pPr>
      <w:r>
        <w:rPr>
          <w:rFonts w:eastAsia="Times New Roman"/>
        </w:rPr>
        <w:pict w14:anchorId="74E818AD">
          <v:rect id="_x0000_i1063" style="width:0;height:1.5pt" o:hralign="center" o:hrstd="t" o:hr="t" fillcolor="#a0a0a0" stroked="f"/>
        </w:pict>
      </w:r>
    </w:p>
    <w:p w14:paraId="175B0843" w14:textId="77777777" w:rsidR="00000000" w:rsidRDefault="00582324">
      <w:pPr>
        <w:pStyle w:val="a3"/>
        <w:spacing w:before="0" w:beforeAutospacing="0" w:after="0" w:afterAutospacing="0"/>
        <w:rPr>
          <w:sz w:val="20"/>
          <w:szCs w:val="20"/>
        </w:rPr>
      </w:pPr>
      <w:r>
        <w:rPr>
          <w:sz w:val="20"/>
          <w:szCs w:val="20"/>
        </w:rPr>
        <w:t> </w:t>
      </w:r>
    </w:p>
    <w:p w14:paraId="1A58BF85" w14:textId="77777777" w:rsidR="00000000" w:rsidRDefault="00582324">
      <w:pPr>
        <w:pStyle w:val="a3"/>
        <w:spacing w:before="0" w:beforeAutospacing="0" w:after="0" w:afterAutospacing="0"/>
        <w:rPr>
          <w:sz w:val="20"/>
          <w:szCs w:val="20"/>
        </w:rPr>
      </w:pPr>
      <w:r>
        <w:rPr>
          <w:sz w:val="20"/>
          <w:szCs w:val="20"/>
        </w:rPr>
        <w:t> </w:t>
      </w:r>
    </w:p>
    <w:p w14:paraId="59B8083D" w14:textId="77777777" w:rsidR="00000000" w:rsidRDefault="00582324">
      <w:pPr>
        <w:pStyle w:val="a3"/>
        <w:spacing w:before="0" w:beforeAutospacing="0" w:after="0" w:afterAutospacing="0"/>
        <w:ind w:firstLine="416"/>
        <w:rPr>
          <w:color w:val="000000"/>
          <w:sz w:val="20"/>
          <w:szCs w:val="20"/>
        </w:rPr>
      </w:pPr>
      <w:r>
        <w:rPr>
          <w:color w:val="000000"/>
          <w:sz w:val="20"/>
          <w:szCs w:val="20"/>
        </w:rPr>
        <w:t>See “—Segment Results of Operations” below.</w:t>
      </w:r>
    </w:p>
    <w:p w14:paraId="0420EB79"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Cost of Revenues</w:t>
      </w:r>
    </w:p>
    <w:p w14:paraId="7DF6363A"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Cost of revenues consists of all direct costs required to provide services, including fixed and variable direct labor costs, equipment rental and other out</w:t>
      </w:r>
      <w:r>
        <w:rPr>
          <w:color w:val="000000"/>
          <w:sz w:val="20"/>
          <w:szCs w:val="20"/>
        </w:rPr>
        <w:t>side services, field and lab supplies, vehicle costs and travel-related expenses. Variable costs of revenues generally follow the same seasonality trends as revenue, while fixed costs tend to change primarily as a result of acquisitions.</w:t>
      </w:r>
    </w:p>
    <w:p w14:paraId="698B54E4"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w:t>
      </w:r>
      <w:r>
        <w:rPr>
          <w:color w:val="000000"/>
          <w:sz w:val="20"/>
          <w:szCs w:val="20"/>
        </w:rPr>
        <w:t>hs ended June 30, 2021, cost of revenues was $92.1 million or 67.6% of revenues, and was comprised of direct labor of $36.2 million, outside services (including contracted labor, laboratory, shipping and freight and other outside services) of $41.9 million</w:t>
      </w:r>
      <w:r>
        <w:rPr>
          <w:color w:val="000000"/>
          <w:sz w:val="20"/>
          <w:szCs w:val="20"/>
        </w:rPr>
        <w:t xml:space="preserve">, field supplies, testing supplies and equipment rental of $7.1 million, project-related travel expenses of $3.7 million and other direct costs of $3.2 million. </w:t>
      </w:r>
    </w:p>
    <w:p w14:paraId="2144988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months ended June 30, 2020, cost of revenues was $45.9 million or 62.2% of reven</w:t>
      </w:r>
      <w:r>
        <w:rPr>
          <w:color w:val="000000"/>
          <w:sz w:val="20"/>
          <w:szCs w:val="20"/>
        </w:rPr>
        <w:t>ues, and was comprised of direct labor of $30.2 million, outside services (including construction, laboratory, shipping and freight and other outside services) of $6.5 million, field supplies, testing supplies and equipment rental of $5.1 million, project-</w:t>
      </w:r>
      <w:r>
        <w:rPr>
          <w:color w:val="000000"/>
          <w:sz w:val="20"/>
          <w:szCs w:val="20"/>
        </w:rPr>
        <w:t>related travel expenses of $2.2 million and other direct costs of $1.9 million.</w:t>
      </w:r>
    </w:p>
    <w:p w14:paraId="5F9D3E60"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months ended June 30, 2021, cost of revenues as a percentage of revenue increased 5.4% from the three months ended June 30, 2020, as a result of significantly hig</w:t>
      </w:r>
      <w:r>
        <w:rPr>
          <w:color w:val="000000"/>
          <w:sz w:val="20"/>
          <w:szCs w:val="20"/>
        </w:rPr>
        <w:t>her outside service costs driven by external lab expenses to support the increase in CTEH’s COVID-19 revenues. The increase was partially offset by lower labor as a percentage of revenue primarily attributable to a shift in roles and responsibilities of ce</w:t>
      </w:r>
      <w:r>
        <w:rPr>
          <w:color w:val="000000"/>
          <w:sz w:val="20"/>
          <w:szCs w:val="20"/>
        </w:rPr>
        <w:t>rtain employees from providing direct field support to providing more specialized, multi-location overhead support functions (such as accounting, HR and management) as result of acquisitions and growth in our business. These changes in employee roles resul</w:t>
      </w:r>
      <w:r>
        <w:rPr>
          <w:color w:val="000000"/>
          <w:sz w:val="20"/>
          <w:szCs w:val="20"/>
        </w:rPr>
        <w:t>ted in a decrease in labor costs recorded as cost of revenues and a corresponding increase in labor costs recorded as selling, general and administrative expense in the current quarter.</w:t>
      </w:r>
    </w:p>
    <w:p w14:paraId="2E6ECAF5"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Selling, General and Administrative Expense</w:t>
      </w:r>
    </w:p>
    <w:p w14:paraId="6B6CE9E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Selling, general and admin</w:t>
      </w:r>
      <w:r>
        <w:rPr>
          <w:color w:val="000000"/>
          <w:sz w:val="20"/>
          <w:szCs w:val="20"/>
        </w:rPr>
        <w:t xml:space="preserve">istrative expense consists of general corporate overhead, including executive, legal, finance, safety, risk management, human resource, marketing and information technology related costs, as well as indirect operational costs of labor, rent, insurance and </w:t>
      </w:r>
      <w:r>
        <w:rPr>
          <w:color w:val="000000"/>
          <w:sz w:val="20"/>
          <w:szCs w:val="20"/>
        </w:rPr>
        <w:t>stock-based compensation.</w:t>
      </w:r>
    </w:p>
    <w:p w14:paraId="4C57098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months ended June 30, 2021, selling, general and administrative expense was $27.4 million, an increase of $8.1 million or 41.7% versus the three months ended June 30, 2020, of which $1.4 million was from selling, gen</w:t>
      </w:r>
      <w:r>
        <w:rPr>
          <w:color w:val="000000"/>
          <w:sz w:val="20"/>
          <w:szCs w:val="20"/>
        </w:rPr>
        <w:t>eral and administrative expense pertaining to companies we acquired subsequent to the second quarter of 2020, an increase in public company related costs of $0.7 million, as well as the impact of the shift of employee roles and responsibilities as describe</w:t>
      </w:r>
      <w:r>
        <w:rPr>
          <w:color w:val="000000"/>
          <w:sz w:val="20"/>
          <w:szCs w:val="20"/>
        </w:rPr>
        <w:t xml:space="preserve">d above, and an increase in investments in corporate infrastructure (primarily sales and marketing, finance, administrative, IT, legal and human resources). </w:t>
      </w:r>
    </w:p>
    <w:p w14:paraId="4215778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months ended June 30, 2021, selling, general and administrative expense was comprise</w:t>
      </w:r>
      <w:r>
        <w:rPr>
          <w:color w:val="000000"/>
          <w:sz w:val="20"/>
          <w:szCs w:val="20"/>
        </w:rPr>
        <w:t>d of indirect labor of $13.3 million, facilities costs of $3.5 million, stock-based compensation of $2.1 million, acquisition-related costs of $1.0 million, bad debt expense of $0.1 million, and other costs (including software, travel, insurance, legal, co</w:t>
      </w:r>
      <w:r>
        <w:rPr>
          <w:color w:val="000000"/>
          <w:sz w:val="20"/>
          <w:szCs w:val="20"/>
        </w:rPr>
        <w:t>nsulting and audit services) of $7.4 million.</w:t>
      </w:r>
    </w:p>
    <w:p w14:paraId="4C98518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three months ended June 30, 2020, selling, general and administrative expense was $19.3 million, and was comprised of indirect labor of $9.0 million, facilities costs of $2.9 million, stock-based compen</w:t>
      </w:r>
      <w:r>
        <w:rPr>
          <w:color w:val="000000"/>
          <w:sz w:val="20"/>
          <w:szCs w:val="20"/>
        </w:rPr>
        <w:t>sation of $0.7 million, acquisition-related costs of $2.5 million, bad debt expense of $0.1 million, and other costs (including software, travel, insurance, legal, consulting and audit services) of $4.1 million.</w:t>
      </w:r>
    </w:p>
    <w:p w14:paraId="0A7DC606"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 xml:space="preserve">Fair Value Changes in Business Acquisitions </w:t>
      </w:r>
      <w:r>
        <w:rPr>
          <w:b/>
          <w:bCs/>
          <w:i/>
          <w:iCs/>
          <w:color w:val="000000"/>
          <w:sz w:val="20"/>
          <w:szCs w:val="20"/>
        </w:rPr>
        <w:t>Contingent Consideration</w:t>
      </w:r>
    </w:p>
    <w:p w14:paraId="16229D50"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For the three months ended June 30, 2021, fair value changes in business acquisitions contingent consideration were $13.0 million versus $4.0 million for the three months ended June 30, 2020. The increase was primarily driven by fa</w:t>
      </w:r>
      <w:r>
        <w:rPr>
          <w:color w:val="000000"/>
          <w:sz w:val="20"/>
          <w:szCs w:val="20"/>
        </w:rPr>
        <w:t>ir value adjustments to contingent consideration associated with making payments in respect of the 2020 period for CTEH’s earn-out. See “Key Factors that Affect Our Business and Our Results—Acquisitions” and Note 7 to our unaudited condensed consolidated f</w:t>
      </w:r>
      <w:r>
        <w:rPr>
          <w:color w:val="000000"/>
          <w:sz w:val="20"/>
          <w:szCs w:val="20"/>
        </w:rPr>
        <w:t>inancial statements included in Part I, Item 1. “Financial Statements.”.</w:t>
      </w:r>
    </w:p>
    <w:p w14:paraId="48F9C454"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Depreciation and Amortization</w:t>
      </w:r>
    </w:p>
    <w:p w14:paraId="30EDA22F"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Depreciation and amortization expense for the three months ended June 30, 2021, was $10.9 million and was comprised of amortization of finite lived intan</w:t>
      </w:r>
      <w:r>
        <w:rPr>
          <w:color w:val="000000"/>
          <w:sz w:val="20"/>
          <w:szCs w:val="20"/>
        </w:rPr>
        <w:t xml:space="preserve">gibles of $8.4 million, arising as a result of our acquisition activity, and depreciation of property and equipment of $2.5 million. </w:t>
      </w:r>
    </w:p>
    <w:p w14:paraId="2773AC7C" w14:textId="77777777" w:rsidR="00000000" w:rsidRDefault="00582324">
      <w:pPr>
        <w:pStyle w:val="a3"/>
        <w:spacing w:before="240" w:beforeAutospacing="0" w:after="0" w:afterAutospacing="0"/>
        <w:jc w:val="center"/>
        <w:rPr>
          <w:sz w:val="20"/>
          <w:szCs w:val="20"/>
        </w:rPr>
      </w:pPr>
      <w:r>
        <w:rPr>
          <w:sz w:val="20"/>
          <w:szCs w:val="20"/>
        </w:rPr>
        <w:t>38</w:t>
      </w:r>
    </w:p>
    <w:p w14:paraId="1BACC87F" w14:textId="77777777" w:rsidR="00000000" w:rsidRDefault="00582324">
      <w:pPr>
        <w:rPr>
          <w:rFonts w:eastAsia="Times New Roman"/>
        </w:rPr>
      </w:pPr>
      <w:r>
        <w:rPr>
          <w:rFonts w:eastAsia="Times New Roman"/>
        </w:rPr>
        <w:pict w14:anchorId="07079E89">
          <v:rect id="_x0000_i1064" style="width:0;height:1.5pt" o:hralign="center" o:hrstd="t" o:hr="t" fillcolor="#a0a0a0" stroked="f"/>
        </w:pict>
      </w:r>
    </w:p>
    <w:p w14:paraId="4E94737F" w14:textId="77777777" w:rsidR="00000000" w:rsidRDefault="00582324">
      <w:pPr>
        <w:pStyle w:val="a3"/>
        <w:spacing w:before="0" w:beforeAutospacing="0" w:after="0" w:afterAutospacing="0"/>
        <w:rPr>
          <w:sz w:val="20"/>
          <w:szCs w:val="20"/>
        </w:rPr>
      </w:pPr>
      <w:r>
        <w:rPr>
          <w:sz w:val="20"/>
          <w:szCs w:val="20"/>
        </w:rPr>
        <w:t> </w:t>
      </w:r>
    </w:p>
    <w:p w14:paraId="301FB44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Depreciation and amortization expense for the three months ended June 30, 2020, was $9.8 million and was comprised of amortization of finite lived intangibles of $7.8 million and depreciation of property and equipment </w:t>
      </w:r>
      <w:r>
        <w:rPr>
          <w:color w:val="000000"/>
          <w:sz w:val="20"/>
          <w:szCs w:val="20"/>
        </w:rPr>
        <w:t xml:space="preserve">of $2.0 million. </w:t>
      </w:r>
    </w:p>
    <w:p w14:paraId="4B545CF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increase in both depreciation and amortization for the three months ended June 30, 2021 versus the three months ended June 30, 2020, was primarily a result of acquisitions.</w:t>
      </w:r>
    </w:p>
    <w:p w14:paraId="7E7F40A6"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Other (Expense) Income</w:t>
      </w:r>
    </w:p>
    <w:p w14:paraId="72E02719"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Other expense for the three months end</w:t>
      </w:r>
      <w:r>
        <w:rPr>
          <w:color w:val="000000"/>
          <w:sz w:val="20"/>
          <w:szCs w:val="20"/>
        </w:rPr>
        <w:t>ed June 30, 2021 of $0.8 million was driven by fair value adjustments related to the Series A-2 preferred stock conversion option. Other income of $21.9 million for the three months ended June 30, 2020 was driven primarily by fair value adjustments related</w:t>
      </w:r>
      <w:r>
        <w:rPr>
          <w:color w:val="000000"/>
          <w:sz w:val="20"/>
          <w:szCs w:val="20"/>
        </w:rPr>
        <w:t xml:space="preserve"> to the Series A-1 preferred stock contingent put option.  See Notes 16 and 17 to our unaudited condensed consolidated financial statements included in Part 1, Item 1. “Financial Statements.”</w:t>
      </w:r>
    </w:p>
    <w:p w14:paraId="1C48E198"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Interest Expense, Net</w:t>
      </w:r>
    </w:p>
    <w:p w14:paraId="33035345"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Interest expense, net incurred in the thre</w:t>
      </w:r>
      <w:r>
        <w:rPr>
          <w:color w:val="000000"/>
          <w:sz w:val="20"/>
          <w:szCs w:val="20"/>
        </w:rPr>
        <w:t>e months ended June 30, 2021, was $6.8 million, compared to $5.3 million for the three months ended June 30, 2020. The increase in interest expense was driven by an increase in the write off of deferred debt issuance costs and higher outstanding debt balan</w:t>
      </w:r>
      <w:r>
        <w:rPr>
          <w:color w:val="000000"/>
          <w:sz w:val="20"/>
          <w:szCs w:val="20"/>
        </w:rPr>
        <w:t xml:space="preserve">ces, partially offset by lower average interest rates under the 2021 Credit Facility. </w:t>
      </w:r>
      <w:r>
        <w:rPr>
          <w:color w:val="000000"/>
          <w:sz w:val="20"/>
          <w:szCs w:val="20"/>
          <w:shd w:val="clear" w:color="auto" w:fill="FFFFFF"/>
        </w:rPr>
        <w:t>Interest expense in the three months ended June 30, 2021 includes $3.1 million from the write off of deferred debt issuance costs related to the repayment of our 2020 Cre</w:t>
      </w:r>
      <w:r>
        <w:rPr>
          <w:color w:val="000000"/>
          <w:sz w:val="20"/>
          <w:szCs w:val="20"/>
          <w:shd w:val="clear" w:color="auto" w:fill="FFFFFF"/>
        </w:rPr>
        <w:t xml:space="preserve">dit Facility, whereas interest expense in the three months ended June 30, 2020 includes $1.4 million expense from both payments made and the write off of deferred debt issuance costs, related to the repayment of the Prior Credit Facility. </w:t>
      </w:r>
      <w:r>
        <w:rPr>
          <w:color w:val="000000"/>
          <w:sz w:val="20"/>
          <w:szCs w:val="20"/>
        </w:rPr>
        <w:t xml:space="preserve">See “Key Factors </w:t>
      </w:r>
      <w:r>
        <w:rPr>
          <w:color w:val="000000"/>
          <w:sz w:val="20"/>
          <w:szCs w:val="20"/>
        </w:rPr>
        <w:t>that Affect Our Business and Our Results—Financing Costs” and Note 13 to our unaudited condensed consolidated financial statements included in Part I, Item 1. “Financial Statements.”</w:t>
      </w:r>
    </w:p>
    <w:p w14:paraId="219E49BF"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Income Taxes Expense (Benefit)</w:t>
      </w:r>
    </w:p>
    <w:p w14:paraId="507FE965"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Income tax expense was not material during</w:t>
      </w:r>
      <w:r>
        <w:rPr>
          <w:color w:val="000000"/>
          <w:sz w:val="20"/>
          <w:szCs w:val="20"/>
        </w:rPr>
        <w:t xml:space="preserve"> the three months ended June 30, 2021, </w:t>
      </w:r>
      <w:r>
        <w:rPr>
          <w:color w:val="000000"/>
          <w:sz w:val="20"/>
          <w:szCs w:val="20"/>
          <w:shd w:val="clear" w:color="auto" w:fill="FFFFFF"/>
        </w:rPr>
        <w:t>compared to an income tax benefit of </w:t>
      </w:r>
      <w:r>
        <w:rPr>
          <w:color w:val="000000"/>
          <w:sz w:val="20"/>
          <w:szCs w:val="20"/>
        </w:rPr>
        <w:t xml:space="preserve">$1.8 million for the three months ended June 30, 2020. </w:t>
      </w:r>
    </w:p>
    <w:p w14:paraId="5629ACB2" w14:textId="77777777" w:rsidR="00000000" w:rsidRDefault="00582324">
      <w:pPr>
        <w:pStyle w:val="a3"/>
        <w:shd w:val="clear" w:color="auto" w:fill="FFFFFF"/>
        <w:spacing w:before="120" w:beforeAutospacing="0" w:after="0" w:afterAutospacing="0"/>
        <w:ind w:firstLine="416"/>
        <w:rPr>
          <w:b/>
          <w:bCs/>
          <w:sz w:val="20"/>
          <w:szCs w:val="20"/>
        </w:rPr>
      </w:pPr>
      <w:r>
        <w:rPr>
          <w:b/>
          <w:bCs/>
          <w:sz w:val="20"/>
          <w:szCs w:val="20"/>
        </w:rPr>
        <w:t> </w:t>
      </w:r>
    </w:p>
    <w:p w14:paraId="17D2FCD0" w14:textId="77777777" w:rsidR="00000000" w:rsidRDefault="00582324">
      <w:pPr>
        <w:pStyle w:val="a3"/>
        <w:shd w:val="clear" w:color="auto" w:fill="FFFFFF"/>
        <w:spacing w:before="120" w:beforeAutospacing="0" w:after="0" w:afterAutospacing="0"/>
        <w:rPr>
          <w:b/>
          <w:bCs/>
          <w:i/>
          <w:iCs/>
          <w:color w:val="000000"/>
          <w:sz w:val="20"/>
          <w:szCs w:val="20"/>
        </w:rPr>
      </w:pPr>
      <w:r>
        <w:rPr>
          <w:b/>
          <w:bCs/>
          <w:i/>
          <w:iCs/>
          <w:color w:val="000000"/>
          <w:sz w:val="20"/>
          <w:szCs w:val="20"/>
        </w:rPr>
        <w:t>Six Months Ended June 30, 2021 Compared to the Six Months Ended June 30, 2020</w:t>
      </w:r>
    </w:p>
    <w:tbl>
      <w:tblPr>
        <w:tblW w:w="5000" w:type="pct"/>
        <w:tblCellMar>
          <w:left w:w="0" w:type="dxa"/>
          <w:right w:w="0" w:type="dxa"/>
        </w:tblCellMar>
        <w:tblLook w:val="04A0" w:firstRow="1" w:lastRow="0" w:firstColumn="1" w:lastColumn="0" w:noHBand="0" w:noVBand="1"/>
      </w:tblPr>
      <w:tblGrid>
        <w:gridCol w:w="5507"/>
        <w:gridCol w:w="65"/>
        <w:gridCol w:w="105"/>
        <w:gridCol w:w="1003"/>
        <w:gridCol w:w="225"/>
        <w:gridCol w:w="66"/>
        <w:gridCol w:w="105"/>
        <w:gridCol w:w="1005"/>
        <w:gridCol w:w="225"/>
      </w:tblGrid>
      <w:tr w:rsidR="00000000" w14:paraId="00530B1C" w14:textId="77777777">
        <w:trPr>
          <w:divId w:val="2131241710"/>
        </w:trPr>
        <w:tc>
          <w:tcPr>
            <w:tcW w:w="3354" w:type="pct"/>
            <w:shd w:val="clear" w:color="auto" w:fill="FFFFFF"/>
            <w:tcMar>
              <w:top w:w="15" w:type="dxa"/>
              <w:left w:w="0" w:type="dxa"/>
              <w:bottom w:w="0" w:type="dxa"/>
              <w:right w:w="15" w:type="dxa"/>
            </w:tcMar>
            <w:vAlign w:val="bottom"/>
            <w:hideMark/>
          </w:tcPr>
          <w:p w14:paraId="14396A5E" w14:textId="77777777" w:rsidR="00000000" w:rsidRDefault="00582324">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79B2517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48EC40B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Six Months</w:t>
            </w:r>
          </w:p>
          <w:p w14:paraId="2A7B50F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57DE25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4E1E978" w14:textId="77777777">
        <w:trPr>
          <w:divId w:val="2131241710"/>
        </w:trPr>
        <w:tc>
          <w:tcPr>
            <w:tcW w:w="3354" w:type="pct"/>
            <w:shd w:val="clear" w:color="auto" w:fill="FFFFFF"/>
            <w:tcMar>
              <w:top w:w="15" w:type="dxa"/>
              <w:left w:w="0" w:type="dxa"/>
              <w:bottom w:w="0" w:type="dxa"/>
              <w:right w:w="15" w:type="dxa"/>
            </w:tcMar>
            <w:vAlign w:val="bottom"/>
            <w:hideMark/>
          </w:tcPr>
          <w:p w14:paraId="0CDDDAD6"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 except per share and percentage data)</w:t>
            </w:r>
          </w:p>
        </w:tc>
        <w:tc>
          <w:tcPr>
            <w:tcW w:w="79" w:type="pct"/>
            <w:shd w:val="clear" w:color="auto" w:fill="FFFFFF"/>
            <w:tcMar>
              <w:top w:w="15" w:type="dxa"/>
              <w:left w:w="0" w:type="dxa"/>
              <w:bottom w:w="0" w:type="dxa"/>
              <w:right w:w="15" w:type="dxa"/>
            </w:tcMar>
            <w:vAlign w:val="bottom"/>
            <w:hideMark/>
          </w:tcPr>
          <w:p w14:paraId="3620F6E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AD7FE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0010E37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2F218B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AA832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7475C3B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2F55BB3" w14:textId="77777777">
        <w:trPr>
          <w:divId w:val="2131241710"/>
        </w:trPr>
        <w:tc>
          <w:tcPr>
            <w:tcW w:w="3354" w:type="pct"/>
            <w:shd w:val="clear" w:color="auto" w:fill="CFF0FC"/>
            <w:tcMar>
              <w:top w:w="15" w:type="dxa"/>
              <w:left w:w="0" w:type="dxa"/>
              <w:bottom w:w="0" w:type="dxa"/>
              <w:right w:w="15" w:type="dxa"/>
            </w:tcMar>
            <w:hideMark/>
          </w:tcPr>
          <w:p w14:paraId="49C67E07" w14:textId="77777777" w:rsidR="00000000" w:rsidRDefault="00582324">
            <w:pPr>
              <w:pStyle w:val="a3"/>
              <w:spacing w:before="0" w:beforeAutospacing="0" w:after="0" w:afterAutospacing="0"/>
              <w:rPr>
                <w:b/>
                <w:bCs/>
                <w:color w:val="000000"/>
                <w:sz w:val="18"/>
                <w:szCs w:val="18"/>
              </w:rPr>
            </w:pPr>
            <w:r>
              <w:rPr>
                <w:b/>
                <w:bCs/>
                <w:color w:val="000000"/>
                <w:sz w:val="18"/>
                <w:szCs w:val="18"/>
              </w:rPr>
              <w:t>Statements of operations data:</w:t>
            </w:r>
          </w:p>
        </w:tc>
        <w:tc>
          <w:tcPr>
            <w:tcW w:w="79" w:type="pct"/>
            <w:shd w:val="clear" w:color="auto" w:fill="CFF0FC"/>
            <w:tcMar>
              <w:top w:w="15" w:type="dxa"/>
              <w:left w:w="0" w:type="dxa"/>
              <w:bottom w:w="0" w:type="dxa"/>
              <w:right w:w="15" w:type="dxa"/>
            </w:tcMar>
            <w:vAlign w:val="bottom"/>
            <w:hideMark/>
          </w:tcPr>
          <w:p w14:paraId="5EDDBFC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137B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280618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2294E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65A35D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3E348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3870E5D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2D828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09D9F96" w14:textId="77777777">
        <w:trPr>
          <w:divId w:val="2131241710"/>
        </w:trPr>
        <w:tc>
          <w:tcPr>
            <w:tcW w:w="3354" w:type="pct"/>
            <w:shd w:val="clear" w:color="auto" w:fill="FFFFFF"/>
            <w:tcMar>
              <w:top w:w="15" w:type="dxa"/>
              <w:left w:w="0" w:type="dxa"/>
              <w:bottom w:w="0" w:type="dxa"/>
              <w:right w:w="15" w:type="dxa"/>
            </w:tcMar>
            <w:hideMark/>
          </w:tcPr>
          <w:p w14:paraId="69CB8FA8" w14:textId="77777777" w:rsidR="00000000" w:rsidRDefault="00582324">
            <w:pPr>
              <w:pStyle w:val="a3"/>
              <w:spacing w:before="0" w:beforeAutospacing="0" w:after="0" w:afterAutospacing="0"/>
              <w:rPr>
                <w:color w:val="000000"/>
                <w:sz w:val="18"/>
                <w:szCs w:val="18"/>
              </w:rPr>
            </w:pPr>
            <w:r>
              <w:rPr>
                <w:color w:val="000000"/>
                <w:sz w:val="18"/>
                <w:szCs w:val="18"/>
              </w:rPr>
              <w:t>Revenues</w:t>
            </w:r>
          </w:p>
        </w:tc>
        <w:tc>
          <w:tcPr>
            <w:tcW w:w="79" w:type="pct"/>
            <w:shd w:val="clear" w:color="auto" w:fill="FFFFFF"/>
            <w:tcMar>
              <w:top w:w="15" w:type="dxa"/>
              <w:left w:w="0" w:type="dxa"/>
              <w:bottom w:w="0" w:type="dxa"/>
              <w:right w:w="15" w:type="dxa"/>
            </w:tcMar>
            <w:vAlign w:val="bottom"/>
            <w:hideMark/>
          </w:tcPr>
          <w:p w14:paraId="415311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D7E8B0"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3" w:type="pct"/>
            <w:shd w:val="clear" w:color="auto" w:fill="FFFFFF"/>
            <w:noWrap/>
            <w:tcMar>
              <w:top w:w="15" w:type="dxa"/>
              <w:left w:w="0" w:type="dxa"/>
              <w:bottom w:w="0" w:type="dxa"/>
              <w:right w:w="15" w:type="dxa"/>
            </w:tcMar>
            <w:vAlign w:val="bottom"/>
            <w:hideMark/>
          </w:tcPr>
          <w:p w14:paraId="38067F4E" w14:textId="77777777" w:rsidR="00000000" w:rsidRDefault="00582324">
            <w:pPr>
              <w:pStyle w:val="a3"/>
              <w:spacing w:before="0" w:beforeAutospacing="0" w:after="0" w:afterAutospacing="0"/>
              <w:jc w:val="right"/>
              <w:rPr>
                <w:color w:val="000000"/>
                <w:sz w:val="18"/>
                <w:szCs w:val="18"/>
              </w:rPr>
            </w:pPr>
            <w:r>
              <w:rPr>
                <w:color w:val="000000"/>
                <w:sz w:val="18"/>
                <w:szCs w:val="18"/>
              </w:rPr>
              <w:t>270,041</w:t>
            </w:r>
          </w:p>
        </w:tc>
        <w:tc>
          <w:tcPr>
            <w:tcW w:w="50" w:type="pct"/>
            <w:shd w:val="clear" w:color="auto" w:fill="FFFFFF"/>
            <w:noWrap/>
            <w:tcMar>
              <w:top w:w="15" w:type="dxa"/>
              <w:left w:w="0" w:type="dxa"/>
              <w:bottom w:w="0" w:type="dxa"/>
              <w:right w:w="15" w:type="dxa"/>
            </w:tcMar>
            <w:vAlign w:val="bottom"/>
            <w:hideMark/>
          </w:tcPr>
          <w:p w14:paraId="6C4EA5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FFFFFF"/>
            <w:tcMar>
              <w:top w:w="15" w:type="dxa"/>
              <w:left w:w="0" w:type="dxa"/>
              <w:bottom w:w="0" w:type="dxa"/>
              <w:right w:w="15" w:type="dxa"/>
            </w:tcMar>
            <w:vAlign w:val="bottom"/>
            <w:hideMark/>
          </w:tcPr>
          <w:p w14:paraId="2025B6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DFE5C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3" w:type="pct"/>
            <w:shd w:val="clear" w:color="auto" w:fill="FFFFFF"/>
            <w:noWrap/>
            <w:tcMar>
              <w:top w:w="15" w:type="dxa"/>
              <w:left w:w="0" w:type="dxa"/>
              <w:bottom w:w="0" w:type="dxa"/>
              <w:right w:w="15" w:type="dxa"/>
            </w:tcMar>
            <w:vAlign w:val="bottom"/>
            <w:hideMark/>
          </w:tcPr>
          <w:p w14:paraId="657F8FFC" w14:textId="77777777" w:rsidR="00000000" w:rsidRDefault="00582324">
            <w:pPr>
              <w:pStyle w:val="a3"/>
              <w:spacing w:before="0" w:beforeAutospacing="0" w:after="0" w:afterAutospacing="0"/>
              <w:jc w:val="right"/>
              <w:rPr>
                <w:color w:val="000000"/>
                <w:sz w:val="18"/>
                <w:szCs w:val="18"/>
              </w:rPr>
            </w:pPr>
            <w:r>
              <w:rPr>
                <w:color w:val="000000"/>
                <w:sz w:val="18"/>
                <w:szCs w:val="18"/>
              </w:rPr>
              <w:t>134,797</w:t>
            </w:r>
          </w:p>
        </w:tc>
        <w:tc>
          <w:tcPr>
            <w:tcW w:w="50" w:type="pct"/>
            <w:shd w:val="clear" w:color="auto" w:fill="FFFFFF"/>
            <w:noWrap/>
            <w:tcMar>
              <w:top w:w="15" w:type="dxa"/>
              <w:left w:w="0" w:type="dxa"/>
              <w:bottom w:w="0" w:type="dxa"/>
              <w:right w:w="15" w:type="dxa"/>
            </w:tcMar>
            <w:vAlign w:val="bottom"/>
            <w:hideMark/>
          </w:tcPr>
          <w:p w14:paraId="69C39E5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187D990" w14:textId="77777777">
        <w:trPr>
          <w:divId w:val="2131241710"/>
        </w:trPr>
        <w:tc>
          <w:tcPr>
            <w:tcW w:w="3354" w:type="pct"/>
            <w:shd w:val="clear" w:color="auto" w:fill="CFF0FC"/>
            <w:tcMar>
              <w:top w:w="15" w:type="dxa"/>
              <w:left w:w="0" w:type="dxa"/>
              <w:bottom w:w="0" w:type="dxa"/>
              <w:right w:w="15" w:type="dxa"/>
            </w:tcMar>
            <w:hideMark/>
          </w:tcPr>
          <w:p w14:paraId="09FFF145" w14:textId="77777777" w:rsidR="00000000" w:rsidRDefault="00582324">
            <w:pPr>
              <w:pStyle w:val="a3"/>
              <w:spacing w:before="0" w:beforeAutospacing="0" w:after="0" w:afterAutospacing="0"/>
              <w:rPr>
                <w:color w:val="000000"/>
                <w:sz w:val="18"/>
                <w:szCs w:val="18"/>
              </w:rPr>
            </w:pPr>
            <w:r>
              <w:rPr>
                <w:color w:val="000000"/>
                <w:sz w:val="18"/>
                <w:szCs w:val="18"/>
              </w:rPr>
              <w:t>Cost of revenues (exclusive of depreciation and amortization)</w:t>
            </w:r>
          </w:p>
        </w:tc>
        <w:tc>
          <w:tcPr>
            <w:tcW w:w="79" w:type="pct"/>
            <w:shd w:val="clear" w:color="auto" w:fill="CFF0FC"/>
            <w:tcMar>
              <w:top w:w="15" w:type="dxa"/>
              <w:left w:w="0" w:type="dxa"/>
              <w:bottom w:w="0" w:type="dxa"/>
              <w:right w:w="15" w:type="dxa"/>
            </w:tcMar>
            <w:vAlign w:val="bottom"/>
            <w:hideMark/>
          </w:tcPr>
          <w:p w14:paraId="3AD7AB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D17F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4607F141" w14:textId="77777777" w:rsidR="00000000" w:rsidRDefault="00582324">
            <w:pPr>
              <w:pStyle w:val="a3"/>
              <w:spacing w:before="0" w:beforeAutospacing="0" w:after="0" w:afterAutospacing="0"/>
              <w:jc w:val="right"/>
              <w:rPr>
                <w:color w:val="000000"/>
                <w:sz w:val="18"/>
                <w:szCs w:val="18"/>
              </w:rPr>
            </w:pPr>
            <w:r>
              <w:rPr>
                <w:color w:val="000000"/>
                <w:sz w:val="18"/>
                <w:szCs w:val="18"/>
              </w:rPr>
              <w:t>187,420</w:t>
            </w:r>
          </w:p>
        </w:tc>
        <w:tc>
          <w:tcPr>
            <w:tcW w:w="50" w:type="pct"/>
            <w:shd w:val="clear" w:color="auto" w:fill="CFF0FC"/>
            <w:noWrap/>
            <w:tcMar>
              <w:top w:w="15" w:type="dxa"/>
              <w:left w:w="0" w:type="dxa"/>
              <w:bottom w:w="0" w:type="dxa"/>
              <w:right w:w="15" w:type="dxa"/>
            </w:tcMar>
            <w:vAlign w:val="bottom"/>
            <w:hideMark/>
          </w:tcPr>
          <w:p w14:paraId="39BF2E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766D363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6C611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078A2D85" w14:textId="77777777" w:rsidR="00000000" w:rsidRDefault="00582324">
            <w:pPr>
              <w:pStyle w:val="a3"/>
              <w:spacing w:before="0" w:beforeAutospacing="0" w:after="0" w:afterAutospacing="0"/>
              <w:jc w:val="right"/>
              <w:rPr>
                <w:color w:val="000000"/>
                <w:sz w:val="18"/>
                <w:szCs w:val="18"/>
              </w:rPr>
            </w:pPr>
            <w:r>
              <w:rPr>
                <w:color w:val="000000"/>
                <w:sz w:val="18"/>
                <w:szCs w:val="18"/>
              </w:rPr>
              <w:t>90,287</w:t>
            </w:r>
          </w:p>
        </w:tc>
        <w:tc>
          <w:tcPr>
            <w:tcW w:w="50" w:type="pct"/>
            <w:shd w:val="clear" w:color="auto" w:fill="CFF0FC"/>
            <w:noWrap/>
            <w:tcMar>
              <w:top w:w="15" w:type="dxa"/>
              <w:left w:w="0" w:type="dxa"/>
              <w:bottom w:w="0" w:type="dxa"/>
              <w:right w:w="15" w:type="dxa"/>
            </w:tcMar>
            <w:vAlign w:val="bottom"/>
            <w:hideMark/>
          </w:tcPr>
          <w:p w14:paraId="5B01077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360A54B" w14:textId="77777777">
        <w:trPr>
          <w:divId w:val="2131241710"/>
        </w:trPr>
        <w:tc>
          <w:tcPr>
            <w:tcW w:w="3354" w:type="pct"/>
            <w:shd w:val="clear" w:color="auto" w:fill="FFFFFF"/>
            <w:tcMar>
              <w:top w:w="15" w:type="dxa"/>
              <w:left w:w="0" w:type="dxa"/>
              <w:bottom w:w="0" w:type="dxa"/>
              <w:right w:w="15" w:type="dxa"/>
            </w:tcMar>
            <w:hideMark/>
          </w:tcPr>
          <w:p w14:paraId="63B23CC8" w14:textId="77777777" w:rsidR="00000000" w:rsidRDefault="00582324">
            <w:pPr>
              <w:pStyle w:val="a3"/>
              <w:spacing w:before="0" w:beforeAutospacing="0" w:after="0" w:afterAutospacing="0"/>
              <w:rPr>
                <w:color w:val="000000"/>
                <w:sz w:val="18"/>
                <w:szCs w:val="18"/>
              </w:rPr>
            </w:pPr>
            <w:r>
              <w:rPr>
                <w:color w:val="000000"/>
                <w:sz w:val="18"/>
                <w:szCs w:val="18"/>
              </w:rPr>
              <w:t>Selling, general and administrative expense</w:t>
            </w:r>
          </w:p>
        </w:tc>
        <w:tc>
          <w:tcPr>
            <w:tcW w:w="79" w:type="pct"/>
            <w:shd w:val="clear" w:color="auto" w:fill="FFFFFF"/>
            <w:tcMar>
              <w:top w:w="15" w:type="dxa"/>
              <w:left w:w="0" w:type="dxa"/>
              <w:bottom w:w="0" w:type="dxa"/>
              <w:right w:w="15" w:type="dxa"/>
            </w:tcMar>
            <w:vAlign w:val="bottom"/>
            <w:hideMark/>
          </w:tcPr>
          <w:p w14:paraId="47D2AB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16E8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21ED6221" w14:textId="77777777" w:rsidR="00000000" w:rsidRDefault="00582324">
            <w:pPr>
              <w:pStyle w:val="a3"/>
              <w:spacing w:before="0" w:beforeAutospacing="0" w:after="0" w:afterAutospacing="0"/>
              <w:jc w:val="right"/>
              <w:rPr>
                <w:color w:val="000000"/>
                <w:sz w:val="18"/>
                <w:szCs w:val="18"/>
              </w:rPr>
            </w:pPr>
            <w:r>
              <w:rPr>
                <w:color w:val="000000"/>
                <w:sz w:val="18"/>
                <w:szCs w:val="18"/>
              </w:rPr>
              <w:t>52,366</w:t>
            </w:r>
          </w:p>
        </w:tc>
        <w:tc>
          <w:tcPr>
            <w:tcW w:w="50" w:type="pct"/>
            <w:shd w:val="clear" w:color="auto" w:fill="FFFFFF"/>
            <w:noWrap/>
            <w:tcMar>
              <w:top w:w="15" w:type="dxa"/>
              <w:left w:w="0" w:type="dxa"/>
              <w:bottom w:w="0" w:type="dxa"/>
              <w:right w:w="15" w:type="dxa"/>
            </w:tcMar>
            <w:vAlign w:val="bottom"/>
            <w:hideMark/>
          </w:tcPr>
          <w:p w14:paraId="2ADA50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FFFFFF"/>
            <w:tcMar>
              <w:top w:w="15" w:type="dxa"/>
              <w:left w:w="0" w:type="dxa"/>
              <w:bottom w:w="0" w:type="dxa"/>
              <w:right w:w="15" w:type="dxa"/>
            </w:tcMar>
            <w:vAlign w:val="bottom"/>
            <w:hideMark/>
          </w:tcPr>
          <w:p w14:paraId="14456C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70E3D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73E09E57" w14:textId="77777777" w:rsidR="00000000" w:rsidRDefault="00582324">
            <w:pPr>
              <w:pStyle w:val="a3"/>
              <w:spacing w:before="0" w:beforeAutospacing="0" w:after="0" w:afterAutospacing="0"/>
              <w:jc w:val="right"/>
              <w:rPr>
                <w:color w:val="000000"/>
                <w:sz w:val="18"/>
                <w:szCs w:val="18"/>
              </w:rPr>
            </w:pPr>
            <w:r>
              <w:rPr>
                <w:color w:val="000000"/>
                <w:sz w:val="18"/>
                <w:szCs w:val="18"/>
              </w:rPr>
              <w:t>39,837</w:t>
            </w:r>
          </w:p>
        </w:tc>
        <w:tc>
          <w:tcPr>
            <w:tcW w:w="50" w:type="pct"/>
            <w:shd w:val="clear" w:color="auto" w:fill="FFFFFF"/>
            <w:noWrap/>
            <w:tcMar>
              <w:top w:w="15" w:type="dxa"/>
              <w:left w:w="0" w:type="dxa"/>
              <w:bottom w:w="0" w:type="dxa"/>
              <w:right w:w="15" w:type="dxa"/>
            </w:tcMar>
            <w:vAlign w:val="bottom"/>
            <w:hideMark/>
          </w:tcPr>
          <w:p w14:paraId="0B27728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41381FA" w14:textId="77777777">
        <w:trPr>
          <w:divId w:val="2131241710"/>
        </w:trPr>
        <w:tc>
          <w:tcPr>
            <w:tcW w:w="3354" w:type="pct"/>
            <w:shd w:val="clear" w:color="auto" w:fill="CFF0FC"/>
            <w:tcMar>
              <w:top w:w="15" w:type="dxa"/>
              <w:left w:w="0" w:type="dxa"/>
              <w:bottom w:w="0" w:type="dxa"/>
              <w:right w:w="15" w:type="dxa"/>
            </w:tcMar>
            <w:hideMark/>
          </w:tcPr>
          <w:p w14:paraId="2DB1ED56" w14:textId="77777777" w:rsidR="00000000" w:rsidRDefault="00582324">
            <w:pPr>
              <w:pStyle w:val="a3"/>
              <w:spacing w:before="0" w:beforeAutospacing="0" w:after="0" w:afterAutospacing="0"/>
              <w:rPr>
                <w:color w:val="000000"/>
                <w:sz w:val="18"/>
                <w:szCs w:val="18"/>
              </w:rPr>
            </w:pPr>
            <w:r>
              <w:rPr>
                <w:color w:val="000000"/>
                <w:sz w:val="18"/>
                <w:szCs w:val="18"/>
              </w:rPr>
              <w:t>Initial public offering expense</w:t>
            </w:r>
          </w:p>
        </w:tc>
        <w:tc>
          <w:tcPr>
            <w:tcW w:w="79" w:type="pct"/>
            <w:shd w:val="clear" w:color="auto" w:fill="CFF0FC"/>
            <w:tcMar>
              <w:top w:w="15" w:type="dxa"/>
              <w:left w:w="0" w:type="dxa"/>
              <w:bottom w:w="0" w:type="dxa"/>
              <w:right w:w="15" w:type="dxa"/>
            </w:tcMar>
            <w:vAlign w:val="bottom"/>
            <w:hideMark/>
          </w:tcPr>
          <w:p w14:paraId="1DEAD3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CD79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69AEBBA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F616B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07764B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45BB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6E305B88" w14:textId="77777777" w:rsidR="00000000" w:rsidRDefault="00582324">
            <w:pPr>
              <w:pStyle w:val="a3"/>
              <w:spacing w:before="0" w:beforeAutospacing="0" w:after="0" w:afterAutospacing="0"/>
              <w:jc w:val="right"/>
              <w:rPr>
                <w:color w:val="000000"/>
                <w:sz w:val="18"/>
                <w:szCs w:val="18"/>
              </w:rPr>
            </w:pPr>
            <w:r>
              <w:rPr>
                <w:color w:val="000000"/>
                <w:sz w:val="18"/>
                <w:szCs w:val="18"/>
              </w:rPr>
              <w:t>531</w:t>
            </w:r>
          </w:p>
        </w:tc>
        <w:tc>
          <w:tcPr>
            <w:tcW w:w="50" w:type="pct"/>
            <w:shd w:val="clear" w:color="auto" w:fill="CFF0FC"/>
            <w:noWrap/>
            <w:tcMar>
              <w:top w:w="15" w:type="dxa"/>
              <w:left w:w="0" w:type="dxa"/>
              <w:bottom w:w="0" w:type="dxa"/>
              <w:right w:w="15" w:type="dxa"/>
            </w:tcMar>
            <w:vAlign w:val="bottom"/>
            <w:hideMark/>
          </w:tcPr>
          <w:p w14:paraId="50345E53"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B4B1F02" w14:textId="77777777">
        <w:trPr>
          <w:divId w:val="2131241710"/>
        </w:trPr>
        <w:tc>
          <w:tcPr>
            <w:tcW w:w="3354" w:type="pct"/>
            <w:shd w:val="clear" w:color="auto" w:fill="FFFFFF"/>
            <w:tcMar>
              <w:top w:w="15" w:type="dxa"/>
              <w:left w:w="0" w:type="dxa"/>
              <w:bottom w:w="0" w:type="dxa"/>
              <w:right w:w="15" w:type="dxa"/>
            </w:tcMar>
            <w:hideMark/>
          </w:tcPr>
          <w:p w14:paraId="7B6E15E7" w14:textId="77777777" w:rsidR="00000000" w:rsidRDefault="00582324">
            <w:pPr>
              <w:pStyle w:val="a3"/>
              <w:spacing w:before="0" w:beforeAutospacing="0" w:after="0" w:afterAutospacing="0"/>
              <w:rPr>
                <w:color w:val="000000"/>
                <w:sz w:val="18"/>
                <w:szCs w:val="18"/>
              </w:rPr>
            </w:pPr>
            <w:r>
              <w:rPr>
                <w:color w:val="000000"/>
                <w:sz w:val="18"/>
                <w:szCs w:val="18"/>
              </w:rPr>
              <w:t>Fair value changes in business acquisitions</w:t>
            </w:r>
          </w:p>
          <w:p w14:paraId="494B4710" w14:textId="77777777" w:rsidR="00000000" w:rsidRDefault="00582324">
            <w:pPr>
              <w:pStyle w:val="a3"/>
              <w:spacing w:before="0" w:beforeAutospacing="0" w:after="0" w:afterAutospacing="0"/>
              <w:rPr>
                <w:color w:val="000000"/>
                <w:sz w:val="18"/>
                <w:szCs w:val="18"/>
              </w:rPr>
            </w:pPr>
            <w:r>
              <w:rPr>
                <w:color w:val="000000"/>
                <w:sz w:val="18"/>
                <w:szCs w:val="18"/>
              </w:rPr>
              <w:t>   contingent consideration</w:t>
            </w:r>
          </w:p>
        </w:tc>
        <w:tc>
          <w:tcPr>
            <w:tcW w:w="79" w:type="pct"/>
            <w:shd w:val="clear" w:color="auto" w:fill="FFFFFF"/>
            <w:tcMar>
              <w:top w:w="15" w:type="dxa"/>
              <w:left w:w="0" w:type="dxa"/>
              <w:bottom w:w="0" w:type="dxa"/>
              <w:right w:w="15" w:type="dxa"/>
            </w:tcMar>
            <w:vAlign w:val="bottom"/>
            <w:hideMark/>
          </w:tcPr>
          <w:p w14:paraId="67F20C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CEB7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54624E97" w14:textId="77777777" w:rsidR="00000000" w:rsidRDefault="00582324">
            <w:pPr>
              <w:pStyle w:val="a3"/>
              <w:spacing w:before="0" w:beforeAutospacing="0" w:after="0" w:afterAutospacing="0"/>
              <w:jc w:val="right"/>
              <w:rPr>
                <w:color w:val="000000"/>
                <w:sz w:val="18"/>
                <w:szCs w:val="18"/>
              </w:rPr>
            </w:pPr>
            <w:r>
              <w:rPr>
                <w:color w:val="000000"/>
                <w:sz w:val="18"/>
                <w:szCs w:val="18"/>
              </w:rPr>
              <w:t>24,035</w:t>
            </w:r>
          </w:p>
        </w:tc>
        <w:tc>
          <w:tcPr>
            <w:tcW w:w="50" w:type="pct"/>
            <w:shd w:val="clear" w:color="auto" w:fill="FFFFFF"/>
            <w:noWrap/>
            <w:tcMar>
              <w:top w:w="15" w:type="dxa"/>
              <w:left w:w="0" w:type="dxa"/>
              <w:bottom w:w="0" w:type="dxa"/>
              <w:right w:w="15" w:type="dxa"/>
            </w:tcMar>
            <w:vAlign w:val="bottom"/>
            <w:hideMark/>
          </w:tcPr>
          <w:p w14:paraId="5A6DCD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FFFFFF"/>
            <w:tcMar>
              <w:top w:w="15" w:type="dxa"/>
              <w:left w:w="0" w:type="dxa"/>
              <w:bottom w:w="0" w:type="dxa"/>
              <w:right w:w="15" w:type="dxa"/>
            </w:tcMar>
            <w:vAlign w:val="bottom"/>
            <w:hideMark/>
          </w:tcPr>
          <w:p w14:paraId="416AB4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8E35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2BA945F4"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FFFFFF"/>
            <w:noWrap/>
            <w:tcMar>
              <w:top w:w="15" w:type="dxa"/>
              <w:left w:w="0" w:type="dxa"/>
              <w:bottom w:w="0" w:type="dxa"/>
              <w:right w:w="15" w:type="dxa"/>
            </w:tcMar>
            <w:vAlign w:val="bottom"/>
            <w:hideMark/>
          </w:tcPr>
          <w:p w14:paraId="17ED726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958BDF1" w14:textId="77777777">
        <w:trPr>
          <w:divId w:val="2131241710"/>
        </w:trPr>
        <w:tc>
          <w:tcPr>
            <w:tcW w:w="3354" w:type="pct"/>
            <w:shd w:val="clear" w:color="auto" w:fill="CFF0FC"/>
            <w:tcMar>
              <w:top w:w="15" w:type="dxa"/>
              <w:left w:w="0" w:type="dxa"/>
              <w:bottom w:w="0" w:type="dxa"/>
              <w:right w:w="15" w:type="dxa"/>
            </w:tcMar>
            <w:hideMark/>
          </w:tcPr>
          <w:p w14:paraId="5BF142AD" w14:textId="77777777" w:rsidR="00000000" w:rsidRDefault="00582324">
            <w:pPr>
              <w:pStyle w:val="a3"/>
              <w:spacing w:before="0" w:beforeAutospacing="0" w:after="0" w:afterAutospacing="0"/>
              <w:rPr>
                <w:color w:val="000000"/>
                <w:sz w:val="18"/>
                <w:szCs w:val="18"/>
              </w:rPr>
            </w:pPr>
            <w:r>
              <w:rPr>
                <w:color w:val="000000"/>
                <w:sz w:val="18"/>
                <w:szCs w:val="18"/>
              </w:rPr>
              <w:t>Depreciation and amortization</w:t>
            </w:r>
          </w:p>
        </w:tc>
        <w:tc>
          <w:tcPr>
            <w:tcW w:w="79" w:type="pct"/>
            <w:shd w:val="clear" w:color="auto" w:fill="CFF0FC"/>
            <w:tcMar>
              <w:top w:w="15" w:type="dxa"/>
              <w:left w:w="0" w:type="dxa"/>
              <w:bottom w:w="0" w:type="dxa"/>
              <w:right w:w="15" w:type="dxa"/>
            </w:tcMar>
            <w:vAlign w:val="bottom"/>
            <w:hideMark/>
          </w:tcPr>
          <w:p w14:paraId="5197D4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BECF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5B29FA32" w14:textId="77777777" w:rsidR="00000000" w:rsidRDefault="00582324">
            <w:pPr>
              <w:pStyle w:val="a3"/>
              <w:spacing w:before="0" w:beforeAutospacing="0" w:after="0" w:afterAutospacing="0"/>
              <w:jc w:val="right"/>
              <w:rPr>
                <w:color w:val="000000"/>
                <w:sz w:val="18"/>
                <w:szCs w:val="18"/>
              </w:rPr>
            </w:pPr>
            <w:r>
              <w:rPr>
                <w:color w:val="000000"/>
                <w:sz w:val="18"/>
                <w:szCs w:val="18"/>
              </w:rPr>
              <w:t>21,674</w:t>
            </w:r>
          </w:p>
        </w:tc>
        <w:tc>
          <w:tcPr>
            <w:tcW w:w="50" w:type="pct"/>
            <w:shd w:val="clear" w:color="auto" w:fill="CFF0FC"/>
            <w:noWrap/>
            <w:tcMar>
              <w:top w:w="15" w:type="dxa"/>
              <w:left w:w="0" w:type="dxa"/>
              <w:bottom w:w="0" w:type="dxa"/>
              <w:right w:w="15" w:type="dxa"/>
            </w:tcMar>
            <w:vAlign w:val="bottom"/>
            <w:hideMark/>
          </w:tcPr>
          <w:p w14:paraId="7470349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0F9D87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6F97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90CE215" w14:textId="77777777" w:rsidR="00000000" w:rsidRDefault="00582324">
            <w:pPr>
              <w:pStyle w:val="a3"/>
              <w:spacing w:before="0" w:beforeAutospacing="0" w:after="0" w:afterAutospacing="0"/>
              <w:jc w:val="right"/>
              <w:rPr>
                <w:color w:val="000000"/>
                <w:sz w:val="18"/>
                <w:szCs w:val="18"/>
              </w:rPr>
            </w:pPr>
            <w:r>
              <w:rPr>
                <w:color w:val="000000"/>
                <w:sz w:val="18"/>
                <w:szCs w:val="18"/>
              </w:rPr>
              <w:t>17,344</w:t>
            </w:r>
          </w:p>
        </w:tc>
        <w:tc>
          <w:tcPr>
            <w:tcW w:w="50" w:type="pct"/>
            <w:shd w:val="clear" w:color="auto" w:fill="CFF0FC"/>
            <w:noWrap/>
            <w:tcMar>
              <w:top w:w="15" w:type="dxa"/>
              <w:left w:w="0" w:type="dxa"/>
              <w:bottom w:w="0" w:type="dxa"/>
              <w:right w:w="15" w:type="dxa"/>
            </w:tcMar>
            <w:vAlign w:val="bottom"/>
            <w:hideMark/>
          </w:tcPr>
          <w:p w14:paraId="3E4A096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94E1034" w14:textId="77777777">
        <w:trPr>
          <w:divId w:val="2131241710"/>
        </w:trPr>
        <w:tc>
          <w:tcPr>
            <w:tcW w:w="3354" w:type="pct"/>
            <w:shd w:val="clear" w:color="auto" w:fill="FFFFFF"/>
            <w:tcMar>
              <w:top w:w="15" w:type="dxa"/>
              <w:left w:w="0" w:type="dxa"/>
              <w:bottom w:w="0" w:type="dxa"/>
              <w:right w:w="15" w:type="dxa"/>
            </w:tcMar>
            <w:hideMark/>
          </w:tcPr>
          <w:p w14:paraId="1C7B9F7E" w14:textId="77777777" w:rsidR="00000000" w:rsidRDefault="00582324">
            <w:pPr>
              <w:pStyle w:val="a3"/>
              <w:spacing w:before="0" w:beforeAutospacing="0" w:after="0" w:afterAutospacing="0"/>
              <w:rPr>
                <w:b/>
                <w:bCs/>
                <w:color w:val="000000"/>
                <w:sz w:val="18"/>
                <w:szCs w:val="18"/>
              </w:rPr>
            </w:pPr>
            <w:r>
              <w:rPr>
                <w:b/>
                <w:bCs/>
                <w:color w:val="000000"/>
                <w:sz w:val="18"/>
                <w:szCs w:val="18"/>
              </w:rPr>
              <w:t>Loss from operations</w:t>
            </w:r>
          </w:p>
        </w:tc>
        <w:tc>
          <w:tcPr>
            <w:tcW w:w="79" w:type="pct"/>
            <w:shd w:val="clear" w:color="auto" w:fill="FFFFFF"/>
            <w:tcMar>
              <w:top w:w="15" w:type="dxa"/>
              <w:left w:w="0" w:type="dxa"/>
              <w:bottom w:w="0" w:type="dxa"/>
              <w:right w:w="15" w:type="dxa"/>
            </w:tcMar>
            <w:vAlign w:val="bottom"/>
            <w:hideMark/>
          </w:tcPr>
          <w:p w14:paraId="4DA26F8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9E58B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BDBB1F"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(15,454</w:t>
            </w:r>
          </w:p>
        </w:tc>
        <w:tc>
          <w:tcPr>
            <w:tcW w:w="50" w:type="pct"/>
            <w:shd w:val="clear" w:color="auto" w:fill="FFFFFF"/>
            <w:noWrap/>
            <w:tcMar>
              <w:top w:w="15" w:type="dxa"/>
              <w:left w:w="0" w:type="dxa"/>
              <w:bottom w:w="0" w:type="dxa"/>
              <w:right w:w="15" w:type="dxa"/>
            </w:tcMar>
            <w:vAlign w:val="bottom"/>
            <w:hideMark/>
          </w:tcPr>
          <w:p w14:paraId="6DC063E8"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79" w:type="pct"/>
            <w:shd w:val="clear" w:color="auto" w:fill="FFFFFF"/>
            <w:tcMar>
              <w:top w:w="15" w:type="dxa"/>
              <w:left w:w="0" w:type="dxa"/>
              <w:bottom w:w="0" w:type="dxa"/>
              <w:right w:w="15" w:type="dxa"/>
            </w:tcMar>
            <w:vAlign w:val="bottom"/>
            <w:hideMark/>
          </w:tcPr>
          <w:p w14:paraId="08C5BEB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31F04F"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DCD647"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(17,185</w:t>
            </w:r>
          </w:p>
        </w:tc>
        <w:tc>
          <w:tcPr>
            <w:tcW w:w="50" w:type="pct"/>
            <w:shd w:val="clear" w:color="auto" w:fill="FFFFFF"/>
            <w:noWrap/>
            <w:tcMar>
              <w:top w:w="15" w:type="dxa"/>
              <w:left w:w="0" w:type="dxa"/>
              <w:bottom w:w="0" w:type="dxa"/>
              <w:right w:w="15" w:type="dxa"/>
            </w:tcMar>
            <w:vAlign w:val="bottom"/>
            <w:hideMark/>
          </w:tcPr>
          <w:p w14:paraId="3E151186"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4AC0BD5A" w14:textId="77777777">
        <w:trPr>
          <w:divId w:val="2131241710"/>
        </w:trPr>
        <w:tc>
          <w:tcPr>
            <w:tcW w:w="3354" w:type="pct"/>
            <w:shd w:val="clear" w:color="auto" w:fill="CFF0FC"/>
            <w:tcMar>
              <w:top w:w="15" w:type="dxa"/>
              <w:left w:w="0" w:type="dxa"/>
              <w:bottom w:w="0" w:type="dxa"/>
              <w:right w:w="15" w:type="dxa"/>
            </w:tcMar>
            <w:hideMark/>
          </w:tcPr>
          <w:p w14:paraId="52D08284" w14:textId="77777777" w:rsidR="00000000" w:rsidRDefault="00582324">
            <w:pPr>
              <w:pStyle w:val="a3"/>
              <w:spacing w:before="0" w:beforeAutospacing="0" w:after="0" w:afterAutospacing="0"/>
              <w:rPr>
                <w:color w:val="000000"/>
                <w:sz w:val="18"/>
                <w:szCs w:val="18"/>
              </w:rPr>
            </w:pPr>
            <w:r>
              <w:rPr>
                <w:color w:val="000000"/>
                <w:sz w:val="18"/>
                <w:szCs w:val="18"/>
              </w:rPr>
              <w:t>Other expense</w:t>
            </w:r>
          </w:p>
        </w:tc>
        <w:tc>
          <w:tcPr>
            <w:tcW w:w="79" w:type="pct"/>
            <w:shd w:val="clear" w:color="auto" w:fill="CFF0FC"/>
            <w:tcMar>
              <w:top w:w="15" w:type="dxa"/>
              <w:left w:w="0" w:type="dxa"/>
              <w:bottom w:w="0" w:type="dxa"/>
              <w:right w:w="15" w:type="dxa"/>
            </w:tcMar>
            <w:vAlign w:val="bottom"/>
            <w:hideMark/>
          </w:tcPr>
          <w:p w14:paraId="242BE3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2CF5E9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286C4090" w14:textId="77777777" w:rsidR="00000000" w:rsidRDefault="00582324">
            <w:pPr>
              <w:pStyle w:val="a3"/>
              <w:spacing w:before="0" w:beforeAutospacing="0" w:after="0" w:afterAutospacing="0"/>
              <w:jc w:val="right"/>
              <w:rPr>
                <w:color w:val="000000"/>
                <w:sz w:val="18"/>
                <w:szCs w:val="18"/>
              </w:rPr>
            </w:pPr>
            <w:r>
              <w:rPr>
                <w:color w:val="000000"/>
                <w:sz w:val="18"/>
                <w:szCs w:val="18"/>
              </w:rPr>
              <w:t>(1,393</w:t>
            </w:r>
          </w:p>
        </w:tc>
        <w:tc>
          <w:tcPr>
            <w:tcW w:w="50" w:type="pct"/>
            <w:shd w:val="clear" w:color="auto" w:fill="CFF0FC"/>
            <w:noWrap/>
            <w:tcMar>
              <w:top w:w="15" w:type="dxa"/>
              <w:left w:w="0" w:type="dxa"/>
              <w:bottom w:w="0" w:type="dxa"/>
              <w:right w:w="15" w:type="dxa"/>
            </w:tcMar>
            <w:vAlign w:val="bottom"/>
            <w:hideMark/>
          </w:tcPr>
          <w:p w14:paraId="5BF5A44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CFF0FC"/>
            <w:tcMar>
              <w:top w:w="15" w:type="dxa"/>
              <w:left w:w="0" w:type="dxa"/>
              <w:bottom w:w="0" w:type="dxa"/>
              <w:right w:w="15" w:type="dxa"/>
            </w:tcMar>
            <w:vAlign w:val="bottom"/>
            <w:hideMark/>
          </w:tcPr>
          <w:p w14:paraId="79AB70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1177AE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3CD3BFAC" w14:textId="77777777" w:rsidR="00000000" w:rsidRDefault="00582324">
            <w:pPr>
              <w:pStyle w:val="a3"/>
              <w:spacing w:before="0" w:beforeAutospacing="0" w:after="0" w:afterAutospacing="0"/>
              <w:jc w:val="right"/>
              <w:rPr>
                <w:color w:val="000000"/>
                <w:sz w:val="18"/>
                <w:szCs w:val="18"/>
              </w:rPr>
            </w:pPr>
            <w:r>
              <w:rPr>
                <w:color w:val="000000"/>
                <w:sz w:val="18"/>
                <w:szCs w:val="18"/>
              </w:rPr>
              <w:t>(7,897</w:t>
            </w:r>
          </w:p>
        </w:tc>
        <w:tc>
          <w:tcPr>
            <w:tcW w:w="50" w:type="pct"/>
            <w:shd w:val="clear" w:color="auto" w:fill="CFF0FC"/>
            <w:noWrap/>
            <w:tcMar>
              <w:top w:w="15" w:type="dxa"/>
              <w:left w:w="0" w:type="dxa"/>
              <w:bottom w:w="0" w:type="dxa"/>
              <w:right w:w="15" w:type="dxa"/>
            </w:tcMar>
            <w:vAlign w:val="bottom"/>
            <w:hideMark/>
          </w:tcPr>
          <w:p w14:paraId="226D00B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323E19D" w14:textId="77777777">
        <w:trPr>
          <w:divId w:val="2131241710"/>
        </w:trPr>
        <w:tc>
          <w:tcPr>
            <w:tcW w:w="3354" w:type="pct"/>
            <w:shd w:val="clear" w:color="auto" w:fill="FFFFFF"/>
            <w:tcMar>
              <w:top w:w="15" w:type="dxa"/>
              <w:left w:w="0" w:type="dxa"/>
              <w:bottom w:w="0" w:type="dxa"/>
              <w:right w:w="15" w:type="dxa"/>
            </w:tcMar>
            <w:hideMark/>
          </w:tcPr>
          <w:p w14:paraId="5F2CF5DE" w14:textId="77777777" w:rsidR="00000000" w:rsidRDefault="00582324">
            <w:pPr>
              <w:pStyle w:val="a3"/>
              <w:spacing w:before="0" w:beforeAutospacing="0" w:after="0" w:afterAutospacing="0"/>
              <w:rPr>
                <w:color w:val="000000"/>
                <w:sz w:val="18"/>
                <w:szCs w:val="18"/>
              </w:rPr>
            </w:pPr>
            <w:r>
              <w:rPr>
                <w:color w:val="000000"/>
                <w:sz w:val="18"/>
                <w:szCs w:val="18"/>
              </w:rPr>
              <w:t>Interest expense, net</w:t>
            </w:r>
          </w:p>
        </w:tc>
        <w:tc>
          <w:tcPr>
            <w:tcW w:w="79" w:type="pct"/>
            <w:shd w:val="clear" w:color="auto" w:fill="FFFFFF"/>
            <w:tcMar>
              <w:top w:w="15" w:type="dxa"/>
              <w:left w:w="0" w:type="dxa"/>
              <w:bottom w:w="0" w:type="dxa"/>
              <w:right w:w="15" w:type="dxa"/>
            </w:tcMar>
            <w:vAlign w:val="bottom"/>
            <w:hideMark/>
          </w:tcPr>
          <w:p w14:paraId="5AE12D2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B8CF88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A27D71F" w14:textId="77777777" w:rsidR="00000000" w:rsidRDefault="00582324">
            <w:pPr>
              <w:pStyle w:val="a3"/>
              <w:spacing w:before="0" w:beforeAutospacing="0" w:after="0" w:afterAutospacing="0"/>
              <w:jc w:val="right"/>
              <w:rPr>
                <w:color w:val="000000"/>
                <w:sz w:val="18"/>
                <w:szCs w:val="18"/>
              </w:rPr>
            </w:pPr>
            <w:r>
              <w:rPr>
                <w:color w:val="000000"/>
                <w:sz w:val="18"/>
                <w:szCs w:val="18"/>
              </w:rPr>
              <w:t>(9,486</w:t>
            </w:r>
          </w:p>
        </w:tc>
        <w:tc>
          <w:tcPr>
            <w:tcW w:w="50" w:type="pct"/>
            <w:shd w:val="clear" w:color="auto" w:fill="FFFFFF"/>
            <w:noWrap/>
            <w:tcMar>
              <w:top w:w="15" w:type="dxa"/>
              <w:left w:w="0" w:type="dxa"/>
              <w:bottom w:w="0" w:type="dxa"/>
              <w:right w:w="15" w:type="dxa"/>
            </w:tcMar>
            <w:vAlign w:val="bottom"/>
            <w:hideMark/>
          </w:tcPr>
          <w:p w14:paraId="257485F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FFFFFF"/>
            <w:tcMar>
              <w:top w:w="15" w:type="dxa"/>
              <w:left w:w="0" w:type="dxa"/>
              <w:bottom w:w="0" w:type="dxa"/>
              <w:right w:w="15" w:type="dxa"/>
            </w:tcMar>
            <w:vAlign w:val="bottom"/>
            <w:hideMark/>
          </w:tcPr>
          <w:p w14:paraId="02436B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8F78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6E164790" w14:textId="77777777" w:rsidR="00000000" w:rsidRDefault="00582324">
            <w:pPr>
              <w:pStyle w:val="a3"/>
              <w:spacing w:before="0" w:beforeAutospacing="0" w:after="0" w:afterAutospacing="0"/>
              <w:jc w:val="right"/>
              <w:rPr>
                <w:color w:val="000000"/>
                <w:sz w:val="18"/>
                <w:szCs w:val="18"/>
              </w:rPr>
            </w:pPr>
            <w:r>
              <w:rPr>
                <w:color w:val="000000"/>
                <w:sz w:val="18"/>
                <w:szCs w:val="18"/>
              </w:rPr>
              <w:t>(7,853</w:t>
            </w:r>
          </w:p>
        </w:tc>
        <w:tc>
          <w:tcPr>
            <w:tcW w:w="50" w:type="pct"/>
            <w:shd w:val="clear" w:color="auto" w:fill="FFFFFF"/>
            <w:noWrap/>
            <w:tcMar>
              <w:top w:w="15" w:type="dxa"/>
              <w:left w:w="0" w:type="dxa"/>
              <w:bottom w:w="0" w:type="dxa"/>
              <w:right w:w="15" w:type="dxa"/>
            </w:tcMar>
            <w:vAlign w:val="bottom"/>
            <w:hideMark/>
          </w:tcPr>
          <w:p w14:paraId="67C45CAA"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74793748" w14:textId="77777777">
        <w:trPr>
          <w:divId w:val="2131241710"/>
        </w:trPr>
        <w:tc>
          <w:tcPr>
            <w:tcW w:w="3354" w:type="pct"/>
            <w:shd w:val="clear" w:color="auto" w:fill="CFF0FC"/>
            <w:tcMar>
              <w:top w:w="15" w:type="dxa"/>
              <w:left w:w="0" w:type="dxa"/>
              <w:bottom w:w="0" w:type="dxa"/>
              <w:right w:w="15" w:type="dxa"/>
            </w:tcMar>
            <w:hideMark/>
          </w:tcPr>
          <w:p w14:paraId="4293278A" w14:textId="77777777" w:rsidR="00000000" w:rsidRDefault="00582324">
            <w:pPr>
              <w:pStyle w:val="a3"/>
              <w:spacing w:before="0" w:beforeAutospacing="0" w:after="0" w:afterAutospacing="0"/>
              <w:rPr>
                <w:b/>
                <w:bCs/>
                <w:color w:val="000000"/>
                <w:sz w:val="18"/>
                <w:szCs w:val="18"/>
              </w:rPr>
            </w:pPr>
            <w:r>
              <w:rPr>
                <w:b/>
                <w:bCs/>
                <w:color w:val="000000"/>
                <w:sz w:val="18"/>
                <w:szCs w:val="18"/>
              </w:rPr>
              <w:t>Loss before income taxes</w:t>
            </w:r>
          </w:p>
        </w:tc>
        <w:tc>
          <w:tcPr>
            <w:tcW w:w="79" w:type="pct"/>
            <w:shd w:val="clear" w:color="auto" w:fill="CFF0FC"/>
            <w:tcMar>
              <w:top w:w="15" w:type="dxa"/>
              <w:left w:w="0" w:type="dxa"/>
              <w:bottom w:w="0" w:type="dxa"/>
              <w:right w:w="15" w:type="dxa"/>
            </w:tcMar>
            <w:vAlign w:val="bottom"/>
            <w:hideMark/>
          </w:tcPr>
          <w:p w14:paraId="2260BB5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00BDA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5B783B2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(26,333</w:t>
            </w:r>
          </w:p>
        </w:tc>
        <w:tc>
          <w:tcPr>
            <w:tcW w:w="50" w:type="pct"/>
            <w:shd w:val="clear" w:color="auto" w:fill="CFF0FC"/>
            <w:noWrap/>
            <w:tcMar>
              <w:top w:w="15" w:type="dxa"/>
              <w:left w:w="0" w:type="dxa"/>
              <w:bottom w:w="0" w:type="dxa"/>
              <w:right w:w="15" w:type="dxa"/>
            </w:tcMar>
            <w:vAlign w:val="bottom"/>
            <w:hideMark/>
          </w:tcPr>
          <w:p w14:paraId="2E815940"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79" w:type="pct"/>
            <w:shd w:val="clear" w:color="auto" w:fill="CFF0FC"/>
            <w:tcMar>
              <w:top w:w="15" w:type="dxa"/>
              <w:left w:w="0" w:type="dxa"/>
              <w:bottom w:w="0" w:type="dxa"/>
              <w:right w:w="15" w:type="dxa"/>
            </w:tcMar>
            <w:vAlign w:val="bottom"/>
            <w:hideMark/>
          </w:tcPr>
          <w:p w14:paraId="3349B42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9230F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5C6C3410"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(32,935</w:t>
            </w:r>
          </w:p>
        </w:tc>
        <w:tc>
          <w:tcPr>
            <w:tcW w:w="50" w:type="pct"/>
            <w:shd w:val="clear" w:color="auto" w:fill="CFF0FC"/>
            <w:noWrap/>
            <w:tcMar>
              <w:top w:w="15" w:type="dxa"/>
              <w:left w:w="0" w:type="dxa"/>
              <w:bottom w:w="0" w:type="dxa"/>
              <w:right w:w="15" w:type="dxa"/>
            </w:tcMar>
            <w:vAlign w:val="bottom"/>
            <w:hideMark/>
          </w:tcPr>
          <w:p w14:paraId="3E16319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5F1F2D83" w14:textId="77777777">
        <w:trPr>
          <w:divId w:val="2131241710"/>
        </w:trPr>
        <w:tc>
          <w:tcPr>
            <w:tcW w:w="3354" w:type="pct"/>
            <w:shd w:val="clear" w:color="auto" w:fill="FFFFFF"/>
            <w:tcMar>
              <w:top w:w="15" w:type="dxa"/>
              <w:left w:w="0" w:type="dxa"/>
              <w:bottom w:w="0" w:type="dxa"/>
              <w:right w:w="15" w:type="dxa"/>
            </w:tcMar>
            <w:hideMark/>
          </w:tcPr>
          <w:p w14:paraId="694AC5A8" w14:textId="77777777" w:rsidR="00000000" w:rsidRDefault="00582324">
            <w:pPr>
              <w:pStyle w:val="a3"/>
              <w:spacing w:before="0" w:beforeAutospacing="0" w:after="0" w:afterAutospacing="0"/>
              <w:rPr>
                <w:color w:val="000000"/>
                <w:sz w:val="18"/>
                <w:szCs w:val="18"/>
              </w:rPr>
            </w:pPr>
            <w:r>
              <w:rPr>
                <w:color w:val="000000"/>
                <w:sz w:val="18"/>
                <w:szCs w:val="18"/>
              </w:rPr>
              <w:t>Income tax expense (benefit)</w:t>
            </w:r>
          </w:p>
        </w:tc>
        <w:tc>
          <w:tcPr>
            <w:tcW w:w="79" w:type="pct"/>
            <w:shd w:val="clear" w:color="auto" w:fill="FFFFFF"/>
            <w:tcMar>
              <w:top w:w="15" w:type="dxa"/>
              <w:left w:w="0" w:type="dxa"/>
              <w:bottom w:w="0" w:type="dxa"/>
              <w:right w:w="15" w:type="dxa"/>
            </w:tcMar>
            <w:vAlign w:val="bottom"/>
            <w:hideMark/>
          </w:tcPr>
          <w:p w14:paraId="748DAB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FEF5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51EA140" w14:textId="77777777" w:rsidR="00000000" w:rsidRDefault="00582324">
            <w:pPr>
              <w:pStyle w:val="a3"/>
              <w:spacing w:before="0" w:beforeAutospacing="0" w:after="0" w:afterAutospacing="0"/>
              <w:jc w:val="right"/>
              <w:rPr>
                <w:color w:val="000000"/>
                <w:sz w:val="18"/>
                <w:szCs w:val="18"/>
              </w:rPr>
            </w:pPr>
            <w:r>
              <w:rPr>
                <w:color w:val="000000"/>
                <w:sz w:val="18"/>
                <w:szCs w:val="18"/>
              </w:rPr>
              <w:t>(254</w:t>
            </w:r>
          </w:p>
        </w:tc>
        <w:tc>
          <w:tcPr>
            <w:tcW w:w="50" w:type="pct"/>
            <w:shd w:val="clear" w:color="auto" w:fill="FFFFFF"/>
            <w:noWrap/>
            <w:tcMar>
              <w:top w:w="15" w:type="dxa"/>
              <w:left w:w="0" w:type="dxa"/>
              <w:bottom w:w="0" w:type="dxa"/>
              <w:right w:w="15" w:type="dxa"/>
            </w:tcMar>
            <w:vAlign w:val="bottom"/>
            <w:hideMark/>
          </w:tcPr>
          <w:p w14:paraId="431CE04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FFFFFF"/>
            <w:tcMar>
              <w:top w:w="15" w:type="dxa"/>
              <w:left w:w="0" w:type="dxa"/>
              <w:bottom w:w="0" w:type="dxa"/>
              <w:right w:w="15" w:type="dxa"/>
            </w:tcMar>
            <w:vAlign w:val="bottom"/>
            <w:hideMark/>
          </w:tcPr>
          <w:p w14:paraId="45D5D1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DF5C0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1DB34BE" w14:textId="77777777" w:rsidR="00000000" w:rsidRDefault="00582324">
            <w:pPr>
              <w:pStyle w:val="a3"/>
              <w:spacing w:before="0" w:beforeAutospacing="0" w:after="0" w:afterAutospacing="0"/>
              <w:jc w:val="right"/>
              <w:rPr>
                <w:color w:val="000000"/>
                <w:sz w:val="18"/>
                <w:szCs w:val="18"/>
              </w:rPr>
            </w:pPr>
            <w:r>
              <w:rPr>
                <w:color w:val="000000"/>
                <w:sz w:val="18"/>
                <w:szCs w:val="18"/>
              </w:rPr>
              <w:t>(4,911</w:t>
            </w:r>
          </w:p>
        </w:tc>
        <w:tc>
          <w:tcPr>
            <w:tcW w:w="50" w:type="pct"/>
            <w:shd w:val="clear" w:color="auto" w:fill="FFFFFF"/>
            <w:noWrap/>
            <w:tcMar>
              <w:top w:w="15" w:type="dxa"/>
              <w:left w:w="0" w:type="dxa"/>
              <w:bottom w:w="0" w:type="dxa"/>
              <w:right w:w="15" w:type="dxa"/>
            </w:tcMar>
            <w:vAlign w:val="bottom"/>
            <w:hideMark/>
          </w:tcPr>
          <w:p w14:paraId="41832495"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3B9BE0D" w14:textId="77777777">
        <w:trPr>
          <w:divId w:val="2131241710"/>
        </w:trPr>
        <w:tc>
          <w:tcPr>
            <w:tcW w:w="3354" w:type="pct"/>
            <w:shd w:val="clear" w:color="auto" w:fill="CFF0FC"/>
            <w:tcMar>
              <w:top w:w="15" w:type="dxa"/>
              <w:left w:w="0" w:type="dxa"/>
              <w:bottom w:w="0" w:type="dxa"/>
              <w:right w:w="15" w:type="dxa"/>
            </w:tcMar>
            <w:hideMark/>
          </w:tcPr>
          <w:p w14:paraId="4A21DC12" w14:textId="77777777" w:rsidR="00000000" w:rsidRDefault="00582324">
            <w:pPr>
              <w:pStyle w:val="a3"/>
              <w:spacing w:before="0" w:beforeAutospacing="0" w:after="0" w:afterAutospacing="0"/>
              <w:rPr>
                <w:b/>
                <w:bCs/>
                <w:color w:val="000000"/>
                <w:sz w:val="18"/>
                <w:szCs w:val="18"/>
              </w:rPr>
            </w:pPr>
            <w:r>
              <w:rPr>
                <w:b/>
                <w:bCs/>
                <w:color w:val="000000"/>
                <w:sz w:val="18"/>
                <w:szCs w:val="18"/>
              </w:rPr>
              <w:t>Net loss</w:t>
            </w:r>
          </w:p>
        </w:tc>
        <w:tc>
          <w:tcPr>
            <w:tcW w:w="79" w:type="pct"/>
            <w:shd w:val="clear" w:color="auto" w:fill="CFF0FC"/>
            <w:tcMar>
              <w:top w:w="15" w:type="dxa"/>
              <w:left w:w="0" w:type="dxa"/>
              <w:bottom w:w="0" w:type="dxa"/>
              <w:right w:w="15" w:type="dxa"/>
            </w:tcMar>
            <w:vAlign w:val="bottom"/>
            <w:hideMark/>
          </w:tcPr>
          <w:p w14:paraId="1004847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59BE1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DE466E"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(26,079</w:t>
            </w:r>
          </w:p>
        </w:tc>
        <w:tc>
          <w:tcPr>
            <w:tcW w:w="50" w:type="pct"/>
            <w:shd w:val="clear" w:color="auto" w:fill="CFF0FC"/>
            <w:noWrap/>
            <w:tcMar>
              <w:top w:w="15" w:type="dxa"/>
              <w:left w:w="0" w:type="dxa"/>
              <w:bottom w:w="0" w:type="dxa"/>
              <w:right w:w="15" w:type="dxa"/>
            </w:tcMar>
            <w:vAlign w:val="bottom"/>
            <w:hideMark/>
          </w:tcPr>
          <w:p w14:paraId="7B40CE2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79" w:type="pct"/>
            <w:shd w:val="clear" w:color="auto" w:fill="CFF0FC"/>
            <w:tcMar>
              <w:top w:w="15" w:type="dxa"/>
              <w:left w:w="0" w:type="dxa"/>
              <w:bottom w:w="0" w:type="dxa"/>
              <w:right w:w="15" w:type="dxa"/>
            </w:tcMar>
            <w:vAlign w:val="bottom"/>
            <w:hideMark/>
          </w:tcPr>
          <w:p w14:paraId="00310F4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24B6BD"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837297"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(28,024</w:t>
            </w:r>
          </w:p>
        </w:tc>
        <w:tc>
          <w:tcPr>
            <w:tcW w:w="50" w:type="pct"/>
            <w:shd w:val="clear" w:color="auto" w:fill="CFF0FC"/>
            <w:noWrap/>
            <w:tcMar>
              <w:top w:w="15" w:type="dxa"/>
              <w:left w:w="0" w:type="dxa"/>
              <w:bottom w:w="0" w:type="dxa"/>
              <w:right w:w="15" w:type="dxa"/>
            </w:tcMar>
            <w:vAlign w:val="bottom"/>
            <w:hideMark/>
          </w:tcPr>
          <w:p w14:paraId="79CFCB5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738E73AF" w14:textId="77777777">
        <w:trPr>
          <w:divId w:val="2131241710"/>
        </w:trPr>
        <w:tc>
          <w:tcPr>
            <w:tcW w:w="3354" w:type="pct"/>
            <w:shd w:val="clear" w:color="auto" w:fill="FFFFFF"/>
            <w:tcMar>
              <w:top w:w="15" w:type="dxa"/>
              <w:left w:w="0" w:type="dxa"/>
              <w:bottom w:w="0" w:type="dxa"/>
              <w:right w:w="15" w:type="dxa"/>
            </w:tcMar>
            <w:hideMark/>
          </w:tcPr>
          <w:p w14:paraId="77BCB796" w14:textId="77777777" w:rsidR="00000000" w:rsidRDefault="00582324">
            <w:pPr>
              <w:pStyle w:val="a3"/>
              <w:spacing w:before="0" w:beforeAutospacing="0" w:after="0" w:afterAutospacing="0"/>
              <w:ind w:left="274"/>
              <w:rPr>
                <w:color w:val="000000"/>
                <w:sz w:val="18"/>
                <w:szCs w:val="18"/>
              </w:rPr>
            </w:pPr>
            <w:r>
              <w:rPr>
                <w:color w:val="000000"/>
                <w:sz w:val="18"/>
                <w:szCs w:val="18"/>
              </w:rPr>
              <w:t>Accretion of Series A-1 redeemable preferred stock</w:t>
            </w:r>
          </w:p>
        </w:tc>
        <w:tc>
          <w:tcPr>
            <w:tcW w:w="79" w:type="pct"/>
            <w:shd w:val="clear" w:color="auto" w:fill="FFFFFF"/>
            <w:tcMar>
              <w:top w:w="15" w:type="dxa"/>
              <w:left w:w="0" w:type="dxa"/>
              <w:bottom w:w="0" w:type="dxa"/>
              <w:right w:w="15" w:type="dxa"/>
            </w:tcMar>
            <w:vAlign w:val="bottom"/>
            <w:hideMark/>
          </w:tcPr>
          <w:p w14:paraId="1DDBDE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6F5477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5AC2CF2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E921D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FFFFFF"/>
            <w:tcMar>
              <w:top w:w="15" w:type="dxa"/>
              <w:left w:w="0" w:type="dxa"/>
              <w:bottom w:w="0" w:type="dxa"/>
              <w:right w:w="15" w:type="dxa"/>
            </w:tcMar>
            <w:vAlign w:val="bottom"/>
            <w:hideMark/>
          </w:tcPr>
          <w:p w14:paraId="46772E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53C0F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4C293CB7" w14:textId="77777777" w:rsidR="00000000" w:rsidRDefault="00582324">
            <w:pPr>
              <w:pStyle w:val="a3"/>
              <w:spacing w:before="0" w:beforeAutospacing="0" w:after="0" w:afterAutospacing="0"/>
              <w:jc w:val="right"/>
              <w:rPr>
                <w:color w:val="000000"/>
                <w:sz w:val="18"/>
                <w:szCs w:val="18"/>
              </w:rPr>
            </w:pPr>
            <w:r>
              <w:rPr>
                <w:color w:val="000000"/>
                <w:sz w:val="18"/>
                <w:szCs w:val="18"/>
              </w:rPr>
              <w:t>(11,059</w:t>
            </w:r>
          </w:p>
        </w:tc>
        <w:tc>
          <w:tcPr>
            <w:tcW w:w="50" w:type="pct"/>
            <w:shd w:val="clear" w:color="auto" w:fill="FFFFFF"/>
            <w:noWrap/>
            <w:tcMar>
              <w:top w:w="15" w:type="dxa"/>
              <w:left w:w="0" w:type="dxa"/>
              <w:bottom w:w="0" w:type="dxa"/>
              <w:right w:w="15" w:type="dxa"/>
            </w:tcMar>
            <w:vAlign w:val="bottom"/>
            <w:hideMark/>
          </w:tcPr>
          <w:p w14:paraId="650B0A13"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4BA44448" w14:textId="77777777">
        <w:trPr>
          <w:divId w:val="2131241710"/>
        </w:trPr>
        <w:tc>
          <w:tcPr>
            <w:tcW w:w="3354" w:type="pct"/>
            <w:shd w:val="clear" w:color="auto" w:fill="CFF0FC"/>
            <w:tcMar>
              <w:top w:w="15" w:type="dxa"/>
              <w:left w:w="0" w:type="dxa"/>
              <w:bottom w:w="0" w:type="dxa"/>
              <w:right w:w="15" w:type="dxa"/>
            </w:tcMar>
            <w:hideMark/>
          </w:tcPr>
          <w:p w14:paraId="3AF8F949" w14:textId="77777777" w:rsidR="00000000" w:rsidRDefault="00582324">
            <w:pPr>
              <w:pStyle w:val="a3"/>
              <w:spacing w:before="0" w:beforeAutospacing="0" w:after="0" w:afterAutospacing="0"/>
              <w:ind w:left="274"/>
              <w:rPr>
                <w:color w:val="000000"/>
                <w:sz w:val="18"/>
                <w:szCs w:val="18"/>
              </w:rPr>
            </w:pPr>
            <w:r>
              <w:rPr>
                <w:color w:val="000000"/>
                <w:sz w:val="18"/>
                <w:szCs w:val="18"/>
              </w:rPr>
              <w:t>Series A-2 dividend payment</w:t>
            </w:r>
          </w:p>
        </w:tc>
        <w:tc>
          <w:tcPr>
            <w:tcW w:w="79" w:type="pct"/>
            <w:shd w:val="clear" w:color="auto" w:fill="CFF0FC"/>
            <w:tcMar>
              <w:top w:w="15" w:type="dxa"/>
              <w:left w:w="0" w:type="dxa"/>
              <w:bottom w:w="0" w:type="dxa"/>
              <w:right w:w="15" w:type="dxa"/>
            </w:tcMar>
            <w:vAlign w:val="bottom"/>
            <w:hideMark/>
          </w:tcPr>
          <w:p w14:paraId="7C8030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E396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221CD41" w14:textId="77777777" w:rsidR="00000000" w:rsidRDefault="00582324">
            <w:pPr>
              <w:pStyle w:val="a3"/>
              <w:spacing w:before="0" w:beforeAutospacing="0" w:after="0" w:afterAutospacing="0"/>
              <w:jc w:val="right"/>
              <w:rPr>
                <w:color w:val="000000"/>
                <w:sz w:val="18"/>
                <w:szCs w:val="18"/>
              </w:rPr>
            </w:pPr>
            <w:r>
              <w:rPr>
                <w:color w:val="000000"/>
                <w:sz w:val="18"/>
                <w:szCs w:val="18"/>
              </w:rPr>
              <w:t>(8,200</w:t>
            </w:r>
          </w:p>
        </w:tc>
        <w:tc>
          <w:tcPr>
            <w:tcW w:w="50" w:type="pct"/>
            <w:shd w:val="clear" w:color="auto" w:fill="CFF0FC"/>
            <w:noWrap/>
            <w:tcMar>
              <w:top w:w="15" w:type="dxa"/>
              <w:left w:w="0" w:type="dxa"/>
              <w:bottom w:w="0" w:type="dxa"/>
              <w:right w:w="15" w:type="dxa"/>
            </w:tcMar>
            <w:vAlign w:val="bottom"/>
            <w:hideMark/>
          </w:tcPr>
          <w:p w14:paraId="05CBF13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CFF0FC"/>
            <w:tcMar>
              <w:top w:w="15" w:type="dxa"/>
              <w:left w:w="0" w:type="dxa"/>
              <w:bottom w:w="0" w:type="dxa"/>
              <w:right w:w="15" w:type="dxa"/>
            </w:tcMar>
            <w:vAlign w:val="bottom"/>
            <w:hideMark/>
          </w:tcPr>
          <w:p w14:paraId="7BF159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0C9F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00518951"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30D989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8AE31CD" w14:textId="77777777">
        <w:trPr>
          <w:divId w:val="2131241710"/>
        </w:trPr>
        <w:tc>
          <w:tcPr>
            <w:tcW w:w="3354" w:type="pct"/>
            <w:shd w:val="clear" w:color="auto" w:fill="FFFFFF"/>
            <w:tcMar>
              <w:top w:w="15" w:type="dxa"/>
              <w:left w:w="0" w:type="dxa"/>
              <w:bottom w:w="0" w:type="dxa"/>
              <w:right w:w="15" w:type="dxa"/>
            </w:tcMar>
            <w:hideMark/>
          </w:tcPr>
          <w:p w14:paraId="77DC5B70" w14:textId="77777777" w:rsidR="00000000" w:rsidRDefault="00582324">
            <w:pPr>
              <w:pStyle w:val="a3"/>
              <w:spacing w:before="0" w:beforeAutospacing="0" w:after="0" w:afterAutospacing="0"/>
              <w:rPr>
                <w:b/>
                <w:bCs/>
                <w:color w:val="000000"/>
                <w:sz w:val="18"/>
                <w:szCs w:val="18"/>
              </w:rPr>
            </w:pPr>
            <w:r>
              <w:rPr>
                <w:b/>
                <w:bCs/>
                <w:color w:val="000000"/>
                <w:sz w:val="18"/>
                <w:szCs w:val="18"/>
              </w:rPr>
              <w:t>Net loss attributable to common stockholders</w:t>
            </w:r>
          </w:p>
        </w:tc>
        <w:tc>
          <w:tcPr>
            <w:tcW w:w="79" w:type="pct"/>
            <w:shd w:val="clear" w:color="auto" w:fill="FFFFFF"/>
            <w:tcMar>
              <w:top w:w="15" w:type="dxa"/>
              <w:left w:w="0" w:type="dxa"/>
              <w:bottom w:w="0" w:type="dxa"/>
              <w:right w:w="15" w:type="dxa"/>
            </w:tcMar>
            <w:vAlign w:val="bottom"/>
            <w:hideMark/>
          </w:tcPr>
          <w:p w14:paraId="5BACDD5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B4EE10"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1D94E8"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(34,279</w:t>
            </w:r>
          </w:p>
        </w:tc>
        <w:tc>
          <w:tcPr>
            <w:tcW w:w="50" w:type="pct"/>
            <w:shd w:val="clear" w:color="auto" w:fill="FFFFFF"/>
            <w:noWrap/>
            <w:tcMar>
              <w:top w:w="15" w:type="dxa"/>
              <w:left w:w="0" w:type="dxa"/>
              <w:bottom w:w="0" w:type="dxa"/>
              <w:right w:w="15" w:type="dxa"/>
            </w:tcMar>
            <w:vAlign w:val="bottom"/>
            <w:hideMark/>
          </w:tcPr>
          <w:p w14:paraId="3AE671DB"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79" w:type="pct"/>
            <w:shd w:val="clear" w:color="auto" w:fill="FFFFFF"/>
            <w:tcMar>
              <w:top w:w="15" w:type="dxa"/>
              <w:left w:w="0" w:type="dxa"/>
              <w:bottom w:w="0" w:type="dxa"/>
              <w:right w:w="15" w:type="dxa"/>
            </w:tcMar>
            <w:vAlign w:val="bottom"/>
            <w:hideMark/>
          </w:tcPr>
          <w:p w14:paraId="35AAB5C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0C5740"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7C28CA"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(39,083</w:t>
            </w:r>
          </w:p>
        </w:tc>
        <w:tc>
          <w:tcPr>
            <w:tcW w:w="50" w:type="pct"/>
            <w:shd w:val="clear" w:color="auto" w:fill="FFFFFF"/>
            <w:noWrap/>
            <w:tcMar>
              <w:top w:w="15" w:type="dxa"/>
              <w:left w:w="0" w:type="dxa"/>
              <w:bottom w:w="0" w:type="dxa"/>
              <w:right w:w="15" w:type="dxa"/>
            </w:tcMar>
            <w:vAlign w:val="bottom"/>
            <w:hideMark/>
          </w:tcPr>
          <w:p w14:paraId="13358EA6"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64C6F493" w14:textId="77777777">
        <w:trPr>
          <w:divId w:val="2131241710"/>
        </w:trPr>
        <w:tc>
          <w:tcPr>
            <w:tcW w:w="3354" w:type="pct"/>
            <w:shd w:val="clear" w:color="auto" w:fill="CFF0FC"/>
            <w:tcMar>
              <w:top w:w="15" w:type="dxa"/>
              <w:left w:w="0" w:type="dxa"/>
              <w:bottom w:w="0" w:type="dxa"/>
              <w:right w:w="15" w:type="dxa"/>
            </w:tcMar>
            <w:hideMark/>
          </w:tcPr>
          <w:p w14:paraId="1DB94CFE" w14:textId="77777777" w:rsidR="00000000" w:rsidRDefault="00582324">
            <w:pPr>
              <w:pStyle w:val="a3"/>
              <w:spacing w:before="0" w:beforeAutospacing="0" w:after="0" w:afterAutospacing="0"/>
              <w:rPr>
                <w:color w:val="000000"/>
                <w:sz w:val="18"/>
                <w:szCs w:val="18"/>
              </w:rPr>
            </w:pPr>
            <w:r>
              <w:rPr>
                <w:color w:val="000000"/>
                <w:sz w:val="18"/>
                <w:szCs w:val="18"/>
              </w:rPr>
              <w:t>Weighted average number of shares— basic and diluted</w:t>
            </w:r>
          </w:p>
        </w:tc>
        <w:tc>
          <w:tcPr>
            <w:tcW w:w="79" w:type="pct"/>
            <w:shd w:val="clear" w:color="auto" w:fill="CFF0FC"/>
            <w:tcMar>
              <w:top w:w="15" w:type="dxa"/>
              <w:left w:w="0" w:type="dxa"/>
              <w:bottom w:w="0" w:type="dxa"/>
              <w:right w:w="15" w:type="dxa"/>
            </w:tcMar>
            <w:vAlign w:val="bottom"/>
            <w:hideMark/>
          </w:tcPr>
          <w:p w14:paraId="68CB81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622E506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25CFFEA0" w14:textId="77777777" w:rsidR="00000000" w:rsidRDefault="00582324">
            <w:pPr>
              <w:pStyle w:val="a3"/>
              <w:spacing w:before="0" w:beforeAutospacing="0" w:after="0" w:afterAutospacing="0"/>
              <w:jc w:val="right"/>
              <w:rPr>
                <w:color w:val="000000"/>
                <w:sz w:val="18"/>
                <w:szCs w:val="18"/>
              </w:rPr>
            </w:pPr>
            <w:r>
              <w:rPr>
                <w:color w:val="000000"/>
                <w:sz w:val="18"/>
                <w:szCs w:val="18"/>
              </w:rPr>
              <w:t>25,586</w:t>
            </w:r>
          </w:p>
        </w:tc>
        <w:tc>
          <w:tcPr>
            <w:tcW w:w="50" w:type="pct"/>
            <w:shd w:val="clear" w:color="auto" w:fill="CFF0FC"/>
            <w:noWrap/>
            <w:tcMar>
              <w:top w:w="15" w:type="dxa"/>
              <w:left w:w="0" w:type="dxa"/>
              <w:bottom w:w="0" w:type="dxa"/>
              <w:right w:w="15" w:type="dxa"/>
            </w:tcMar>
            <w:vAlign w:val="bottom"/>
            <w:hideMark/>
          </w:tcPr>
          <w:p w14:paraId="37680D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2DD040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2942F9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14:paraId="096672F5" w14:textId="77777777" w:rsidR="00000000" w:rsidRDefault="00582324">
            <w:pPr>
              <w:pStyle w:val="a3"/>
              <w:spacing w:before="0" w:beforeAutospacing="0" w:after="0" w:afterAutospacing="0"/>
              <w:jc w:val="right"/>
              <w:rPr>
                <w:color w:val="000000"/>
                <w:sz w:val="18"/>
                <w:szCs w:val="18"/>
              </w:rPr>
            </w:pPr>
            <w:r>
              <w:rPr>
                <w:color w:val="000000"/>
                <w:sz w:val="18"/>
                <w:szCs w:val="18"/>
              </w:rPr>
              <w:t>9,718</w:t>
            </w:r>
          </w:p>
        </w:tc>
        <w:tc>
          <w:tcPr>
            <w:tcW w:w="50" w:type="pct"/>
            <w:shd w:val="clear" w:color="auto" w:fill="CFF0FC"/>
            <w:noWrap/>
            <w:tcMar>
              <w:top w:w="15" w:type="dxa"/>
              <w:left w:w="0" w:type="dxa"/>
              <w:bottom w:w="0" w:type="dxa"/>
              <w:right w:w="15" w:type="dxa"/>
            </w:tcMar>
            <w:vAlign w:val="bottom"/>
            <w:hideMark/>
          </w:tcPr>
          <w:p w14:paraId="3A54DD9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D583AE8" w14:textId="77777777">
        <w:trPr>
          <w:divId w:val="2131241710"/>
        </w:trPr>
        <w:tc>
          <w:tcPr>
            <w:tcW w:w="3354" w:type="pct"/>
            <w:shd w:val="clear" w:color="auto" w:fill="FFFFFF"/>
            <w:tcMar>
              <w:top w:w="15" w:type="dxa"/>
              <w:left w:w="0" w:type="dxa"/>
              <w:bottom w:w="0" w:type="dxa"/>
              <w:right w:w="15" w:type="dxa"/>
            </w:tcMar>
            <w:hideMark/>
          </w:tcPr>
          <w:p w14:paraId="3FA1A71C" w14:textId="77777777" w:rsidR="00000000" w:rsidRDefault="00582324">
            <w:pPr>
              <w:pStyle w:val="a3"/>
              <w:spacing w:before="0" w:beforeAutospacing="0" w:after="0" w:afterAutospacing="0"/>
              <w:rPr>
                <w:b/>
                <w:bCs/>
                <w:color w:val="000000"/>
                <w:sz w:val="18"/>
                <w:szCs w:val="18"/>
              </w:rPr>
            </w:pPr>
            <w:r>
              <w:rPr>
                <w:b/>
                <w:bCs/>
                <w:color w:val="000000"/>
                <w:sz w:val="18"/>
                <w:szCs w:val="18"/>
              </w:rPr>
              <w:t>Loss per share—  basic and diluted</w:t>
            </w:r>
          </w:p>
        </w:tc>
        <w:tc>
          <w:tcPr>
            <w:tcW w:w="79" w:type="pct"/>
            <w:shd w:val="clear" w:color="auto" w:fill="FFFFFF"/>
            <w:tcMar>
              <w:top w:w="15" w:type="dxa"/>
              <w:left w:w="0" w:type="dxa"/>
              <w:bottom w:w="0" w:type="dxa"/>
              <w:right w:w="15" w:type="dxa"/>
            </w:tcMar>
            <w:vAlign w:val="bottom"/>
            <w:hideMark/>
          </w:tcPr>
          <w:p w14:paraId="3794B2B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99E722"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44E17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(1.34</w:t>
            </w:r>
          </w:p>
        </w:tc>
        <w:tc>
          <w:tcPr>
            <w:tcW w:w="50" w:type="pct"/>
            <w:shd w:val="clear" w:color="auto" w:fill="FFFFFF"/>
            <w:noWrap/>
            <w:tcMar>
              <w:top w:w="15" w:type="dxa"/>
              <w:left w:w="0" w:type="dxa"/>
              <w:bottom w:w="0" w:type="dxa"/>
              <w:right w:w="15" w:type="dxa"/>
            </w:tcMar>
            <w:vAlign w:val="bottom"/>
            <w:hideMark/>
          </w:tcPr>
          <w:p w14:paraId="5A8A4B1A"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79" w:type="pct"/>
            <w:shd w:val="clear" w:color="auto" w:fill="FFFFFF"/>
            <w:tcMar>
              <w:top w:w="15" w:type="dxa"/>
              <w:left w:w="0" w:type="dxa"/>
              <w:bottom w:w="0" w:type="dxa"/>
              <w:right w:w="15" w:type="dxa"/>
            </w:tcMar>
            <w:vAlign w:val="bottom"/>
            <w:hideMark/>
          </w:tcPr>
          <w:p w14:paraId="066FF91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B4B11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FB8EBB"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(4.02</w:t>
            </w:r>
          </w:p>
        </w:tc>
        <w:tc>
          <w:tcPr>
            <w:tcW w:w="50" w:type="pct"/>
            <w:shd w:val="clear" w:color="auto" w:fill="FFFFFF"/>
            <w:noWrap/>
            <w:tcMar>
              <w:top w:w="15" w:type="dxa"/>
              <w:left w:w="0" w:type="dxa"/>
              <w:bottom w:w="0" w:type="dxa"/>
              <w:right w:w="15" w:type="dxa"/>
            </w:tcMar>
            <w:vAlign w:val="bottom"/>
            <w:hideMark/>
          </w:tcPr>
          <w:p w14:paraId="139F9D0A"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225FB881" w14:textId="77777777">
        <w:trPr>
          <w:divId w:val="2131241710"/>
        </w:trPr>
        <w:tc>
          <w:tcPr>
            <w:tcW w:w="3354" w:type="pct"/>
            <w:shd w:val="clear" w:color="auto" w:fill="CFF0FC"/>
            <w:tcMar>
              <w:top w:w="15" w:type="dxa"/>
              <w:left w:w="0" w:type="dxa"/>
              <w:bottom w:w="0" w:type="dxa"/>
              <w:right w:w="15" w:type="dxa"/>
            </w:tcMar>
            <w:hideMark/>
          </w:tcPr>
          <w:p w14:paraId="6CD8D1E9" w14:textId="77777777" w:rsidR="00000000" w:rsidRDefault="00582324">
            <w:pPr>
              <w:pStyle w:val="a3"/>
              <w:spacing w:before="0" w:beforeAutospacing="0" w:after="0" w:afterAutospacing="0"/>
              <w:rPr>
                <w:b/>
                <w:bCs/>
                <w:color w:val="000000"/>
                <w:sz w:val="18"/>
                <w:szCs w:val="18"/>
              </w:rPr>
            </w:pPr>
            <w:r>
              <w:rPr>
                <w:b/>
                <w:bCs/>
                <w:color w:val="000000"/>
                <w:sz w:val="18"/>
                <w:szCs w:val="18"/>
              </w:rPr>
              <w:t>Other financial data:</w:t>
            </w:r>
          </w:p>
        </w:tc>
        <w:tc>
          <w:tcPr>
            <w:tcW w:w="79" w:type="pct"/>
            <w:shd w:val="clear" w:color="auto" w:fill="CFF0FC"/>
            <w:tcMar>
              <w:top w:w="15" w:type="dxa"/>
              <w:left w:w="0" w:type="dxa"/>
              <w:bottom w:w="0" w:type="dxa"/>
              <w:right w:w="15" w:type="dxa"/>
            </w:tcMar>
            <w:vAlign w:val="bottom"/>
            <w:hideMark/>
          </w:tcPr>
          <w:p w14:paraId="54F9CCC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E3104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098EE34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9B306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7415A37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D2C4E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27BD988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9280B0"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48033918" w14:textId="77777777">
        <w:trPr>
          <w:divId w:val="2131241710"/>
        </w:trPr>
        <w:tc>
          <w:tcPr>
            <w:tcW w:w="3354" w:type="pct"/>
            <w:shd w:val="clear" w:color="auto" w:fill="FFFFFF"/>
            <w:tcMar>
              <w:top w:w="15" w:type="dxa"/>
              <w:left w:w="0" w:type="dxa"/>
              <w:bottom w:w="0" w:type="dxa"/>
              <w:right w:w="15" w:type="dxa"/>
            </w:tcMar>
            <w:hideMark/>
          </w:tcPr>
          <w:p w14:paraId="4D35FB2A" w14:textId="77777777" w:rsidR="00000000" w:rsidRDefault="00582324">
            <w:pPr>
              <w:pStyle w:val="a3"/>
              <w:spacing w:before="0" w:beforeAutospacing="0" w:after="0" w:afterAutospacing="0"/>
              <w:rPr>
                <w:color w:val="000000"/>
                <w:sz w:val="18"/>
                <w:szCs w:val="18"/>
              </w:rPr>
            </w:pPr>
            <w:r>
              <w:rPr>
                <w:color w:val="000000"/>
                <w:sz w:val="18"/>
                <w:szCs w:val="18"/>
              </w:rPr>
              <w:t>Operating margin</w:t>
            </w:r>
            <w:r>
              <w:rPr>
                <w:color w:val="000000"/>
                <w:sz w:val="15"/>
                <w:szCs w:val="15"/>
                <w:vertAlign w:val="superscript"/>
              </w:rPr>
              <w:t>(1)</w:t>
            </w:r>
          </w:p>
        </w:tc>
        <w:tc>
          <w:tcPr>
            <w:tcW w:w="79" w:type="pct"/>
            <w:shd w:val="clear" w:color="auto" w:fill="FFFFFF"/>
            <w:tcMar>
              <w:top w:w="15" w:type="dxa"/>
              <w:left w:w="0" w:type="dxa"/>
              <w:bottom w:w="0" w:type="dxa"/>
              <w:right w:w="15" w:type="dxa"/>
            </w:tcMar>
            <w:vAlign w:val="bottom"/>
            <w:hideMark/>
          </w:tcPr>
          <w:p w14:paraId="2AF14C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2301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07EBBDE5" w14:textId="77777777" w:rsidR="00000000" w:rsidRDefault="00582324">
            <w:pPr>
              <w:pStyle w:val="a3"/>
              <w:spacing w:before="0" w:beforeAutospacing="0" w:after="0" w:afterAutospacing="0"/>
              <w:jc w:val="right"/>
              <w:rPr>
                <w:color w:val="000000"/>
                <w:sz w:val="18"/>
                <w:szCs w:val="18"/>
              </w:rPr>
            </w:pPr>
            <w:r>
              <w:rPr>
                <w:color w:val="000000"/>
                <w:sz w:val="18"/>
                <w:szCs w:val="18"/>
              </w:rPr>
              <w:t>(5.7</w:t>
            </w:r>
          </w:p>
        </w:tc>
        <w:tc>
          <w:tcPr>
            <w:tcW w:w="50" w:type="pct"/>
            <w:shd w:val="clear" w:color="auto" w:fill="FFFFFF"/>
            <w:noWrap/>
            <w:tcMar>
              <w:top w:w="15" w:type="dxa"/>
              <w:left w:w="0" w:type="dxa"/>
              <w:bottom w:w="0" w:type="dxa"/>
              <w:right w:w="15" w:type="dxa"/>
            </w:tcMar>
            <w:vAlign w:val="bottom"/>
            <w:hideMark/>
          </w:tcPr>
          <w:p w14:paraId="79E0A4D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FFFFFF"/>
            <w:tcMar>
              <w:top w:w="15" w:type="dxa"/>
              <w:left w:w="0" w:type="dxa"/>
              <w:bottom w:w="0" w:type="dxa"/>
              <w:right w:w="15" w:type="dxa"/>
            </w:tcMar>
            <w:vAlign w:val="bottom"/>
            <w:hideMark/>
          </w:tcPr>
          <w:p w14:paraId="3A201A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9458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62024003" w14:textId="77777777" w:rsidR="00000000" w:rsidRDefault="00582324">
            <w:pPr>
              <w:pStyle w:val="a3"/>
              <w:spacing w:before="0" w:beforeAutospacing="0" w:after="0" w:afterAutospacing="0"/>
              <w:jc w:val="right"/>
              <w:rPr>
                <w:color w:val="000000"/>
                <w:sz w:val="18"/>
                <w:szCs w:val="18"/>
              </w:rPr>
            </w:pPr>
            <w:r>
              <w:rPr>
                <w:color w:val="000000"/>
                <w:sz w:val="18"/>
                <w:szCs w:val="18"/>
              </w:rPr>
              <w:t>(12.7</w:t>
            </w:r>
          </w:p>
        </w:tc>
        <w:tc>
          <w:tcPr>
            <w:tcW w:w="50" w:type="pct"/>
            <w:shd w:val="clear" w:color="auto" w:fill="FFFFFF"/>
            <w:noWrap/>
            <w:tcMar>
              <w:top w:w="15" w:type="dxa"/>
              <w:left w:w="0" w:type="dxa"/>
              <w:bottom w:w="0" w:type="dxa"/>
              <w:right w:w="15" w:type="dxa"/>
            </w:tcMar>
            <w:vAlign w:val="bottom"/>
            <w:hideMark/>
          </w:tcPr>
          <w:p w14:paraId="0B5E9EEA"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27A12644" w14:textId="77777777">
        <w:trPr>
          <w:divId w:val="2131241710"/>
        </w:trPr>
        <w:tc>
          <w:tcPr>
            <w:tcW w:w="3354" w:type="pct"/>
            <w:shd w:val="clear" w:color="auto" w:fill="CFF0FC"/>
            <w:tcMar>
              <w:top w:w="15" w:type="dxa"/>
              <w:left w:w="0" w:type="dxa"/>
              <w:bottom w:w="0" w:type="dxa"/>
              <w:right w:w="15" w:type="dxa"/>
            </w:tcMar>
            <w:hideMark/>
          </w:tcPr>
          <w:p w14:paraId="3EB22F80" w14:textId="77777777" w:rsidR="00000000" w:rsidRDefault="00582324">
            <w:pPr>
              <w:pStyle w:val="a3"/>
              <w:spacing w:before="0" w:beforeAutospacing="0" w:after="0" w:afterAutospacing="0"/>
              <w:rPr>
                <w:b/>
                <w:bCs/>
                <w:color w:val="000000"/>
                <w:sz w:val="18"/>
                <w:szCs w:val="18"/>
              </w:rPr>
            </w:pPr>
            <w:r>
              <w:rPr>
                <w:b/>
                <w:bCs/>
                <w:color w:val="000000"/>
                <w:sz w:val="18"/>
                <w:szCs w:val="18"/>
              </w:rPr>
              <w:t>Adjusted EBITDA</w:t>
            </w:r>
            <w:r>
              <w:rPr>
                <w:b/>
                <w:bCs/>
                <w:color w:val="000000"/>
                <w:sz w:val="15"/>
                <w:szCs w:val="15"/>
                <w:vertAlign w:val="superscript"/>
              </w:rPr>
              <w:t>(2)</w:t>
            </w:r>
          </w:p>
        </w:tc>
        <w:tc>
          <w:tcPr>
            <w:tcW w:w="79" w:type="pct"/>
            <w:shd w:val="clear" w:color="auto" w:fill="CFF0FC"/>
            <w:tcMar>
              <w:top w:w="15" w:type="dxa"/>
              <w:left w:w="0" w:type="dxa"/>
              <w:bottom w:w="0" w:type="dxa"/>
              <w:right w:w="15" w:type="dxa"/>
            </w:tcMar>
            <w:vAlign w:val="bottom"/>
            <w:hideMark/>
          </w:tcPr>
          <w:p w14:paraId="54D51CE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C30791"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shd w:val="clear" w:color="auto" w:fill="CFF0FC"/>
            <w:noWrap/>
            <w:tcMar>
              <w:top w:w="15" w:type="dxa"/>
              <w:left w:w="0" w:type="dxa"/>
              <w:bottom w:w="0" w:type="dxa"/>
              <w:right w:w="15" w:type="dxa"/>
            </w:tcMar>
            <w:vAlign w:val="bottom"/>
            <w:hideMark/>
          </w:tcPr>
          <w:p w14:paraId="6B05EEE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37,762</w:t>
            </w:r>
          </w:p>
        </w:tc>
        <w:tc>
          <w:tcPr>
            <w:tcW w:w="50" w:type="pct"/>
            <w:shd w:val="clear" w:color="auto" w:fill="CFF0FC"/>
            <w:noWrap/>
            <w:tcMar>
              <w:top w:w="15" w:type="dxa"/>
              <w:left w:w="0" w:type="dxa"/>
              <w:bottom w:w="0" w:type="dxa"/>
              <w:right w:w="15" w:type="dxa"/>
            </w:tcMar>
            <w:vAlign w:val="bottom"/>
            <w:hideMark/>
          </w:tcPr>
          <w:p w14:paraId="5DAA50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 w:type="pct"/>
            <w:shd w:val="clear" w:color="auto" w:fill="CFF0FC"/>
            <w:tcMar>
              <w:top w:w="15" w:type="dxa"/>
              <w:left w:w="0" w:type="dxa"/>
              <w:bottom w:w="0" w:type="dxa"/>
              <w:right w:w="15" w:type="dxa"/>
            </w:tcMar>
            <w:vAlign w:val="bottom"/>
            <w:hideMark/>
          </w:tcPr>
          <w:p w14:paraId="69E14C8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428575"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shd w:val="clear" w:color="auto" w:fill="CFF0FC"/>
            <w:noWrap/>
            <w:tcMar>
              <w:top w:w="15" w:type="dxa"/>
              <w:left w:w="0" w:type="dxa"/>
              <w:bottom w:w="0" w:type="dxa"/>
              <w:right w:w="15" w:type="dxa"/>
            </w:tcMar>
            <w:vAlign w:val="bottom"/>
            <w:hideMark/>
          </w:tcPr>
          <w:p w14:paraId="2A0690E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19,448</w:t>
            </w:r>
          </w:p>
        </w:tc>
        <w:tc>
          <w:tcPr>
            <w:tcW w:w="50" w:type="pct"/>
            <w:shd w:val="clear" w:color="auto" w:fill="CFF0FC"/>
            <w:noWrap/>
            <w:tcMar>
              <w:top w:w="15" w:type="dxa"/>
              <w:left w:w="0" w:type="dxa"/>
              <w:bottom w:w="0" w:type="dxa"/>
              <w:right w:w="15" w:type="dxa"/>
            </w:tcMar>
            <w:vAlign w:val="bottom"/>
            <w:hideMark/>
          </w:tcPr>
          <w:p w14:paraId="58F0C42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06672ACA" w14:textId="77777777">
        <w:trPr>
          <w:divId w:val="2131241710"/>
        </w:trPr>
        <w:tc>
          <w:tcPr>
            <w:tcW w:w="3354" w:type="pct"/>
            <w:shd w:val="clear" w:color="auto" w:fill="FFFFFF"/>
            <w:tcMar>
              <w:top w:w="15" w:type="dxa"/>
              <w:left w:w="0" w:type="dxa"/>
              <w:bottom w:w="0" w:type="dxa"/>
              <w:right w:w="15" w:type="dxa"/>
            </w:tcMar>
            <w:hideMark/>
          </w:tcPr>
          <w:p w14:paraId="6C45D757" w14:textId="77777777" w:rsidR="00000000" w:rsidRDefault="00582324">
            <w:pPr>
              <w:pStyle w:val="a3"/>
              <w:spacing w:before="0" w:beforeAutospacing="0" w:after="0" w:afterAutospacing="0"/>
              <w:rPr>
                <w:color w:val="000000"/>
                <w:sz w:val="18"/>
                <w:szCs w:val="18"/>
              </w:rPr>
            </w:pPr>
            <w:r>
              <w:rPr>
                <w:color w:val="000000"/>
                <w:sz w:val="18"/>
                <w:szCs w:val="18"/>
              </w:rPr>
              <w:t>Adjusted EBITDA margin</w:t>
            </w:r>
            <w:r>
              <w:rPr>
                <w:color w:val="000000"/>
                <w:sz w:val="15"/>
                <w:szCs w:val="15"/>
                <w:vertAlign w:val="superscript"/>
              </w:rPr>
              <w:t>(2)</w:t>
            </w:r>
          </w:p>
        </w:tc>
        <w:tc>
          <w:tcPr>
            <w:tcW w:w="79" w:type="pct"/>
            <w:shd w:val="clear" w:color="auto" w:fill="FFFFFF"/>
            <w:tcMar>
              <w:top w:w="15" w:type="dxa"/>
              <w:left w:w="0" w:type="dxa"/>
              <w:bottom w:w="0" w:type="dxa"/>
              <w:right w:w="15" w:type="dxa"/>
            </w:tcMar>
            <w:vAlign w:val="bottom"/>
            <w:hideMark/>
          </w:tcPr>
          <w:p w14:paraId="4E6320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D892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4E88CAD0" w14:textId="77777777" w:rsidR="00000000" w:rsidRDefault="00582324">
            <w:pPr>
              <w:pStyle w:val="a3"/>
              <w:spacing w:before="0" w:beforeAutospacing="0" w:after="0" w:afterAutospacing="0"/>
              <w:jc w:val="right"/>
              <w:rPr>
                <w:color w:val="000000"/>
                <w:sz w:val="18"/>
                <w:szCs w:val="18"/>
              </w:rPr>
            </w:pPr>
            <w:r>
              <w:rPr>
                <w:color w:val="000000"/>
                <w:sz w:val="18"/>
                <w:szCs w:val="18"/>
              </w:rPr>
              <w:t>14.0</w:t>
            </w:r>
          </w:p>
        </w:tc>
        <w:tc>
          <w:tcPr>
            <w:tcW w:w="50" w:type="pct"/>
            <w:shd w:val="clear" w:color="auto" w:fill="FFFFFF"/>
            <w:noWrap/>
            <w:tcMar>
              <w:top w:w="15" w:type="dxa"/>
              <w:left w:w="0" w:type="dxa"/>
              <w:bottom w:w="0" w:type="dxa"/>
              <w:right w:w="15" w:type="dxa"/>
            </w:tcMar>
            <w:vAlign w:val="bottom"/>
            <w:hideMark/>
          </w:tcPr>
          <w:p w14:paraId="70D9630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FFFFFF"/>
            <w:tcMar>
              <w:top w:w="15" w:type="dxa"/>
              <w:left w:w="0" w:type="dxa"/>
              <w:bottom w:w="0" w:type="dxa"/>
              <w:right w:w="15" w:type="dxa"/>
            </w:tcMar>
            <w:vAlign w:val="bottom"/>
            <w:hideMark/>
          </w:tcPr>
          <w:p w14:paraId="5EB9F3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C2CA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FFFFFF"/>
            <w:noWrap/>
            <w:tcMar>
              <w:top w:w="15" w:type="dxa"/>
              <w:left w:w="0" w:type="dxa"/>
              <w:bottom w:w="0" w:type="dxa"/>
              <w:right w:w="15" w:type="dxa"/>
            </w:tcMar>
            <w:vAlign w:val="bottom"/>
            <w:hideMark/>
          </w:tcPr>
          <w:p w14:paraId="31CF8CDA" w14:textId="77777777" w:rsidR="00000000" w:rsidRDefault="00582324">
            <w:pPr>
              <w:pStyle w:val="a3"/>
              <w:spacing w:before="0" w:beforeAutospacing="0" w:after="0" w:afterAutospacing="0"/>
              <w:jc w:val="right"/>
              <w:rPr>
                <w:color w:val="000000"/>
                <w:sz w:val="18"/>
                <w:szCs w:val="18"/>
              </w:rPr>
            </w:pPr>
            <w:r>
              <w:rPr>
                <w:color w:val="000000"/>
                <w:sz w:val="18"/>
                <w:szCs w:val="18"/>
              </w:rPr>
              <w:t>14.4</w:t>
            </w:r>
          </w:p>
        </w:tc>
        <w:tc>
          <w:tcPr>
            <w:tcW w:w="50" w:type="pct"/>
            <w:shd w:val="clear" w:color="auto" w:fill="FFFFFF"/>
            <w:noWrap/>
            <w:tcMar>
              <w:top w:w="15" w:type="dxa"/>
              <w:left w:w="0" w:type="dxa"/>
              <w:bottom w:w="0" w:type="dxa"/>
              <w:right w:w="15" w:type="dxa"/>
            </w:tcMar>
            <w:vAlign w:val="bottom"/>
            <w:hideMark/>
          </w:tcPr>
          <w:p w14:paraId="025B5F64" w14:textId="77777777" w:rsidR="00000000" w:rsidRDefault="00582324">
            <w:pPr>
              <w:pStyle w:val="a3"/>
              <w:spacing w:before="0" w:beforeAutospacing="0" w:after="0" w:afterAutospacing="0"/>
              <w:rPr>
                <w:color w:val="000000"/>
                <w:sz w:val="18"/>
                <w:szCs w:val="18"/>
              </w:rPr>
            </w:pPr>
            <w:r>
              <w:rPr>
                <w:color w:val="000000"/>
                <w:sz w:val="18"/>
                <w:szCs w:val="18"/>
              </w:rPr>
              <w:t>%</w:t>
            </w:r>
          </w:p>
        </w:tc>
      </w:tr>
    </w:tbl>
    <w:p w14:paraId="3EE14859" w14:textId="77777777" w:rsidR="00000000" w:rsidRDefault="00582324">
      <w:pPr>
        <w:pStyle w:val="a3"/>
        <w:pBdr>
          <w:bottom w:val="single" w:sz="6" w:space="1" w:color="auto"/>
        </w:pBdr>
        <w:shd w:val="clear" w:color="auto" w:fill="FFFFFF"/>
        <w:spacing w:before="0" w:beforeAutospacing="0" w:after="0" w:afterAutospacing="0"/>
        <w:ind w:right="6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08"/>
        <w:gridCol w:w="415"/>
        <w:gridCol w:w="7683"/>
      </w:tblGrid>
      <w:tr w:rsidR="00000000" w14:paraId="223B8B3E" w14:textId="77777777">
        <w:trPr>
          <w:divId w:val="705568607"/>
        </w:trPr>
        <w:tc>
          <w:tcPr>
            <w:tcW w:w="125" w:type="pct"/>
            <w:noWrap/>
            <w:hideMark/>
          </w:tcPr>
          <w:p w14:paraId="63A15B4F" w14:textId="77777777" w:rsidR="00000000" w:rsidRDefault="00582324">
            <w:pPr>
              <w:pStyle w:val="a3"/>
              <w:spacing w:before="40" w:beforeAutospacing="0" w:after="0" w:afterAutospacing="0"/>
            </w:pPr>
            <w:r>
              <w:t> </w:t>
            </w:r>
          </w:p>
        </w:tc>
        <w:tc>
          <w:tcPr>
            <w:tcW w:w="250" w:type="pct"/>
            <w:noWrap/>
            <w:hideMark/>
          </w:tcPr>
          <w:p w14:paraId="4038C037" w14:textId="77777777" w:rsidR="00000000" w:rsidRDefault="00582324">
            <w:pPr>
              <w:pStyle w:val="a3"/>
              <w:spacing w:before="40" w:beforeAutospacing="0" w:after="0" w:afterAutospacing="0"/>
              <w:rPr>
                <w:sz w:val="20"/>
                <w:szCs w:val="20"/>
              </w:rPr>
            </w:pPr>
            <w:r>
              <w:rPr>
                <w:sz w:val="20"/>
                <w:szCs w:val="20"/>
              </w:rPr>
              <w:t>(1</w:t>
            </w:r>
            <w:r>
              <w:rPr>
                <w:sz w:val="20"/>
                <w:szCs w:val="20"/>
              </w:rPr>
              <w:t>)</w:t>
            </w:r>
          </w:p>
        </w:tc>
        <w:tc>
          <w:tcPr>
            <w:tcW w:w="0" w:type="auto"/>
            <w:hideMark/>
          </w:tcPr>
          <w:p w14:paraId="5C32C1A4" w14:textId="77777777" w:rsidR="00000000" w:rsidRDefault="00582324">
            <w:pPr>
              <w:pStyle w:val="a3"/>
              <w:spacing w:before="40" w:beforeAutospacing="0" w:after="0" w:afterAutospacing="0"/>
            </w:pPr>
            <w:r>
              <w:rPr>
                <w:color w:val="000000"/>
                <w:sz w:val="18"/>
                <w:szCs w:val="18"/>
              </w:rPr>
              <w:t>Operating margin represents loss from operations as a percentage of revenues.</w:t>
            </w:r>
          </w:p>
        </w:tc>
      </w:tr>
    </w:tbl>
    <w:p w14:paraId="61599B1E" w14:textId="77777777" w:rsidR="00000000" w:rsidRDefault="00582324">
      <w:pPr>
        <w:pStyle w:val="a3"/>
        <w:spacing w:before="240" w:beforeAutospacing="0" w:after="0" w:afterAutospacing="0"/>
        <w:jc w:val="center"/>
        <w:rPr>
          <w:sz w:val="20"/>
          <w:szCs w:val="20"/>
        </w:rPr>
      </w:pPr>
      <w:r>
        <w:rPr>
          <w:sz w:val="20"/>
          <w:szCs w:val="20"/>
        </w:rPr>
        <w:t>39</w:t>
      </w:r>
    </w:p>
    <w:p w14:paraId="45A0C6AF" w14:textId="77777777" w:rsidR="00000000" w:rsidRDefault="00582324">
      <w:pPr>
        <w:rPr>
          <w:rFonts w:eastAsia="Times New Roman"/>
        </w:rPr>
      </w:pPr>
      <w:r>
        <w:rPr>
          <w:rFonts w:eastAsia="Times New Roman"/>
        </w:rPr>
        <w:pict w14:anchorId="4A59A0A5">
          <v:rect id="_x0000_i1065" style="width:0;height:1.5pt" o:hralign="center" o:hrstd="t" o:hr="t" fillcolor="#a0a0a0" stroked="f"/>
        </w:pict>
      </w:r>
    </w:p>
    <w:p w14:paraId="43F2F9EC" w14:textId="77777777" w:rsidR="00000000" w:rsidRDefault="00582324">
      <w:pPr>
        <w:pStyle w:val="a3"/>
        <w:spacing w:before="0" w:beforeAutospacing="0" w:after="0" w:afterAutospacing="0"/>
        <w:rPr>
          <w:sz w:val="20"/>
          <w:szCs w:val="20"/>
        </w:rPr>
      </w:pPr>
      <w:r>
        <w:rPr>
          <w:sz w:val="20"/>
          <w:szCs w:val="20"/>
        </w:rPr>
        <w:t> </w:t>
      </w:r>
    </w:p>
    <w:p w14:paraId="5B6A9E1C"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8"/>
        <w:gridCol w:w="415"/>
        <w:gridCol w:w="7683"/>
      </w:tblGrid>
      <w:tr w:rsidR="00000000" w14:paraId="5277F97E" w14:textId="77777777">
        <w:trPr>
          <w:divId w:val="1142429646"/>
        </w:trPr>
        <w:tc>
          <w:tcPr>
            <w:tcW w:w="125" w:type="pct"/>
            <w:noWrap/>
            <w:hideMark/>
          </w:tcPr>
          <w:p w14:paraId="24408E09" w14:textId="77777777" w:rsidR="00000000" w:rsidRDefault="00582324">
            <w:pPr>
              <w:pStyle w:val="a3"/>
              <w:spacing w:before="40" w:beforeAutospacing="0" w:after="0" w:afterAutospacing="0"/>
            </w:pPr>
            <w:r>
              <w:t> </w:t>
            </w:r>
          </w:p>
        </w:tc>
        <w:tc>
          <w:tcPr>
            <w:tcW w:w="250" w:type="pct"/>
            <w:noWrap/>
            <w:hideMark/>
          </w:tcPr>
          <w:p w14:paraId="5B95BE64" w14:textId="77777777" w:rsidR="00000000" w:rsidRDefault="00582324">
            <w:pPr>
              <w:pStyle w:val="a3"/>
              <w:spacing w:before="40" w:beforeAutospacing="0" w:after="0" w:afterAutospacing="0"/>
              <w:rPr>
                <w:sz w:val="20"/>
                <w:szCs w:val="20"/>
              </w:rPr>
            </w:pPr>
            <w:r>
              <w:rPr>
                <w:sz w:val="20"/>
                <w:szCs w:val="20"/>
              </w:rPr>
              <w:t>(2</w:t>
            </w:r>
            <w:r>
              <w:rPr>
                <w:sz w:val="20"/>
                <w:szCs w:val="20"/>
              </w:rPr>
              <w:t>)</w:t>
            </w:r>
          </w:p>
        </w:tc>
        <w:tc>
          <w:tcPr>
            <w:tcW w:w="0" w:type="auto"/>
            <w:hideMark/>
          </w:tcPr>
          <w:p w14:paraId="1AB5FB57" w14:textId="77777777" w:rsidR="00000000" w:rsidRDefault="00582324">
            <w:pPr>
              <w:pStyle w:val="a3"/>
              <w:spacing w:before="40" w:beforeAutospacing="0" w:after="0" w:afterAutospacing="0"/>
            </w:pPr>
            <w:r>
              <w:rPr>
                <w:color w:val="000000"/>
                <w:sz w:val="18"/>
                <w:szCs w:val="18"/>
              </w:rPr>
              <w:t>Non-GAAP measure. See “—Non-GAAP Financial Information” for a discussion of non-GAAP measures and a reconciliation thereof to the most directly comparable GAAP measure.</w:t>
            </w:r>
          </w:p>
        </w:tc>
      </w:tr>
    </w:tbl>
    <w:p w14:paraId="5FAB3C26" w14:textId="77777777" w:rsidR="00000000" w:rsidRDefault="00582324">
      <w:pPr>
        <w:pStyle w:val="a3"/>
        <w:spacing w:before="0" w:beforeAutospacing="0" w:after="0" w:afterAutospacing="0"/>
        <w:ind w:left="357"/>
        <w:rPr>
          <w:sz w:val="20"/>
          <w:szCs w:val="20"/>
        </w:rPr>
      </w:pPr>
      <w:r>
        <w:rPr>
          <w:sz w:val="20"/>
          <w:szCs w:val="20"/>
        </w:rPr>
        <w:t> </w:t>
      </w:r>
    </w:p>
    <w:p w14:paraId="472F74CA" w14:textId="77777777" w:rsidR="00000000" w:rsidRDefault="00582324">
      <w:pPr>
        <w:pStyle w:val="a3"/>
        <w:spacing w:before="0" w:beforeAutospacing="0" w:after="0" w:afterAutospacing="0"/>
        <w:ind w:left="357"/>
        <w:rPr>
          <w:b/>
          <w:bCs/>
          <w:i/>
          <w:iCs/>
          <w:color w:val="000000"/>
          <w:sz w:val="20"/>
          <w:szCs w:val="20"/>
        </w:rPr>
      </w:pPr>
      <w:r>
        <w:rPr>
          <w:b/>
          <w:bCs/>
          <w:i/>
          <w:iCs/>
          <w:color w:val="000000"/>
          <w:sz w:val="20"/>
          <w:szCs w:val="20"/>
        </w:rPr>
        <w:t>Revenues</w:t>
      </w:r>
    </w:p>
    <w:p w14:paraId="02A0544F"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For the six months ended June</w:t>
      </w:r>
      <w:r>
        <w:rPr>
          <w:color w:val="000000"/>
          <w:sz w:val="20"/>
          <w:szCs w:val="20"/>
        </w:rPr>
        <w:t xml:space="preserve"> 30, 2021, we had revenues of $270.0 million, an increase of $135.2 million, or 100.3% over the six months ended June 30, 2020. Excluding revenues from Discontinued Service Lines of zero and $3.8 million in the six months ended June 30, 2021 and June 30, 2</w:t>
      </w:r>
      <w:r>
        <w:rPr>
          <w:color w:val="000000"/>
          <w:sz w:val="20"/>
          <w:szCs w:val="20"/>
        </w:rPr>
        <w:t>020, respectively, revenues increased $139.0 million or 106.1%. The period over period increase in revenues was driven by a full six-month period including the results of CTEH, which was acquired in the second quarter of 2020, and acquisitions completed af</w:t>
      </w:r>
      <w:r>
        <w:rPr>
          <w:color w:val="000000"/>
          <w:sz w:val="20"/>
          <w:szCs w:val="20"/>
        </w:rPr>
        <w:t>ter the quarter ended June 30, 2020, which contributed $7.8 million in revenues</w:t>
      </w:r>
      <w:r>
        <w:rPr>
          <w:color w:val="000000"/>
          <w:sz w:val="20"/>
          <w:szCs w:val="20"/>
          <w:shd w:val="clear" w:color="auto" w:fill="FFFFFF"/>
        </w:rPr>
        <w:t xml:space="preserve"> during the six months ended June 30, 2021, and organic growth, including significant organic growth from CTEH. </w:t>
      </w:r>
      <w:r>
        <w:rPr>
          <w:color w:val="000000"/>
          <w:sz w:val="20"/>
          <w:szCs w:val="20"/>
        </w:rPr>
        <w:t>As was the case in the prior year, all segments continue to be im</w:t>
      </w:r>
      <w:r>
        <w:rPr>
          <w:color w:val="000000"/>
          <w:sz w:val="20"/>
          <w:szCs w:val="20"/>
        </w:rPr>
        <w:t xml:space="preserve">pacted by COVID-19 in 2021, however, in the current year, COVID-19 related project delays and other impacts were more than offset by COVID-19 response work in our Assessment, Permitting and Response segment from the acquisition of CTEH. Revenues from CTEH </w:t>
      </w:r>
      <w:r>
        <w:rPr>
          <w:color w:val="000000"/>
          <w:sz w:val="20"/>
          <w:szCs w:val="20"/>
        </w:rPr>
        <w:t>were $136.5 million in the six months ended June 30, 2021 as compared to $14.6 million in the six months ended June 30,2020 (all of which was in the second quarter of 2020). Organic growth for the six months ended June 30, 2021 was 46.7% including CTEH, an</w:t>
      </w:r>
      <w:r>
        <w:rPr>
          <w:color w:val="000000"/>
          <w:sz w:val="20"/>
          <w:szCs w:val="20"/>
        </w:rPr>
        <w:t>d 8.5% excluding CTEH.  Revenue by segment and as a percentage of total revenues was as follows:</w:t>
      </w:r>
    </w:p>
    <w:p w14:paraId="5BCF15E4" w14:textId="77777777" w:rsidR="00000000" w:rsidRDefault="00582324">
      <w:pPr>
        <w:pStyle w:val="a3"/>
        <w:shd w:val="clear" w:color="auto" w:fill="FFFFFF"/>
        <w:spacing w:before="120" w:beforeAutospacing="0" w:after="0" w:afterAutospacing="0"/>
        <w:ind w:firstLine="416"/>
      </w:pPr>
      <w:r>
        <w:t> </w:t>
      </w:r>
    </w:p>
    <w:tbl>
      <w:tblPr>
        <w:tblW w:w="5000" w:type="pct"/>
        <w:tblCellMar>
          <w:left w:w="0" w:type="dxa"/>
          <w:right w:w="0" w:type="dxa"/>
        </w:tblCellMar>
        <w:tblLook w:val="04A0" w:firstRow="1" w:lastRow="0" w:firstColumn="1" w:lastColumn="0" w:noHBand="0" w:noVBand="1"/>
      </w:tblPr>
      <w:tblGrid>
        <w:gridCol w:w="2574"/>
        <w:gridCol w:w="226"/>
        <w:gridCol w:w="226"/>
        <w:gridCol w:w="83"/>
        <w:gridCol w:w="814"/>
        <w:gridCol w:w="83"/>
        <w:gridCol w:w="226"/>
        <w:gridCol w:w="83"/>
        <w:gridCol w:w="814"/>
        <w:gridCol w:w="83"/>
        <w:gridCol w:w="228"/>
        <w:gridCol w:w="226"/>
        <w:gridCol w:w="226"/>
        <w:gridCol w:w="83"/>
        <w:gridCol w:w="814"/>
        <w:gridCol w:w="83"/>
        <w:gridCol w:w="226"/>
        <w:gridCol w:w="83"/>
        <w:gridCol w:w="814"/>
        <w:gridCol w:w="83"/>
        <w:gridCol w:w="228"/>
      </w:tblGrid>
      <w:tr w:rsidR="00000000" w14:paraId="605A9FE0" w14:textId="77777777">
        <w:trPr>
          <w:divId w:val="1345206735"/>
        </w:trPr>
        <w:tc>
          <w:tcPr>
            <w:tcW w:w="1549" w:type="pct"/>
            <w:shd w:val="clear" w:color="auto" w:fill="FFFFFF"/>
            <w:tcMar>
              <w:top w:w="15" w:type="dxa"/>
              <w:left w:w="0" w:type="dxa"/>
              <w:bottom w:w="0" w:type="dxa"/>
              <w:right w:w="15" w:type="dxa"/>
            </w:tcMar>
            <w:vAlign w:val="center"/>
            <w:hideMark/>
          </w:tcPr>
          <w:p w14:paraId="3287B8B4" w14:textId="77777777" w:rsidR="00000000" w:rsidRDefault="00582324">
            <w:pPr>
              <w:pStyle w:val="a3"/>
              <w:spacing w:before="0" w:beforeAutospacing="0" w:after="0" w:afterAutospacing="0"/>
              <w:rPr>
                <w:sz w:val="20"/>
                <w:szCs w:val="20"/>
              </w:rPr>
            </w:pPr>
            <w:r>
              <w:rPr>
                <w:sz w:val="20"/>
                <w:szCs w:val="20"/>
              </w:rPr>
              <w:t> </w:t>
            </w:r>
          </w:p>
        </w:tc>
        <w:tc>
          <w:tcPr>
            <w:tcW w:w="136" w:type="pct"/>
            <w:shd w:val="clear" w:color="auto" w:fill="FFFFFF"/>
            <w:tcMar>
              <w:top w:w="15" w:type="dxa"/>
              <w:left w:w="0" w:type="dxa"/>
              <w:bottom w:w="0" w:type="dxa"/>
              <w:right w:w="15" w:type="dxa"/>
            </w:tcMar>
            <w:vAlign w:val="center"/>
            <w:hideMark/>
          </w:tcPr>
          <w:p w14:paraId="1BC598F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3314" w:type="pct"/>
            <w:gridSpan w:val="19"/>
            <w:tcBorders>
              <w:bottom w:val="single" w:sz="6" w:space="0" w:color="000000"/>
            </w:tcBorders>
            <w:shd w:val="clear" w:color="auto" w:fill="FFFFFF"/>
            <w:tcMar>
              <w:top w:w="15" w:type="dxa"/>
              <w:left w:w="0" w:type="dxa"/>
              <w:bottom w:w="0" w:type="dxa"/>
              <w:right w:w="15" w:type="dxa"/>
            </w:tcMar>
            <w:vAlign w:val="center"/>
            <w:hideMark/>
          </w:tcPr>
          <w:p w14:paraId="068967AA"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Six Months Ended June 30,</w:t>
            </w:r>
          </w:p>
        </w:tc>
      </w:tr>
      <w:tr w:rsidR="00000000" w14:paraId="21CD35DD" w14:textId="77777777">
        <w:trPr>
          <w:divId w:val="1345206735"/>
        </w:trPr>
        <w:tc>
          <w:tcPr>
            <w:tcW w:w="1549" w:type="pct"/>
            <w:shd w:val="clear" w:color="auto" w:fill="FFFFFF"/>
            <w:tcMar>
              <w:top w:w="15" w:type="dxa"/>
              <w:left w:w="0" w:type="dxa"/>
              <w:bottom w:w="0" w:type="dxa"/>
              <w:right w:w="15" w:type="dxa"/>
            </w:tcMar>
            <w:vAlign w:val="bottom"/>
            <w:hideMark/>
          </w:tcPr>
          <w:p w14:paraId="0FB43A48"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 w:type="pct"/>
            <w:shd w:val="clear" w:color="auto" w:fill="FFFFFF"/>
            <w:tcMar>
              <w:top w:w="15" w:type="dxa"/>
              <w:left w:w="0" w:type="dxa"/>
              <w:bottom w:w="0" w:type="dxa"/>
              <w:right w:w="15" w:type="dxa"/>
            </w:tcMar>
            <w:vAlign w:val="bottom"/>
            <w:hideMark/>
          </w:tcPr>
          <w:p w14:paraId="102C90D6"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589" w:type="pct"/>
            <w:gridSpan w:val="9"/>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18BD0975"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2021</w:t>
            </w:r>
          </w:p>
        </w:tc>
        <w:tc>
          <w:tcPr>
            <w:tcW w:w="136" w:type="pct"/>
            <w:tcBorders>
              <w:top w:val="single" w:sz="6" w:space="0" w:color="000000"/>
            </w:tcBorders>
            <w:shd w:val="clear" w:color="auto" w:fill="FFFFFF"/>
            <w:tcMar>
              <w:top w:w="15" w:type="dxa"/>
              <w:left w:w="0" w:type="dxa"/>
              <w:bottom w:w="0" w:type="dxa"/>
              <w:right w:w="15" w:type="dxa"/>
            </w:tcMar>
            <w:vAlign w:val="center"/>
            <w:hideMark/>
          </w:tcPr>
          <w:p w14:paraId="27208B5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1589" w:type="pct"/>
            <w:gridSpan w:val="9"/>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268D9D03"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2020</w:t>
            </w:r>
          </w:p>
        </w:tc>
      </w:tr>
      <w:tr w:rsidR="00000000" w14:paraId="2B2BE0D5" w14:textId="77777777">
        <w:trPr>
          <w:divId w:val="1345206735"/>
        </w:trPr>
        <w:tc>
          <w:tcPr>
            <w:tcW w:w="1549" w:type="pct"/>
            <w:shd w:val="clear" w:color="auto" w:fill="FFFFFF"/>
            <w:tcMar>
              <w:top w:w="15" w:type="dxa"/>
              <w:left w:w="0" w:type="dxa"/>
              <w:bottom w:w="0" w:type="dxa"/>
              <w:right w:w="15" w:type="dxa"/>
            </w:tcMar>
            <w:vAlign w:val="center"/>
            <w:hideMark/>
          </w:tcPr>
          <w:p w14:paraId="5898147C" w14:textId="77777777" w:rsidR="00000000" w:rsidRDefault="00582324">
            <w:pPr>
              <w:pStyle w:val="a3"/>
              <w:spacing w:before="0" w:beforeAutospacing="0" w:after="0" w:afterAutospacing="0"/>
              <w:rPr>
                <w:b/>
                <w:bCs/>
                <w:color w:val="000000"/>
                <w:sz w:val="16"/>
                <w:szCs w:val="16"/>
              </w:rPr>
            </w:pPr>
            <w:r>
              <w:rPr>
                <w:b/>
                <w:bCs/>
                <w:color w:val="000000"/>
                <w:sz w:val="16"/>
                <w:szCs w:val="16"/>
              </w:rPr>
              <w:t>(revenue in thousands)</w:t>
            </w:r>
          </w:p>
        </w:tc>
        <w:tc>
          <w:tcPr>
            <w:tcW w:w="136" w:type="pct"/>
            <w:shd w:val="clear" w:color="auto" w:fill="FFFFFF"/>
            <w:tcMar>
              <w:top w:w="15" w:type="dxa"/>
              <w:left w:w="0" w:type="dxa"/>
              <w:bottom w:w="0" w:type="dxa"/>
              <w:right w:w="15" w:type="dxa"/>
            </w:tcMar>
            <w:vAlign w:val="bottom"/>
            <w:hideMark/>
          </w:tcPr>
          <w:p w14:paraId="5D56B189"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76" w:type="pct"/>
            <w:gridSpan w:val="3"/>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1E5C27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center"/>
            <w:hideMark/>
          </w:tcPr>
          <w:p w14:paraId="46622613"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36" w:type="pct"/>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3E5B6E62"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726" w:type="pct"/>
            <w:gridSpan w:val="4"/>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54A68A61"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of Total Revenues</w:t>
            </w:r>
          </w:p>
        </w:tc>
        <w:tc>
          <w:tcPr>
            <w:tcW w:w="136" w:type="pct"/>
            <w:shd w:val="clear" w:color="auto" w:fill="FFFFFF"/>
            <w:tcMar>
              <w:top w:w="15" w:type="dxa"/>
              <w:left w:w="0" w:type="dxa"/>
              <w:bottom w:w="0" w:type="dxa"/>
              <w:right w:w="15" w:type="dxa"/>
            </w:tcMar>
            <w:vAlign w:val="center"/>
            <w:hideMark/>
          </w:tcPr>
          <w:p w14:paraId="141790D8"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w:t>
            </w:r>
          </w:p>
        </w:tc>
        <w:tc>
          <w:tcPr>
            <w:tcW w:w="676" w:type="pct"/>
            <w:gridSpan w:val="3"/>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671C6DA2"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Revenues</w:t>
            </w:r>
          </w:p>
        </w:tc>
        <w:tc>
          <w:tcPr>
            <w:tcW w:w="50" w:type="pct"/>
            <w:shd w:val="clear" w:color="auto" w:fill="FFFFFF"/>
            <w:noWrap/>
            <w:tcMar>
              <w:top w:w="15" w:type="dxa"/>
              <w:left w:w="0" w:type="dxa"/>
              <w:bottom w:w="0" w:type="dxa"/>
              <w:right w:w="15" w:type="dxa"/>
            </w:tcMar>
            <w:vAlign w:val="center"/>
            <w:hideMark/>
          </w:tcPr>
          <w:p w14:paraId="48A6BE69" w14:textId="77777777" w:rsidR="00000000" w:rsidRDefault="00582324">
            <w:pPr>
              <w:pStyle w:val="a3"/>
              <w:spacing w:before="0" w:beforeAutospacing="0" w:after="0" w:afterAutospacing="0"/>
              <w:rPr>
                <w:b/>
                <w:bCs/>
                <w:color w:val="000000"/>
                <w:sz w:val="16"/>
                <w:szCs w:val="16"/>
              </w:rPr>
            </w:pPr>
            <w:r>
              <w:rPr>
                <w:b/>
                <w:bCs/>
                <w:color w:val="000000"/>
                <w:sz w:val="16"/>
                <w:szCs w:val="16"/>
              </w:rPr>
              <w:t> </w:t>
            </w:r>
          </w:p>
        </w:tc>
        <w:tc>
          <w:tcPr>
            <w:tcW w:w="136" w:type="pct"/>
            <w:tcBorders>
              <w:top w:val="single" w:sz="6" w:space="0" w:color="000000"/>
            </w:tcBorders>
            <w:shd w:val="clear" w:color="auto" w:fill="FFFFFF"/>
            <w:tcMar>
              <w:top w:w="15" w:type="dxa"/>
              <w:left w:w="0" w:type="dxa"/>
              <w:bottom w:w="0" w:type="dxa"/>
              <w:right w:w="15" w:type="dxa"/>
            </w:tcMar>
            <w:vAlign w:val="center"/>
            <w:hideMark/>
          </w:tcPr>
          <w:p w14:paraId="3FE3A4D3" w14:textId="77777777" w:rsidR="00000000" w:rsidRDefault="00582324">
            <w:pPr>
              <w:pStyle w:val="a3"/>
              <w:spacing w:before="0" w:beforeAutospacing="0" w:after="0" w:afterAutospacing="0"/>
              <w:jc w:val="center"/>
              <w:rPr>
                <w:color w:val="000000"/>
                <w:sz w:val="20"/>
                <w:szCs w:val="20"/>
              </w:rPr>
            </w:pPr>
            <w:r>
              <w:rPr>
                <w:color w:val="000000"/>
                <w:sz w:val="20"/>
                <w:szCs w:val="20"/>
              </w:rPr>
              <w:t> </w:t>
            </w:r>
          </w:p>
        </w:tc>
        <w:tc>
          <w:tcPr>
            <w:tcW w:w="726" w:type="pct"/>
            <w:gridSpan w:val="4"/>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14:paraId="1B3714F6"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 of Total Revenues</w:t>
            </w:r>
          </w:p>
        </w:tc>
      </w:tr>
      <w:tr w:rsidR="00000000" w14:paraId="069AE932" w14:textId="77777777">
        <w:trPr>
          <w:divId w:val="1345206735"/>
        </w:trPr>
        <w:tc>
          <w:tcPr>
            <w:tcW w:w="1549" w:type="pct"/>
            <w:shd w:val="clear" w:color="auto" w:fill="CFF0FC"/>
            <w:tcMar>
              <w:top w:w="15" w:type="dxa"/>
              <w:left w:w="0" w:type="dxa"/>
              <w:bottom w:w="0" w:type="dxa"/>
              <w:right w:w="15" w:type="dxa"/>
            </w:tcMar>
            <w:vAlign w:val="center"/>
            <w:hideMark/>
          </w:tcPr>
          <w:p w14:paraId="4D5D1F73" w14:textId="77777777" w:rsidR="00000000" w:rsidRDefault="00582324">
            <w:pPr>
              <w:pStyle w:val="a3"/>
              <w:spacing w:before="0" w:beforeAutospacing="0" w:after="0" w:afterAutospacing="0"/>
              <w:rPr>
                <w:color w:val="000000"/>
                <w:sz w:val="20"/>
                <w:szCs w:val="20"/>
              </w:rPr>
            </w:pPr>
            <w:r>
              <w:rPr>
                <w:color w:val="000000"/>
                <w:sz w:val="20"/>
                <w:szCs w:val="20"/>
              </w:rPr>
              <w:t>Assessment, Permitting and</w:t>
            </w:r>
          </w:p>
          <w:p w14:paraId="088C50FA" w14:textId="77777777" w:rsidR="00000000" w:rsidRDefault="00582324">
            <w:pPr>
              <w:pStyle w:val="a3"/>
              <w:spacing w:before="0" w:beforeAutospacing="0" w:after="0" w:afterAutospacing="0"/>
              <w:rPr>
                <w:color w:val="000000"/>
                <w:sz w:val="20"/>
                <w:szCs w:val="20"/>
              </w:rPr>
            </w:pPr>
            <w:r>
              <w:rPr>
                <w:color w:val="000000"/>
                <w:sz w:val="20"/>
                <w:szCs w:val="20"/>
              </w:rPr>
              <w:t>   Response</w:t>
            </w:r>
          </w:p>
        </w:tc>
        <w:tc>
          <w:tcPr>
            <w:tcW w:w="136" w:type="pct"/>
            <w:shd w:val="clear" w:color="auto" w:fill="CFF0FC"/>
            <w:tcMar>
              <w:top w:w="15" w:type="dxa"/>
              <w:left w:w="0" w:type="dxa"/>
              <w:bottom w:w="0" w:type="dxa"/>
              <w:right w:w="15" w:type="dxa"/>
            </w:tcMar>
            <w:vAlign w:val="center"/>
            <w:hideMark/>
          </w:tcPr>
          <w:p w14:paraId="0A0B444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tcBorders>
              <w:top w:val="single" w:sz="6" w:space="0" w:color="000000"/>
            </w:tcBorders>
            <w:shd w:val="clear" w:color="auto" w:fill="CFF0FC"/>
            <w:tcMar>
              <w:top w:w="15" w:type="dxa"/>
              <w:left w:w="0" w:type="dxa"/>
              <w:bottom w:w="0" w:type="dxa"/>
              <w:right w:w="15" w:type="dxa"/>
            </w:tcMar>
            <w:vAlign w:val="center"/>
            <w:hideMark/>
          </w:tcPr>
          <w:p w14:paraId="6D469614"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47F8720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tcBorders>
              <w:top w:val="single" w:sz="6" w:space="0" w:color="000000"/>
            </w:tcBorders>
            <w:shd w:val="clear" w:color="auto" w:fill="CFF0FC"/>
            <w:noWrap/>
            <w:tcMar>
              <w:top w:w="15" w:type="dxa"/>
              <w:left w:w="0" w:type="dxa"/>
              <w:bottom w:w="0" w:type="dxa"/>
              <w:right w:w="15" w:type="dxa"/>
            </w:tcMar>
            <w:vAlign w:val="center"/>
            <w:hideMark/>
          </w:tcPr>
          <w:p w14:paraId="213A6A34" w14:textId="77777777" w:rsidR="00000000" w:rsidRDefault="00582324">
            <w:pPr>
              <w:pStyle w:val="a3"/>
              <w:spacing w:before="0" w:beforeAutospacing="0" w:after="0" w:afterAutospacing="0"/>
              <w:jc w:val="right"/>
              <w:rPr>
                <w:color w:val="000000"/>
                <w:sz w:val="20"/>
                <w:szCs w:val="20"/>
              </w:rPr>
            </w:pPr>
            <w:r>
              <w:rPr>
                <w:color w:val="000000"/>
                <w:sz w:val="20"/>
                <w:szCs w:val="20"/>
              </w:rPr>
              <w:t>145,967</w:t>
            </w:r>
          </w:p>
        </w:tc>
        <w:tc>
          <w:tcPr>
            <w:tcW w:w="50" w:type="pct"/>
            <w:shd w:val="clear" w:color="auto" w:fill="CFF0FC"/>
            <w:noWrap/>
            <w:tcMar>
              <w:top w:w="15" w:type="dxa"/>
              <w:left w:w="0" w:type="dxa"/>
              <w:bottom w:w="0" w:type="dxa"/>
              <w:right w:w="15" w:type="dxa"/>
            </w:tcMar>
            <w:vAlign w:val="center"/>
            <w:hideMark/>
          </w:tcPr>
          <w:p w14:paraId="59091E9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tcBorders>
              <w:top w:val="single" w:sz="6" w:space="0" w:color="000000"/>
            </w:tcBorders>
            <w:shd w:val="clear" w:color="auto" w:fill="CFF0FC"/>
            <w:tcMar>
              <w:top w:w="15" w:type="dxa"/>
              <w:left w:w="0" w:type="dxa"/>
              <w:bottom w:w="0" w:type="dxa"/>
              <w:right w:w="15" w:type="dxa"/>
            </w:tcMar>
            <w:vAlign w:val="center"/>
            <w:hideMark/>
          </w:tcPr>
          <w:p w14:paraId="4DE653B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1825EE9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tcBorders>
              <w:top w:val="single" w:sz="6" w:space="0" w:color="000000"/>
            </w:tcBorders>
            <w:shd w:val="clear" w:color="auto" w:fill="CFF0FC"/>
            <w:noWrap/>
            <w:tcMar>
              <w:top w:w="15" w:type="dxa"/>
              <w:left w:w="0" w:type="dxa"/>
              <w:bottom w:w="0" w:type="dxa"/>
              <w:right w:w="15" w:type="dxa"/>
            </w:tcMar>
            <w:vAlign w:val="center"/>
            <w:hideMark/>
          </w:tcPr>
          <w:p w14:paraId="023FEF28" w14:textId="77777777" w:rsidR="00000000" w:rsidRDefault="0058232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center"/>
            <w:hideMark/>
          </w:tcPr>
          <w:p w14:paraId="69C6772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tcBorders>
              <w:top w:val="single" w:sz="6" w:space="0" w:color="000000"/>
            </w:tcBorders>
            <w:shd w:val="clear" w:color="auto" w:fill="CFF0FC"/>
            <w:tcMar>
              <w:top w:w="15" w:type="dxa"/>
              <w:left w:w="0" w:type="dxa"/>
              <w:bottom w:w="0" w:type="dxa"/>
              <w:right w:w="15" w:type="dxa"/>
            </w:tcMar>
            <w:vAlign w:val="center"/>
            <w:hideMark/>
          </w:tcPr>
          <w:p w14:paraId="7DD5A753"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136" w:type="pct"/>
            <w:shd w:val="clear" w:color="auto" w:fill="CFF0FC"/>
            <w:tcMar>
              <w:top w:w="15" w:type="dxa"/>
              <w:left w:w="0" w:type="dxa"/>
              <w:bottom w:w="0" w:type="dxa"/>
              <w:right w:w="15" w:type="dxa"/>
            </w:tcMar>
            <w:vAlign w:val="center"/>
            <w:hideMark/>
          </w:tcPr>
          <w:p w14:paraId="088106A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tcBorders>
              <w:top w:val="single" w:sz="6" w:space="0" w:color="000000"/>
            </w:tcBorders>
            <w:shd w:val="clear" w:color="auto" w:fill="CFF0FC"/>
            <w:tcMar>
              <w:top w:w="15" w:type="dxa"/>
              <w:left w:w="0" w:type="dxa"/>
              <w:bottom w:w="0" w:type="dxa"/>
              <w:right w:w="15" w:type="dxa"/>
            </w:tcMar>
            <w:vAlign w:val="center"/>
            <w:hideMark/>
          </w:tcPr>
          <w:p w14:paraId="58E9E780" w14:textId="77777777" w:rsidR="00000000" w:rsidRDefault="0058232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2062EC5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tcBorders>
              <w:top w:val="single" w:sz="6" w:space="0" w:color="000000"/>
            </w:tcBorders>
            <w:shd w:val="clear" w:color="auto" w:fill="CFF0FC"/>
            <w:noWrap/>
            <w:tcMar>
              <w:top w:w="15" w:type="dxa"/>
              <w:left w:w="0" w:type="dxa"/>
              <w:bottom w:w="0" w:type="dxa"/>
              <w:right w:w="15" w:type="dxa"/>
            </w:tcMar>
            <w:vAlign w:val="center"/>
            <w:hideMark/>
          </w:tcPr>
          <w:p w14:paraId="0E12CE4F" w14:textId="77777777" w:rsidR="00000000" w:rsidRDefault="00582324">
            <w:pPr>
              <w:pStyle w:val="a3"/>
              <w:spacing w:before="0" w:beforeAutospacing="0" w:after="0" w:afterAutospacing="0"/>
              <w:jc w:val="right"/>
              <w:rPr>
                <w:color w:val="000000"/>
                <w:sz w:val="20"/>
                <w:szCs w:val="20"/>
              </w:rPr>
            </w:pPr>
            <w:r>
              <w:rPr>
                <w:color w:val="000000"/>
                <w:sz w:val="20"/>
                <w:szCs w:val="20"/>
              </w:rPr>
              <w:t>23,161</w:t>
            </w:r>
          </w:p>
        </w:tc>
        <w:tc>
          <w:tcPr>
            <w:tcW w:w="50" w:type="pct"/>
            <w:shd w:val="clear" w:color="auto" w:fill="CFF0FC"/>
            <w:noWrap/>
            <w:tcMar>
              <w:top w:w="15" w:type="dxa"/>
              <w:left w:w="0" w:type="dxa"/>
              <w:bottom w:w="0" w:type="dxa"/>
              <w:right w:w="15" w:type="dxa"/>
            </w:tcMar>
            <w:vAlign w:val="center"/>
            <w:hideMark/>
          </w:tcPr>
          <w:p w14:paraId="02815F5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3833D17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36F6BC6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tcBorders>
              <w:top w:val="single" w:sz="6" w:space="0" w:color="000000"/>
            </w:tcBorders>
            <w:shd w:val="clear" w:color="auto" w:fill="CFF0FC"/>
            <w:noWrap/>
            <w:tcMar>
              <w:top w:w="15" w:type="dxa"/>
              <w:left w:w="0" w:type="dxa"/>
              <w:bottom w:w="0" w:type="dxa"/>
              <w:right w:w="15" w:type="dxa"/>
            </w:tcMar>
            <w:vAlign w:val="center"/>
            <w:hideMark/>
          </w:tcPr>
          <w:p w14:paraId="32A6E941" w14:textId="77777777" w:rsidR="00000000" w:rsidRDefault="00582324">
            <w:pPr>
              <w:pStyle w:val="a3"/>
              <w:spacing w:before="0" w:beforeAutospacing="0" w:after="0" w:afterAutospacing="0"/>
              <w:jc w:val="right"/>
              <w:rPr>
                <w:color w:val="000000"/>
                <w:sz w:val="20"/>
                <w:szCs w:val="20"/>
              </w:rPr>
            </w:pPr>
            <w:r>
              <w:rPr>
                <w:color w:val="000000"/>
                <w:sz w:val="20"/>
                <w:szCs w:val="20"/>
              </w:rPr>
              <w:t>17.2</w:t>
            </w:r>
          </w:p>
        </w:tc>
        <w:tc>
          <w:tcPr>
            <w:tcW w:w="50" w:type="pct"/>
            <w:shd w:val="clear" w:color="auto" w:fill="CFF0FC"/>
            <w:noWrap/>
            <w:tcMar>
              <w:top w:w="15" w:type="dxa"/>
              <w:left w:w="0" w:type="dxa"/>
              <w:bottom w:w="0" w:type="dxa"/>
              <w:right w:w="15" w:type="dxa"/>
            </w:tcMar>
            <w:vAlign w:val="center"/>
            <w:hideMark/>
          </w:tcPr>
          <w:p w14:paraId="484F25A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tcBorders>
              <w:top w:val="single" w:sz="6" w:space="0" w:color="000000"/>
            </w:tcBorders>
            <w:shd w:val="clear" w:color="auto" w:fill="CFF0FC"/>
            <w:tcMar>
              <w:top w:w="15" w:type="dxa"/>
              <w:left w:w="0" w:type="dxa"/>
              <w:bottom w:w="0" w:type="dxa"/>
              <w:right w:w="15" w:type="dxa"/>
            </w:tcMar>
            <w:vAlign w:val="center"/>
            <w:hideMark/>
          </w:tcPr>
          <w:p w14:paraId="1F652721" w14:textId="77777777" w:rsidR="00000000" w:rsidRDefault="00582324">
            <w:pPr>
              <w:pStyle w:val="a3"/>
              <w:spacing w:before="0" w:beforeAutospacing="0" w:after="0" w:afterAutospacing="0"/>
              <w:rPr>
                <w:color w:val="000000"/>
                <w:sz w:val="20"/>
                <w:szCs w:val="20"/>
              </w:rPr>
            </w:pPr>
            <w:r>
              <w:rPr>
                <w:color w:val="000000"/>
                <w:sz w:val="20"/>
                <w:szCs w:val="20"/>
              </w:rPr>
              <w:t>%</w:t>
            </w:r>
          </w:p>
        </w:tc>
      </w:tr>
      <w:tr w:rsidR="00000000" w14:paraId="1B54CC3C" w14:textId="77777777">
        <w:trPr>
          <w:divId w:val="1345206735"/>
        </w:trPr>
        <w:tc>
          <w:tcPr>
            <w:tcW w:w="1549" w:type="pct"/>
            <w:shd w:val="clear" w:color="auto" w:fill="FFFFFF"/>
            <w:tcMar>
              <w:top w:w="15" w:type="dxa"/>
              <w:left w:w="0" w:type="dxa"/>
              <w:bottom w:w="0" w:type="dxa"/>
              <w:right w:w="15" w:type="dxa"/>
            </w:tcMar>
            <w:vAlign w:val="center"/>
            <w:hideMark/>
          </w:tcPr>
          <w:p w14:paraId="7FF0CC39" w14:textId="77777777" w:rsidR="00000000" w:rsidRDefault="00582324">
            <w:pPr>
              <w:pStyle w:val="a3"/>
              <w:spacing w:before="0" w:beforeAutospacing="0" w:after="0" w:afterAutospacing="0"/>
              <w:rPr>
                <w:color w:val="000000"/>
                <w:sz w:val="20"/>
                <w:szCs w:val="20"/>
              </w:rPr>
            </w:pPr>
            <w:r>
              <w:rPr>
                <w:color w:val="000000"/>
                <w:sz w:val="20"/>
                <w:szCs w:val="20"/>
              </w:rPr>
              <w:t>Measurement and Analysis</w:t>
            </w:r>
          </w:p>
        </w:tc>
        <w:tc>
          <w:tcPr>
            <w:tcW w:w="136" w:type="pct"/>
            <w:shd w:val="clear" w:color="auto" w:fill="FFFFFF"/>
            <w:tcMar>
              <w:top w:w="15" w:type="dxa"/>
              <w:left w:w="0" w:type="dxa"/>
              <w:bottom w:w="0" w:type="dxa"/>
              <w:right w:w="15" w:type="dxa"/>
            </w:tcMar>
            <w:vAlign w:val="center"/>
            <w:hideMark/>
          </w:tcPr>
          <w:p w14:paraId="53D7953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1084A8E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C50E07D"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FFFFFF"/>
            <w:noWrap/>
            <w:tcMar>
              <w:top w:w="15" w:type="dxa"/>
              <w:left w:w="0" w:type="dxa"/>
              <w:bottom w:w="0" w:type="dxa"/>
              <w:right w:w="15" w:type="dxa"/>
            </w:tcMar>
            <w:vAlign w:val="center"/>
            <w:hideMark/>
          </w:tcPr>
          <w:p w14:paraId="55C10030" w14:textId="77777777" w:rsidR="00000000" w:rsidRDefault="00582324">
            <w:pPr>
              <w:pStyle w:val="a3"/>
              <w:spacing w:before="0" w:beforeAutospacing="0" w:after="0" w:afterAutospacing="0"/>
              <w:jc w:val="right"/>
              <w:rPr>
                <w:color w:val="000000"/>
                <w:sz w:val="20"/>
                <w:szCs w:val="20"/>
              </w:rPr>
            </w:pPr>
            <w:r>
              <w:rPr>
                <w:color w:val="000000"/>
                <w:sz w:val="20"/>
                <w:szCs w:val="20"/>
              </w:rPr>
              <w:t>72,557</w:t>
            </w:r>
          </w:p>
        </w:tc>
        <w:tc>
          <w:tcPr>
            <w:tcW w:w="50" w:type="pct"/>
            <w:shd w:val="clear" w:color="auto" w:fill="FFFFFF"/>
            <w:noWrap/>
            <w:tcMar>
              <w:top w:w="15" w:type="dxa"/>
              <w:left w:w="0" w:type="dxa"/>
              <w:bottom w:w="0" w:type="dxa"/>
              <w:right w:w="15" w:type="dxa"/>
            </w:tcMar>
            <w:vAlign w:val="center"/>
            <w:hideMark/>
          </w:tcPr>
          <w:p w14:paraId="6831170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3E4DC02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7D1C37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FFFFFF"/>
            <w:noWrap/>
            <w:tcMar>
              <w:top w:w="15" w:type="dxa"/>
              <w:left w:w="0" w:type="dxa"/>
              <w:bottom w:w="0" w:type="dxa"/>
              <w:right w:w="15" w:type="dxa"/>
            </w:tcMar>
            <w:vAlign w:val="center"/>
            <w:hideMark/>
          </w:tcPr>
          <w:p w14:paraId="55441BD2" w14:textId="77777777" w:rsidR="00000000" w:rsidRDefault="00582324">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FFFFFF"/>
            <w:noWrap/>
            <w:tcMar>
              <w:top w:w="15" w:type="dxa"/>
              <w:left w:w="0" w:type="dxa"/>
              <w:bottom w:w="0" w:type="dxa"/>
              <w:right w:w="15" w:type="dxa"/>
            </w:tcMar>
            <w:vAlign w:val="center"/>
            <w:hideMark/>
          </w:tcPr>
          <w:p w14:paraId="30EC299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6F04920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1D63AA6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138E104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C14721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FFFFFF"/>
            <w:noWrap/>
            <w:tcMar>
              <w:top w:w="15" w:type="dxa"/>
              <w:left w:w="0" w:type="dxa"/>
              <w:bottom w:w="0" w:type="dxa"/>
              <w:right w:w="15" w:type="dxa"/>
            </w:tcMar>
            <w:vAlign w:val="center"/>
            <w:hideMark/>
          </w:tcPr>
          <w:p w14:paraId="476938C4" w14:textId="77777777" w:rsidR="00000000" w:rsidRDefault="00582324">
            <w:pPr>
              <w:pStyle w:val="a3"/>
              <w:spacing w:before="0" w:beforeAutospacing="0" w:after="0" w:afterAutospacing="0"/>
              <w:jc w:val="right"/>
              <w:rPr>
                <w:color w:val="000000"/>
                <w:sz w:val="20"/>
                <w:szCs w:val="20"/>
              </w:rPr>
            </w:pPr>
            <w:r>
              <w:rPr>
                <w:color w:val="000000"/>
                <w:sz w:val="20"/>
                <w:szCs w:val="20"/>
              </w:rPr>
              <w:t>73,476</w:t>
            </w:r>
          </w:p>
        </w:tc>
        <w:tc>
          <w:tcPr>
            <w:tcW w:w="50" w:type="pct"/>
            <w:shd w:val="clear" w:color="auto" w:fill="FFFFFF"/>
            <w:noWrap/>
            <w:tcMar>
              <w:top w:w="15" w:type="dxa"/>
              <w:left w:w="0" w:type="dxa"/>
              <w:bottom w:w="0" w:type="dxa"/>
              <w:right w:w="15" w:type="dxa"/>
            </w:tcMar>
            <w:vAlign w:val="center"/>
            <w:hideMark/>
          </w:tcPr>
          <w:p w14:paraId="2AB3865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4435172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43C6672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FFFFFF"/>
            <w:noWrap/>
            <w:tcMar>
              <w:top w:w="15" w:type="dxa"/>
              <w:left w:w="0" w:type="dxa"/>
              <w:bottom w:w="0" w:type="dxa"/>
              <w:right w:w="15" w:type="dxa"/>
            </w:tcMar>
            <w:vAlign w:val="center"/>
            <w:hideMark/>
          </w:tcPr>
          <w:p w14:paraId="2D6FDBD2" w14:textId="77777777" w:rsidR="00000000" w:rsidRDefault="00582324">
            <w:pPr>
              <w:pStyle w:val="a3"/>
              <w:spacing w:before="0" w:beforeAutospacing="0" w:after="0" w:afterAutospacing="0"/>
              <w:jc w:val="right"/>
              <w:rPr>
                <w:color w:val="000000"/>
                <w:sz w:val="20"/>
                <w:szCs w:val="20"/>
              </w:rPr>
            </w:pPr>
            <w:r>
              <w:rPr>
                <w:color w:val="000000"/>
                <w:sz w:val="20"/>
                <w:szCs w:val="20"/>
              </w:rPr>
              <w:t>54.5</w:t>
            </w:r>
          </w:p>
        </w:tc>
        <w:tc>
          <w:tcPr>
            <w:tcW w:w="50" w:type="pct"/>
            <w:shd w:val="clear" w:color="auto" w:fill="FFFFFF"/>
            <w:noWrap/>
            <w:tcMar>
              <w:top w:w="15" w:type="dxa"/>
              <w:left w:w="0" w:type="dxa"/>
              <w:bottom w:w="0" w:type="dxa"/>
              <w:right w:w="15" w:type="dxa"/>
            </w:tcMar>
            <w:vAlign w:val="center"/>
            <w:hideMark/>
          </w:tcPr>
          <w:p w14:paraId="3750D7E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FFFFFF"/>
            <w:tcMar>
              <w:top w:w="15" w:type="dxa"/>
              <w:left w:w="0" w:type="dxa"/>
              <w:bottom w:w="0" w:type="dxa"/>
              <w:right w:w="15" w:type="dxa"/>
            </w:tcMar>
            <w:vAlign w:val="center"/>
            <w:hideMark/>
          </w:tcPr>
          <w:p w14:paraId="3377F091" w14:textId="77777777" w:rsidR="00000000" w:rsidRDefault="00582324">
            <w:pPr>
              <w:pStyle w:val="a3"/>
              <w:spacing w:before="0" w:beforeAutospacing="0" w:after="0" w:afterAutospacing="0"/>
              <w:rPr>
                <w:color w:val="000000"/>
                <w:sz w:val="20"/>
                <w:szCs w:val="20"/>
              </w:rPr>
            </w:pPr>
            <w:r>
              <w:rPr>
                <w:color w:val="000000"/>
                <w:sz w:val="20"/>
                <w:szCs w:val="20"/>
              </w:rPr>
              <w:t> </w:t>
            </w:r>
          </w:p>
        </w:tc>
      </w:tr>
      <w:tr w:rsidR="00000000" w14:paraId="7B57F7C9" w14:textId="77777777">
        <w:trPr>
          <w:divId w:val="1345206735"/>
        </w:trPr>
        <w:tc>
          <w:tcPr>
            <w:tcW w:w="1549" w:type="pct"/>
            <w:shd w:val="clear" w:color="auto" w:fill="CFF0FC"/>
            <w:tcMar>
              <w:top w:w="15" w:type="dxa"/>
              <w:left w:w="0" w:type="dxa"/>
              <w:bottom w:w="0" w:type="dxa"/>
              <w:right w:w="15" w:type="dxa"/>
            </w:tcMar>
            <w:vAlign w:val="center"/>
            <w:hideMark/>
          </w:tcPr>
          <w:p w14:paraId="1F2BE04F" w14:textId="77777777" w:rsidR="00000000" w:rsidRDefault="00582324">
            <w:pPr>
              <w:pStyle w:val="a3"/>
              <w:spacing w:before="0" w:beforeAutospacing="0" w:after="0" w:afterAutospacing="0"/>
              <w:rPr>
                <w:color w:val="000000"/>
                <w:sz w:val="20"/>
                <w:szCs w:val="20"/>
              </w:rPr>
            </w:pPr>
            <w:r>
              <w:rPr>
                <w:color w:val="000000"/>
                <w:sz w:val="20"/>
                <w:szCs w:val="20"/>
              </w:rPr>
              <w:t>Remediation and Reuse</w:t>
            </w:r>
          </w:p>
        </w:tc>
        <w:tc>
          <w:tcPr>
            <w:tcW w:w="136" w:type="pct"/>
            <w:shd w:val="clear" w:color="auto" w:fill="CFF0FC"/>
            <w:tcMar>
              <w:top w:w="15" w:type="dxa"/>
              <w:left w:w="0" w:type="dxa"/>
              <w:bottom w:w="0" w:type="dxa"/>
              <w:right w:w="15" w:type="dxa"/>
            </w:tcMar>
            <w:vAlign w:val="center"/>
            <w:hideMark/>
          </w:tcPr>
          <w:p w14:paraId="7148E74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14DC7711"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68D0818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CFF0FC"/>
            <w:noWrap/>
            <w:tcMar>
              <w:top w:w="15" w:type="dxa"/>
              <w:left w:w="0" w:type="dxa"/>
              <w:bottom w:w="0" w:type="dxa"/>
              <w:right w:w="15" w:type="dxa"/>
            </w:tcMar>
            <w:vAlign w:val="center"/>
            <w:hideMark/>
          </w:tcPr>
          <w:p w14:paraId="22069E72" w14:textId="77777777" w:rsidR="00000000" w:rsidRDefault="00582324">
            <w:pPr>
              <w:pStyle w:val="a3"/>
              <w:spacing w:before="0" w:beforeAutospacing="0" w:after="0" w:afterAutospacing="0"/>
              <w:jc w:val="right"/>
              <w:rPr>
                <w:color w:val="000000"/>
                <w:sz w:val="20"/>
                <w:szCs w:val="20"/>
              </w:rPr>
            </w:pPr>
            <w:r>
              <w:rPr>
                <w:color w:val="000000"/>
                <w:sz w:val="20"/>
                <w:szCs w:val="20"/>
              </w:rPr>
              <w:t>51,517</w:t>
            </w:r>
          </w:p>
        </w:tc>
        <w:tc>
          <w:tcPr>
            <w:tcW w:w="50" w:type="pct"/>
            <w:shd w:val="clear" w:color="auto" w:fill="CFF0FC"/>
            <w:noWrap/>
            <w:tcMar>
              <w:top w:w="15" w:type="dxa"/>
              <w:left w:w="0" w:type="dxa"/>
              <w:bottom w:w="0" w:type="dxa"/>
              <w:right w:w="15" w:type="dxa"/>
            </w:tcMar>
            <w:vAlign w:val="center"/>
            <w:hideMark/>
          </w:tcPr>
          <w:p w14:paraId="72F932E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5D23EB8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460F07FC"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CFF0FC"/>
            <w:noWrap/>
            <w:tcMar>
              <w:top w:w="15" w:type="dxa"/>
              <w:left w:w="0" w:type="dxa"/>
              <w:bottom w:w="0" w:type="dxa"/>
              <w:right w:w="15" w:type="dxa"/>
            </w:tcMar>
            <w:vAlign w:val="center"/>
            <w:hideMark/>
          </w:tcPr>
          <w:p w14:paraId="49B23101" w14:textId="77777777" w:rsidR="00000000" w:rsidRDefault="00582324">
            <w:pPr>
              <w:pStyle w:val="a3"/>
              <w:spacing w:before="0" w:beforeAutospacing="0" w:after="0" w:afterAutospacing="0"/>
              <w:jc w:val="right"/>
              <w:rPr>
                <w:color w:val="000000"/>
                <w:sz w:val="20"/>
                <w:szCs w:val="20"/>
              </w:rPr>
            </w:pPr>
            <w:r>
              <w:rPr>
                <w:color w:val="000000"/>
                <w:sz w:val="20"/>
                <w:szCs w:val="20"/>
              </w:rPr>
              <w:t>19.1</w:t>
            </w:r>
          </w:p>
        </w:tc>
        <w:tc>
          <w:tcPr>
            <w:tcW w:w="50" w:type="pct"/>
            <w:shd w:val="clear" w:color="auto" w:fill="CFF0FC"/>
            <w:noWrap/>
            <w:tcMar>
              <w:top w:w="15" w:type="dxa"/>
              <w:left w:w="0" w:type="dxa"/>
              <w:bottom w:w="0" w:type="dxa"/>
              <w:right w:w="15" w:type="dxa"/>
            </w:tcMar>
            <w:vAlign w:val="center"/>
            <w:hideMark/>
          </w:tcPr>
          <w:p w14:paraId="540EC0C3"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5505EB08"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5F1664DA"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7927DBF4"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092E1AE7"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CFF0FC"/>
            <w:noWrap/>
            <w:tcMar>
              <w:top w:w="15" w:type="dxa"/>
              <w:left w:w="0" w:type="dxa"/>
              <w:bottom w:w="0" w:type="dxa"/>
              <w:right w:w="15" w:type="dxa"/>
            </w:tcMar>
            <w:vAlign w:val="center"/>
            <w:hideMark/>
          </w:tcPr>
          <w:p w14:paraId="48CABBC0" w14:textId="77777777" w:rsidR="00000000" w:rsidRDefault="00582324">
            <w:pPr>
              <w:pStyle w:val="a3"/>
              <w:spacing w:before="0" w:beforeAutospacing="0" w:after="0" w:afterAutospacing="0"/>
              <w:jc w:val="right"/>
              <w:rPr>
                <w:color w:val="000000"/>
                <w:sz w:val="20"/>
                <w:szCs w:val="20"/>
              </w:rPr>
            </w:pPr>
            <w:r>
              <w:rPr>
                <w:color w:val="000000"/>
                <w:sz w:val="20"/>
                <w:szCs w:val="20"/>
              </w:rPr>
              <w:t>38,160</w:t>
            </w:r>
          </w:p>
        </w:tc>
        <w:tc>
          <w:tcPr>
            <w:tcW w:w="50" w:type="pct"/>
            <w:shd w:val="clear" w:color="auto" w:fill="CFF0FC"/>
            <w:noWrap/>
            <w:tcMar>
              <w:top w:w="15" w:type="dxa"/>
              <w:left w:w="0" w:type="dxa"/>
              <w:bottom w:w="0" w:type="dxa"/>
              <w:right w:w="15" w:type="dxa"/>
            </w:tcMar>
            <w:vAlign w:val="center"/>
            <w:hideMark/>
          </w:tcPr>
          <w:p w14:paraId="2491988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0096575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22A0FFE5"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90" w:type="pct"/>
            <w:shd w:val="clear" w:color="auto" w:fill="CFF0FC"/>
            <w:noWrap/>
            <w:tcMar>
              <w:top w:w="15" w:type="dxa"/>
              <w:left w:w="0" w:type="dxa"/>
              <w:bottom w:w="0" w:type="dxa"/>
              <w:right w:w="15" w:type="dxa"/>
            </w:tcMar>
            <w:vAlign w:val="center"/>
            <w:hideMark/>
          </w:tcPr>
          <w:p w14:paraId="1585A785" w14:textId="77777777" w:rsidR="00000000" w:rsidRDefault="00582324">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center"/>
            <w:hideMark/>
          </w:tcPr>
          <w:p w14:paraId="4378688E"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136" w:type="pct"/>
            <w:shd w:val="clear" w:color="auto" w:fill="CFF0FC"/>
            <w:tcMar>
              <w:top w:w="15" w:type="dxa"/>
              <w:left w:w="0" w:type="dxa"/>
              <w:bottom w:w="0" w:type="dxa"/>
              <w:right w:w="15" w:type="dxa"/>
            </w:tcMar>
            <w:vAlign w:val="center"/>
            <w:hideMark/>
          </w:tcPr>
          <w:p w14:paraId="7D4FD980"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78C9D69F" w14:textId="77777777" w:rsidR="00000000" w:rsidRDefault="00582324">
      <w:pPr>
        <w:pStyle w:val="a3"/>
        <w:spacing w:before="0" w:beforeAutospacing="0" w:after="0" w:afterAutospacing="0"/>
        <w:ind w:firstLine="416"/>
        <w:rPr>
          <w:color w:val="000000"/>
          <w:sz w:val="20"/>
          <w:szCs w:val="20"/>
        </w:rPr>
      </w:pPr>
      <w:r>
        <w:rPr>
          <w:color w:val="000000"/>
          <w:sz w:val="20"/>
          <w:szCs w:val="20"/>
        </w:rPr>
        <w:t>See “—Segment Results of Operations” below.</w:t>
      </w:r>
    </w:p>
    <w:p w14:paraId="723B94A9"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Cost of Revenues</w:t>
      </w:r>
    </w:p>
    <w:p w14:paraId="72C2FDD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six months ended June 30, 2021, cost of revenues was $187.4 million or 69.4% of revenues, and was comprised of direct labor of $72.3 million, outside services (including contracted labor, laboratory, shipping and freight and other outside services)</w:t>
      </w:r>
      <w:r>
        <w:rPr>
          <w:color w:val="000000"/>
          <w:sz w:val="20"/>
          <w:szCs w:val="20"/>
        </w:rPr>
        <w:t xml:space="preserve"> of $82.9 million, field supplies, testing supplies and equipment rental of $18.2 million, project-related travel expenses of $8.8 million and other direct costs of $5.2 million. </w:t>
      </w:r>
    </w:p>
    <w:p w14:paraId="3D9046D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six months ended June 30, 2020, cost of revenues was $90.3 million o</w:t>
      </w:r>
      <w:r>
        <w:rPr>
          <w:color w:val="000000"/>
          <w:sz w:val="20"/>
          <w:szCs w:val="20"/>
        </w:rPr>
        <w:t xml:space="preserve">r 67.0% of revenues, and was comprised of direct labor of $57.2 million, outside services (including construction, laboratory, shipping and freight and other outside services) of $15.7 million, field supplies, testing supplies and equipment rental of $9.3 </w:t>
      </w:r>
      <w:r>
        <w:rPr>
          <w:color w:val="000000"/>
          <w:sz w:val="20"/>
          <w:szCs w:val="20"/>
        </w:rPr>
        <w:t>million, project-related travel expenses of $3.8 million and other direct costs of $4.3 million.</w:t>
      </w:r>
    </w:p>
    <w:p w14:paraId="62F99E8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six months ended June 30, 2021, cost of revenues as a percentage of revenue increased 2.4% from the six months ended June 30, 2020, as a result of sign</w:t>
      </w:r>
      <w:r>
        <w:rPr>
          <w:color w:val="000000"/>
          <w:sz w:val="20"/>
          <w:szCs w:val="20"/>
        </w:rPr>
        <w:t>ificantly higher outside service costs driven by external lab expenses to support the increase in CTEH’s COVID-19 revenues. The increase was partially offset by lower labor as a percentage of revenue primarily attributable to a shift in roles and responsib</w:t>
      </w:r>
      <w:r>
        <w:rPr>
          <w:color w:val="000000"/>
          <w:sz w:val="20"/>
          <w:szCs w:val="20"/>
        </w:rPr>
        <w:t>ilities of certain employees from providing direct field support to providing more specialized, multi-location overhead support functions (such as accounting, HR and management) as result of acquisitions and growth in our business. These changes in employe</w:t>
      </w:r>
      <w:r>
        <w:rPr>
          <w:color w:val="000000"/>
          <w:sz w:val="20"/>
          <w:szCs w:val="20"/>
        </w:rPr>
        <w:t>e roles resulted in a decrease in labor costs recorded as cost of revenues and a corresponding increase in labor costs recorded as selling, general and administrative expense in the current year.</w:t>
      </w:r>
    </w:p>
    <w:p w14:paraId="1D44BD9A"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Selling, General and Administrative Expense</w:t>
      </w:r>
    </w:p>
    <w:p w14:paraId="712A74C4"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six mont</w:t>
      </w:r>
      <w:r>
        <w:rPr>
          <w:color w:val="000000"/>
          <w:sz w:val="20"/>
          <w:szCs w:val="20"/>
        </w:rPr>
        <w:t>hs ended June 30, 2021, selling, general and administrative expense was $52.4 million, an increase of $12.6 million or 31.7% versus the six months ended June 30, 2020, of which $7.1 million was from selling, general and administrative expense pertaining to</w:t>
      </w:r>
      <w:r>
        <w:rPr>
          <w:color w:val="000000"/>
          <w:sz w:val="20"/>
          <w:szCs w:val="20"/>
        </w:rPr>
        <w:t xml:space="preserve"> companies we acquired at the end of, and subsequent to the second quarter of 2020, an increase in public company related costs of $1.7 million, and increase in stock-based compensation expense of $1.8 million as well as the impact of the shift of employee</w:t>
      </w:r>
      <w:r>
        <w:rPr>
          <w:color w:val="000000"/>
          <w:sz w:val="20"/>
          <w:szCs w:val="20"/>
        </w:rPr>
        <w:t xml:space="preserve"> roles and responsibilities as described above, and an increase in investments in corporate infrastructure (primarily sales and marketing, finance, administrative, IT, legal and human resources). These increases were partially offset by a decrease in bad d</w:t>
      </w:r>
      <w:r>
        <w:rPr>
          <w:color w:val="000000"/>
          <w:sz w:val="20"/>
          <w:szCs w:val="20"/>
        </w:rPr>
        <w:t>ebt of $5.7 million, primarily related to the Discontinued Service Lines and a decrease in acquisition related costs of $1.3 million.</w:t>
      </w:r>
    </w:p>
    <w:p w14:paraId="04CE6969"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For the six months ended June 30, 2021, selling, general and administrative expense was comprised of indirect labor of $27</w:t>
      </w:r>
      <w:r>
        <w:rPr>
          <w:color w:val="000000"/>
          <w:sz w:val="20"/>
          <w:szCs w:val="20"/>
        </w:rPr>
        <w:t>.2 million, facilities costs of $7.0 million, stock-based compensation of $3.3 million, acquisition-related costs of $1.2 million, bad debt expense of $0.6 million, and other costs (including software, travel, insurance, legal, consulting and audit service</w:t>
      </w:r>
      <w:r>
        <w:rPr>
          <w:color w:val="000000"/>
          <w:sz w:val="20"/>
          <w:szCs w:val="20"/>
        </w:rPr>
        <w:t>s) of $13.1 million.</w:t>
      </w:r>
    </w:p>
    <w:p w14:paraId="7DAE8B53" w14:textId="77777777" w:rsidR="00000000" w:rsidRDefault="00582324">
      <w:pPr>
        <w:pStyle w:val="a3"/>
        <w:spacing w:before="240" w:beforeAutospacing="0" w:after="0" w:afterAutospacing="0"/>
        <w:jc w:val="center"/>
        <w:rPr>
          <w:sz w:val="20"/>
          <w:szCs w:val="20"/>
        </w:rPr>
      </w:pPr>
      <w:r>
        <w:rPr>
          <w:sz w:val="20"/>
          <w:szCs w:val="20"/>
        </w:rPr>
        <w:t>40</w:t>
      </w:r>
    </w:p>
    <w:p w14:paraId="2C23F979" w14:textId="77777777" w:rsidR="00000000" w:rsidRDefault="00582324">
      <w:pPr>
        <w:rPr>
          <w:rFonts w:eastAsia="Times New Roman"/>
        </w:rPr>
      </w:pPr>
      <w:r>
        <w:rPr>
          <w:rFonts w:eastAsia="Times New Roman"/>
        </w:rPr>
        <w:pict w14:anchorId="6B74C097">
          <v:rect id="_x0000_i1066" style="width:0;height:1.5pt" o:hralign="center" o:hrstd="t" o:hr="t" fillcolor="#a0a0a0" stroked="f"/>
        </w:pict>
      </w:r>
    </w:p>
    <w:p w14:paraId="7B26566B" w14:textId="77777777" w:rsidR="00000000" w:rsidRDefault="00582324">
      <w:pPr>
        <w:pStyle w:val="a3"/>
        <w:spacing w:before="0" w:beforeAutospacing="0" w:after="0" w:afterAutospacing="0"/>
        <w:rPr>
          <w:sz w:val="20"/>
          <w:szCs w:val="20"/>
        </w:rPr>
      </w:pPr>
      <w:r>
        <w:rPr>
          <w:sz w:val="20"/>
          <w:szCs w:val="20"/>
        </w:rPr>
        <w:t> </w:t>
      </w:r>
    </w:p>
    <w:p w14:paraId="08CE414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For the six months ended June 30, 2020, selling, general and administrative expense was $39.8 million, and was comprised of indirect labor of $15.0 </w:t>
      </w:r>
      <w:r>
        <w:rPr>
          <w:color w:val="000000"/>
          <w:sz w:val="20"/>
          <w:szCs w:val="20"/>
        </w:rPr>
        <w:t xml:space="preserve">million, facilities costs of $5.8 million, stock-based compensation of $1.5 million, acquisition-related costs of $2.5 million, bad debt expense of $6.3 million, and other costs (including software, travel, insurance, legal, consulting and audit services) </w:t>
      </w:r>
      <w:r>
        <w:rPr>
          <w:color w:val="000000"/>
          <w:sz w:val="20"/>
          <w:szCs w:val="20"/>
        </w:rPr>
        <w:t>of $8.6 million.</w:t>
      </w:r>
    </w:p>
    <w:p w14:paraId="6BAC1FAE" w14:textId="77777777" w:rsidR="00000000" w:rsidRDefault="00582324">
      <w:pPr>
        <w:pStyle w:val="a3"/>
        <w:spacing w:before="360" w:beforeAutospacing="0" w:after="0" w:afterAutospacing="0"/>
        <w:ind w:firstLine="416"/>
        <w:rPr>
          <w:b/>
          <w:bCs/>
          <w:i/>
          <w:iCs/>
          <w:color w:val="000000"/>
          <w:sz w:val="20"/>
          <w:szCs w:val="20"/>
        </w:rPr>
      </w:pPr>
      <w:r>
        <w:rPr>
          <w:b/>
          <w:bCs/>
          <w:i/>
          <w:iCs/>
          <w:color w:val="000000"/>
          <w:sz w:val="20"/>
          <w:szCs w:val="20"/>
        </w:rPr>
        <w:t>Initial Public Offering Expense</w:t>
      </w:r>
    </w:p>
    <w:p w14:paraId="454847F4" w14:textId="77777777" w:rsidR="00000000" w:rsidRDefault="00582324">
      <w:pPr>
        <w:pStyle w:val="a3"/>
        <w:spacing w:before="120" w:beforeAutospacing="0" w:after="0" w:afterAutospacing="0"/>
        <w:ind w:firstLine="416"/>
        <w:rPr>
          <w:color w:val="000000"/>
          <w:sz w:val="20"/>
          <w:szCs w:val="20"/>
        </w:rPr>
      </w:pPr>
      <w:r>
        <w:rPr>
          <w:color w:val="000000"/>
          <w:sz w:val="20"/>
          <w:szCs w:val="20"/>
        </w:rPr>
        <w:t>Initial public offering expense for the six months ended June 30, 2021 and June 30, 2020, was zero and $0.5 million, respectively, and represented expenses incurred to prepare for the initial public offering</w:t>
      </w:r>
      <w:r>
        <w:rPr>
          <w:color w:val="000000"/>
          <w:sz w:val="20"/>
          <w:szCs w:val="20"/>
        </w:rPr>
        <w:t>.</w:t>
      </w:r>
    </w:p>
    <w:p w14:paraId="00FD2B4B"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Fair Value Changes in Business Acquisitions Contingent Consideration</w:t>
      </w:r>
    </w:p>
    <w:p w14:paraId="0B7292F3"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For the six months ended June 30, 2021, fair value changes in business acquisitions contingent consideration were $24.0 million versus $4.0 million for the six months ended June 30, 202</w:t>
      </w:r>
      <w:r>
        <w:rPr>
          <w:color w:val="000000"/>
          <w:sz w:val="20"/>
          <w:szCs w:val="20"/>
        </w:rPr>
        <w:t>0. The increase was primarily driven by fair value adjustments to contingent consideration associated with making payments in respect of the 2020 period for CTEH’s earn-out. See “Key Factors that Affect Our Business and Our Results—Acquisitions” and Note 7</w:t>
      </w:r>
      <w:r>
        <w:rPr>
          <w:color w:val="000000"/>
          <w:sz w:val="20"/>
          <w:szCs w:val="20"/>
        </w:rPr>
        <w:t xml:space="preserve"> to our unaudited condensed consolidated financial statements included in Part I, Item 1. “Financial Statements.”.</w:t>
      </w:r>
    </w:p>
    <w:p w14:paraId="457C1852"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Depreciation and Amortization</w:t>
      </w:r>
    </w:p>
    <w:p w14:paraId="44BDCEEE"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Depreciation and amortization expense for the six months ended June 30, 2021, was $21.7 million and was compris</w:t>
      </w:r>
      <w:r>
        <w:rPr>
          <w:color w:val="000000"/>
          <w:sz w:val="20"/>
          <w:szCs w:val="20"/>
        </w:rPr>
        <w:t xml:space="preserve">ed of amortization of finite lived intangibles of $17.0 million, arising as a result of our acquisition activity, and depreciation of property and equipment of $4.7 million. </w:t>
      </w:r>
    </w:p>
    <w:p w14:paraId="40B8470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Depreciation and amortization expense for the six months ended June 30, 2020, was $17.3 million and was comprised of amortization of finite lived intangibles of $13.3 million and depreciation of property and equipment of $4.0 million. </w:t>
      </w:r>
    </w:p>
    <w:p w14:paraId="788A4EE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increase in both</w:t>
      </w:r>
      <w:r>
        <w:rPr>
          <w:color w:val="000000"/>
          <w:sz w:val="20"/>
          <w:szCs w:val="20"/>
        </w:rPr>
        <w:t xml:space="preserve"> depreciation and amortization for the six months ended June 30, 2021 versus the six months ended June 30, 2020, was primarily a result of acquisitions.</w:t>
      </w:r>
    </w:p>
    <w:p w14:paraId="6D00FE6E" w14:textId="77777777" w:rsidR="00000000" w:rsidRDefault="00582324">
      <w:pPr>
        <w:pStyle w:val="a3"/>
        <w:spacing w:before="240" w:beforeAutospacing="0" w:after="0" w:afterAutospacing="0"/>
        <w:jc w:val="center"/>
        <w:rPr>
          <w:sz w:val="20"/>
          <w:szCs w:val="20"/>
        </w:rPr>
      </w:pPr>
      <w:r>
        <w:rPr>
          <w:sz w:val="20"/>
          <w:szCs w:val="20"/>
        </w:rPr>
        <w:t>41</w:t>
      </w:r>
    </w:p>
    <w:p w14:paraId="5A2DA2FE" w14:textId="77777777" w:rsidR="00000000" w:rsidRDefault="00582324">
      <w:pPr>
        <w:rPr>
          <w:rFonts w:eastAsia="Times New Roman"/>
        </w:rPr>
      </w:pPr>
      <w:r>
        <w:rPr>
          <w:rFonts w:eastAsia="Times New Roman"/>
        </w:rPr>
        <w:pict w14:anchorId="790D5B36">
          <v:rect id="_x0000_i1067" style="width:0;height:1.5pt" o:hralign="center" o:hrstd="t" o:hr="t" fillcolor="#a0a0a0" stroked="f"/>
        </w:pict>
      </w:r>
    </w:p>
    <w:p w14:paraId="23D2CCCE" w14:textId="77777777" w:rsidR="00000000" w:rsidRDefault="00582324">
      <w:pPr>
        <w:pStyle w:val="a3"/>
        <w:spacing w:before="0" w:beforeAutospacing="0" w:after="0" w:afterAutospacing="0"/>
        <w:rPr>
          <w:sz w:val="20"/>
          <w:szCs w:val="20"/>
        </w:rPr>
      </w:pPr>
      <w:r>
        <w:rPr>
          <w:sz w:val="20"/>
          <w:szCs w:val="20"/>
        </w:rPr>
        <w:t> </w:t>
      </w:r>
    </w:p>
    <w:p w14:paraId="6907CF34"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Other Expense</w:t>
      </w:r>
    </w:p>
    <w:p w14:paraId="6BA4EBF5"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Other expense for the six months ended June 30, </w:t>
      </w:r>
      <w:r>
        <w:rPr>
          <w:color w:val="000000"/>
          <w:sz w:val="20"/>
          <w:szCs w:val="20"/>
        </w:rPr>
        <w:t>2021 of $1.4 million was driven by fair value adjustments related to the Series A-2 preferred stock conversion option. Other expense of $7.9 million for the six months ended June 30, 2020 was driven primarily by fair value adjustments related to the Series</w:t>
      </w:r>
      <w:r>
        <w:rPr>
          <w:color w:val="000000"/>
          <w:sz w:val="20"/>
          <w:szCs w:val="20"/>
        </w:rPr>
        <w:t xml:space="preserve"> A-1 preferred stock contingent put option.  See Notes 16 and 17 to our unaudited condensed consolidated financial statements included in Part 1, Item 1. “Financial Statements.”</w:t>
      </w:r>
    </w:p>
    <w:p w14:paraId="30FD0FB0"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Interest Expense, Net</w:t>
      </w:r>
    </w:p>
    <w:p w14:paraId="774FAC2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Interest expense, net incurred in the six months ended J</w:t>
      </w:r>
      <w:r>
        <w:rPr>
          <w:color w:val="000000"/>
          <w:sz w:val="20"/>
          <w:szCs w:val="20"/>
        </w:rPr>
        <w:t xml:space="preserve">une 30, 2021, was $9.5 million, compared to $7.9 million for the six months ended June 30, 2020. The increase in interest expense was driven by an increase in write-off of deferred debt issuance costs and higher outstanding debt balances, partially offset </w:t>
      </w:r>
      <w:r>
        <w:rPr>
          <w:color w:val="000000"/>
          <w:sz w:val="20"/>
          <w:szCs w:val="20"/>
        </w:rPr>
        <w:t xml:space="preserve">by lower average interest rates under the 2021 Credit Facility. </w:t>
      </w:r>
      <w:r>
        <w:rPr>
          <w:color w:val="000000"/>
          <w:sz w:val="20"/>
          <w:szCs w:val="20"/>
          <w:shd w:val="clear" w:color="auto" w:fill="FFFFFF"/>
        </w:rPr>
        <w:t>Interest expense in the six months ended June 30, 2021 and June 30, 2020 also includes $3.1 million from the write off of deferred debt issuance costs related to the repayment of our 2020 Cred</w:t>
      </w:r>
      <w:r>
        <w:rPr>
          <w:color w:val="000000"/>
          <w:sz w:val="20"/>
          <w:szCs w:val="20"/>
          <w:shd w:val="clear" w:color="auto" w:fill="FFFFFF"/>
        </w:rPr>
        <w:t xml:space="preserve">it Facility in April, 2021, whereas interest expense in the six months ended June 30, 2020 includes $1.4 million expense from both payments made and the write off of deferred debt issuance costs related to the repayment of the Prior Credit Facility. </w:t>
      </w:r>
      <w:r>
        <w:rPr>
          <w:color w:val="000000"/>
          <w:sz w:val="20"/>
          <w:szCs w:val="20"/>
        </w:rPr>
        <w:t>See No</w:t>
      </w:r>
      <w:r>
        <w:rPr>
          <w:color w:val="000000"/>
          <w:sz w:val="20"/>
          <w:szCs w:val="20"/>
        </w:rPr>
        <w:t>te 13 to our unaudited condensed consolidated financial statements included in Part I, Item 1. “Financial Statements.”</w:t>
      </w:r>
    </w:p>
    <w:p w14:paraId="468D2100"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Income Taxes Expense (Benefit)</w:t>
      </w:r>
    </w:p>
    <w:p w14:paraId="2F37D125"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Income tax expense was not material during the six months ended June 30, 2021, </w:t>
      </w:r>
      <w:r>
        <w:rPr>
          <w:color w:val="000000"/>
          <w:sz w:val="20"/>
          <w:szCs w:val="20"/>
          <w:shd w:val="clear" w:color="auto" w:fill="FFFFFF"/>
        </w:rPr>
        <w:t>compared to an income tax b</w:t>
      </w:r>
      <w:r>
        <w:rPr>
          <w:color w:val="000000"/>
          <w:sz w:val="20"/>
          <w:szCs w:val="20"/>
          <w:shd w:val="clear" w:color="auto" w:fill="FFFFFF"/>
        </w:rPr>
        <w:t>enefit of </w:t>
      </w:r>
      <w:r>
        <w:rPr>
          <w:color w:val="000000"/>
          <w:sz w:val="20"/>
          <w:szCs w:val="20"/>
        </w:rPr>
        <w:t>$4.9 million for the six months ended June 30, 2020.</w:t>
      </w:r>
    </w:p>
    <w:p w14:paraId="0B5F519C"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Segment Results of Operations </w:t>
      </w:r>
    </w:p>
    <w:p w14:paraId="62CA86FD" w14:textId="77777777" w:rsidR="00000000" w:rsidRDefault="00582324">
      <w:pPr>
        <w:pStyle w:val="a3"/>
        <w:shd w:val="clear" w:color="auto" w:fill="FFFFFF"/>
        <w:spacing w:before="120" w:beforeAutospacing="0" w:after="0" w:afterAutospacing="0"/>
        <w:rPr>
          <w:b/>
          <w:bCs/>
          <w:i/>
          <w:iCs/>
          <w:color w:val="000000"/>
          <w:sz w:val="20"/>
          <w:szCs w:val="20"/>
        </w:rPr>
      </w:pPr>
      <w:r>
        <w:rPr>
          <w:b/>
          <w:bCs/>
          <w:i/>
          <w:iCs/>
          <w:color w:val="000000"/>
          <w:sz w:val="20"/>
          <w:szCs w:val="20"/>
        </w:rPr>
        <w:t>Three Months Ended June 30, 2021 Compared to the Three Months Ended June 30, 2020</w:t>
      </w:r>
    </w:p>
    <w:p w14:paraId="0EA99664"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70"/>
        <w:gridCol w:w="60"/>
        <w:gridCol w:w="106"/>
        <w:gridCol w:w="649"/>
        <w:gridCol w:w="60"/>
        <w:gridCol w:w="60"/>
        <w:gridCol w:w="106"/>
        <w:gridCol w:w="716"/>
        <w:gridCol w:w="75"/>
        <w:gridCol w:w="60"/>
        <w:gridCol w:w="92"/>
        <w:gridCol w:w="624"/>
        <w:gridCol w:w="65"/>
        <w:gridCol w:w="195"/>
        <w:gridCol w:w="60"/>
        <w:gridCol w:w="106"/>
        <w:gridCol w:w="649"/>
        <w:gridCol w:w="60"/>
        <w:gridCol w:w="60"/>
        <w:gridCol w:w="106"/>
        <w:gridCol w:w="716"/>
        <w:gridCol w:w="75"/>
        <w:gridCol w:w="60"/>
        <w:gridCol w:w="91"/>
        <w:gridCol w:w="625"/>
        <w:gridCol w:w="65"/>
        <w:gridCol w:w="195"/>
      </w:tblGrid>
      <w:tr w:rsidR="00000000" w14:paraId="7A2E2F86" w14:textId="77777777">
        <w:trPr>
          <w:divId w:val="44721473"/>
        </w:trPr>
        <w:tc>
          <w:tcPr>
            <w:tcW w:w="1978" w:type="pct"/>
            <w:shd w:val="clear" w:color="auto" w:fill="FFFFFF"/>
            <w:tcMar>
              <w:top w:w="15" w:type="dxa"/>
              <w:left w:w="0" w:type="dxa"/>
              <w:bottom w:w="0" w:type="dxa"/>
              <w:right w:w="15" w:type="dxa"/>
            </w:tcMar>
            <w:vAlign w:val="bottom"/>
            <w:hideMark/>
          </w:tcPr>
          <w:p w14:paraId="1AFB452F" w14:textId="77777777" w:rsidR="00000000" w:rsidRDefault="00582324">
            <w:pPr>
              <w:pStyle w:val="a3"/>
              <w:spacing w:before="0" w:beforeAutospacing="0" w:after="0" w:afterAutospacing="0"/>
              <w:jc w:val="center"/>
              <w:rPr>
                <w:sz w:val="20"/>
                <w:szCs w:val="20"/>
              </w:rPr>
            </w:pPr>
            <w:r>
              <w:rPr>
                <w:sz w:val="20"/>
                <w:szCs w:val="20"/>
              </w:rPr>
              <w:t> </w:t>
            </w:r>
          </w:p>
        </w:tc>
        <w:tc>
          <w:tcPr>
            <w:tcW w:w="47" w:type="pct"/>
            <w:shd w:val="clear" w:color="auto" w:fill="FFFFFF"/>
            <w:tcMar>
              <w:top w:w="15" w:type="dxa"/>
              <w:left w:w="0" w:type="dxa"/>
              <w:bottom w:w="0" w:type="dxa"/>
              <w:right w:w="15" w:type="dxa"/>
            </w:tcMar>
            <w:vAlign w:val="bottom"/>
            <w:hideMark/>
          </w:tcPr>
          <w:p w14:paraId="3499E12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875" w:type="pct"/>
            <w:gridSpan w:val="23"/>
            <w:tcBorders>
              <w:bottom w:val="single" w:sz="6" w:space="0" w:color="000000"/>
            </w:tcBorders>
            <w:shd w:val="clear" w:color="auto" w:fill="FFFFFF"/>
            <w:tcMar>
              <w:top w:w="15" w:type="dxa"/>
              <w:left w:w="0" w:type="dxa"/>
              <w:bottom w:w="0" w:type="dxa"/>
              <w:right w:w="15" w:type="dxa"/>
            </w:tcMar>
            <w:vAlign w:val="bottom"/>
            <w:hideMark/>
          </w:tcPr>
          <w:p w14:paraId="0E5FA7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Three Months Ended June 30,</w:t>
            </w:r>
          </w:p>
        </w:tc>
        <w:tc>
          <w:tcPr>
            <w:tcW w:w="50" w:type="pct"/>
            <w:shd w:val="clear" w:color="auto" w:fill="FFFFFF"/>
            <w:noWrap/>
            <w:tcMar>
              <w:top w:w="15" w:type="dxa"/>
              <w:left w:w="0" w:type="dxa"/>
              <w:bottom w:w="0" w:type="dxa"/>
              <w:right w:w="15" w:type="dxa"/>
            </w:tcMar>
            <w:vAlign w:val="bottom"/>
            <w:hideMark/>
          </w:tcPr>
          <w:p w14:paraId="06A9CFE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B99110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28F3BE06" w14:textId="77777777">
        <w:trPr>
          <w:divId w:val="44721473"/>
        </w:trPr>
        <w:tc>
          <w:tcPr>
            <w:tcW w:w="1978" w:type="pct"/>
            <w:shd w:val="clear" w:color="auto" w:fill="FFFFFF"/>
            <w:tcMar>
              <w:top w:w="15" w:type="dxa"/>
              <w:left w:w="0" w:type="dxa"/>
              <w:bottom w:w="0" w:type="dxa"/>
              <w:right w:w="15" w:type="dxa"/>
            </w:tcMar>
            <w:vAlign w:val="bottom"/>
            <w:hideMark/>
          </w:tcPr>
          <w:p w14:paraId="58E2118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73C8416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64"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8153C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5077A07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1854687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7937CE7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64"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F9223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2CA1A60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506AB6C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299492BB" w14:textId="77777777">
        <w:trPr>
          <w:divId w:val="44721473"/>
        </w:trPr>
        <w:tc>
          <w:tcPr>
            <w:tcW w:w="1978" w:type="pct"/>
            <w:tcBorders>
              <w:bottom w:val="single" w:sz="6" w:space="0" w:color="000000"/>
            </w:tcBorders>
            <w:shd w:val="clear" w:color="auto" w:fill="FFFFFF"/>
            <w:tcMar>
              <w:top w:w="15" w:type="dxa"/>
              <w:left w:w="0" w:type="dxa"/>
              <w:bottom w:w="0" w:type="dxa"/>
              <w:right w:w="15" w:type="dxa"/>
            </w:tcMar>
            <w:vAlign w:val="bottom"/>
            <w:hideMark/>
          </w:tcPr>
          <w:p w14:paraId="29CDC712"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w:t>
            </w:r>
          </w:p>
        </w:tc>
        <w:tc>
          <w:tcPr>
            <w:tcW w:w="47" w:type="pct"/>
            <w:shd w:val="clear" w:color="auto" w:fill="FFFFFF"/>
            <w:tcMar>
              <w:top w:w="15" w:type="dxa"/>
              <w:left w:w="0" w:type="dxa"/>
              <w:bottom w:w="0" w:type="dxa"/>
              <w:right w:w="15" w:type="dxa"/>
            </w:tcMar>
            <w:vAlign w:val="bottom"/>
            <w:hideMark/>
          </w:tcPr>
          <w:p w14:paraId="565ABDA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2B824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 Revenues</w:t>
            </w:r>
          </w:p>
        </w:tc>
        <w:tc>
          <w:tcPr>
            <w:tcW w:w="50" w:type="pct"/>
            <w:shd w:val="clear" w:color="auto" w:fill="FFFFFF"/>
            <w:noWrap/>
            <w:tcMar>
              <w:top w:w="15" w:type="dxa"/>
              <w:left w:w="0" w:type="dxa"/>
              <w:bottom w:w="0" w:type="dxa"/>
              <w:right w:w="15" w:type="dxa"/>
            </w:tcMar>
            <w:vAlign w:val="bottom"/>
            <w:hideMark/>
          </w:tcPr>
          <w:p w14:paraId="0A3164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23EAC31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4B5C1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6617C4A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38E10C2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r>
              <w:rPr>
                <w:b/>
                <w:bCs/>
                <w:color w:val="000000"/>
                <w:sz w:val="15"/>
                <w:szCs w:val="15"/>
                <w:vertAlign w:val="superscript"/>
              </w:rPr>
              <w:t>(1)</w:t>
            </w:r>
          </w:p>
        </w:tc>
        <w:tc>
          <w:tcPr>
            <w:tcW w:w="50" w:type="pct"/>
            <w:shd w:val="clear" w:color="auto" w:fill="FFFFFF"/>
            <w:noWrap/>
            <w:tcMar>
              <w:top w:w="15" w:type="dxa"/>
              <w:left w:w="0" w:type="dxa"/>
              <w:bottom w:w="0" w:type="dxa"/>
              <w:right w:w="15" w:type="dxa"/>
            </w:tcMar>
            <w:vAlign w:val="bottom"/>
            <w:hideMark/>
          </w:tcPr>
          <w:p w14:paraId="2C9BD3DD"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711B98C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C00B4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447DF45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2F1495D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p w14:paraId="43C5FF5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Margin</w:t>
            </w:r>
            <w:r>
              <w:rPr>
                <w:b/>
                <w:bCs/>
                <w:color w:val="000000"/>
                <w:sz w:val="15"/>
                <w:szCs w:val="15"/>
                <w:vertAlign w:val="superscript"/>
              </w:rPr>
              <w:t>(2)</w:t>
            </w:r>
          </w:p>
        </w:tc>
        <w:tc>
          <w:tcPr>
            <w:tcW w:w="50" w:type="pct"/>
            <w:shd w:val="clear" w:color="auto" w:fill="FFFFFF"/>
            <w:noWrap/>
            <w:tcMar>
              <w:top w:w="15" w:type="dxa"/>
              <w:left w:w="0" w:type="dxa"/>
              <w:bottom w:w="0" w:type="dxa"/>
              <w:right w:w="15" w:type="dxa"/>
            </w:tcMar>
            <w:vAlign w:val="bottom"/>
            <w:hideMark/>
          </w:tcPr>
          <w:p w14:paraId="1DE1DECA"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shd w:val="clear" w:color="auto" w:fill="FFFFFF"/>
            <w:tcMar>
              <w:top w:w="15" w:type="dxa"/>
              <w:left w:w="0" w:type="dxa"/>
              <w:bottom w:w="0" w:type="dxa"/>
              <w:right w:w="15" w:type="dxa"/>
            </w:tcMar>
            <w:vAlign w:val="bottom"/>
            <w:hideMark/>
          </w:tcPr>
          <w:p w14:paraId="7D2C9C9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380F37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094AE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 Revenues</w:t>
            </w:r>
          </w:p>
        </w:tc>
        <w:tc>
          <w:tcPr>
            <w:tcW w:w="50" w:type="pct"/>
            <w:shd w:val="clear" w:color="auto" w:fill="FFFFFF"/>
            <w:noWrap/>
            <w:tcMar>
              <w:top w:w="15" w:type="dxa"/>
              <w:left w:w="0" w:type="dxa"/>
              <w:bottom w:w="0" w:type="dxa"/>
              <w:right w:w="15" w:type="dxa"/>
            </w:tcMar>
            <w:vAlign w:val="bottom"/>
            <w:hideMark/>
          </w:tcPr>
          <w:p w14:paraId="008ACFD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6853476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E67F39"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6EABA65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4A19426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r>
              <w:rPr>
                <w:b/>
                <w:bCs/>
                <w:color w:val="000000"/>
                <w:sz w:val="15"/>
                <w:szCs w:val="15"/>
                <w:vertAlign w:val="superscript"/>
              </w:rPr>
              <w:t>(1)</w:t>
            </w:r>
          </w:p>
        </w:tc>
        <w:tc>
          <w:tcPr>
            <w:tcW w:w="50" w:type="pct"/>
            <w:shd w:val="clear" w:color="auto" w:fill="FFFFFF"/>
            <w:noWrap/>
            <w:tcMar>
              <w:top w:w="15" w:type="dxa"/>
              <w:left w:w="0" w:type="dxa"/>
              <w:bottom w:w="0" w:type="dxa"/>
              <w:right w:w="15" w:type="dxa"/>
            </w:tcMar>
            <w:vAlign w:val="bottom"/>
            <w:hideMark/>
          </w:tcPr>
          <w:p w14:paraId="461456EF"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1557E48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E77A8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3654FC5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75625BC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p w14:paraId="5967623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Margin</w:t>
            </w:r>
            <w:r>
              <w:rPr>
                <w:b/>
                <w:bCs/>
                <w:color w:val="000000"/>
                <w:sz w:val="15"/>
                <w:szCs w:val="15"/>
                <w:vertAlign w:val="superscript"/>
              </w:rPr>
              <w:t>(2)</w:t>
            </w:r>
          </w:p>
        </w:tc>
        <w:tc>
          <w:tcPr>
            <w:tcW w:w="50" w:type="pct"/>
            <w:shd w:val="clear" w:color="auto" w:fill="FFFFFF"/>
            <w:noWrap/>
            <w:tcMar>
              <w:top w:w="15" w:type="dxa"/>
              <w:left w:w="0" w:type="dxa"/>
              <w:bottom w:w="0" w:type="dxa"/>
              <w:right w:w="15" w:type="dxa"/>
            </w:tcMar>
            <w:vAlign w:val="bottom"/>
            <w:hideMark/>
          </w:tcPr>
          <w:p w14:paraId="6E2ED288"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7" w:type="pct"/>
            <w:shd w:val="clear" w:color="auto" w:fill="FFFFFF"/>
            <w:tcMar>
              <w:top w:w="15" w:type="dxa"/>
              <w:left w:w="0" w:type="dxa"/>
              <w:bottom w:w="0" w:type="dxa"/>
              <w:right w:w="15" w:type="dxa"/>
            </w:tcMar>
            <w:vAlign w:val="bottom"/>
            <w:hideMark/>
          </w:tcPr>
          <w:p w14:paraId="154F985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55728787" w14:textId="77777777">
        <w:trPr>
          <w:divId w:val="44721473"/>
        </w:trPr>
        <w:tc>
          <w:tcPr>
            <w:tcW w:w="1978" w:type="pct"/>
            <w:tcBorders>
              <w:top w:val="single" w:sz="6" w:space="0" w:color="000000"/>
            </w:tcBorders>
            <w:shd w:val="clear" w:color="auto" w:fill="CFF0FC"/>
            <w:tcMar>
              <w:top w:w="15" w:type="dxa"/>
              <w:left w:w="0" w:type="dxa"/>
              <w:bottom w:w="0" w:type="dxa"/>
              <w:right w:w="15" w:type="dxa"/>
            </w:tcMar>
            <w:hideMark/>
          </w:tcPr>
          <w:p w14:paraId="43CDE833" w14:textId="77777777" w:rsidR="00000000" w:rsidRDefault="00582324">
            <w:pPr>
              <w:pStyle w:val="a3"/>
              <w:spacing w:before="0" w:beforeAutospacing="0" w:after="0" w:afterAutospacing="0"/>
              <w:rPr>
                <w:color w:val="000000"/>
                <w:sz w:val="18"/>
                <w:szCs w:val="18"/>
              </w:rPr>
            </w:pPr>
            <w:r>
              <w:rPr>
                <w:color w:val="000000"/>
                <w:sz w:val="18"/>
                <w:szCs w:val="18"/>
              </w:rPr>
              <w:t>Assessment, Permitting and Response</w:t>
            </w:r>
          </w:p>
        </w:tc>
        <w:tc>
          <w:tcPr>
            <w:tcW w:w="47" w:type="pct"/>
            <w:shd w:val="clear" w:color="auto" w:fill="CFF0FC"/>
            <w:tcMar>
              <w:top w:w="15" w:type="dxa"/>
              <w:left w:w="0" w:type="dxa"/>
              <w:bottom w:w="0" w:type="dxa"/>
              <w:right w:w="15" w:type="dxa"/>
            </w:tcMar>
            <w:vAlign w:val="bottom"/>
            <w:hideMark/>
          </w:tcPr>
          <w:p w14:paraId="4D51C5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0B97A1"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38C4E836" w14:textId="77777777" w:rsidR="00000000" w:rsidRDefault="00582324">
            <w:pPr>
              <w:pStyle w:val="a3"/>
              <w:spacing w:before="0" w:beforeAutospacing="0" w:after="0" w:afterAutospacing="0"/>
              <w:jc w:val="right"/>
              <w:rPr>
                <w:color w:val="000000"/>
                <w:sz w:val="18"/>
                <w:szCs w:val="18"/>
              </w:rPr>
            </w:pPr>
            <w:r>
              <w:rPr>
                <w:color w:val="000000"/>
                <w:sz w:val="18"/>
                <w:szCs w:val="18"/>
              </w:rPr>
              <w:t>70,705</w:t>
            </w:r>
          </w:p>
        </w:tc>
        <w:tc>
          <w:tcPr>
            <w:tcW w:w="50" w:type="pct"/>
            <w:shd w:val="clear" w:color="auto" w:fill="CFF0FC"/>
            <w:noWrap/>
            <w:tcMar>
              <w:top w:w="15" w:type="dxa"/>
              <w:left w:w="0" w:type="dxa"/>
              <w:bottom w:w="0" w:type="dxa"/>
              <w:right w:w="15" w:type="dxa"/>
            </w:tcMar>
            <w:vAlign w:val="bottom"/>
            <w:hideMark/>
          </w:tcPr>
          <w:p w14:paraId="750D289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4DB4C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09F96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65B22522" w14:textId="77777777" w:rsidR="00000000" w:rsidRDefault="00582324">
            <w:pPr>
              <w:pStyle w:val="a3"/>
              <w:spacing w:before="0" w:beforeAutospacing="0" w:after="0" w:afterAutospacing="0"/>
              <w:jc w:val="right"/>
              <w:rPr>
                <w:color w:val="000000"/>
                <w:sz w:val="18"/>
                <w:szCs w:val="18"/>
              </w:rPr>
            </w:pPr>
            <w:r>
              <w:rPr>
                <w:color w:val="000000"/>
                <w:sz w:val="18"/>
                <w:szCs w:val="18"/>
              </w:rPr>
              <w:t>14,856</w:t>
            </w:r>
          </w:p>
        </w:tc>
        <w:tc>
          <w:tcPr>
            <w:tcW w:w="50" w:type="pct"/>
            <w:shd w:val="clear" w:color="auto" w:fill="CFF0FC"/>
            <w:noWrap/>
            <w:tcMar>
              <w:top w:w="15" w:type="dxa"/>
              <w:left w:w="0" w:type="dxa"/>
              <w:bottom w:w="0" w:type="dxa"/>
              <w:right w:w="15" w:type="dxa"/>
            </w:tcMar>
            <w:vAlign w:val="bottom"/>
            <w:hideMark/>
          </w:tcPr>
          <w:p w14:paraId="7E476A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4BD94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F9A9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4FE605F4" w14:textId="77777777" w:rsidR="00000000" w:rsidRDefault="00582324">
            <w:pPr>
              <w:pStyle w:val="a3"/>
              <w:spacing w:before="0" w:beforeAutospacing="0" w:after="0" w:afterAutospacing="0"/>
              <w:jc w:val="right"/>
              <w:rPr>
                <w:color w:val="000000"/>
                <w:sz w:val="18"/>
                <w:szCs w:val="18"/>
              </w:rPr>
            </w:pPr>
            <w:r>
              <w:rPr>
                <w:color w:val="000000"/>
                <w:sz w:val="18"/>
                <w:szCs w:val="18"/>
              </w:rPr>
              <w:t>21.0</w:t>
            </w:r>
          </w:p>
        </w:tc>
        <w:tc>
          <w:tcPr>
            <w:tcW w:w="50" w:type="pct"/>
            <w:shd w:val="clear" w:color="auto" w:fill="CFF0FC"/>
            <w:noWrap/>
            <w:tcMar>
              <w:top w:w="15" w:type="dxa"/>
              <w:left w:w="0" w:type="dxa"/>
              <w:bottom w:w="0" w:type="dxa"/>
              <w:right w:w="15" w:type="dxa"/>
            </w:tcMar>
            <w:vAlign w:val="bottom"/>
            <w:hideMark/>
          </w:tcPr>
          <w:p w14:paraId="467F3A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9F1712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7" w:type="pct"/>
            <w:shd w:val="clear" w:color="auto" w:fill="CFF0FC"/>
            <w:tcMar>
              <w:top w:w="15" w:type="dxa"/>
              <w:left w:w="0" w:type="dxa"/>
              <w:bottom w:w="0" w:type="dxa"/>
              <w:right w:w="15" w:type="dxa"/>
            </w:tcMar>
            <w:vAlign w:val="bottom"/>
            <w:hideMark/>
          </w:tcPr>
          <w:p w14:paraId="5E8F44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561A2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373693F3" w14:textId="77777777" w:rsidR="00000000" w:rsidRDefault="00582324">
            <w:pPr>
              <w:pStyle w:val="a3"/>
              <w:spacing w:before="0" w:beforeAutospacing="0" w:after="0" w:afterAutospacing="0"/>
              <w:jc w:val="right"/>
              <w:rPr>
                <w:color w:val="000000"/>
                <w:sz w:val="18"/>
                <w:szCs w:val="18"/>
              </w:rPr>
            </w:pPr>
            <w:r>
              <w:rPr>
                <w:color w:val="000000"/>
                <w:sz w:val="18"/>
                <w:szCs w:val="18"/>
              </w:rPr>
              <w:t>18,631</w:t>
            </w:r>
          </w:p>
        </w:tc>
        <w:tc>
          <w:tcPr>
            <w:tcW w:w="50" w:type="pct"/>
            <w:shd w:val="clear" w:color="auto" w:fill="CFF0FC"/>
            <w:noWrap/>
            <w:tcMar>
              <w:top w:w="15" w:type="dxa"/>
              <w:left w:w="0" w:type="dxa"/>
              <w:bottom w:w="0" w:type="dxa"/>
              <w:right w:w="15" w:type="dxa"/>
            </w:tcMar>
            <w:vAlign w:val="bottom"/>
            <w:hideMark/>
          </w:tcPr>
          <w:p w14:paraId="43D6B1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E5845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5F8E9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5BED639C" w14:textId="77777777" w:rsidR="00000000" w:rsidRDefault="00582324">
            <w:pPr>
              <w:pStyle w:val="a3"/>
              <w:spacing w:before="0" w:beforeAutospacing="0" w:after="0" w:afterAutospacing="0"/>
              <w:jc w:val="right"/>
              <w:rPr>
                <w:color w:val="000000"/>
                <w:sz w:val="18"/>
                <w:szCs w:val="18"/>
              </w:rPr>
            </w:pPr>
            <w:r>
              <w:rPr>
                <w:color w:val="000000"/>
                <w:sz w:val="18"/>
                <w:szCs w:val="18"/>
              </w:rPr>
              <w:t>4,989</w:t>
            </w:r>
          </w:p>
        </w:tc>
        <w:tc>
          <w:tcPr>
            <w:tcW w:w="50" w:type="pct"/>
            <w:shd w:val="clear" w:color="auto" w:fill="CFF0FC"/>
            <w:noWrap/>
            <w:tcMar>
              <w:top w:w="15" w:type="dxa"/>
              <w:left w:w="0" w:type="dxa"/>
              <w:bottom w:w="0" w:type="dxa"/>
              <w:right w:w="15" w:type="dxa"/>
            </w:tcMar>
            <w:vAlign w:val="bottom"/>
            <w:hideMark/>
          </w:tcPr>
          <w:p w14:paraId="3D1339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258193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F8EAA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46502FA3" w14:textId="77777777" w:rsidR="00000000" w:rsidRDefault="00582324">
            <w:pPr>
              <w:pStyle w:val="a3"/>
              <w:spacing w:before="0" w:beforeAutospacing="0" w:after="0" w:afterAutospacing="0"/>
              <w:jc w:val="right"/>
              <w:rPr>
                <w:color w:val="000000"/>
                <w:sz w:val="18"/>
                <w:szCs w:val="18"/>
              </w:rPr>
            </w:pPr>
            <w:r>
              <w:rPr>
                <w:color w:val="000000"/>
                <w:sz w:val="18"/>
                <w:szCs w:val="18"/>
              </w:rPr>
              <w:t>26.8</w:t>
            </w:r>
          </w:p>
        </w:tc>
        <w:tc>
          <w:tcPr>
            <w:tcW w:w="50" w:type="pct"/>
            <w:shd w:val="clear" w:color="auto" w:fill="CFF0FC"/>
            <w:noWrap/>
            <w:tcMar>
              <w:top w:w="15" w:type="dxa"/>
              <w:left w:w="0" w:type="dxa"/>
              <w:bottom w:w="0" w:type="dxa"/>
              <w:right w:w="15" w:type="dxa"/>
            </w:tcMar>
            <w:vAlign w:val="bottom"/>
            <w:hideMark/>
          </w:tcPr>
          <w:p w14:paraId="0D4067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7AE244B3"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288B6D0C" w14:textId="77777777">
        <w:trPr>
          <w:divId w:val="44721473"/>
        </w:trPr>
        <w:tc>
          <w:tcPr>
            <w:tcW w:w="1978" w:type="pct"/>
            <w:shd w:val="clear" w:color="auto" w:fill="FFFFFF"/>
            <w:tcMar>
              <w:top w:w="15" w:type="dxa"/>
              <w:left w:w="0" w:type="dxa"/>
              <w:bottom w:w="0" w:type="dxa"/>
              <w:right w:w="15" w:type="dxa"/>
            </w:tcMar>
            <w:hideMark/>
          </w:tcPr>
          <w:p w14:paraId="25C633AA" w14:textId="77777777" w:rsidR="00000000" w:rsidRDefault="00582324">
            <w:pPr>
              <w:pStyle w:val="a3"/>
              <w:spacing w:before="0" w:beforeAutospacing="0" w:after="0" w:afterAutospacing="0"/>
              <w:rPr>
                <w:color w:val="000000"/>
                <w:sz w:val="18"/>
                <w:szCs w:val="18"/>
              </w:rPr>
            </w:pPr>
            <w:r>
              <w:rPr>
                <w:color w:val="000000"/>
                <w:sz w:val="18"/>
                <w:szCs w:val="18"/>
              </w:rPr>
              <w:t>Measurement and Analysis</w:t>
            </w:r>
          </w:p>
        </w:tc>
        <w:tc>
          <w:tcPr>
            <w:tcW w:w="47" w:type="pct"/>
            <w:shd w:val="clear" w:color="auto" w:fill="FFFFFF"/>
            <w:tcMar>
              <w:top w:w="15" w:type="dxa"/>
              <w:left w:w="0" w:type="dxa"/>
              <w:bottom w:w="0" w:type="dxa"/>
              <w:right w:w="15" w:type="dxa"/>
            </w:tcMar>
            <w:vAlign w:val="bottom"/>
            <w:hideMark/>
          </w:tcPr>
          <w:p w14:paraId="3FB8D0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28A27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21ED208C" w14:textId="77777777" w:rsidR="00000000" w:rsidRDefault="00582324">
            <w:pPr>
              <w:pStyle w:val="a3"/>
              <w:spacing w:before="0" w:beforeAutospacing="0" w:after="0" w:afterAutospacing="0"/>
              <w:jc w:val="right"/>
              <w:rPr>
                <w:color w:val="000000"/>
                <w:sz w:val="18"/>
                <w:szCs w:val="18"/>
              </w:rPr>
            </w:pPr>
            <w:r>
              <w:rPr>
                <w:color w:val="000000"/>
                <w:sz w:val="18"/>
                <w:szCs w:val="18"/>
              </w:rPr>
              <w:t>39,117</w:t>
            </w:r>
          </w:p>
        </w:tc>
        <w:tc>
          <w:tcPr>
            <w:tcW w:w="50" w:type="pct"/>
            <w:shd w:val="clear" w:color="auto" w:fill="FFFFFF"/>
            <w:noWrap/>
            <w:tcMar>
              <w:top w:w="15" w:type="dxa"/>
              <w:left w:w="0" w:type="dxa"/>
              <w:bottom w:w="0" w:type="dxa"/>
              <w:right w:w="15" w:type="dxa"/>
            </w:tcMar>
            <w:vAlign w:val="bottom"/>
            <w:hideMark/>
          </w:tcPr>
          <w:p w14:paraId="21065D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C4270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E3EE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2231DCA5" w14:textId="77777777" w:rsidR="00000000" w:rsidRDefault="00582324">
            <w:pPr>
              <w:pStyle w:val="a3"/>
              <w:spacing w:before="0" w:beforeAutospacing="0" w:after="0" w:afterAutospacing="0"/>
              <w:jc w:val="right"/>
              <w:rPr>
                <w:color w:val="000000"/>
                <w:sz w:val="18"/>
                <w:szCs w:val="18"/>
              </w:rPr>
            </w:pPr>
            <w:r>
              <w:rPr>
                <w:color w:val="000000"/>
                <w:sz w:val="18"/>
                <w:szCs w:val="18"/>
              </w:rPr>
              <w:t>9,491</w:t>
            </w:r>
          </w:p>
        </w:tc>
        <w:tc>
          <w:tcPr>
            <w:tcW w:w="50" w:type="pct"/>
            <w:shd w:val="clear" w:color="auto" w:fill="FFFFFF"/>
            <w:noWrap/>
            <w:tcMar>
              <w:top w:w="15" w:type="dxa"/>
              <w:left w:w="0" w:type="dxa"/>
              <w:bottom w:w="0" w:type="dxa"/>
              <w:right w:w="15" w:type="dxa"/>
            </w:tcMar>
            <w:vAlign w:val="bottom"/>
            <w:hideMark/>
          </w:tcPr>
          <w:p w14:paraId="6DEA7C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7AAF3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4DAE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4324B084" w14:textId="77777777" w:rsidR="00000000" w:rsidRDefault="00582324">
            <w:pPr>
              <w:pStyle w:val="a3"/>
              <w:spacing w:before="0" w:beforeAutospacing="0" w:after="0" w:afterAutospacing="0"/>
              <w:jc w:val="right"/>
              <w:rPr>
                <w:color w:val="000000"/>
                <w:sz w:val="18"/>
                <w:szCs w:val="18"/>
              </w:rPr>
            </w:pPr>
            <w:r>
              <w:rPr>
                <w:color w:val="000000"/>
                <w:sz w:val="18"/>
                <w:szCs w:val="18"/>
              </w:rPr>
              <w:t>24.3</w:t>
            </w:r>
          </w:p>
        </w:tc>
        <w:tc>
          <w:tcPr>
            <w:tcW w:w="50" w:type="pct"/>
            <w:shd w:val="clear" w:color="auto" w:fill="FFFFFF"/>
            <w:noWrap/>
            <w:tcMar>
              <w:top w:w="15" w:type="dxa"/>
              <w:left w:w="0" w:type="dxa"/>
              <w:bottom w:w="0" w:type="dxa"/>
              <w:right w:w="15" w:type="dxa"/>
            </w:tcMar>
            <w:vAlign w:val="bottom"/>
            <w:hideMark/>
          </w:tcPr>
          <w:p w14:paraId="71948B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6AA736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2BD1AA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777A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739C4B37" w14:textId="77777777" w:rsidR="00000000" w:rsidRDefault="00582324">
            <w:pPr>
              <w:pStyle w:val="a3"/>
              <w:spacing w:before="0" w:beforeAutospacing="0" w:after="0" w:afterAutospacing="0"/>
              <w:jc w:val="right"/>
              <w:rPr>
                <w:color w:val="000000"/>
                <w:sz w:val="18"/>
                <w:szCs w:val="18"/>
              </w:rPr>
            </w:pPr>
            <w:r>
              <w:rPr>
                <w:color w:val="000000"/>
                <w:sz w:val="18"/>
                <w:szCs w:val="18"/>
              </w:rPr>
              <w:t>37,036</w:t>
            </w:r>
          </w:p>
        </w:tc>
        <w:tc>
          <w:tcPr>
            <w:tcW w:w="50" w:type="pct"/>
            <w:shd w:val="clear" w:color="auto" w:fill="FFFFFF"/>
            <w:noWrap/>
            <w:tcMar>
              <w:top w:w="15" w:type="dxa"/>
              <w:left w:w="0" w:type="dxa"/>
              <w:bottom w:w="0" w:type="dxa"/>
              <w:right w:w="15" w:type="dxa"/>
            </w:tcMar>
            <w:vAlign w:val="bottom"/>
            <w:hideMark/>
          </w:tcPr>
          <w:p w14:paraId="4DFE7C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36F5A72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1AFC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6B67F349" w14:textId="77777777" w:rsidR="00000000" w:rsidRDefault="00582324">
            <w:pPr>
              <w:pStyle w:val="a3"/>
              <w:spacing w:before="0" w:beforeAutospacing="0" w:after="0" w:afterAutospacing="0"/>
              <w:jc w:val="right"/>
              <w:rPr>
                <w:color w:val="000000"/>
                <w:sz w:val="18"/>
                <w:szCs w:val="18"/>
              </w:rPr>
            </w:pPr>
            <w:r>
              <w:rPr>
                <w:color w:val="000000"/>
                <w:sz w:val="18"/>
                <w:szCs w:val="18"/>
              </w:rPr>
              <w:t>11,615</w:t>
            </w:r>
          </w:p>
        </w:tc>
        <w:tc>
          <w:tcPr>
            <w:tcW w:w="50" w:type="pct"/>
            <w:shd w:val="clear" w:color="auto" w:fill="FFFFFF"/>
            <w:noWrap/>
            <w:tcMar>
              <w:top w:w="15" w:type="dxa"/>
              <w:left w:w="0" w:type="dxa"/>
              <w:bottom w:w="0" w:type="dxa"/>
              <w:right w:w="15" w:type="dxa"/>
            </w:tcMar>
            <w:vAlign w:val="bottom"/>
            <w:hideMark/>
          </w:tcPr>
          <w:p w14:paraId="0DED2A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5E717D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EA30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shd w:val="clear" w:color="auto" w:fill="FFFFFF"/>
            <w:noWrap/>
            <w:tcMar>
              <w:top w:w="15" w:type="dxa"/>
              <w:left w:w="0" w:type="dxa"/>
              <w:bottom w:w="0" w:type="dxa"/>
              <w:right w:w="15" w:type="dxa"/>
            </w:tcMar>
            <w:vAlign w:val="bottom"/>
            <w:hideMark/>
          </w:tcPr>
          <w:p w14:paraId="2D45851C" w14:textId="77777777" w:rsidR="00000000" w:rsidRDefault="00582324">
            <w:pPr>
              <w:pStyle w:val="a3"/>
              <w:spacing w:before="0" w:beforeAutospacing="0" w:after="0" w:afterAutospacing="0"/>
              <w:jc w:val="right"/>
              <w:rPr>
                <w:color w:val="000000"/>
                <w:sz w:val="18"/>
                <w:szCs w:val="18"/>
              </w:rPr>
            </w:pPr>
            <w:r>
              <w:rPr>
                <w:color w:val="000000"/>
                <w:sz w:val="18"/>
                <w:szCs w:val="18"/>
              </w:rPr>
              <w:t>31.4</w:t>
            </w:r>
          </w:p>
        </w:tc>
        <w:tc>
          <w:tcPr>
            <w:tcW w:w="50" w:type="pct"/>
            <w:shd w:val="clear" w:color="auto" w:fill="FFFFFF"/>
            <w:noWrap/>
            <w:tcMar>
              <w:top w:w="15" w:type="dxa"/>
              <w:left w:w="0" w:type="dxa"/>
              <w:bottom w:w="0" w:type="dxa"/>
              <w:right w:w="15" w:type="dxa"/>
            </w:tcMar>
            <w:vAlign w:val="bottom"/>
            <w:hideMark/>
          </w:tcPr>
          <w:p w14:paraId="5F1047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FFFFFF"/>
            <w:tcMar>
              <w:top w:w="15" w:type="dxa"/>
              <w:left w:w="0" w:type="dxa"/>
              <w:bottom w:w="0" w:type="dxa"/>
              <w:right w:w="15" w:type="dxa"/>
            </w:tcMar>
            <w:vAlign w:val="bottom"/>
            <w:hideMark/>
          </w:tcPr>
          <w:p w14:paraId="0E88936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1E860114" w14:textId="77777777">
        <w:trPr>
          <w:divId w:val="44721473"/>
        </w:trPr>
        <w:tc>
          <w:tcPr>
            <w:tcW w:w="1978" w:type="pct"/>
            <w:shd w:val="clear" w:color="auto" w:fill="CFF0FC"/>
            <w:tcMar>
              <w:top w:w="15" w:type="dxa"/>
              <w:left w:w="0" w:type="dxa"/>
              <w:bottom w:w="0" w:type="dxa"/>
              <w:right w:w="15" w:type="dxa"/>
            </w:tcMar>
            <w:hideMark/>
          </w:tcPr>
          <w:p w14:paraId="07E339A8" w14:textId="77777777" w:rsidR="00000000" w:rsidRDefault="00582324">
            <w:pPr>
              <w:pStyle w:val="a3"/>
              <w:spacing w:before="0" w:beforeAutospacing="0" w:after="0" w:afterAutospacing="0"/>
              <w:rPr>
                <w:color w:val="000000"/>
                <w:sz w:val="18"/>
                <w:szCs w:val="18"/>
              </w:rPr>
            </w:pPr>
            <w:r>
              <w:rPr>
                <w:color w:val="000000"/>
                <w:sz w:val="18"/>
                <w:szCs w:val="18"/>
              </w:rPr>
              <w:t>Remediation and Reuse</w:t>
            </w:r>
          </w:p>
        </w:tc>
        <w:tc>
          <w:tcPr>
            <w:tcW w:w="47" w:type="pct"/>
            <w:shd w:val="clear" w:color="auto" w:fill="CFF0FC"/>
            <w:tcMar>
              <w:top w:w="15" w:type="dxa"/>
              <w:left w:w="0" w:type="dxa"/>
              <w:bottom w:w="0" w:type="dxa"/>
              <w:right w:w="15" w:type="dxa"/>
            </w:tcMar>
            <w:vAlign w:val="bottom"/>
            <w:hideMark/>
          </w:tcPr>
          <w:p w14:paraId="3327A2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9C370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0DF72098" w14:textId="77777777" w:rsidR="00000000" w:rsidRDefault="00582324">
            <w:pPr>
              <w:pStyle w:val="a3"/>
              <w:spacing w:before="0" w:beforeAutospacing="0" w:after="0" w:afterAutospacing="0"/>
              <w:jc w:val="right"/>
              <w:rPr>
                <w:color w:val="000000"/>
                <w:sz w:val="18"/>
                <w:szCs w:val="18"/>
              </w:rPr>
            </w:pPr>
            <w:r>
              <w:rPr>
                <w:color w:val="000000"/>
                <w:sz w:val="18"/>
                <w:szCs w:val="18"/>
              </w:rPr>
              <w:t>26,402</w:t>
            </w:r>
          </w:p>
        </w:tc>
        <w:tc>
          <w:tcPr>
            <w:tcW w:w="50" w:type="pct"/>
            <w:shd w:val="clear" w:color="auto" w:fill="CFF0FC"/>
            <w:noWrap/>
            <w:tcMar>
              <w:top w:w="15" w:type="dxa"/>
              <w:left w:w="0" w:type="dxa"/>
              <w:bottom w:w="0" w:type="dxa"/>
              <w:right w:w="15" w:type="dxa"/>
            </w:tcMar>
            <w:vAlign w:val="bottom"/>
            <w:hideMark/>
          </w:tcPr>
          <w:p w14:paraId="5CAA2B0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0741942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DD18C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320D1D48" w14:textId="77777777" w:rsidR="00000000" w:rsidRDefault="00582324">
            <w:pPr>
              <w:pStyle w:val="a3"/>
              <w:spacing w:before="0" w:beforeAutospacing="0" w:after="0" w:afterAutospacing="0"/>
              <w:jc w:val="right"/>
              <w:rPr>
                <w:color w:val="000000"/>
                <w:sz w:val="18"/>
                <w:szCs w:val="18"/>
              </w:rPr>
            </w:pPr>
            <w:r>
              <w:rPr>
                <w:color w:val="000000"/>
                <w:sz w:val="18"/>
                <w:szCs w:val="18"/>
              </w:rPr>
              <w:t>4,309</w:t>
            </w:r>
          </w:p>
        </w:tc>
        <w:tc>
          <w:tcPr>
            <w:tcW w:w="50" w:type="pct"/>
            <w:shd w:val="clear" w:color="auto" w:fill="CFF0FC"/>
            <w:noWrap/>
            <w:tcMar>
              <w:top w:w="15" w:type="dxa"/>
              <w:left w:w="0" w:type="dxa"/>
              <w:bottom w:w="0" w:type="dxa"/>
              <w:right w:w="15" w:type="dxa"/>
            </w:tcMar>
            <w:vAlign w:val="bottom"/>
            <w:hideMark/>
          </w:tcPr>
          <w:p w14:paraId="3C291E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0881D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D2B9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3F132DA6" w14:textId="77777777" w:rsidR="00000000" w:rsidRDefault="00582324">
            <w:pPr>
              <w:pStyle w:val="a3"/>
              <w:spacing w:before="0" w:beforeAutospacing="0" w:after="0" w:afterAutospacing="0"/>
              <w:jc w:val="right"/>
              <w:rPr>
                <w:color w:val="000000"/>
                <w:sz w:val="18"/>
                <w:szCs w:val="18"/>
              </w:rPr>
            </w:pPr>
            <w:r>
              <w:rPr>
                <w:color w:val="000000"/>
                <w:sz w:val="18"/>
                <w:szCs w:val="18"/>
              </w:rPr>
              <w:t>16.3</w:t>
            </w:r>
          </w:p>
        </w:tc>
        <w:tc>
          <w:tcPr>
            <w:tcW w:w="50" w:type="pct"/>
            <w:shd w:val="clear" w:color="auto" w:fill="CFF0FC"/>
            <w:noWrap/>
            <w:tcMar>
              <w:top w:w="15" w:type="dxa"/>
              <w:left w:w="0" w:type="dxa"/>
              <w:bottom w:w="0" w:type="dxa"/>
              <w:right w:w="15" w:type="dxa"/>
            </w:tcMar>
            <w:vAlign w:val="bottom"/>
            <w:hideMark/>
          </w:tcPr>
          <w:p w14:paraId="5DCB1D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5425B30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45527F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8F1DE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41E1DF9D" w14:textId="77777777" w:rsidR="00000000" w:rsidRDefault="00582324">
            <w:pPr>
              <w:pStyle w:val="a3"/>
              <w:spacing w:before="0" w:beforeAutospacing="0" w:after="0" w:afterAutospacing="0"/>
              <w:jc w:val="right"/>
              <w:rPr>
                <w:color w:val="000000"/>
                <w:sz w:val="18"/>
                <w:szCs w:val="18"/>
              </w:rPr>
            </w:pPr>
            <w:r>
              <w:rPr>
                <w:color w:val="000000"/>
                <w:sz w:val="18"/>
                <w:szCs w:val="18"/>
              </w:rPr>
              <w:t>18,099</w:t>
            </w:r>
          </w:p>
        </w:tc>
        <w:tc>
          <w:tcPr>
            <w:tcW w:w="50" w:type="pct"/>
            <w:shd w:val="clear" w:color="auto" w:fill="CFF0FC"/>
            <w:noWrap/>
            <w:tcMar>
              <w:top w:w="15" w:type="dxa"/>
              <w:left w:w="0" w:type="dxa"/>
              <w:bottom w:w="0" w:type="dxa"/>
              <w:right w:w="15" w:type="dxa"/>
            </w:tcMar>
            <w:vAlign w:val="bottom"/>
            <w:hideMark/>
          </w:tcPr>
          <w:p w14:paraId="114C59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39220B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16544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75AC8401" w14:textId="77777777" w:rsidR="00000000" w:rsidRDefault="00582324">
            <w:pPr>
              <w:pStyle w:val="a3"/>
              <w:spacing w:before="0" w:beforeAutospacing="0" w:after="0" w:afterAutospacing="0"/>
              <w:jc w:val="right"/>
              <w:rPr>
                <w:color w:val="000000"/>
                <w:sz w:val="18"/>
                <w:szCs w:val="18"/>
              </w:rPr>
            </w:pPr>
            <w:r>
              <w:rPr>
                <w:color w:val="000000"/>
                <w:sz w:val="18"/>
                <w:szCs w:val="18"/>
              </w:rPr>
              <w:t>2,375</w:t>
            </w:r>
          </w:p>
        </w:tc>
        <w:tc>
          <w:tcPr>
            <w:tcW w:w="50" w:type="pct"/>
            <w:shd w:val="clear" w:color="auto" w:fill="CFF0FC"/>
            <w:noWrap/>
            <w:tcMar>
              <w:top w:w="15" w:type="dxa"/>
              <w:left w:w="0" w:type="dxa"/>
              <w:bottom w:w="0" w:type="dxa"/>
              <w:right w:w="15" w:type="dxa"/>
            </w:tcMar>
            <w:vAlign w:val="bottom"/>
            <w:hideMark/>
          </w:tcPr>
          <w:p w14:paraId="765114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F8C28FA" w14:textId="77777777" w:rsidR="00000000" w:rsidRDefault="00582324">
            <w:pPr>
              <w:pStyle w:val="a3"/>
              <w:spacing w:before="0" w:beforeAutospacing="0" w:after="0" w:afterAutospacing="0"/>
              <w:rPr>
                <w:color w:val="000000"/>
                <w:sz w:val="18"/>
                <w:szCs w:val="18"/>
              </w:rPr>
            </w:pPr>
            <w:r>
              <w:rPr>
                <w:color w:val="000000"/>
                <w:sz w:val="15"/>
                <w:szCs w:val="15"/>
                <w:vertAlign w:val="superscript"/>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0CB4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05715BAA" w14:textId="77777777" w:rsidR="00000000" w:rsidRDefault="00582324">
            <w:pPr>
              <w:pStyle w:val="a3"/>
              <w:spacing w:before="0" w:beforeAutospacing="0" w:after="0" w:afterAutospacing="0"/>
              <w:jc w:val="right"/>
              <w:rPr>
                <w:color w:val="000000"/>
                <w:sz w:val="18"/>
                <w:szCs w:val="18"/>
              </w:rPr>
            </w:pPr>
            <w:r>
              <w:rPr>
                <w:color w:val="000000"/>
                <w:sz w:val="18"/>
                <w:szCs w:val="18"/>
              </w:rPr>
              <w:t>13.1</w:t>
            </w:r>
          </w:p>
        </w:tc>
        <w:tc>
          <w:tcPr>
            <w:tcW w:w="50" w:type="pct"/>
            <w:shd w:val="clear" w:color="auto" w:fill="CFF0FC"/>
            <w:noWrap/>
            <w:tcMar>
              <w:top w:w="15" w:type="dxa"/>
              <w:left w:w="0" w:type="dxa"/>
              <w:bottom w:w="0" w:type="dxa"/>
              <w:right w:w="15" w:type="dxa"/>
            </w:tcMar>
            <w:vAlign w:val="bottom"/>
            <w:hideMark/>
          </w:tcPr>
          <w:p w14:paraId="68D63B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7DB4DCC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59C8CE4D" w14:textId="77777777">
        <w:trPr>
          <w:divId w:val="44721473"/>
        </w:trPr>
        <w:tc>
          <w:tcPr>
            <w:tcW w:w="1978" w:type="pct"/>
            <w:shd w:val="clear" w:color="auto" w:fill="FFFFFF"/>
            <w:tcMar>
              <w:top w:w="15" w:type="dxa"/>
              <w:left w:w="0" w:type="dxa"/>
              <w:bottom w:w="0" w:type="dxa"/>
              <w:right w:w="15" w:type="dxa"/>
            </w:tcMar>
            <w:hideMark/>
          </w:tcPr>
          <w:p w14:paraId="15E426D2" w14:textId="77777777" w:rsidR="00000000" w:rsidRDefault="00582324">
            <w:pPr>
              <w:pStyle w:val="a3"/>
              <w:spacing w:before="0" w:beforeAutospacing="0" w:after="0" w:afterAutospacing="0"/>
              <w:rPr>
                <w:b/>
                <w:bCs/>
                <w:color w:val="000000"/>
                <w:sz w:val="18"/>
                <w:szCs w:val="18"/>
              </w:rPr>
            </w:pPr>
            <w:r>
              <w:rPr>
                <w:b/>
                <w:bCs/>
                <w:color w:val="000000"/>
                <w:sz w:val="18"/>
                <w:szCs w:val="18"/>
              </w:rPr>
              <w:t>Total Operating Segments</w:t>
            </w:r>
          </w:p>
        </w:tc>
        <w:tc>
          <w:tcPr>
            <w:tcW w:w="47" w:type="pct"/>
            <w:shd w:val="clear" w:color="auto" w:fill="FFFFFF"/>
            <w:tcMar>
              <w:top w:w="15" w:type="dxa"/>
              <w:left w:w="0" w:type="dxa"/>
              <w:bottom w:w="0" w:type="dxa"/>
              <w:right w:w="15" w:type="dxa"/>
            </w:tcMar>
            <w:vAlign w:val="bottom"/>
            <w:hideMark/>
          </w:tcPr>
          <w:p w14:paraId="6CB215D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FD9562"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5878D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136,224</w:t>
            </w:r>
          </w:p>
        </w:tc>
        <w:tc>
          <w:tcPr>
            <w:tcW w:w="50" w:type="pct"/>
            <w:shd w:val="clear" w:color="auto" w:fill="FFFFFF"/>
            <w:noWrap/>
            <w:tcMar>
              <w:top w:w="15" w:type="dxa"/>
              <w:left w:w="0" w:type="dxa"/>
              <w:bottom w:w="0" w:type="dxa"/>
              <w:right w:w="15" w:type="dxa"/>
            </w:tcMar>
            <w:vAlign w:val="bottom"/>
            <w:hideMark/>
          </w:tcPr>
          <w:p w14:paraId="6220985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1780F8F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DC719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FDFDAE"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28,656</w:t>
            </w:r>
          </w:p>
        </w:tc>
        <w:tc>
          <w:tcPr>
            <w:tcW w:w="50" w:type="pct"/>
            <w:shd w:val="clear" w:color="auto" w:fill="FFFFFF"/>
            <w:noWrap/>
            <w:tcMar>
              <w:top w:w="15" w:type="dxa"/>
              <w:left w:w="0" w:type="dxa"/>
              <w:bottom w:w="0" w:type="dxa"/>
              <w:right w:w="15" w:type="dxa"/>
            </w:tcMar>
            <w:vAlign w:val="bottom"/>
            <w:hideMark/>
          </w:tcPr>
          <w:p w14:paraId="32F9B7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103970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C5DC9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AC0F54"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21.0</w:t>
            </w:r>
          </w:p>
        </w:tc>
        <w:tc>
          <w:tcPr>
            <w:tcW w:w="50" w:type="pct"/>
            <w:shd w:val="clear" w:color="auto" w:fill="FFFFFF"/>
            <w:noWrap/>
            <w:tcMar>
              <w:top w:w="15" w:type="dxa"/>
              <w:left w:w="0" w:type="dxa"/>
              <w:bottom w:w="0" w:type="dxa"/>
              <w:right w:w="15" w:type="dxa"/>
            </w:tcMar>
            <w:vAlign w:val="bottom"/>
            <w:hideMark/>
          </w:tcPr>
          <w:p w14:paraId="39D4E33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371D2BFD"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7" w:type="pct"/>
            <w:shd w:val="clear" w:color="auto" w:fill="FFFFFF"/>
            <w:tcMar>
              <w:top w:w="15" w:type="dxa"/>
              <w:left w:w="0" w:type="dxa"/>
              <w:bottom w:w="0" w:type="dxa"/>
              <w:right w:w="15" w:type="dxa"/>
            </w:tcMar>
            <w:vAlign w:val="bottom"/>
            <w:hideMark/>
          </w:tcPr>
          <w:p w14:paraId="752D6A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5D23F8"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39DA68"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73,766</w:t>
            </w:r>
          </w:p>
        </w:tc>
        <w:tc>
          <w:tcPr>
            <w:tcW w:w="50" w:type="pct"/>
            <w:shd w:val="clear" w:color="auto" w:fill="FFFFFF"/>
            <w:noWrap/>
            <w:tcMar>
              <w:top w:w="15" w:type="dxa"/>
              <w:left w:w="0" w:type="dxa"/>
              <w:bottom w:w="0" w:type="dxa"/>
              <w:right w:w="15" w:type="dxa"/>
            </w:tcMar>
            <w:vAlign w:val="bottom"/>
            <w:hideMark/>
          </w:tcPr>
          <w:p w14:paraId="507C7E2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53017F9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892F6D"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ED6BC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18,979</w:t>
            </w:r>
          </w:p>
        </w:tc>
        <w:tc>
          <w:tcPr>
            <w:tcW w:w="50" w:type="pct"/>
            <w:shd w:val="clear" w:color="auto" w:fill="FFFFFF"/>
            <w:noWrap/>
            <w:tcMar>
              <w:top w:w="15" w:type="dxa"/>
              <w:left w:w="0" w:type="dxa"/>
              <w:bottom w:w="0" w:type="dxa"/>
              <w:right w:w="15" w:type="dxa"/>
            </w:tcMar>
            <w:vAlign w:val="bottom"/>
            <w:hideMark/>
          </w:tcPr>
          <w:p w14:paraId="274D4D0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5B919A54" w14:textId="77777777" w:rsidR="00000000" w:rsidRDefault="00582324">
            <w:pPr>
              <w:pStyle w:val="a3"/>
              <w:spacing w:before="0" w:beforeAutospacing="0" w:after="0" w:afterAutospacing="0"/>
              <w:rPr>
                <w:color w:val="000000"/>
                <w:sz w:val="18"/>
                <w:szCs w:val="18"/>
              </w:rPr>
            </w:pPr>
            <w:r>
              <w:rPr>
                <w:color w:val="000000"/>
                <w:sz w:val="15"/>
                <w:szCs w:val="15"/>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DA619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DF5007"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25.7</w:t>
            </w:r>
          </w:p>
        </w:tc>
        <w:tc>
          <w:tcPr>
            <w:tcW w:w="50" w:type="pct"/>
            <w:shd w:val="clear" w:color="auto" w:fill="FFFFFF"/>
            <w:noWrap/>
            <w:tcMar>
              <w:top w:w="15" w:type="dxa"/>
              <w:left w:w="0" w:type="dxa"/>
              <w:bottom w:w="0" w:type="dxa"/>
              <w:right w:w="15" w:type="dxa"/>
            </w:tcMar>
            <w:vAlign w:val="bottom"/>
            <w:hideMark/>
          </w:tcPr>
          <w:p w14:paraId="290DD26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7" w:type="pct"/>
            <w:shd w:val="clear" w:color="auto" w:fill="FFFFFF"/>
            <w:tcMar>
              <w:top w:w="15" w:type="dxa"/>
              <w:left w:w="0" w:type="dxa"/>
              <w:bottom w:w="0" w:type="dxa"/>
              <w:right w:w="15" w:type="dxa"/>
            </w:tcMar>
            <w:vAlign w:val="bottom"/>
            <w:hideMark/>
          </w:tcPr>
          <w:p w14:paraId="124E1D5A"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4B5517BA" w14:textId="77777777">
        <w:trPr>
          <w:divId w:val="44721473"/>
        </w:trPr>
        <w:tc>
          <w:tcPr>
            <w:tcW w:w="1978" w:type="pct"/>
            <w:shd w:val="clear" w:color="auto" w:fill="CFF0FC"/>
            <w:tcMar>
              <w:top w:w="15" w:type="dxa"/>
              <w:left w:w="0" w:type="dxa"/>
              <w:bottom w:w="0" w:type="dxa"/>
              <w:right w:w="15" w:type="dxa"/>
            </w:tcMar>
            <w:hideMark/>
          </w:tcPr>
          <w:p w14:paraId="079F3A31" w14:textId="77777777" w:rsidR="00000000" w:rsidRDefault="00582324">
            <w:pPr>
              <w:pStyle w:val="a3"/>
              <w:spacing w:before="0" w:beforeAutospacing="0" w:after="0" w:afterAutospacing="0"/>
              <w:rPr>
                <w:color w:val="000000"/>
                <w:sz w:val="18"/>
                <w:szCs w:val="18"/>
              </w:rPr>
            </w:pPr>
            <w:r>
              <w:rPr>
                <w:color w:val="000000"/>
                <w:sz w:val="18"/>
                <w:szCs w:val="18"/>
              </w:rPr>
              <w:t>Corporate and Other</w:t>
            </w:r>
          </w:p>
        </w:tc>
        <w:tc>
          <w:tcPr>
            <w:tcW w:w="47" w:type="pct"/>
            <w:shd w:val="clear" w:color="auto" w:fill="CFF0FC"/>
            <w:tcMar>
              <w:top w:w="15" w:type="dxa"/>
              <w:left w:w="0" w:type="dxa"/>
              <w:bottom w:w="0" w:type="dxa"/>
              <w:right w:w="15" w:type="dxa"/>
            </w:tcMar>
            <w:vAlign w:val="bottom"/>
            <w:hideMark/>
          </w:tcPr>
          <w:p w14:paraId="0288119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91792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double" w:sz="6" w:space="0" w:color="000000"/>
            </w:tcBorders>
            <w:shd w:val="clear" w:color="auto" w:fill="CFF0FC"/>
            <w:noWrap/>
            <w:tcMar>
              <w:top w:w="15" w:type="dxa"/>
              <w:left w:w="0" w:type="dxa"/>
              <w:bottom w:w="0" w:type="dxa"/>
              <w:right w:w="15" w:type="dxa"/>
            </w:tcMar>
            <w:vAlign w:val="bottom"/>
            <w:hideMark/>
          </w:tcPr>
          <w:p w14:paraId="58616DA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B97D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630B01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8416A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double" w:sz="6" w:space="0" w:color="000000"/>
            </w:tcBorders>
            <w:shd w:val="clear" w:color="auto" w:fill="CFF0FC"/>
            <w:noWrap/>
            <w:tcMar>
              <w:top w:w="15" w:type="dxa"/>
              <w:left w:w="0" w:type="dxa"/>
              <w:bottom w:w="0" w:type="dxa"/>
              <w:right w:w="15" w:type="dxa"/>
            </w:tcMar>
            <w:vAlign w:val="bottom"/>
            <w:hideMark/>
          </w:tcPr>
          <w:p w14:paraId="40A9AA55" w14:textId="77777777" w:rsidR="00000000" w:rsidRDefault="00582324">
            <w:pPr>
              <w:pStyle w:val="a3"/>
              <w:spacing w:before="0" w:beforeAutospacing="0" w:after="0" w:afterAutospacing="0"/>
              <w:jc w:val="right"/>
              <w:rPr>
                <w:color w:val="000000"/>
                <w:sz w:val="18"/>
                <w:szCs w:val="18"/>
              </w:rPr>
            </w:pPr>
            <w:r>
              <w:rPr>
                <w:color w:val="000000"/>
                <w:sz w:val="18"/>
                <w:szCs w:val="18"/>
              </w:rPr>
              <w:t>(7,693</w:t>
            </w:r>
          </w:p>
        </w:tc>
        <w:tc>
          <w:tcPr>
            <w:tcW w:w="50" w:type="pct"/>
            <w:shd w:val="clear" w:color="auto" w:fill="CFF0FC"/>
            <w:noWrap/>
            <w:tcMar>
              <w:top w:w="15" w:type="dxa"/>
              <w:left w:w="0" w:type="dxa"/>
              <w:bottom w:w="0" w:type="dxa"/>
              <w:right w:w="15" w:type="dxa"/>
            </w:tcMar>
            <w:vAlign w:val="bottom"/>
            <w:hideMark/>
          </w:tcPr>
          <w:p w14:paraId="47F8638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7" w:type="pct"/>
            <w:shd w:val="clear" w:color="auto" w:fill="CFF0FC"/>
            <w:tcMar>
              <w:top w:w="15" w:type="dxa"/>
              <w:left w:w="0" w:type="dxa"/>
              <w:bottom w:w="0" w:type="dxa"/>
              <w:right w:w="15" w:type="dxa"/>
            </w:tcMar>
            <w:vAlign w:val="bottom"/>
            <w:hideMark/>
          </w:tcPr>
          <w:p w14:paraId="1F0E49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89" w:type="pct"/>
            <w:gridSpan w:val="2"/>
            <w:tcBorders>
              <w:top w:val="double" w:sz="6" w:space="0" w:color="000000"/>
            </w:tcBorders>
            <w:shd w:val="clear" w:color="auto" w:fill="CFF0FC"/>
            <w:tcMar>
              <w:top w:w="15" w:type="dxa"/>
              <w:left w:w="0" w:type="dxa"/>
              <w:bottom w:w="0" w:type="dxa"/>
              <w:right w:w="15" w:type="dxa"/>
            </w:tcMar>
            <w:vAlign w:val="bottom"/>
            <w:hideMark/>
          </w:tcPr>
          <w:p w14:paraId="02359D9A" w14:textId="77777777" w:rsidR="00000000" w:rsidRDefault="00582324">
            <w:pPr>
              <w:pStyle w:val="a3"/>
              <w:spacing w:before="0" w:beforeAutospacing="0" w:after="0" w:afterAutospacing="0"/>
              <w:jc w:val="right"/>
              <w:rPr>
                <w:color w:val="000000"/>
                <w:sz w:val="18"/>
                <w:szCs w:val="18"/>
              </w:rPr>
            </w:pPr>
            <w:r>
              <w:rPr>
                <w:color w:val="000000"/>
                <w:sz w:val="18"/>
                <w:szCs w:val="18"/>
              </w:rPr>
              <w:t>n/a</w:t>
            </w:r>
          </w:p>
        </w:tc>
        <w:tc>
          <w:tcPr>
            <w:tcW w:w="50" w:type="pct"/>
            <w:shd w:val="clear" w:color="auto" w:fill="CFF0FC"/>
            <w:noWrap/>
            <w:tcMar>
              <w:top w:w="15" w:type="dxa"/>
              <w:left w:w="0" w:type="dxa"/>
              <w:bottom w:w="0" w:type="dxa"/>
              <w:right w:w="15" w:type="dxa"/>
            </w:tcMar>
            <w:vAlign w:val="bottom"/>
            <w:hideMark/>
          </w:tcPr>
          <w:p w14:paraId="5DEBD4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3B3FEA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E02F0E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1DFC0C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double" w:sz="6" w:space="0" w:color="000000"/>
            </w:tcBorders>
            <w:shd w:val="clear" w:color="auto" w:fill="CFF0FC"/>
            <w:noWrap/>
            <w:tcMar>
              <w:top w:w="15" w:type="dxa"/>
              <w:left w:w="0" w:type="dxa"/>
              <w:bottom w:w="0" w:type="dxa"/>
              <w:right w:w="15" w:type="dxa"/>
            </w:tcMar>
            <w:vAlign w:val="bottom"/>
            <w:hideMark/>
          </w:tcPr>
          <w:p w14:paraId="2FF27DD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D341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377F11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0C10D5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39" w:type="pct"/>
            <w:tcBorders>
              <w:top w:val="double" w:sz="6" w:space="0" w:color="000000"/>
            </w:tcBorders>
            <w:shd w:val="clear" w:color="auto" w:fill="CFF0FC"/>
            <w:noWrap/>
            <w:tcMar>
              <w:top w:w="15" w:type="dxa"/>
              <w:left w:w="0" w:type="dxa"/>
              <w:bottom w:w="0" w:type="dxa"/>
              <w:right w:w="15" w:type="dxa"/>
            </w:tcMar>
            <w:vAlign w:val="bottom"/>
            <w:hideMark/>
          </w:tcPr>
          <w:p w14:paraId="292A4B41" w14:textId="77777777" w:rsidR="00000000" w:rsidRDefault="00582324">
            <w:pPr>
              <w:pStyle w:val="a3"/>
              <w:spacing w:before="0" w:beforeAutospacing="0" w:after="0" w:afterAutospacing="0"/>
              <w:jc w:val="right"/>
              <w:rPr>
                <w:color w:val="000000"/>
                <w:sz w:val="18"/>
                <w:szCs w:val="18"/>
              </w:rPr>
            </w:pPr>
            <w:r>
              <w:rPr>
                <w:color w:val="000000"/>
                <w:sz w:val="18"/>
                <w:szCs w:val="18"/>
              </w:rPr>
              <w:t>(5,084</w:t>
            </w:r>
          </w:p>
        </w:tc>
        <w:tc>
          <w:tcPr>
            <w:tcW w:w="50" w:type="pct"/>
            <w:shd w:val="clear" w:color="auto" w:fill="CFF0FC"/>
            <w:noWrap/>
            <w:tcMar>
              <w:top w:w="15" w:type="dxa"/>
              <w:left w:w="0" w:type="dxa"/>
              <w:bottom w:w="0" w:type="dxa"/>
              <w:right w:w="15" w:type="dxa"/>
            </w:tcMar>
            <w:vAlign w:val="bottom"/>
            <w:hideMark/>
          </w:tcPr>
          <w:p w14:paraId="5695C55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7" w:type="pct"/>
            <w:shd w:val="clear" w:color="auto" w:fill="CFF0FC"/>
            <w:tcMar>
              <w:top w:w="15" w:type="dxa"/>
              <w:left w:w="0" w:type="dxa"/>
              <w:bottom w:w="0" w:type="dxa"/>
              <w:right w:w="15" w:type="dxa"/>
            </w:tcMar>
            <w:vAlign w:val="bottom"/>
            <w:hideMark/>
          </w:tcPr>
          <w:p w14:paraId="4AC18F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89" w:type="pct"/>
            <w:gridSpan w:val="2"/>
            <w:tcBorders>
              <w:top w:val="double" w:sz="6" w:space="0" w:color="000000"/>
            </w:tcBorders>
            <w:shd w:val="clear" w:color="auto" w:fill="CFF0FC"/>
            <w:tcMar>
              <w:top w:w="15" w:type="dxa"/>
              <w:left w:w="0" w:type="dxa"/>
              <w:bottom w:w="0" w:type="dxa"/>
              <w:right w:w="15" w:type="dxa"/>
            </w:tcMar>
            <w:vAlign w:val="bottom"/>
            <w:hideMark/>
          </w:tcPr>
          <w:p w14:paraId="7EA342E1" w14:textId="77777777" w:rsidR="00000000" w:rsidRDefault="00582324">
            <w:pPr>
              <w:pStyle w:val="a3"/>
              <w:spacing w:before="0" w:beforeAutospacing="0" w:after="0" w:afterAutospacing="0"/>
              <w:jc w:val="right"/>
              <w:rPr>
                <w:color w:val="000000"/>
                <w:sz w:val="18"/>
                <w:szCs w:val="18"/>
              </w:rPr>
            </w:pPr>
            <w:r>
              <w:rPr>
                <w:color w:val="000000"/>
                <w:sz w:val="18"/>
                <w:szCs w:val="18"/>
              </w:rPr>
              <w:t>n/a</w:t>
            </w:r>
          </w:p>
        </w:tc>
        <w:tc>
          <w:tcPr>
            <w:tcW w:w="50" w:type="pct"/>
            <w:shd w:val="clear" w:color="auto" w:fill="CFF0FC"/>
            <w:noWrap/>
            <w:tcMar>
              <w:top w:w="15" w:type="dxa"/>
              <w:left w:w="0" w:type="dxa"/>
              <w:bottom w:w="0" w:type="dxa"/>
              <w:right w:w="15" w:type="dxa"/>
            </w:tcMar>
            <w:vAlign w:val="bottom"/>
            <w:hideMark/>
          </w:tcPr>
          <w:p w14:paraId="58499D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 w:type="pct"/>
            <w:shd w:val="clear" w:color="auto" w:fill="CFF0FC"/>
            <w:tcMar>
              <w:top w:w="15" w:type="dxa"/>
              <w:left w:w="0" w:type="dxa"/>
              <w:bottom w:w="0" w:type="dxa"/>
              <w:right w:w="15" w:type="dxa"/>
            </w:tcMar>
            <w:vAlign w:val="bottom"/>
            <w:hideMark/>
          </w:tcPr>
          <w:p w14:paraId="1B313F46"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1A7C165C" w14:textId="77777777" w:rsidR="00000000" w:rsidRDefault="00582324">
      <w:pPr>
        <w:pStyle w:val="a3"/>
        <w:pBdr>
          <w:bottom w:val="single" w:sz="6" w:space="0" w:color="000000"/>
        </w:pBdr>
        <w:shd w:val="clear" w:color="auto" w:fill="FFFFFF"/>
        <w:spacing w:before="0" w:beforeAutospacing="0" w:after="0" w:afterAutospacing="0"/>
        <w:ind w:right="6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82"/>
        <w:gridCol w:w="8024"/>
      </w:tblGrid>
      <w:tr w:rsidR="00000000" w14:paraId="5ED6CEEC" w14:textId="77777777">
        <w:trPr>
          <w:divId w:val="1657997457"/>
        </w:trPr>
        <w:tc>
          <w:tcPr>
            <w:tcW w:w="170" w:type="pct"/>
            <w:noWrap/>
            <w:hideMark/>
          </w:tcPr>
          <w:p w14:paraId="25728E75" w14:textId="77777777" w:rsidR="00000000" w:rsidRDefault="00582324">
            <w:pPr>
              <w:pStyle w:val="a3"/>
              <w:spacing w:before="40" w:beforeAutospacing="0" w:after="0" w:afterAutospacing="0"/>
              <w:rPr>
                <w:sz w:val="18"/>
                <w:szCs w:val="18"/>
              </w:rPr>
            </w:pPr>
            <w:r>
              <w:rPr>
                <w:sz w:val="18"/>
                <w:szCs w:val="18"/>
              </w:rPr>
              <w:t>(1)</w:t>
            </w:r>
          </w:p>
        </w:tc>
        <w:tc>
          <w:tcPr>
            <w:tcW w:w="0" w:type="auto"/>
            <w:hideMark/>
          </w:tcPr>
          <w:p w14:paraId="36CFD979" w14:textId="77777777" w:rsidR="00000000" w:rsidRDefault="00582324">
            <w:pPr>
              <w:pStyle w:val="a3"/>
              <w:spacing w:before="40" w:beforeAutospacing="0" w:after="0" w:afterAutospacing="0"/>
              <w:rPr>
                <w:sz w:val="18"/>
                <w:szCs w:val="18"/>
              </w:rPr>
            </w:pPr>
            <w:r>
              <w:rPr>
                <w:sz w:val="18"/>
                <w:szCs w:val="18"/>
              </w:rPr>
              <w:t>For purposes of evaluating segment profit, the Company’s chief operating decision maker reviews Segment Adjusted EBITDA as a basis for making the decisions to allocate resources and assess performance. See Note 20 to our unaudited condensed consolidated fi</w:t>
            </w:r>
            <w:r>
              <w:rPr>
                <w:sz w:val="18"/>
                <w:szCs w:val="18"/>
              </w:rPr>
              <w:t>nancial statements included in Part I, Item 1. “Financial Statements.”</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592EDA84" w14:textId="77777777">
        <w:tc>
          <w:tcPr>
            <w:tcW w:w="170" w:type="pct"/>
            <w:noWrap/>
            <w:hideMark/>
          </w:tcPr>
          <w:p w14:paraId="71CD1703" w14:textId="77777777" w:rsidR="00000000" w:rsidRDefault="00582324">
            <w:pPr>
              <w:pStyle w:val="a3"/>
              <w:spacing w:before="40" w:beforeAutospacing="0" w:after="0" w:afterAutospacing="0"/>
              <w:rPr>
                <w:sz w:val="18"/>
                <w:szCs w:val="18"/>
              </w:rPr>
            </w:pPr>
            <w:r>
              <w:rPr>
                <w:sz w:val="18"/>
                <w:szCs w:val="18"/>
              </w:rPr>
              <w:t>(2)</w:t>
            </w:r>
          </w:p>
        </w:tc>
        <w:tc>
          <w:tcPr>
            <w:tcW w:w="0" w:type="auto"/>
            <w:hideMark/>
          </w:tcPr>
          <w:p w14:paraId="63F8C1C7" w14:textId="77777777" w:rsidR="00000000" w:rsidRDefault="00582324">
            <w:pPr>
              <w:pStyle w:val="a3"/>
              <w:spacing w:before="40" w:beforeAutospacing="0" w:after="0" w:afterAutospacing="0"/>
              <w:rPr>
                <w:sz w:val="18"/>
                <w:szCs w:val="18"/>
              </w:rPr>
            </w:pPr>
            <w:r>
              <w:rPr>
                <w:sz w:val="18"/>
                <w:szCs w:val="18"/>
              </w:rPr>
              <w:t>Represents Segment Adjusted EBITDA as a percentage of revenues.</w:t>
            </w:r>
          </w:p>
        </w:tc>
      </w:tr>
    </w:tbl>
    <w:p w14:paraId="7581D104" w14:textId="77777777" w:rsidR="00000000" w:rsidRDefault="00582324">
      <w:pPr>
        <w:pStyle w:val="a3"/>
        <w:spacing w:before="240" w:beforeAutospacing="0" w:after="0" w:afterAutospacing="0"/>
        <w:jc w:val="center"/>
        <w:rPr>
          <w:sz w:val="20"/>
          <w:szCs w:val="20"/>
        </w:rPr>
      </w:pPr>
      <w:r>
        <w:rPr>
          <w:sz w:val="20"/>
          <w:szCs w:val="20"/>
        </w:rPr>
        <w:t>42</w:t>
      </w:r>
    </w:p>
    <w:p w14:paraId="103C8935" w14:textId="77777777" w:rsidR="00000000" w:rsidRDefault="00582324">
      <w:pPr>
        <w:rPr>
          <w:rFonts w:eastAsia="Times New Roman"/>
        </w:rPr>
      </w:pPr>
      <w:r>
        <w:rPr>
          <w:rFonts w:eastAsia="Times New Roman"/>
        </w:rPr>
        <w:pict w14:anchorId="10711849">
          <v:rect id="_x0000_i1068" style="width:0;height:1.5pt" o:hralign="center" o:hrstd="t" o:hr="t" fillcolor="#a0a0a0" stroked="f"/>
        </w:pict>
      </w:r>
    </w:p>
    <w:p w14:paraId="7D686861" w14:textId="77777777" w:rsidR="00000000" w:rsidRDefault="00582324">
      <w:pPr>
        <w:pStyle w:val="a3"/>
        <w:spacing w:before="0" w:beforeAutospacing="0" w:after="0" w:afterAutospacing="0"/>
        <w:rPr>
          <w:sz w:val="20"/>
          <w:szCs w:val="20"/>
        </w:rPr>
      </w:pPr>
      <w:r>
        <w:rPr>
          <w:sz w:val="20"/>
          <w:szCs w:val="20"/>
        </w:rPr>
        <w:t> </w:t>
      </w:r>
    </w:p>
    <w:p w14:paraId="29793EEF" w14:textId="77777777" w:rsidR="00000000" w:rsidRDefault="00582324">
      <w:pPr>
        <w:pStyle w:val="a3"/>
        <w:spacing w:before="0" w:beforeAutospacing="0" w:after="0" w:afterAutospacing="0"/>
        <w:rPr>
          <w:sz w:val="20"/>
          <w:szCs w:val="20"/>
        </w:rPr>
      </w:pPr>
      <w:r>
        <w:rPr>
          <w:sz w:val="20"/>
          <w:szCs w:val="20"/>
        </w:rPr>
        <w:t> </w:t>
      </w:r>
    </w:p>
    <w:p w14:paraId="2B702DAB"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Revenues</w:t>
      </w:r>
    </w:p>
    <w:p w14:paraId="0994C09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Assessment, Permitting and Response segment revenues for the </w:t>
      </w:r>
      <w:r>
        <w:rPr>
          <w:color w:val="000000"/>
          <w:sz w:val="20"/>
          <w:szCs w:val="20"/>
        </w:rPr>
        <w:t>three months ended June 30, 2021 were $70.7 million, compared to $18.6 million for the three months ended June 30, 2020. The increase was driven by the performance of CTEH in the second quarter of 2020, which benefited from greater COVID-19 related respons</w:t>
      </w:r>
      <w:r>
        <w:rPr>
          <w:color w:val="000000"/>
          <w:sz w:val="20"/>
          <w:szCs w:val="20"/>
        </w:rPr>
        <w:t>e work, as well as organic growth in our environmental advisory services. CTEH revenues were $65.9 million in the three months ended June 30, 2021 compared to $14.6 million in the three months ended June 30, 2020.</w:t>
      </w:r>
    </w:p>
    <w:p w14:paraId="2AADB8BA"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Measurement and Analysis segment revenues </w:t>
      </w:r>
      <w:r>
        <w:rPr>
          <w:color w:val="000000"/>
          <w:sz w:val="20"/>
          <w:szCs w:val="20"/>
        </w:rPr>
        <w:t>for the three months ended June 30, 2021 were $39.1 million, an increase of $2.1 million or 5.7% compared to revenues for the three months ended June 30, 2020 of $37.0 million, driven primarily by organic growth in all of our environmental testing services</w:t>
      </w:r>
      <w:r>
        <w:rPr>
          <w:color w:val="000000"/>
          <w:sz w:val="20"/>
          <w:szCs w:val="20"/>
        </w:rPr>
        <w:t xml:space="preserve"> and revenues of $0.5 million from the acquisition of Vista in June 2021. The increase was partially offset by a decline in revenues from Discontinued Service Lines. Revenues from Discontinued Service Lines in the Measurement and Analysis segment were zero</w:t>
      </w:r>
      <w:r>
        <w:rPr>
          <w:color w:val="000000"/>
          <w:sz w:val="20"/>
          <w:szCs w:val="20"/>
        </w:rPr>
        <w:t xml:space="preserve"> and $0.9 million for the three months ended June 30, 2021 and June 30, 2020, respectively. Excluding revenues from Discontinued Service Lines, revenues increased $3.0 million or 8.3%. </w:t>
      </w:r>
    </w:p>
    <w:p w14:paraId="659476C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Remediation and Reuse segment revenues for the three months ended June 30, 2021 were $26.4 million, an increase of $8.3 million or 45.9% compared to revenues for the three months ended June 30, 2020 of $18.1 million</w:t>
      </w:r>
      <w:r>
        <w:rPr>
          <w:color w:val="000000"/>
          <w:sz w:val="20"/>
          <w:szCs w:val="20"/>
          <w:shd w:val="clear" w:color="auto" w:fill="FFFFFF"/>
        </w:rPr>
        <w:t xml:space="preserve">, primarily driven by growing demand for </w:t>
      </w:r>
      <w:r>
        <w:rPr>
          <w:color w:val="000000"/>
          <w:sz w:val="20"/>
          <w:szCs w:val="20"/>
          <w:shd w:val="clear" w:color="auto" w:fill="FFFFFF"/>
        </w:rPr>
        <w:t>PFAS, remediation and waste-to-energy services and includes $3.4 million from the acquisition of MSE, which closed on January 4, 2021.</w:t>
      </w:r>
      <w:r>
        <w:rPr>
          <w:color w:val="000000"/>
          <w:sz w:val="20"/>
          <w:szCs w:val="20"/>
        </w:rPr>
        <w:t xml:space="preserve"> </w:t>
      </w:r>
      <w:r>
        <w:rPr>
          <w:color w:val="000000"/>
          <w:sz w:val="20"/>
          <w:szCs w:val="20"/>
          <w:shd w:val="clear" w:color="auto" w:fill="FFFFFF"/>
        </w:rPr>
        <w:t>Revenues from Discontinued Service Lines were $</w:t>
      </w:r>
      <w:r>
        <w:rPr>
          <w:color w:val="000000"/>
          <w:sz w:val="20"/>
          <w:szCs w:val="20"/>
        </w:rPr>
        <w:t>0.4 million</w:t>
      </w:r>
      <w:r>
        <w:rPr>
          <w:color w:val="000000"/>
          <w:sz w:val="20"/>
          <w:szCs w:val="20"/>
          <w:shd w:val="clear" w:color="auto" w:fill="FFFFFF"/>
        </w:rPr>
        <w:t xml:space="preserve"> </w:t>
      </w:r>
      <w:r>
        <w:rPr>
          <w:color w:val="000000"/>
          <w:sz w:val="20"/>
          <w:szCs w:val="20"/>
          <w:shd w:val="clear" w:color="auto" w:fill="FFFFFF"/>
        </w:rPr>
        <w:t>for the three months ended June 30, 2020. </w:t>
      </w:r>
      <w:r>
        <w:rPr>
          <w:color w:val="000000"/>
          <w:sz w:val="20"/>
          <w:szCs w:val="20"/>
        </w:rPr>
        <w:t>Excluding revenues from Discontinued Service Lines, revenues increased $8.7 million or 49.2%. </w:t>
      </w:r>
    </w:p>
    <w:p w14:paraId="0B9EC8BB"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Segment Adjusted EBITDA</w:t>
      </w:r>
    </w:p>
    <w:p w14:paraId="6587662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Assessment, Permitting and Response Segment Adjusted EBITDA was $14.9 million for the three mon</w:t>
      </w:r>
      <w:r>
        <w:rPr>
          <w:color w:val="000000"/>
          <w:sz w:val="20"/>
          <w:szCs w:val="20"/>
        </w:rPr>
        <w:t>ths ended June 30, 2021, compared to $5.0 million for the three months ended June 30, 2020. For the three months ended June 30, 2021 and June 30, 2020, Segment Adjusted EBITDA margin was 21.0% and 26.8%, respectively. The increase in Segment Adjusted EBITD</w:t>
      </w:r>
      <w:r>
        <w:rPr>
          <w:color w:val="000000"/>
          <w:sz w:val="20"/>
          <w:szCs w:val="20"/>
        </w:rPr>
        <w:t>A was a result of increased revenues. The decline in Segment Adjusted EBITDA margin is as a result of lower margin COVID response work performed by CTEH in the current year.</w:t>
      </w:r>
    </w:p>
    <w:p w14:paraId="1665E2A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Measurement and Analysis Segment Adjusted EBITDA for the three months ended June 3</w:t>
      </w:r>
      <w:r>
        <w:rPr>
          <w:color w:val="000000"/>
          <w:sz w:val="20"/>
          <w:szCs w:val="20"/>
        </w:rPr>
        <w:t xml:space="preserve">0, 2021 was $9.5 million, a decrease of $2.1 million compared to Segment Adjusted EBITDA for the three months ended June 30, 2020 of $11.6 million. For the three months ended June 30, 2021 Segment Adjusted EBITDA margin was 24.3% compared to 31.4% for the </w:t>
      </w:r>
      <w:r>
        <w:rPr>
          <w:color w:val="000000"/>
          <w:sz w:val="20"/>
          <w:szCs w:val="20"/>
        </w:rPr>
        <w:t>three months ended June 30, 2020. The decline in Segment Adjusted EBITDA and Segment Adjusted EBITDA margin was primarily a result of business mix and the reversal of cost mitigation measures taken into the prior year in response to COVID-19.</w:t>
      </w:r>
    </w:p>
    <w:p w14:paraId="5DB59C6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Remediation a</w:t>
      </w:r>
      <w:r>
        <w:rPr>
          <w:color w:val="000000"/>
          <w:sz w:val="20"/>
          <w:szCs w:val="20"/>
        </w:rPr>
        <w:t>nd Reuse Segment Adjusted EBITDA for the three months ended June 30, 2021 was $4.3 million, an increase of $1.9 million compared to Segment Adjusted EBITDA for the three months ended June 30, 2020 of $2.4 million. For the three months ended June 30, 2021 S</w:t>
      </w:r>
      <w:r>
        <w:rPr>
          <w:color w:val="000000"/>
          <w:sz w:val="20"/>
          <w:szCs w:val="20"/>
        </w:rPr>
        <w:t xml:space="preserve">egment Adjusted EBITDA margin was 16.3% compared to 13.1% in the three months ended June 30, 2020. The increase in both Segment Adjusted EBITDA and Segment Adjusted EBITDA margin was a result of higher revenues. </w:t>
      </w:r>
    </w:p>
    <w:p w14:paraId="1B3EE76E"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Corporate and other costs were $7.7 million</w:t>
      </w:r>
      <w:r>
        <w:rPr>
          <w:color w:val="000000"/>
          <w:sz w:val="20"/>
          <w:szCs w:val="20"/>
        </w:rPr>
        <w:t xml:space="preserve"> for the three months ended June 30, 2021 compared to $5.1 million for the three months ended June 30, 2020. </w:t>
      </w:r>
      <w:r>
        <w:rPr>
          <w:color w:val="000000"/>
          <w:sz w:val="20"/>
          <w:szCs w:val="20"/>
          <w:shd w:val="clear" w:color="auto" w:fill="FFFFFF"/>
        </w:rPr>
        <w:t>The cost increase was primarily driven by public company related costs, higher software costs and higher sales and marketing costs.</w:t>
      </w:r>
    </w:p>
    <w:p w14:paraId="574114AB" w14:textId="77777777" w:rsidR="00000000" w:rsidRDefault="00582324">
      <w:pPr>
        <w:pStyle w:val="a3"/>
        <w:shd w:val="clear" w:color="auto" w:fill="FFFFFF"/>
        <w:spacing w:before="120" w:beforeAutospacing="0" w:after="0" w:afterAutospacing="0"/>
        <w:rPr>
          <w:b/>
          <w:bCs/>
          <w:sz w:val="20"/>
          <w:szCs w:val="20"/>
        </w:rPr>
      </w:pPr>
      <w:r>
        <w:rPr>
          <w:b/>
          <w:bCs/>
          <w:sz w:val="20"/>
          <w:szCs w:val="20"/>
        </w:rPr>
        <w:t> </w:t>
      </w:r>
    </w:p>
    <w:p w14:paraId="76C2B650" w14:textId="77777777" w:rsidR="00000000" w:rsidRDefault="00582324">
      <w:pPr>
        <w:pStyle w:val="a3"/>
        <w:shd w:val="clear" w:color="auto" w:fill="FFFFFF"/>
        <w:spacing w:before="120" w:beforeAutospacing="0" w:after="0" w:afterAutospacing="0"/>
        <w:rPr>
          <w:b/>
          <w:bCs/>
          <w:i/>
          <w:iCs/>
          <w:color w:val="000000"/>
          <w:sz w:val="20"/>
          <w:szCs w:val="20"/>
        </w:rPr>
      </w:pPr>
      <w:r>
        <w:rPr>
          <w:b/>
          <w:bCs/>
          <w:i/>
          <w:iCs/>
          <w:color w:val="000000"/>
          <w:sz w:val="20"/>
          <w:szCs w:val="20"/>
        </w:rPr>
        <w:t>Six Months En</w:t>
      </w:r>
      <w:r>
        <w:rPr>
          <w:b/>
          <w:bCs/>
          <w:i/>
          <w:iCs/>
          <w:color w:val="000000"/>
          <w:sz w:val="20"/>
          <w:szCs w:val="20"/>
        </w:rPr>
        <w:t>ded June 30, 2021 Compared to the Six Months Ended June 30, 2020</w:t>
      </w:r>
    </w:p>
    <w:p w14:paraId="26D9253B"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70"/>
        <w:gridCol w:w="60"/>
        <w:gridCol w:w="106"/>
        <w:gridCol w:w="649"/>
        <w:gridCol w:w="60"/>
        <w:gridCol w:w="60"/>
        <w:gridCol w:w="106"/>
        <w:gridCol w:w="716"/>
        <w:gridCol w:w="75"/>
        <w:gridCol w:w="60"/>
        <w:gridCol w:w="92"/>
        <w:gridCol w:w="624"/>
        <w:gridCol w:w="65"/>
        <w:gridCol w:w="195"/>
        <w:gridCol w:w="60"/>
        <w:gridCol w:w="106"/>
        <w:gridCol w:w="649"/>
        <w:gridCol w:w="60"/>
        <w:gridCol w:w="60"/>
        <w:gridCol w:w="106"/>
        <w:gridCol w:w="716"/>
        <w:gridCol w:w="75"/>
        <w:gridCol w:w="60"/>
        <w:gridCol w:w="91"/>
        <w:gridCol w:w="625"/>
        <w:gridCol w:w="65"/>
        <w:gridCol w:w="195"/>
      </w:tblGrid>
      <w:tr w:rsidR="00000000" w14:paraId="2FE266D6" w14:textId="77777777">
        <w:trPr>
          <w:divId w:val="1612668522"/>
        </w:trPr>
        <w:tc>
          <w:tcPr>
            <w:tcW w:w="1985" w:type="pct"/>
            <w:shd w:val="clear" w:color="auto" w:fill="FFFFFF"/>
            <w:tcMar>
              <w:top w:w="15" w:type="dxa"/>
              <w:left w:w="0" w:type="dxa"/>
              <w:bottom w:w="0" w:type="dxa"/>
              <w:right w:w="15" w:type="dxa"/>
            </w:tcMar>
            <w:vAlign w:val="bottom"/>
            <w:hideMark/>
          </w:tcPr>
          <w:p w14:paraId="7376202C" w14:textId="77777777" w:rsidR="00000000" w:rsidRDefault="00582324">
            <w:pPr>
              <w:pStyle w:val="a3"/>
              <w:spacing w:before="0" w:beforeAutospacing="0" w:after="0" w:afterAutospacing="0"/>
              <w:jc w:val="center"/>
              <w:rPr>
                <w:sz w:val="20"/>
                <w:szCs w:val="20"/>
              </w:rPr>
            </w:pPr>
            <w:r>
              <w:rPr>
                <w:sz w:val="20"/>
                <w:szCs w:val="20"/>
              </w:rPr>
              <w:t> </w:t>
            </w:r>
          </w:p>
        </w:tc>
        <w:tc>
          <w:tcPr>
            <w:tcW w:w="46" w:type="pct"/>
            <w:shd w:val="clear" w:color="auto" w:fill="FFFFFF"/>
            <w:tcMar>
              <w:top w:w="15" w:type="dxa"/>
              <w:left w:w="0" w:type="dxa"/>
              <w:bottom w:w="0" w:type="dxa"/>
              <w:right w:w="15" w:type="dxa"/>
            </w:tcMar>
            <w:vAlign w:val="bottom"/>
            <w:hideMark/>
          </w:tcPr>
          <w:p w14:paraId="15BD2CB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2871" w:type="pct"/>
            <w:gridSpan w:val="23"/>
            <w:tcBorders>
              <w:bottom w:val="single" w:sz="6" w:space="0" w:color="000000"/>
            </w:tcBorders>
            <w:shd w:val="clear" w:color="auto" w:fill="FFFFFF"/>
            <w:tcMar>
              <w:top w:w="15" w:type="dxa"/>
              <w:left w:w="0" w:type="dxa"/>
              <w:bottom w:w="0" w:type="dxa"/>
              <w:right w:w="15" w:type="dxa"/>
            </w:tcMar>
            <w:vAlign w:val="bottom"/>
            <w:hideMark/>
          </w:tcPr>
          <w:p w14:paraId="15698F0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0DA1910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0A45B94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5B6D4135" w14:textId="77777777">
        <w:trPr>
          <w:divId w:val="1612668522"/>
        </w:trPr>
        <w:tc>
          <w:tcPr>
            <w:tcW w:w="1985" w:type="pct"/>
            <w:shd w:val="clear" w:color="auto" w:fill="FFFFFF"/>
            <w:tcMar>
              <w:top w:w="15" w:type="dxa"/>
              <w:left w:w="0" w:type="dxa"/>
              <w:bottom w:w="0" w:type="dxa"/>
              <w:right w:w="15" w:type="dxa"/>
            </w:tcMar>
            <w:vAlign w:val="bottom"/>
            <w:hideMark/>
          </w:tcPr>
          <w:p w14:paraId="1B8FEB7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7B4A331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6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97C06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20BD9D7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254EBAD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5862B76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363"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23AAF6"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19627B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7226F40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ECCAE2C" w14:textId="77777777">
        <w:trPr>
          <w:divId w:val="1612668522"/>
        </w:trPr>
        <w:tc>
          <w:tcPr>
            <w:tcW w:w="1985" w:type="pct"/>
            <w:tcBorders>
              <w:bottom w:val="single" w:sz="6" w:space="0" w:color="000000"/>
            </w:tcBorders>
            <w:shd w:val="clear" w:color="auto" w:fill="FFFFFF"/>
            <w:tcMar>
              <w:top w:w="15" w:type="dxa"/>
              <w:left w:w="0" w:type="dxa"/>
              <w:bottom w:w="0" w:type="dxa"/>
              <w:right w:w="15" w:type="dxa"/>
            </w:tcMar>
            <w:vAlign w:val="bottom"/>
            <w:hideMark/>
          </w:tcPr>
          <w:p w14:paraId="096B67CC"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w:t>
            </w:r>
          </w:p>
        </w:tc>
        <w:tc>
          <w:tcPr>
            <w:tcW w:w="46" w:type="pct"/>
            <w:shd w:val="clear" w:color="auto" w:fill="FFFFFF"/>
            <w:tcMar>
              <w:top w:w="15" w:type="dxa"/>
              <w:left w:w="0" w:type="dxa"/>
              <w:bottom w:w="0" w:type="dxa"/>
              <w:right w:w="15" w:type="dxa"/>
            </w:tcMar>
            <w:vAlign w:val="bottom"/>
            <w:hideMark/>
          </w:tcPr>
          <w:p w14:paraId="7879B2E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D1582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 Revenues</w:t>
            </w:r>
          </w:p>
        </w:tc>
        <w:tc>
          <w:tcPr>
            <w:tcW w:w="50" w:type="pct"/>
            <w:shd w:val="clear" w:color="auto" w:fill="FFFFFF"/>
            <w:noWrap/>
            <w:tcMar>
              <w:top w:w="15" w:type="dxa"/>
              <w:left w:w="0" w:type="dxa"/>
              <w:bottom w:w="0" w:type="dxa"/>
              <w:right w:w="15" w:type="dxa"/>
            </w:tcMar>
            <w:vAlign w:val="bottom"/>
            <w:hideMark/>
          </w:tcPr>
          <w:p w14:paraId="4D2FC35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3C6574C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3D315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159B6C1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068D934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r>
              <w:rPr>
                <w:b/>
                <w:bCs/>
                <w:color w:val="000000"/>
                <w:sz w:val="15"/>
                <w:szCs w:val="15"/>
                <w:vertAlign w:val="superscript"/>
              </w:rPr>
              <w:t>(1)</w:t>
            </w:r>
          </w:p>
        </w:tc>
        <w:tc>
          <w:tcPr>
            <w:tcW w:w="50" w:type="pct"/>
            <w:shd w:val="clear" w:color="auto" w:fill="FFFFFF"/>
            <w:noWrap/>
            <w:tcMar>
              <w:top w:w="15" w:type="dxa"/>
              <w:left w:w="0" w:type="dxa"/>
              <w:bottom w:w="0" w:type="dxa"/>
              <w:right w:w="15" w:type="dxa"/>
            </w:tcMar>
            <w:vAlign w:val="bottom"/>
            <w:hideMark/>
          </w:tcPr>
          <w:p w14:paraId="0056FE9B"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2472398E"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16CDB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7EDF82A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5FA44D4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p w14:paraId="3D36A74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Margin</w:t>
            </w:r>
            <w:r>
              <w:rPr>
                <w:b/>
                <w:bCs/>
                <w:color w:val="000000"/>
                <w:sz w:val="15"/>
                <w:szCs w:val="15"/>
                <w:vertAlign w:val="superscript"/>
              </w:rPr>
              <w:t>(2)</w:t>
            </w:r>
          </w:p>
        </w:tc>
        <w:tc>
          <w:tcPr>
            <w:tcW w:w="50" w:type="pct"/>
            <w:shd w:val="clear" w:color="auto" w:fill="FFFFFF"/>
            <w:noWrap/>
            <w:tcMar>
              <w:top w:w="15" w:type="dxa"/>
              <w:left w:w="0" w:type="dxa"/>
              <w:bottom w:w="0" w:type="dxa"/>
              <w:right w:w="15" w:type="dxa"/>
            </w:tcMar>
            <w:vAlign w:val="bottom"/>
            <w:hideMark/>
          </w:tcPr>
          <w:p w14:paraId="74BCA8AE"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6" w:type="pct"/>
            <w:shd w:val="clear" w:color="auto" w:fill="FFFFFF"/>
            <w:tcMar>
              <w:top w:w="15" w:type="dxa"/>
              <w:left w:w="0" w:type="dxa"/>
              <w:bottom w:w="0" w:type="dxa"/>
              <w:right w:w="15" w:type="dxa"/>
            </w:tcMar>
            <w:vAlign w:val="bottom"/>
            <w:hideMark/>
          </w:tcPr>
          <w:p w14:paraId="04A0238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0E7EF54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94E12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 Revenues</w:t>
            </w:r>
          </w:p>
        </w:tc>
        <w:tc>
          <w:tcPr>
            <w:tcW w:w="50" w:type="pct"/>
            <w:shd w:val="clear" w:color="auto" w:fill="FFFFFF"/>
            <w:noWrap/>
            <w:tcMar>
              <w:top w:w="15" w:type="dxa"/>
              <w:left w:w="0" w:type="dxa"/>
              <w:bottom w:w="0" w:type="dxa"/>
              <w:right w:w="15" w:type="dxa"/>
            </w:tcMar>
            <w:vAlign w:val="bottom"/>
            <w:hideMark/>
          </w:tcPr>
          <w:p w14:paraId="658ED47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3379824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883F6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20F5293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7839D6F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r>
              <w:rPr>
                <w:b/>
                <w:bCs/>
                <w:color w:val="000000"/>
                <w:sz w:val="15"/>
                <w:szCs w:val="15"/>
                <w:vertAlign w:val="superscript"/>
              </w:rPr>
              <w:t>(1)</w:t>
            </w:r>
          </w:p>
        </w:tc>
        <w:tc>
          <w:tcPr>
            <w:tcW w:w="50" w:type="pct"/>
            <w:shd w:val="clear" w:color="auto" w:fill="FFFFFF"/>
            <w:noWrap/>
            <w:tcMar>
              <w:top w:w="15" w:type="dxa"/>
              <w:left w:w="0" w:type="dxa"/>
              <w:bottom w:w="0" w:type="dxa"/>
              <w:right w:w="15" w:type="dxa"/>
            </w:tcMar>
            <w:vAlign w:val="bottom"/>
            <w:hideMark/>
          </w:tcPr>
          <w:p w14:paraId="5DF8112D"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6" w:type="pct"/>
            <w:tcBorders>
              <w:top w:val="single" w:sz="6" w:space="0" w:color="000000"/>
            </w:tcBorders>
            <w:shd w:val="clear" w:color="auto" w:fill="FFFFFF"/>
            <w:tcMar>
              <w:top w:w="15" w:type="dxa"/>
              <w:left w:w="0" w:type="dxa"/>
              <w:bottom w:w="0" w:type="dxa"/>
              <w:right w:w="15" w:type="dxa"/>
            </w:tcMar>
            <w:vAlign w:val="bottom"/>
            <w:hideMark/>
          </w:tcPr>
          <w:p w14:paraId="10B7D09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C9807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Segment</w:t>
            </w:r>
          </w:p>
          <w:p w14:paraId="2B51AEF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Adjusted</w:t>
            </w:r>
          </w:p>
          <w:p w14:paraId="77B1346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EBITDA</w:t>
            </w:r>
          </w:p>
          <w:p w14:paraId="64355AD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Margin</w:t>
            </w:r>
            <w:r>
              <w:rPr>
                <w:b/>
                <w:bCs/>
                <w:color w:val="000000"/>
                <w:sz w:val="15"/>
                <w:szCs w:val="15"/>
                <w:vertAlign w:val="superscript"/>
              </w:rPr>
              <w:t>(2)</w:t>
            </w:r>
          </w:p>
        </w:tc>
        <w:tc>
          <w:tcPr>
            <w:tcW w:w="50" w:type="pct"/>
            <w:shd w:val="clear" w:color="auto" w:fill="FFFFFF"/>
            <w:noWrap/>
            <w:tcMar>
              <w:top w:w="15" w:type="dxa"/>
              <w:left w:w="0" w:type="dxa"/>
              <w:bottom w:w="0" w:type="dxa"/>
              <w:right w:w="15" w:type="dxa"/>
            </w:tcMar>
            <w:vAlign w:val="bottom"/>
            <w:hideMark/>
          </w:tcPr>
          <w:p w14:paraId="6DEAE61C" w14:textId="77777777" w:rsidR="00000000" w:rsidRDefault="0058232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46" w:type="pct"/>
            <w:shd w:val="clear" w:color="auto" w:fill="FFFFFF"/>
            <w:tcMar>
              <w:top w:w="15" w:type="dxa"/>
              <w:left w:w="0" w:type="dxa"/>
              <w:bottom w:w="0" w:type="dxa"/>
              <w:right w:w="15" w:type="dxa"/>
            </w:tcMar>
            <w:vAlign w:val="bottom"/>
            <w:hideMark/>
          </w:tcPr>
          <w:p w14:paraId="678AB19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582324" w14:paraId="5D1E68BE" w14:textId="77777777">
        <w:trPr>
          <w:divId w:val="1612668522"/>
        </w:trPr>
        <w:tc>
          <w:tcPr>
            <w:tcW w:w="1985" w:type="pct"/>
            <w:tcBorders>
              <w:top w:val="single" w:sz="6" w:space="0" w:color="000000"/>
            </w:tcBorders>
            <w:shd w:val="clear" w:color="auto" w:fill="CFF0FC"/>
            <w:tcMar>
              <w:top w:w="15" w:type="dxa"/>
              <w:left w:w="0" w:type="dxa"/>
              <w:bottom w:w="0" w:type="dxa"/>
              <w:right w:w="15" w:type="dxa"/>
            </w:tcMar>
            <w:hideMark/>
          </w:tcPr>
          <w:p w14:paraId="1D42BB88" w14:textId="77777777" w:rsidR="00000000" w:rsidRDefault="00582324">
            <w:pPr>
              <w:pStyle w:val="a3"/>
              <w:spacing w:before="0" w:beforeAutospacing="0" w:after="0" w:afterAutospacing="0"/>
              <w:rPr>
                <w:color w:val="000000"/>
                <w:sz w:val="18"/>
                <w:szCs w:val="18"/>
              </w:rPr>
            </w:pPr>
            <w:r>
              <w:rPr>
                <w:color w:val="000000"/>
                <w:sz w:val="18"/>
                <w:szCs w:val="18"/>
              </w:rPr>
              <w:t>Assessment, Permitting and Response</w:t>
            </w:r>
          </w:p>
        </w:tc>
        <w:tc>
          <w:tcPr>
            <w:tcW w:w="46" w:type="pct"/>
            <w:shd w:val="clear" w:color="auto" w:fill="CFF0FC"/>
            <w:tcMar>
              <w:top w:w="15" w:type="dxa"/>
              <w:left w:w="0" w:type="dxa"/>
              <w:bottom w:w="0" w:type="dxa"/>
              <w:right w:w="15" w:type="dxa"/>
            </w:tcMar>
            <w:vAlign w:val="bottom"/>
            <w:hideMark/>
          </w:tcPr>
          <w:p w14:paraId="242119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D4E1C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15E6C00D" w14:textId="77777777" w:rsidR="00000000" w:rsidRDefault="00582324">
            <w:pPr>
              <w:pStyle w:val="a3"/>
              <w:spacing w:before="0" w:beforeAutospacing="0" w:after="0" w:afterAutospacing="0"/>
              <w:jc w:val="right"/>
              <w:rPr>
                <w:color w:val="000000"/>
                <w:sz w:val="18"/>
                <w:szCs w:val="18"/>
              </w:rPr>
            </w:pPr>
            <w:r>
              <w:rPr>
                <w:color w:val="000000"/>
                <w:sz w:val="18"/>
                <w:szCs w:val="18"/>
              </w:rPr>
              <w:t>145,967</w:t>
            </w:r>
          </w:p>
        </w:tc>
        <w:tc>
          <w:tcPr>
            <w:tcW w:w="50" w:type="pct"/>
            <w:shd w:val="clear" w:color="auto" w:fill="CFF0FC"/>
            <w:noWrap/>
            <w:tcMar>
              <w:top w:w="15" w:type="dxa"/>
              <w:left w:w="0" w:type="dxa"/>
              <w:bottom w:w="0" w:type="dxa"/>
              <w:right w:w="15" w:type="dxa"/>
            </w:tcMar>
            <w:vAlign w:val="bottom"/>
            <w:hideMark/>
          </w:tcPr>
          <w:p w14:paraId="506279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6CC903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A14478"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23CCB57E" w14:textId="77777777" w:rsidR="00000000" w:rsidRDefault="00582324">
            <w:pPr>
              <w:pStyle w:val="a3"/>
              <w:spacing w:before="0" w:beforeAutospacing="0" w:after="0" w:afterAutospacing="0"/>
              <w:jc w:val="right"/>
              <w:rPr>
                <w:color w:val="000000"/>
                <w:sz w:val="18"/>
                <w:szCs w:val="18"/>
              </w:rPr>
            </w:pPr>
            <w:r>
              <w:rPr>
                <w:color w:val="000000"/>
                <w:sz w:val="18"/>
                <w:szCs w:val="18"/>
              </w:rPr>
              <w:t>30,660</w:t>
            </w:r>
          </w:p>
        </w:tc>
        <w:tc>
          <w:tcPr>
            <w:tcW w:w="50" w:type="pct"/>
            <w:shd w:val="clear" w:color="auto" w:fill="CFF0FC"/>
            <w:noWrap/>
            <w:tcMar>
              <w:top w:w="15" w:type="dxa"/>
              <w:left w:w="0" w:type="dxa"/>
              <w:bottom w:w="0" w:type="dxa"/>
              <w:right w:w="15" w:type="dxa"/>
            </w:tcMar>
            <w:vAlign w:val="bottom"/>
            <w:hideMark/>
          </w:tcPr>
          <w:p w14:paraId="7F5B6D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71727F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9644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2FBCE84F" w14:textId="77777777" w:rsidR="00000000" w:rsidRDefault="00582324">
            <w:pPr>
              <w:pStyle w:val="a3"/>
              <w:spacing w:before="0" w:beforeAutospacing="0" w:after="0" w:afterAutospacing="0"/>
              <w:jc w:val="right"/>
              <w:rPr>
                <w:color w:val="000000"/>
                <w:sz w:val="18"/>
                <w:szCs w:val="18"/>
              </w:rPr>
            </w:pPr>
            <w:r>
              <w:rPr>
                <w:color w:val="000000"/>
                <w:sz w:val="18"/>
                <w:szCs w:val="18"/>
              </w:rPr>
              <w:t>21.0</w:t>
            </w:r>
          </w:p>
        </w:tc>
        <w:tc>
          <w:tcPr>
            <w:tcW w:w="50" w:type="pct"/>
            <w:shd w:val="clear" w:color="auto" w:fill="CFF0FC"/>
            <w:noWrap/>
            <w:tcMar>
              <w:top w:w="15" w:type="dxa"/>
              <w:left w:w="0" w:type="dxa"/>
              <w:bottom w:w="0" w:type="dxa"/>
              <w:right w:w="15" w:type="dxa"/>
            </w:tcMar>
            <w:vAlign w:val="bottom"/>
            <w:hideMark/>
          </w:tcPr>
          <w:p w14:paraId="7D28ECC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26104C1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 w:type="pct"/>
            <w:shd w:val="clear" w:color="auto" w:fill="CFF0FC"/>
            <w:tcMar>
              <w:top w:w="15" w:type="dxa"/>
              <w:left w:w="0" w:type="dxa"/>
              <w:bottom w:w="0" w:type="dxa"/>
              <w:right w:w="15" w:type="dxa"/>
            </w:tcMar>
            <w:vAlign w:val="bottom"/>
            <w:hideMark/>
          </w:tcPr>
          <w:p w14:paraId="5A44A2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19965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6EA91251" w14:textId="77777777" w:rsidR="00000000" w:rsidRDefault="00582324">
            <w:pPr>
              <w:pStyle w:val="a3"/>
              <w:spacing w:before="0" w:beforeAutospacing="0" w:after="0" w:afterAutospacing="0"/>
              <w:jc w:val="right"/>
              <w:rPr>
                <w:color w:val="000000"/>
                <w:sz w:val="18"/>
                <w:szCs w:val="18"/>
              </w:rPr>
            </w:pPr>
            <w:r>
              <w:rPr>
                <w:color w:val="000000"/>
                <w:sz w:val="18"/>
                <w:szCs w:val="18"/>
              </w:rPr>
              <w:t>23,161</w:t>
            </w:r>
          </w:p>
        </w:tc>
        <w:tc>
          <w:tcPr>
            <w:tcW w:w="50" w:type="pct"/>
            <w:shd w:val="clear" w:color="auto" w:fill="CFF0FC"/>
            <w:noWrap/>
            <w:tcMar>
              <w:top w:w="15" w:type="dxa"/>
              <w:left w:w="0" w:type="dxa"/>
              <w:bottom w:w="0" w:type="dxa"/>
              <w:right w:w="15" w:type="dxa"/>
            </w:tcMar>
            <w:vAlign w:val="bottom"/>
            <w:hideMark/>
          </w:tcPr>
          <w:p w14:paraId="6730AC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515C6C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CE1C72"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3B2628E4" w14:textId="77777777" w:rsidR="00000000" w:rsidRDefault="00582324">
            <w:pPr>
              <w:pStyle w:val="a3"/>
              <w:spacing w:before="0" w:beforeAutospacing="0" w:after="0" w:afterAutospacing="0"/>
              <w:jc w:val="right"/>
              <w:rPr>
                <w:color w:val="000000"/>
                <w:sz w:val="18"/>
                <w:szCs w:val="18"/>
              </w:rPr>
            </w:pPr>
            <w:r>
              <w:rPr>
                <w:color w:val="000000"/>
                <w:sz w:val="18"/>
                <w:szCs w:val="18"/>
              </w:rPr>
              <w:t>6,431</w:t>
            </w:r>
          </w:p>
        </w:tc>
        <w:tc>
          <w:tcPr>
            <w:tcW w:w="50" w:type="pct"/>
            <w:shd w:val="clear" w:color="auto" w:fill="CFF0FC"/>
            <w:noWrap/>
            <w:tcMar>
              <w:top w:w="15" w:type="dxa"/>
              <w:left w:w="0" w:type="dxa"/>
              <w:bottom w:w="0" w:type="dxa"/>
              <w:right w:w="15" w:type="dxa"/>
            </w:tcMar>
            <w:vAlign w:val="bottom"/>
            <w:hideMark/>
          </w:tcPr>
          <w:p w14:paraId="41FB86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696D38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0A90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single" w:sz="6" w:space="0" w:color="000000"/>
            </w:tcBorders>
            <w:shd w:val="clear" w:color="auto" w:fill="CFF0FC"/>
            <w:noWrap/>
            <w:tcMar>
              <w:top w:w="15" w:type="dxa"/>
              <w:left w:w="0" w:type="dxa"/>
              <w:bottom w:w="0" w:type="dxa"/>
              <w:right w:w="15" w:type="dxa"/>
            </w:tcMar>
            <w:vAlign w:val="bottom"/>
            <w:hideMark/>
          </w:tcPr>
          <w:p w14:paraId="1660D2ED" w14:textId="77777777" w:rsidR="00000000" w:rsidRDefault="00582324">
            <w:pPr>
              <w:pStyle w:val="a3"/>
              <w:spacing w:before="0" w:beforeAutospacing="0" w:after="0" w:afterAutospacing="0"/>
              <w:jc w:val="right"/>
              <w:rPr>
                <w:color w:val="000000"/>
                <w:sz w:val="18"/>
                <w:szCs w:val="18"/>
              </w:rPr>
            </w:pPr>
            <w:r>
              <w:rPr>
                <w:color w:val="000000"/>
                <w:sz w:val="18"/>
                <w:szCs w:val="18"/>
              </w:rPr>
              <w:t>27.8</w:t>
            </w:r>
          </w:p>
        </w:tc>
        <w:tc>
          <w:tcPr>
            <w:tcW w:w="50" w:type="pct"/>
            <w:shd w:val="clear" w:color="auto" w:fill="CFF0FC"/>
            <w:noWrap/>
            <w:tcMar>
              <w:top w:w="15" w:type="dxa"/>
              <w:left w:w="0" w:type="dxa"/>
              <w:bottom w:w="0" w:type="dxa"/>
              <w:right w:w="15" w:type="dxa"/>
            </w:tcMar>
            <w:vAlign w:val="bottom"/>
            <w:hideMark/>
          </w:tcPr>
          <w:p w14:paraId="1B887D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5E361DB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582324" w14:paraId="5349C7AE" w14:textId="77777777">
        <w:trPr>
          <w:divId w:val="1612668522"/>
        </w:trPr>
        <w:tc>
          <w:tcPr>
            <w:tcW w:w="1985" w:type="pct"/>
            <w:shd w:val="clear" w:color="auto" w:fill="FFFFFF"/>
            <w:tcMar>
              <w:top w:w="15" w:type="dxa"/>
              <w:left w:w="0" w:type="dxa"/>
              <w:bottom w:w="0" w:type="dxa"/>
              <w:right w:w="15" w:type="dxa"/>
            </w:tcMar>
            <w:hideMark/>
          </w:tcPr>
          <w:p w14:paraId="72A51F81" w14:textId="77777777" w:rsidR="00000000" w:rsidRDefault="00582324">
            <w:pPr>
              <w:pStyle w:val="a3"/>
              <w:spacing w:before="0" w:beforeAutospacing="0" w:after="0" w:afterAutospacing="0"/>
              <w:rPr>
                <w:color w:val="000000"/>
                <w:sz w:val="18"/>
                <w:szCs w:val="18"/>
              </w:rPr>
            </w:pPr>
            <w:r>
              <w:rPr>
                <w:color w:val="000000"/>
                <w:sz w:val="18"/>
                <w:szCs w:val="18"/>
              </w:rPr>
              <w:t>Measurement and Analysis</w:t>
            </w:r>
          </w:p>
        </w:tc>
        <w:tc>
          <w:tcPr>
            <w:tcW w:w="46" w:type="pct"/>
            <w:shd w:val="clear" w:color="auto" w:fill="FFFFFF"/>
            <w:tcMar>
              <w:top w:w="15" w:type="dxa"/>
              <w:left w:w="0" w:type="dxa"/>
              <w:bottom w:w="0" w:type="dxa"/>
              <w:right w:w="15" w:type="dxa"/>
            </w:tcMar>
            <w:vAlign w:val="bottom"/>
            <w:hideMark/>
          </w:tcPr>
          <w:p w14:paraId="43B699F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3C729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5D05D67D" w14:textId="77777777" w:rsidR="00000000" w:rsidRDefault="00582324">
            <w:pPr>
              <w:pStyle w:val="a3"/>
              <w:spacing w:before="0" w:beforeAutospacing="0" w:after="0" w:afterAutospacing="0"/>
              <w:jc w:val="right"/>
              <w:rPr>
                <w:color w:val="000000"/>
                <w:sz w:val="18"/>
                <w:szCs w:val="18"/>
              </w:rPr>
            </w:pPr>
            <w:r>
              <w:rPr>
                <w:color w:val="000000"/>
                <w:sz w:val="18"/>
                <w:szCs w:val="18"/>
              </w:rPr>
              <w:t>72,557</w:t>
            </w:r>
          </w:p>
        </w:tc>
        <w:tc>
          <w:tcPr>
            <w:tcW w:w="50" w:type="pct"/>
            <w:shd w:val="clear" w:color="auto" w:fill="FFFFFF"/>
            <w:noWrap/>
            <w:tcMar>
              <w:top w:w="15" w:type="dxa"/>
              <w:left w:w="0" w:type="dxa"/>
              <w:bottom w:w="0" w:type="dxa"/>
              <w:right w:w="15" w:type="dxa"/>
            </w:tcMar>
            <w:vAlign w:val="bottom"/>
            <w:hideMark/>
          </w:tcPr>
          <w:p w14:paraId="440251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27EA53C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9DC1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361175C5" w14:textId="77777777" w:rsidR="00000000" w:rsidRDefault="00582324">
            <w:pPr>
              <w:pStyle w:val="a3"/>
              <w:spacing w:before="0" w:beforeAutospacing="0" w:after="0" w:afterAutospacing="0"/>
              <w:jc w:val="right"/>
              <w:rPr>
                <w:color w:val="000000"/>
                <w:sz w:val="18"/>
                <w:szCs w:val="18"/>
              </w:rPr>
            </w:pPr>
            <w:r>
              <w:rPr>
                <w:color w:val="000000"/>
                <w:sz w:val="18"/>
                <w:szCs w:val="18"/>
              </w:rPr>
              <w:t>14,351</w:t>
            </w:r>
          </w:p>
        </w:tc>
        <w:tc>
          <w:tcPr>
            <w:tcW w:w="50" w:type="pct"/>
            <w:shd w:val="clear" w:color="auto" w:fill="FFFFFF"/>
            <w:noWrap/>
            <w:tcMar>
              <w:top w:w="15" w:type="dxa"/>
              <w:left w:w="0" w:type="dxa"/>
              <w:bottom w:w="0" w:type="dxa"/>
              <w:right w:w="15" w:type="dxa"/>
            </w:tcMar>
            <w:vAlign w:val="bottom"/>
            <w:hideMark/>
          </w:tcPr>
          <w:p w14:paraId="56DFC8E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622A300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782A4D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39FB7DF7" w14:textId="77777777" w:rsidR="00000000" w:rsidRDefault="00582324">
            <w:pPr>
              <w:pStyle w:val="a3"/>
              <w:spacing w:before="0" w:beforeAutospacing="0" w:after="0" w:afterAutospacing="0"/>
              <w:jc w:val="right"/>
              <w:rPr>
                <w:color w:val="000000"/>
                <w:sz w:val="18"/>
                <w:szCs w:val="18"/>
              </w:rPr>
            </w:pPr>
            <w:r>
              <w:rPr>
                <w:color w:val="000000"/>
                <w:sz w:val="18"/>
                <w:szCs w:val="18"/>
              </w:rPr>
              <w:t>19.8</w:t>
            </w:r>
          </w:p>
        </w:tc>
        <w:tc>
          <w:tcPr>
            <w:tcW w:w="50" w:type="pct"/>
            <w:shd w:val="clear" w:color="auto" w:fill="FFFFFF"/>
            <w:noWrap/>
            <w:tcMar>
              <w:top w:w="15" w:type="dxa"/>
              <w:left w:w="0" w:type="dxa"/>
              <w:bottom w:w="0" w:type="dxa"/>
              <w:right w:w="15" w:type="dxa"/>
            </w:tcMar>
            <w:vAlign w:val="bottom"/>
            <w:hideMark/>
          </w:tcPr>
          <w:p w14:paraId="001C31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54AD04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0C98C1E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53A2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328CB07C" w14:textId="77777777" w:rsidR="00000000" w:rsidRDefault="00582324">
            <w:pPr>
              <w:pStyle w:val="a3"/>
              <w:spacing w:before="0" w:beforeAutospacing="0" w:after="0" w:afterAutospacing="0"/>
              <w:jc w:val="right"/>
              <w:rPr>
                <w:color w:val="000000"/>
                <w:sz w:val="18"/>
                <w:szCs w:val="18"/>
              </w:rPr>
            </w:pPr>
            <w:r>
              <w:rPr>
                <w:color w:val="000000"/>
                <w:sz w:val="18"/>
                <w:szCs w:val="18"/>
              </w:rPr>
              <w:t>73,476</w:t>
            </w:r>
          </w:p>
        </w:tc>
        <w:tc>
          <w:tcPr>
            <w:tcW w:w="50" w:type="pct"/>
            <w:shd w:val="clear" w:color="auto" w:fill="FFFFFF"/>
            <w:noWrap/>
            <w:tcMar>
              <w:top w:w="15" w:type="dxa"/>
              <w:left w:w="0" w:type="dxa"/>
              <w:bottom w:w="0" w:type="dxa"/>
              <w:right w:w="15" w:type="dxa"/>
            </w:tcMar>
            <w:vAlign w:val="bottom"/>
            <w:hideMark/>
          </w:tcPr>
          <w:p w14:paraId="5A5B45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7A7A08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A4C3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69F0F8A2" w14:textId="77777777" w:rsidR="00000000" w:rsidRDefault="00582324">
            <w:pPr>
              <w:pStyle w:val="a3"/>
              <w:spacing w:before="0" w:beforeAutospacing="0" w:after="0" w:afterAutospacing="0"/>
              <w:jc w:val="right"/>
              <w:rPr>
                <w:color w:val="000000"/>
                <w:sz w:val="18"/>
                <w:szCs w:val="18"/>
              </w:rPr>
            </w:pPr>
            <w:r>
              <w:rPr>
                <w:color w:val="000000"/>
                <w:sz w:val="18"/>
                <w:szCs w:val="18"/>
              </w:rPr>
              <w:t>19,176</w:t>
            </w:r>
          </w:p>
        </w:tc>
        <w:tc>
          <w:tcPr>
            <w:tcW w:w="50" w:type="pct"/>
            <w:shd w:val="clear" w:color="auto" w:fill="FFFFFF"/>
            <w:noWrap/>
            <w:tcMar>
              <w:top w:w="15" w:type="dxa"/>
              <w:left w:w="0" w:type="dxa"/>
              <w:bottom w:w="0" w:type="dxa"/>
              <w:right w:w="15" w:type="dxa"/>
            </w:tcMar>
            <w:vAlign w:val="bottom"/>
            <w:hideMark/>
          </w:tcPr>
          <w:p w14:paraId="5C7F4B3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1A74B00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91E7D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shd w:val="clear" w:color="auto" w:fill="FFFFFF"/>
            <w:noWrap/>
            <w:tcMar>
              <w:top w:w="15" w:type="dxa"/>
              <w:left w:w="0" w:type="dxa"/>
              <w:bottom w:w="0" w:type="dxa"/>
              <w:right w:w="15" w:type="dxa"/>
            </w:tcMar>
            <w:vAlign w:val="bottom"/>
            <w:hideMark/>
          </w:tcPr>
          <w:p w14:paraId="3D780124" w14:textId="77777777" w:rsidR="00000000" w:rsidRDefault="00582324">
            <w:pPr>
              <w:pStyle w:val="a3"/>
              <w:spacing w:before="0" w:beforeAutospacing="0" w:after="0" w:afterAutospacing="0"/>
              <w:jc w:val="right"/>
              <w:rPr>
                <w:color w:val="000000"/>
                <w:sz w:val="18"/>
                <w:szCs w:val="18"/>
              </w:rPr>
            </w:pPr>
            <w:r>
              <w:rPr>
                <w:color w:val="000000"/>
                <w:sz w:val="18"/>
                <w:szCs w:val="18"/>
              </w:rPr>
              <w:t>26.1</w:t>
            </w:r>
          </w:p>
        </w:tc>
        <w:tc>
          <w:tcPr>
            <w:tcW w:w="50" w:type="pct"/>
            <w:shd w:val="clear" w:color="auto" w:fill="FFFFFF"/>
            <w:noWrap/>
            <w:tcMar>
              <w:top w:w="15" w:type="dxa"/>
              <w:left w:w="0" w:type="dxa"/>
              <w:bottom w:w="0" w:type="dxa"/>
              <w:right w:w="15" w:type="dxa"/>
            </w:tcMar>
            <w:vAlign w:val="bottom"/>
            <w:hideMark/>
          </w:tcPr>
          <w:p w14:paraId="3FD09A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FFFFFF"/>
            <w:tcMar>
              <w:top w:w="15" w:type="dxa"/>
              <w:left w:w="0" w:type="dxa"/>
              <w:bottom w:w="0" w:type="dxa"/>
              <w:right w:w="15" w:type="dxa"/>
            </w:tcMar>
            <w:vAlign w:val="bottom"/>
            <w:hideMark/>
          </w:tcPr>
          <w:p w14:paraId="40BDFAC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7090273F" w14:textId="77777777">
        <w:trPr>
          <w:divId w:val="1612668522"/>
        </w:trPr>
        <w:tc>
          <w:tcPr>
            <w:tcW w:w="1985" w:type="pct"/>
            <w:shd w:val="clear" w:color="auto" w:fill="CFF0FC"/>
            <w:tcMar>
              <w:top w:w="15" w:type="dxa"/>
              <w:left w:w="0" w:type="dxa"/>
              <w:bottom w:w="0" w:type="dxa"/>
              <w:right w:w="15" w:type="dxa"/>
            </w:tcMar>
            <w:hideMark/>
          </w:tcPr>
          <w:p w14:paraId="507E4AEE" w14:textId="77777777" w:rsidR="00000000" w:rsidRDefault="00582324">
            <w:pPr>
              <w:pStyle w:val="a3"/>
              <w:spacing w:before="0" w:beforeAutospacing="0" w:after="0" w:afterAutospacing="0"/>
              <w:rPr>
                <w:color w:val="000000"/>
                <w:sz w:val="18"/>
                <w:szCs w:val="18"/>
              </w:rPr>
            </w:pPr>
            <w:r>
              <w:rPr>
                <w:color w:val="000000"/>
                <w:sz w:val="18"/>
                <w:szCs w:val="18"/>
              </w:rPr>
              <w:t>Remediation and Reuse</w:t>
            </w:r>
          </w:p>
        </w:tc>
        <w:tc>
          <w:tcPr>
            <w:tcW w:w="46" w:type="pct"/>
            <w:shd w:val="clear" w:color="auto" w:fill="CFF0FC"/>
            <w:tcMar>
              <w:top w:w="15" w:type="dxa"/>
              <w:left w:w="0" w:type="dxa"/>
              <w:bottom w:w="0" w:type="dxa"/>
              <w:right w:w="15" w:type="dxa"/>
            </w:tcMar>
            <w:vAlign w:val="bottom"/>
            <w:hideMark/>
          </w:tcPr>
          <w:p w14:paraId="180D7BC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5364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12446EF4" w14:textId="77777777" w:rsidR="00000000" w:rsidRDefault="00582324">
            <w:pPr>
              <w:pStyle w:val="a3"/>
              <w:spacing w:before="0" w:beforeAutospacing="0" w:after="0" w:afterAutospacing="0"/>
              <w:jc w:val="right"/>
              <w:rPr>
                <w:color w:val="000000"/>
                <w:sz w:val="18"/>
                <w:szCs w:val="18"/>
              </w:rPr>
            </w:pPr>
            <w:r>
              <w:rPr>
                <w:color w:val="000000"/>
                <w:sz w:val="18"/>
                <w:szCs w:val="18"/>
              </w:rPr>
              <w:t>51,517</w:t>
            </w:r>
          </w:p>
        </w:tc>
        <w:tc>
          <w:tcPr>
            <w:tcW w:w="50" w:type="pct"/>
            <w:shd w:val="clear" w:color="auto" w:fill="CFF0FC"/>
            <w:noWrap/>
            <w:tcMar>
              <w:top w:w="15" w:type="dxa"/>
              <w:left w:w="0" w:type="dxa"/>
              <w:bottom w:w="0" w:type="dxa"/>
              <w:right w:w="15" w:type="dxa"/>
            </w:tcMar>
            <w:vAlign w:val="bottom"/>
            <w:hideMark/>
          </w:tcPr>
          <w:p w14:paraId="66614D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3DDF41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DF38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66850218" w14:textId="77777777" w:rsidR="00000000" w:rsidRDefault="00582324">
            <w:pPr>
              <w:pStyle w:val="a3"/>
              <w:spacing w:before="0" w:beforeAutospacing="0" w:after="0" w:afterAutospacing="0"/>
              <w:jc w:val="right"/>
              <w:rPr>
                <w:color w:val="000000"/>
                <w:sz w:val="18"/>
                <w:szCs w:val="18"/>
              </w:rPr>
            </w:pPr>
            <w:r>
              <w:rPr>
                <w:color w:val="000000"/>
                <w:sz w:val="18"/>
                <w:szCs w:val="18"/>
              </w:rPr>
              <w:t>6,790</w:t>
            </w:r>
          </w:p>
        </w:tc>
        <w:tc>
          <w:tcPr>
            <w:tcW w:w="50" w:type="pct"/>
            <w:shd w:val="clear" w:color="auto" w:fill="CFF0FC"/>
            <w:noWrap/>
            <w:tcMar>
              <w:top w:w="15" w:type="dxa"/>
              <w:left w:w="0" w:type="dxa"/>
              <w:bottom w:w="0" w:type="dxa"/>
              <w:right w:w="15" w:type="dxa"/>
            </w:tcMar>
            <w:vAlign w:val="bottom"/>
            <w:hideMark/>
          </w:tcPr>
          <w:p w14:paraId="17AE31A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10B3B2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E03C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2D86202F" w14:textId="77777777" w:rsidR="00000000" w:rsidRDefault="00582324">
            <w:pPr>
              <w:pStyle w:val="a3"/>
              <w:spacing w:before="0" w:beforeAutospacing="0" w:after="0" w:afterAutospacing="0"/>
              <w:jc w:val="right"/>
              <w:rPr>
                <w:color w:val="000000"/>
                <w:sz w:val="18"/>
                <w:szCs w:val="18"/>
              </w:rPr>
            </w:pPr>
            <w:r>
              <w:rPr>
                <w:color w:val="000000"/>
                <w:sz w:val="18"/>
                <w:szCs w:val="18"/>
              </w:rPr>
              <w:t>13.2</w:t>
            </w:r>
          </w:p>
        </w:tc>
        <w:tc>
          <w:tcPr>
            <w:tcW w:w="50" w:type="pct"/>
            <w:shd w:val="clear" w:color="auto" w:fill="CFF0FC"/>
            <w:noWrap/>
            <w:tcMar>
              <w:top w:w="15" w:type="dxa"/>
              <w:left w:w="0" w:type="dxa"/>
              <w:bottom w:w="0" w:type="dxa"/>
              <w:right w:w="15" w:type="dxa"/>
            </w:tcMar>
            <w:vAlign w:val="bottom"/>
            <w:hideMark/>
          </w:tcPr>
          <w:p w14:paraId="0D8D6D8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05AFFF0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4BD79C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A3E4E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0F917C9D" w14:textId="77777777" w:rsidR="00000000" w:rsidRDefault="00582324">
            <w:pPr>
              <w:pStyle w:val="a3"/>
              <w:spacing w:before="0" w:beforeAutospacing="0" w:after="0" w:afterAutospacing="0"/>
              <w:jc w:val="right"/>
              <w:rPr>
                <w:color w:val="000000"/>
                <w:sz w:val="18"/>
                <w:szCs w:val="18"/>
              </w:rPr>
            </w:pPr>
            <w:r>
              <w:rPr>
                <w:color w:val="000000"/>
                <w:sz w:val="18"/>
                <w:szCs w:val="18"/>
              </w:rPr>
              <w:t>38,160</w:t>
            </w:r>
          </w:p>
        </w:tc>
        <w:tc>
          <w:tcPr>
            <w:tcW w:w="50" w:type="pct"/>
            <w:shd w:val="clear" w:color="auto" w:fill="CFF0FC"/>
            <w:noWrap/>
            <w:tcMar>
              <w:top w:w="15" w:type="dxa"/>
              <w:left w:w="0" w:type="dxa"/>
              <w:bottom w:w="0" w:type="dxa"/>
              <w:right w:w="15" w:type="dxa"/>
            </w:tcMar>
            <w:vAlign w:val="bottom"/>
            <w:hideMark/>
          </w:tcPr>
          <w:p w14:paraId="5B664E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7EEAF2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758A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3652BAAB" w14:textId="77777777" w:rsidR="00000000" w:rsidRDefault="00582324">
            <w:pPr>
              <w:pStyle w:val="a3"/>
              <w:spacing w:before="0" w:beforeAutospacing="0" w:after="0" w:afterAutospacing="0"/>
              <w:jc w:val="right"/>
              <w:rPr>
                <w:color w:val="000000"/>
                <w:sz w:val="18"/>
                <w:szCs w:val="18"/>
              </w:rPr>
            </w:pPr>
            <w:r>
              <w:rPr>
                <w:color w:val="000000"/>
                <w:sz w:val="18"/>
                <w:szCs w:val="18"/>
              </w:rPr>
              <w:t>4,481</w:t>
            </w:r>
          </w:p>
        </w:tc>
        <w:tc>
          <w:tcPr>
            <w:tcW w:w="50" w:type="pct"/>
            <w:shd w:val="clear" w:color="auto" w:fill="CFF0FC"/>
            <w:noWrap/>
            <w:tcMar>
              <w:top w:w="15" w:type="dxa"/>
              <w:left w:w="0" w:type="dxa"/>
              <w:bottom w:w="0" w:type="dxa"/>
              <w:right w:w="15" w:type="dxa"/>
            </w:tcMar>
            <w:vAlign w:val="bottom"/>
            <w:hideMark/>
          </w:tcPr>
          <w:p w14:paraId="1ECFF69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2B3472E6" w14:textId="77777777" w:rsidR="00000000" w:rsidRDefault="00582324">
            <w:pPr>
              <w:pStyle w:val="a3"/>
              <w:spacing w:before="0" w:beforeAutospacing="0" w:after="0" w:afterAutospacing="0"/>
              <w:rPr>
                <w:color w:val="000000"/>
                <w:sz w:val="18"/>
                <w:szCs w:val="18"/>
              </w:rPr>
            </w:pPr>
            <w:r>
              <w:rPr>
                <w:color w:val="000000"/>
                <w:sz w:val="15"/>
                <w:szCs w:val="15"/>
                <w:vertAlign w:val="superscript"/>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28AC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bottom w:val="single" w:sz="6" w:space="0" w:color="000000"/>
            </w:tcBorders>
            <w:shd w:val="clear" w:color="auto" w:fill="CFF0FC"/>
            <w:noWrap/>
            <w:tcMar>
              <w:top w:w="15" w:type="dxa"/>
              <w:left w:w="0" w:type="dxa"/>
              <w:bottom w:w="0" w:type="dxa"/>
              <w:right w:w="15" w:type="dxa"/>
            </w:tcMar>
            <w:vAlign w:val="bottom"/>
            <w:hideMark/>
          </w:tcPr>
          <w:p w14:paraId="31625D9E" w14:textId="77777777" w:rsidR="00000000" w:rsidRDefault="00582324">
            <w:pPr>
              <w:pStyle w:val="a3"/>
              <w:spacing w:before="0" w:beforeAutospacing="0" w:after="0" w:afterAutospacing="0"/>
              <w:jc w:val="right"/>
              <w:rPr>
                <w:color w:val="000000"/>
                <w:sz w:val="18"/>
                <w:szCs w:val="18"/>
              </w:rPr>
            </w:pPr>
            <w:r>
              <w:rPr>
                <w:color w:val="000000"/>
                <w:sz w:val="18"/>
                <w:szCs w:val="18"/>
              </w:rPr>
              <w:t>11.7</w:t>
            </w:r>
          </w:p>
        </w:tc>
        <w:tc>
          <w:tcPr>
            <w:tcW w:w="50" w:type="pct"/>
            <w:shd w:val="clear" w:color="auto" w:fill="CFF0FC"/>
            <w:noWrap/>
            <w:tcMar>
              <w:top w:w="15" w:type="dxa"/>
              <w:left w:w="0" w:type="dxa"/>
              <w:bottom w:w="0" w:type="dxa"/>
              <w:right w:w="15" w:type="dxa"/>
            </w:tcMar>
            <w:vAlign w:val="bottom"/>
            <w:hideMark/>
          </w:tcPr>
          <w:p w14:paraId="25AE48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2A1B336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582324" w14:paraId="32FC0495" w14:textId="77777777">
        <w:trPr>
          <w:divId w:val="1612668522"/>
        </w:trPr>
        <w:tc>
          <w:tcPr>
            <w:tcW w:w="1985" w:type="pct"/>
            <w:shd w:val="clear" w:color="auto" w:fill="FFFFFF"/>
            <w:tcMar>
              <w:top w:w="15" w:type="dxa"/>
              <w:left w:w="0" w:type="dxa"/>
              <w:bottom w:w="0" w:type="dxa"/>
              <w:right w:w="15" w:type="dxa"/>
            </w:tcMar>
            <w:hideMark/>
          </w:tcPr>
          <w:p w14:paraId="653E8F80" w14:textId="77777777" w:rsidR="00000000" w:rsidRDefault="00582324">
            <w:pPr>
              <w:pStyle w:val="a3"/>
              <w:spacing w:before="0" w:beforeAutospacing="0" w:after="0" w:afterAutospacing="0"/>
              <w:rPr>
                <w:b/>
                <w:bCs/>
                <w:color w:val="000000"/>
                <w:sz w:val="18"/>
                <w:szCs w:val="18"/>
              </w:rPr>
            </w:pPr>
            <w:r>
              <w:rPr>
                <w:b/>
                <w:bCs/>
                <w:color w:val="000000"/>
                <w:sz w:val="18"/>
                <w:szCs w:val="18"/>
              </w:rPr>
              <w:t>Total Operating Segments</w:t>
            </w:r>
          </w:p>
        </w:tc>
        <w:tc>
          <w:tcPr>
            <w:tcW w:w="46" w:type="pct"/>
            <w:shd w:val="clear" w:color="auto" w:fill="FFFFFF"/>
            <w:tcMar>
              <w:top w:w="15" w:type="dxa"/>
              <w:left w:w="0" w:type="dxa"/>
              <w:bottom w:w="0" w:type="dxa"/>
              <w:right w:w="15" w:type="dxa"/>
            </w:tcMar>
            <w:vAlign w:val="bottom"/>
            <w:hideMark/>
          </w:tcPr>
          <w:p w14:paraId="2C1405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30782D"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7F07E0"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270,041</w:t>
            </w:r>
          </w:p>
        </w:tc>
        <w:tc>
          <w:tcPr>
            <w:tcW w:w="50" w:type="pct"/>
            <w:shd w:val="clear" w:color="auto" w:fill="FFFFFF"/>
            <w:noWrap/>
            <w:tcMar>
              <w:top w:w="15" w:type="dxa"/>
              <w:left w:w="0" w:type="dxa"/>
              <w:bottom w:w="0" w:type="dxa"/>
              <w:right w:w="15" w:type="dxa"/>
            </w:tcMar>
            <w:vAlign w:val="bottom"/>
            <w:hideMark/>
          </w:tcPr>
          <w:p w14:paraId="595DF8A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051A496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7E1F7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89595D"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51,801</w:t>
            </w:r>
          </w:p>
        </w:tc>
        <w:tc>
          <w:tcPr>
            <w:tcW w:w="50" w:type="pct"/>
            <w:shd w:val="clear" w:color="auto" w:fill="FFFFFF"/>
            <w:noWrap/>
            <w:tcMar>
              <w:top w:w="15" w:type="dxa"/>
              <w:left w:w="0" w:type="dxa"/>
              <w:bottom w:w="0" w:type="dxa"/>
              <w:right w:w="15" w:type="dxa"/>
            </w:tcMar>
            <w:vAlign w:val="bottom"/>
            <w:hideMark/>
          </w:tcPr>
          <w:p w14:paraId="493635C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3FB9E9D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4C88B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25A36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19.2</w:t>
            </w:r>
          </w:p>
        </w:tc>
        <w:tc>
          <w:tcPr>
            <w:tcW w:w="50" w:type="pct"/>
            <w:shd w:val="clear" w:color="auto" w:fill="FFFFFF"/>
            <w:noWrap/>
            <w:tcMar>
              <w:top w:w="15" w:type="dxa"/>
              <w:left w:w="0" w:type="dxa"/>
              <w:bottom w:w="0" w:type="dxa"/>
              <w:right w:w="15" w:type="dxa"/>
            </w:tcMar>
            <w:vAlign w:val="bottom"/>
            <w:hideMark/>
          </w:tcPr>
          <w:p w14:paraId="4FF9A45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37229138"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6" w:type="pct"/>
            <w:shd w:val="clear" w:color="auto" w:fill="FFFFFF"/>
            <w:tcMar>
              <w:top w:w="15" w:type="dxa"/>
              <w:left w:w="0" w:type="dxa"/>
              <w:bottom w:w="0" w:type="dxa"/>
              <w:right w:w="15" w:type="dxa"/>
            </w:tcMar>
            <w:vAlign w:val="bottom"/>
            <w:hideMark/>
          </w:tcPr>
          <w:p w14:paraId="4429F59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BFC9C6"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AC6695"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134,797</w:t>
            </w:r>
          </w:p>
        </w:tc>
        <w:tc>
          <w:tcPr>
            <w:tcW w:w="50" w:type="pct"/>
            <w:shd w:val="clear" w:color="auto" w:fill="FFFFFF"/>
            <w:noWrap/>
            <w:tcMar>
              <w:top w:w="15" w:type="dxa"/>
              <w:left w:w="0" w:type="dxa"/>
              <w:bottom w:w="0" w:type="dxa"/>
              <w:right w:w="15" w:type="dxa"/>
            </w:tcMar>
            <w:vAlign w:val="bottom"/>
            <w:hideMark/>
          </w:tcPr>
          <w:p w14:paraId="40E817B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22E2295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59878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B0854E"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30,088</w:t>
            </w:r>
          </w:p>
        </w:tc>
        <w:tc>
          <w:tcPr>
            <w:tcW w:w="50" w:type="pct"/>
            <w:shd w:val="clear" w:color="auto" w:fill="FFFFFF"/>
            <w:noWrap/>
            <w:tcMar>
              <w:top w:w="15" w:type="dxa"/>
              <w:left w:w="0" w:type="dxa"/>
              <w:bottom w:w="0" w:type="dxa"/>
              <w:right w:w="15" w:type="dxa"/>
            </w:tcMar>
            <w:vAlign w:val="bottom"/>
            <w:hideMark/>
          </w:tcPr>
          <w:p w14:paraId="40F6DD9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599F1AE1" w14:textId="77777777" w:rsidR="00000000" w:rsidRDefault="00582324">
            <w:pPr>
              <w:pStyle w:val="a3"/>
              <w:spacing w:before="0" w:beforeAutospacing="0" w:after="0" w:afterAutospacing="0"/>
              <w:rPr>
                <w:color w:val="000000"/>
                <w:sz w:val="18"/>
                <w:szCs w:val="18"/>
              </w:rPr>
            </w:pPr>
            <w:r>
              <w:rPr>
                <w:color w:val="000000"/>
                <w:sz w:val="15"/>
                <w:szCs w:val="15"/>
                <w:vertAlign w:val="superscript"/>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D718B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3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DBB1F8"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22.3</w:t>
            </w:r>
          </w:p>
        </w:tc>
        <w:tc>
          <w:tcPr>
            <w:tcW w:w="50" w:type="pct"/>
            <w:shd w:val="clear" w:color="auto" w:fill="FFFFFF"/>
            <w:noWrap/>
            <w:tcMar>
              <w:top w:w="15" w:type="dxa"/>
              <w:left w:w="0" w:type="dxa"/>
              <w:bottom w:w="0" w:type="dxa"/>
              <w:right w:w="15" w:type="dxa"/>
            </w:tcMar>
            <w:vAlign w:val="bottom"/>
            <w:hideMark/>
          </w:tcPr>
          <w:p w14:paraId="0447453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46" w:type="pct"/>
            <w:shd w:val="clear" w:color="auto" w:fill="FFFFFF"/>
            <w:tcMar>
              <w:top w:w="15" w:type="dxa"/>
              <w:left w:w="0" w:type="dxa"/>
              <w:bottom w:w="0" w:type="dxa"/>
              <w:right w:w="15" w:type="dxa"/>
            </w:tcMar>
            <w:vAlign w:val="bottom"/>
            <w:hideMark/>
          </w:tcPr>
          <w:p w14:paraId="3D3846AC"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079356AA" w14:textId="77777777">
        <w:trPr>
          <w:divId w:val="1612668522"/>
        </w:trPr>
        <w:tc>
          <w:tcPr>
            <w:tcW w:w="1985" w:type="pct"/>
            <w:shd w:val="clear" w:color="auto" w:fill="CFF0FC"/>
            <w:tcMar>
              <w:top w:w="15" w:type="dxa"/>
              <w:left w:w="0" w:type="dxa"/>
              <w:bottom w:w="0" w:type="dxa"/>
              <w:right w:w="15" w:type="dxa"/>
            </w:tcMar>
            <w:hideMark/>
          </w:tcPr>
          <w:p w14:paraId="0948A8A4" w14:textId="77777777" w:rsidR="00000000" w:rsidRDefault="00582324">
            <w:pPr>
              <w:pStyle w:val="a3"/>
              <w:spacing w:before="0" w:beforeAutospacing="0" w:after="0" w:afterAutospacing="0"/>
              <w:rPr>
                <w:color w:val="000000"/>
                <w:sz w:val="18"/>
                <w:szCs w:val="18"/>
              </w:rPr>
            </w:pPr>
            <w:r>
              <w:rPr>
                <w:color w:val="000000"/>
                <w:sz w:val="18"/>
                <w:szCs w:val="18"/>
              </w:rPr>
              <w:t>Corporate and Other</w:t>
            </w:r>
          </w:p>
        </w:tc>
        <w:tc>
          <w:tcPr>
            <w:tcW w:w="46" w:type="pct"/>
            <w:shd w:val="clear" w:color="auto" w:fill="CFF0FC"/>
            <w:tcMar>
              <w:top w:w="15" w:type="dxa"/>
              <w:left w:w="0" w:type="dxa"/>
              <w:bottom w:w="0" w:type="dxa"/>
              <w:right w:w="15" w:type="dxa"/>
            </w:tcMar>
            <w:vAlign w:val="bottom"/>
            <w:hideMark/>
          </w:tcPr>
          <w:p w14:paraId="437A4D4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5F2A0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double" w:sz="6" w:space="0" w:color="000000"/>
            </w:tcBorders>
            <w:shd w:val="clear" w:color="auto" w:fill="CFF0FC"/>
            <w:noWrap/>
            <w:tcMar>
              <w:top w:w="15" w:type="dxa"/>
              <w:left w:w="0" w:type="dxa"/>
              <w:bottom w:w="0" w:type="dxa"/>
              <w:right w:w="15" w:type="dxa"/>
            </w:tcMar>
            <w:vAlign w:val="bottom"/>
            <w:hideMark/>
          </w:tcPr>
          <w:p w14:paraId="0812077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B632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06A94A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793273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double" w:sz="6" w:space="0" w:color="000000"/>
            </w:tcBorders>
            <w:shd w:val="clear" w:color="auto" w:fill="CFF0FC"/>
            <w:noWrap/>
            <w:tcMar>
              <w:top w:w="15" w:type="dxa"/>
              <w:left w:w="0" w:type="dxa"/>
              <w:bottom w:w="0" w:type="dxa"/>
              <w:right w:w="15" w:type="dxa"/>
            </w:tcMar>
            <w:vAlign w:val="bottom"/>
            <w:hideMark/>
          </w:tcPr>
          <w:p w14:paraId="53541CE8" w14:textId="77777777" w:rsidR="00000000" w:rsidRDefault="00582324">
            <w:pPr>
              <w:pStyle w:val="a3"/>
              <w:spacing w:before="0" w:beforeAutospacing="0" w:after="0" w:afterAutospacing="0"/>
              <w:jc w:val="right"/>
              <w:rPr>
                <w:color w:val="000000"/>
                <w:sz w:val="18"/>
                <w:szCs w:val="18"/>
              </w:rPr>
            </w:pPr>
            <w:r>
              <w:rPr>
                <w:color w:val="000000"/>
                <w:sz w:val="18"/>
                <w:szCs w:val="18"/>
              </w:rPr>
              <w:t>(14,039</w:t>
            </w:r>
          </w:p>
        </w:tc>
        <w:tc>
          <w:tcPr>
            <w:tcW w:w="50" w:type="pct"/>
            <w:shd w:val="clear" w:color="auto" w:fill="CFF0FC"/>
            <w:noWrap/>
            <w:tcMar>
              <w:top w:w="15" w:type="dxa"/>
              <w:left w:w="0" w:type="dxa"/>
              <w:bottom w:w="0" w:type="dxa"/>
              <w:right w:w="15" w:type="dxa"/>
            </w:tcMar>
            <w:vAlign w:val="bottom"/>
            <w:hideMark/>
          </w:tcPr>
          <w:p w14:paraId="5CE5C56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 w:type="pct"/>
            <w:shd w:val="clear" w:color="auto" w:fill="CFF0FC"/>
            <w:tcMar>
              <w:top w:w="15" w:type="dxa"/>
              <w:left w:w="0" w:type="dxa"/>
              <w:bottom w:w="0" w:type="dxa"/>
              <w:right w:w="15" w:type="dxa"/>
            </w:tcMar>
            <w:vAlign w:val="bottom"/>
            <w:hideMark/>
          </w:tcPr>
          <w:p w14:paraId="75D2C1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0" w:type="pct"/>
            <w:gridSpan w:val="2"/>
            <w:tcBorders>
              <w:top w:val="double" w:sz="6" w:space="0" w:color="000000"/>
            </w:tcBorders>
            <w:shd w:val="clear" w:color="auto" w:fill="CFF0FC"/>
            <w:tcMar>
              <w:top w:w="15" w:type="dxa"/>
              <w:left w:w="0" w:type="dxa"/>
              <w:bottom w:w="0" w:type="dxa"/>
              <w:right w:w="15" w:type="dxa"/>
            </w:tcMar>
            <w:vAlign w:val="bottom"/>
            <w:hideMark/>
          </w:tcPr>
          <w:p w14:paraId="3146131A" w14:textId="77777777" w:rsidR="00000000" w:rsidRDefault="00582324">
            <w:pPr>
              <w:pStyle w:val="a3"/>
              <w:spacing w:before="0" w:beforeAutospacing="0" w:after="0" w:afterAutospacing="0"/>
              <w:jc w:val="right"/>
              <w:rPr>
                <w:color w:val="000000"/>
                <w:sz w:val="18"/>
                <w:szCs w:val="18"/>
              </w:rPr>
            </w:pPr>
            <w:r>
              <w:rPr>
                <w:color w:val="000000"/>
                <w:sz w:val="18"/>
                <w:szCs w:val="18"/>
              </w:rPr>
              <w:t>n/a</w:t>
            </w:r>
          </w:p>
        </w:tc>
        <w:tc>
          <w:tcPr>
            <w:tcW w:w="50" w:type="pct"/>
            <w:shd w:val="clear" w:color="auto" w:fill="CFF0FC"/>
            <w:noWrap/>
            <w:tcMar>
              <w:top w:w="15" w:type="dxa"/>
              <w:left w:w="0" w:type="dxa"/>
              <w:bottom w:w="0" w:type="dxa"/>
              <w:right w:w="15" w:type="dxa"/>
            </w:tcMar>
            <w:vAlign w:val="bottom"/>
            <w:hideMark/>
          </w:tcPr>
          <w:p w14:paraId="6857A99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06118A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69FB346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5154B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double" w:sz="6" w:space="0" w:color="000000"/>
            </w:tcBorders>
            <w:shd w:val="clear" w:color="auto" w:fill="CFF0FC"/>
            <w:noWrap/>
            <w:tcMar>
              <w:top w:w="15" w:type="dxa"/>
              <w:left w:w="0" w:type="dxa"/>
              <w:bottom w:w="0" w:type="dxa"/>
              <w:right w:w="15" w:type="dxa"/>
            </w:tcMar>
            <w:vAlign w:val="bottom"/>
            <w:hideMark/>
          </w:tcPr>
          <w:p w14:paraId="7D0F738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D0027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4AFB9C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1A8D0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40" w:type="pct"/>
            <w:tcBorders>
              <w:top w:val="double" w:sz="6" w:space="0" w:color="000000"/>
            </w:tcBorders>
            <w:shd w:val="clear" w:color="auto" w:fill="CFF0FC"/>
            <w:noWrap/>
            <w:tcMar>
              <w:top w:w="15" w:type="dxa"/>
              <w:left w:w="0" w:type="dxa"/>
              <w:bottom w:w="0" w:type="dxa"/>
              <w:right w:w="15" w:type="dxa"/>
            </w:tcMar>
            <w:vAlign w:val="bottom"/>
            <w:hideMark/>
          </w:tcPr>
          <w:p w14:paraId="345D4339" w14:textId="77777777" w:rsidR="00000000" w:rsidRDefault="00582324">
            <w:pPr>
              <w:pStyle w:val="a3"/>
              <w:spacing w:before="0" w:beforeAutospacing="0" w:after="0" w:afterAutospacing="0"/>
              <w:jc w:val="right"/>
              <w:rPr>
                <w:color w:val="000000"/>
                <w:sz w:val="18"/>
                <w:szCs w:val="18"/>
              </w:rPr>
            </w:pPr>
            <w:r>
              <w:rPr>
                <w:color w:val="000000"/>
                <w:sz w:val="18"/>
                <w:szCs w:val="18"/>
              </w:rPr>
              <w:t>(10,640</w:t>
            </w:r>
          </w:p>
        </w:tc>
        <w:tc>
          <w:tcPr>
            <w:tcW w:w="50" w:type="pct"/>
            <w:shd w:val="clear" w:color="auto" w:fill="CFF0FC"/>
            <w:noWrap/>
            <w:tcMar>
              <w:top w:w="15" w:type="dxa"/>
              <w:left w:w="0" w:type="dxa"/>
              <w:bottom w:w="0" w:type="dxa"/>
              <w:right w:w="15" w:type="dxa"/>
            </w:tcMar>
            <w:vAlign w:val="bottom"/>
            <w:hideMark/>
          </w:tcPr>
          <w:p w14:paraId="78E8A3A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6" w:type="pct"/>
            <w:shd w:val="clear" w:color="auto" w:fill="CFF0FC"/>
            <w:tcMar>
              <w:top w:w="15" w:type="dxa"/>
              <w:left w:w="0" w:type="dxa"/>
              <w:bottom w:w="0" w:type="dxa"/>
              <w:right w:w="15" w:type="dxa"/>
            </w:tcMar>
            <w:vAlign w:val="bottom"/>
            <w:hideMark/>
          </w:tcPr>
          <w:p w14:paraId="0FDAC4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390" w:type="pct"/>
            <w:gridSpan w:val="2"/>
            <w:tcBorders>
              <w:top w:val="double" w:sz="6" w:space="0" w:color="000000"/>
            </w:tcBorders>
            <w:shd w:val="clear" w:color="auto" w:fill="CFF0FC"/>
            <w:tcMar>
              <w:top w:w="15" w:type="dxa"/>
              <w:left w:w="0" w:type="dxa"/>
              <w:bottom w:w="0" w:type="dxa"/>
              <w:right w:w="15" w:type="dxa"/>
            </w:tcMar>
            <w:vAlign w:val="bottom"/>
            <w:hideMark/>
          </w:tcPr>
          <w:p w14:paraId="56BC36BF" w14:textId="77777777" w:rsidR="00000000" w:rsidRDefault="00582324">
            <w:pPr>
              <w:pStyle w:val="a3"/>
              <w:spacing w:before="0" w:beforeAutospacing="0" w:after="0" w:afterAutospacing="0"/>
              <w:jc w:val="right"/>
              <w:rPr>
                <w:color w:val="000000"/>
                <w:sz w:val="18"/>
                <w:szCs w:val="18"/>
              </w:rPr>
            </w:pPr>
            <w:r>
              <w:rPr>
                <w:color w:val="000000"/>
                <w:sz w:val="18"/>
                <w:szCs w:val="18"/>
              </w:rPr>
              <w:t>n/a</w:t>
            </w:r>
          </w:p>
        </w:tc>
        <w:tc>
          <w:tcPr>
            <w:tcW w:w="50" w:type="pct"/>
            <w:shd w:val="clear" w:color="auto" w:fill="CFF0FC"/>
            <w:noWrap/>
            <w:tcMar>
              <w:top w:w="15" w:type="dxa"/>
              <w:left w:w="0" w:type="dxa"/>
              <w:bottom w:w="0" w:type="dxa"/>
              <w:right w:w="15" w:type="dxa"/>
            </w:tcMar>
            <w:vAlign w:val="bottom"/>
            <w:hideMark/>
          </w:tcPr>
          <w:p w14:paraId="0D8D34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6" w:type="pct"/>
            <w:shd w:val="clear" w:color="auto" w:fill="CFF0FC"/>
            <w:tcMar>
              <w:top w:w="15" w:type="dxa"/>
              <w:left w:w="0" w:type="dxa"/>
              <w:bottom w:w="0" w:type="dxa"/>
              <w:right w:w="15" w:type="dxa"/>
            </w:tcMar>
            <w:vAlign w:val="bottom"/>
            <w:hideMark/>
          </w:tcPr>
          <w:p w14:paraId="7D24CB2C"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A707F04"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8C58C55" w14:textId="77777777" w:rsidR="00000000" w:rsidRDefault="00582324">
      <w:pPr>
        <w:pStyle w:val="a3"/>
        <w:pBdr>
          <w:bottom w:val="single" w:sz="6" w:space="0" w:color="000000"/>
        </w:pBdr>
        <w:shd w:val="clear" w:color="auto" w:fill="FFFFFF"/>
        <w:spacing w:before="0" w:beforeAutospacing="0" w:after="0" w:afterAutospacing="0"/>
        <w:ind w:right="6905"/>
        <w:rPr>
          <w:sz w:val="12"/>
          <w:szCs w:val="12"/>
        </w:rPr>
      </w:pPr>
      <w:r>
        <w:rPr>
          <w:sz w:val="12"/>
          <w:szCs w:val="12"/>
        </w:rPr>
        <w:t> </w:t>
      </w:r>
    </w:p>
    <w:p w14:paraId="1DA53E1F" w14:textId="77777777" w:rsidR="00000000" w:rsidRDefault="00582324">
      <w:pPr>
        <w:pStyle w:val="a3"/>
        <w:spacing w:before="240" w:beforeAutospacing="0" w:after="0" w:afterAutospacing="0"/>
        <w:jc w:val="center"/>
        <w:rPr>
          <w:sz w:val="20"/>
          <w:szCs w:val="20"/>
        </w:rPr>
      </w:pPr>
      <w:r>
        <w:rPr>
          <w:sz w:val="20"/>
          <w:szCs w:val="20"/>
        </w:rPr>
        <w:t>43</w:t>
      </w:r>
    </w:p>
    <w:p w14:paraId="674CE94D" w14:textId="77777777" w:rsidR="00000000" w:rsidRDefault="00582324">
      <w:pPr>
        <w:rPr>
          <w:rFonts w:eastAsia="Times New Roman"/>
        </w:rPr>
      </w:pPr>
      <w:r>
        <w:rPr>
          <w:rFonts w:eastAsia="Times New Roman"/>
        </w:rPr>
        <w:pict w14:anchorId="5DBD7120">
          <v:rect id="_x0000_i1069" style="width:0;height:1.5pt" o:hralign="center" o:hrstd="t" o:hr="t" fillcolor="#a0a0a0" stroked="f"/>
        </w:pict>
      </w:r>
    </w:p>
    <w:p w14:paraId="0C9F181A" w14:textId="77777777" w:rsidR="00000000" w:rsidRDefault="00582324">
      <w:pPr>
        <w:pStyle w:val="a3"/>
        <w:spacing w:before="0" w:beforeAutospacing="0" w:after="0" w:afterAutospacing="0"/>
        <w:rPr>
          <w:sz w:val="20"/>
          <w:szCs w:val="20"/>
        </w:rPr>
      </w:pPr>
      <w:r>
        <w:rPr>
          <w:sz w:val="20"/>
          <w:szCs w:val="20"/>
        </w:rPr>
        <w:t> </w:t>
      </w:r>
    </w:p>
    <w:p w14:paraId="4E6C4ADA"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
        <w:gridCol w:w="8024"/>
      </w:tblGrid>
      <w:tr w:rsidR="00000000" w14:paraId="34E1CFC9" w14:textId="77777777">
        <w:trPr>
          <w:divId w:val="1548759713"/>
        </w:trPr>
        <w:tc>
          <w:tcPr>
            <w:tcW w:w="170" w:type="pct"/>
            <w:noWrap/>
            <w:hideMark/>
          </w:tcPr>
          <w:p w14:paraId="2B8069E2" w14:textId="77777777" w:rsidR="00000000" w:rsidRDefault="00582324">
            <w:pPr>
              <w:pStyle w:val="a3"/>
              <w:spacing w:before="40" w:beforeAutospacing="0" w:after="0" w:afterAutospacing="0"/>
              <w:rPr>
                <w:sz w:val="18"/>
                <w:szCs w:val="18"/>
              </w:rPr>
            </w:pPr>
            <w:r>
              <w:rPr>
                <w:sz w:val="18"/>
                <w:szCs w:val="18"/>
              </w:rPr>
              <w:t>(1)</w:t>
            </w:r>
          </w:p>
        </w:tc>
        <w:tc>
          <w:tcPr>
            <w:tcW w:w="0" w:type="auto"/>
            <w:hideMark/>
          </w:tcPr>
          <w:p w14:paraId="786AD106" w14:textId="77777777" w:rsidR="00000000" w:rsidRDefault="00582324">
            <w:pPr>
              <w:pStyle w:val="a3"/>
              <w:spacing w:before="40" w:beforeAutospacing="0" w:after="0" w:afterAutospacing="0"/>
              <w:rPr>
                <w:sz w:val="18"/>
                <w:szCs w:val="18"/>
              </w:rPr>
            </w:pPr>
            <w:r>
              <w:rPr>
                <w:sz w:val="18"/>
                <w:szCs w:val="18"/>
              </w:rPr>
              <w:t>For purposes of evaluating segment profit, the Company’s chief operating decision maker reviews Segment Adjusted EBITDA as a basis for making the decisions to allocate resources and assess performance. See Note 2</w:t>
            </w:r>
            <w:r>
              <w:rPr>
                <w:sz w:val="18"/>
                <w:szCs w:val="18"/>
              </w:rPr>
              <w:t>0 to our unaudited condensed consolidated financial statements included in Part I, Item 1. “Financial Statements.”</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6D784CAB" w14:textId="77777777">
        <w:tc>
          <w:tcPr>
            <w:tcW w:w="170" w:type="pct"/>
            <w:noWrap/>
            <w:hideMark/>
          </w:tcPr>
          <w:p w14:paraId="55ED2E8E" w14:textId="77777777" w:rsidR="00000000" w:rsidRDefault="00582324">
            <w:pPr>
              <w:pStyle w:val="a3"/>
              <w:spacing w:before="40" w:beforeAutospacing="0" w:after="0" w:afterAutospacing="0"/>
              <w:rPr>
                <w:sz w:val="18"/>
                <w:szCs w:val="18"/>
              </w:rPr>
            </w:pPr>
            <w:r>
              <w:rPr>
                <w:sz w:val="18"/>
                <w:szCs w:val="18"/>
              </w:rPr>
              <w:t>(2)</w:t>
            </w:r>
          </w:p>
        </w:tc>
        <w:tc>
          <w:tcPr>
            <w:tcW w:w="0" w:type="auto"/>
            <w:hideMark/>
          </w:tcPr>
          <w:p w14:paraId="071FE3F1" w14:textId="77777777" w:rsidR="00000000" w:rsidRDefault="00582324">
            <w:pPr>
              <w:pStyle w:val="a3"/>
              <w:spacing w:before="40" w:beforeAutospacing="0" w:after="0" w:afterAutospacing="0"/>
              <w:rPr>
                <w:sz w:val="18"/>
                <w:szCs w:val="18"/>
              </w:rPr>
            </w:pPr>
            <w:r>
              <w:rPr>
                <w:sz w:val="18"/>
                <w:szCs w:val="18"/>
              </w:rPr>
              <w:t>Represents Segment Adjusted EBITDA as a percentage of revenues.</w:t>
            </w:r>
          </w:p>
        </w:tc>
      </w:tr>
    </w:tbl>
    <w:p w14:paraId="3B223E32"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Revenues</w:t>
      </w:r>
    </w:p>
    <w:p w14:paraId="2BB8EA98"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Assessment, Permitting and Response segment revenues for the </w:t>
      </w:r>
      <w:r>
        <w:rPr>
          <w:color w:val="000000"/>
          <w:sz w:val="20"/>
          <w:szCs w:val="20"/>
        </w:rPr>
        <w:t xml:space="preserve">six months ended June 30, 2021 were $146.0 million, compared to $23.2 million for the six months ended June 30, 2020. The increase was driven by the acquisition of CTEH in the second quarter of 2020, which expanded our product portfolio and our scientific </w:t>
      </w:r>
      <w:r>
        <w:rPr>
          <w:color w:val="000000"/>
          <w:sz w:val="20"/>
          <w:szCs w:val="20"/>
        </w:rPr>
        <w:t>and technical advisory services footprint. CTEH benefited from greater COVID-19 related response work performed in the full 2021 period as compared to only a portion of the prior year following the acquisition.</w:t>
      </w:r>
    </w:p>
    <w:p w14:paraId="700C884E"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Measurement and Analysis segment revenues for the six months ended June 30, 2021 were $72.6 million, a decrease of $0.9 million or 1.2% compared to revenues for the six months ended June 30, 2020 of $73.5 million. The decrease was driven by a decline in re</w:t>
      </w:r>
      <w:r>
        <w:rPr>
          <w:color w:val="000000"/>
          <w:sz w:val="20"/>
          <w:szCs w:val="20"/>
        </w:rPr>
        <w:t>venues from Discontinued Service Lines, partially offset by organic growth and revenues of $0.5 million from the acquisition of Vista. Revenues from Discontinued Service Lines in the Measurement and Analysis segment were zero and $2.5 million for the six m</w:t>
      </w:r>
      <w:r>
        <w:rPr>
          <w:color w:val="000000"/>
          <w:sz w:val="20"/>
          <w:szCs w:val="20"/>
        </w:rPr>
        <w:t>onths ended June 30, 2021 and June 30, 2020, respectively. Excluding revenues from Discontinued Service Lines, revenues increased $1.6 million or 2.3%.</w:t>
      </w:r>
    </w:p>
    <w:p w14:paraId="2BD6164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Remediation and Reuse segment revenues for the six months ended June 30, 2021 were $51.5 million, an inc</w:t>
      </w:r>
      <w:r>
        <w:rPr>
          <w:color w:val="000000"/>
          <w:sz w:val="20"/>
          <w:szCs w:val="20"/>
        </w:rPr>
        <w:t xml:space="preserve">rease of $13.3 million or 34.8% compared to revenues for the six months ended June 30, 2020 of $38.2 million. </w:t>
      </w:r>
      <w:r>
        <w:rPr>
          <w:color w:val="000000"/>
          <w:sz w:val="20"/>
          <w:szCs w:val="20"/>
          <w:shd w:val="clear" w:color="auto" w:fill="FFFFFF"/>
        </w:rPr>
        <w:t>This increase was primarily driven by organic growth and $7.4 million from the acquisition of MSE, which closed on January 4, 2021, partially offs</w:t>
      </w:r>
      <w:r>
        <w:rPr>
          <w:color w:val="000000"/>
          <w:sz w:val="20"/>
          <w:szCs w:val="20"/>
          <w:shd w:val="clear" w:color="auto" w:fill="FFFFFF"/>
        </w:rPr>
        <w:t>et by the loss of revenues from the Discontinued Service Lines. Revenues from Discontinued Service Lines were $</w:t>
      </w:r>
      <w:r>
        <w:rPr>
          <w:color w:val="000000"/>
          <w:sz w:val="20"/>
          <w:szCs w:val="20"/>
        </w:rPr>
        <w:t>1.3 million</w:t>
      </w:r>
      <w:r>
        <w:rPr>
          <w:color w:val="000000"/>
          <w:sz w:val="20"/>
          <w:szCs w:val="20"/>
          <w:shd w:val="clear" w:color="auto" w:fill="FFFFFF"/>
        </w:rPr>
        <w:t xml:space="preserve"> for the six months ended June 30, 2020. </w:t>
      </w:r>
      <w:r>
        <w:rPr>
          <w:color w:val="000000"/>
          <w:sz w:val="20"/>
          <w:szCs w:val="20"/>
        </w:rPr>
        <w:t>Excluding revenues from Discontinued Service Lines, revenues increased $14.6 million or 39.6%</w:t>
      </w:r>
      <w:r>
        <w:rPr>
          <w:color w:val="000000"/>
          <w:sz w:val="20"/>
          <w:szCs w:val="20"/>
        </w:rPr>
        <w:t>. </w:t>
      </w:r>
    </w:p>
    <w:p w14:paraId="4F21FBC2"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Segment Adjusted EBITDA</w:t>
      </w:r>
    </w:p>
    <w:p w14:paraId="65C42A60"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Assessment, Permitting and Response Segment Adjusted EBITDA was $30.7 million for the six months ended June 30, 2021, compared to $6.4 million for the six months ended June 30, 2020. For the six months ended June 30, 2021 and Jun</w:t>
      </w:r>
      <w:r>
        <w:rPr>
          <w:color w:val="000000"/>
          <w:sz w:val="20"/>
          <w:szCs w:val="20"/>
        </w:rPr>
        <w:t>e 30, 2020, Segment Adjusted EBITDA margin was 21.0% and 27.8%, respectively. The increase in Segment Adjusted EBITDA was primarily a result of the acquisition of CTEH in April of 2020 and higher revenues in the second quarter of 2021. The decline in Segme</w:t>
      </w:r>
      <w:r>
        <w:rPr>
          <w:color w:val="000000"/>
          <w:sz w:val="20"/>
          <w:szCs w:val="20"/>
        </w:rPr>
        <w:t>nt Adjusted EBITDA margin is as a result of performing more lower margin COVID response work performed by CTEH.</w:t>
      </w:r>
    </w:p>
    <w:p w14:paraId="319A8A1B"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Measurement and Analysis Segment Adjusted EBITDA for the six months ended June 30, 2021 was $14.4 million, a decrease of $4.8 million compared t</w:t>
      </w:r>
      <w:r>
        <w:rPr>
          <w:color w:val="000000"/>
          <w:sz w:val="20"/>
          <w:szCs w:val="20"/>
        </w:rPr>
        <w:t>o Segment Adjusted EBITDA for the six months ended June 30, 2020 of $19.2 million. For the six months ended June 30, 2021 Segment Adjusted EBITDA margin was 19.8% compared to 26.1% for the six months ended June 30, 2020. The decline in Segment Adjusted EBI</w:t>
      </w:r>
      <w:r>
        <w:rPr>
          <w:color w:val="000000"/>
          <w:sz w:val="20"/>
          <w:szCs w:val="20"/>
        </w:rPr>
        <w:t>TDA was primarily a result of business mix and the reversal of cost mitigation measures taken in the prior year in response to COVID-19.</w:t>
      </w:r>
    </w:p>
    <w:p w14:paraId="10B0F07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Remediation and Reuse Segment Adjusted EBITDA for the six months ended June 30, 2021 was $6.8 million, an increase of $</w:t>
      </w:r>
      <w:r>
        <w:rPr>
          <w:color w:val="000000"/>
          <w:sz w:val="20"/>
          <w:szCs w:val="20"/>
        </w:rPr>
        <w:t>2.3 million compared to Segment Adjusted EBITDA for the six months ended June 30, 2020 of $4.5 million. For the six months ended June 30, 2021 Segment Adjusted EBITDA margin was 13.2% compared to 11.7% in the six months ended June 30, 2020. The increase in</w:t>
      </w:r>
      <w:r>
        <w:rPr>
          <w:color w:val="000000"/>
          <w:sz w:val="20"/>
          <w:szCs w:val="20"/>
        </w:rPr>
        <w:t xml:space="preserve"> both Segment Adjusted EBITDA and Segment Adjusted EBITDA margin was primarily a result of higher revenues. </w:t>
      </w:r>
    </w:p>
    <w:p w14:paraId="6F0704F0"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Corporate and other costs were $14.0 million for the six months ended June 30, 2021 compared to $10.6 million for the six months ended June 30, 202</w:t>
      </w:r>
      <w:r>
        <w:rPr>
          <w:color w:val="000000"/>
          <w:sz w:val="20"/>
          <w:szCs w:val="20"/>
        </w:rPr>
        <w:t xml:space="preserve">0. </w:t>
      </w:r>
      <w:r>
        <w:rPr>
          <w:color w:val="000000"/>
          <w:sz w:val="20"/>
          <w:szCs w:val="20"/>
          <w:shd w:val="clear" w:color="auto" w:fill="FFFFFF"/>
        </w:rPr>
        <w:t>The cost increase was primarily driven by public company related costs, higher software costs, higher sales and marketing costs and continued investment in corporate support functions to support higher revenues, partially offset by a decrease in bad deb</w:t>
      </w:r>
      <w:r>
        <w:rPr>
          <w:color w:val="000000"/>
          <w:sz w:val="20"/>
          <w:szCs w:val="20"/>
          <w:shd w:val="clear" w:color="auto" w:fill="FFFFFF"/>
        </w:rPr>
        <w:t>t expense of $5.7 million</w:t>
      </w:r>
      <w:r>
        <w:rPr>
          <w:color w:val="000000"/>
          <w:sz w:val="16"/>
          <w:szCs w:val="16"/>
        </w:rPr>
        <w:t>.</w:t>
      </w:r>
    </w:p>
    <w:p w14:paraId="7B554BFE"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Liquidity and Capital Resources</w:t>
      </w:r>
    </w:p>
    <w:p w14:paraId="1251433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Liquidity describes the ability of a company to generate sufficient cash flows to meet the cash requirements of its business operations, including working capital needs, debt service, acquisitions,</w:t>
      </w:r>
      <w:r>
        <w:rPr>
          <w:color w:val="000000"/>
          <w:sz w:val="20"/>
          <w:szCs w:val="20"/>
        </w:rPr>
        <w:t xml:space="preserve"> other commitments and contractual obligations. We consider liquidity in terms of cash flows from operations and other sources, including availability under our credit facility, and their sufficiency to fund our operating and investing activities.</w:t>
      </w:r>
    </w:p>
    <w:p w14:paraId="528B624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prin</w:t>
      </w:r>
      <w:r>
        <w:rPr>
          <w:color w:val="000000"/>
          <w:sz w:val="20"/>
          <w:szCs w:val="20"/>
        </w:rPr>
        <w:t xml:space="preserve">cipal sources of liquidity have been borrowings under our current and prior credit facilities, other borrowing arrangements, proceeds from the issuance of preferred stock and cash generated by operating activities. Historically, we have financed </w:t>
      </w:r>
    </w:p>
    <w:p w14:paraId="48460F77" w14:textId="77777777" w:rsidR="00000000" w:rsidRDefault="00582324">
      <w:pPr>
        <w:pStyle w:val="a3"/>
        <w:spacing w:before="240" w:beforeAutospacing="0" w:after="0" w:afterAutospacing="0"/>
        <w:jc w:val="center"/>
        <w:rPr>
          <w:sz w:val="20"/>
          <w:szCs w:val="20"/>
        </w:rPr>
      </w:pPr>
      <w:r>
        <w:rPr>
          <w:sz w:val="20"/>
          <w:szCs w:val="20"/>
        </w:rPr>
        <w:t>44</w:t>
      </w:r>
    </w:p>
    <w:p w14:paraId="42CC219F" w14:textId="77777777" w:rsidR="00000000" w:rsidRDefault="00582324">
      <w:pPr>
        <w:rPr>
          <w:rFonts w:eastAsia="Times New Roman"/>
        </w:rPr>
      </w:pPr>
      <w:r>
        <w:rPr>
          <w:rFonts w:eastAsia="Times New Roman"/>
        </w:rPr>
        <w:pict w14:anchorId="47A9B2D7">
          <v:rect id="_x0000_i1070" style="width:0;height:1.5pt" o:hralign="center" o:hrstd="t" o:hr="t" fillcolor="#a0a0a0" stroked="f"/>
        </w:pict>
      </w:r>
    </w:p>
    <w:p w14:paraId="2C329EFD" w14:textId="77777777" w:rsidR="00000000" w:rsidRDefault="00582324">
      <w:pPr>
        <w:pStyle w:val="a3"/>
        <w:spacing w:before="0" w:beforeAutospacing="0" w:after="0" w:afterAutospacing="0"/>
        <w:rPr>
          <w:sz w:val="20"/>
          <w:szCs w:val="20"/>
        </w:rPr>
      </w:pPr>
      <w:r>
        <w:rPr>
          <w:sz w:val="20"/>
          <w:szCs w:val="20"/>
        </w:rPr>
        <w:t> </w:t>
      </w:r>
    </w:p>
    <w:p w14:paraId="2D0A1BAA" w14:textId="77777777" w:rsidR="00000000" w:rsidRDefault="00582324">
      <w:pPr>
        <w:pStyle w:val="a3"/>
        <w:shd w:val="clear" w:color="auto" w:fill="FFFFFF"/>
        <w:spacing w:before="120" w:beforeAutospacing="0" w:after="0" w:afterAutospacing="0"/>
        <w:rPr>
          <w:color w:val="000000"/>
          <w:sz w:val="20"/>
          <w:szCs w:val="20"/>
        </w:rPr>
      </w:pPr>
      <w:r>
        <w:rPr>
          <w:color w:val="000000"/>
          <w:sz w:val="20"/>
          <w:szCs w:val="20"/>
        </w:rPr>
        <w:t>our operations and acquisitions from a combination of cash generated from operations, periodic borrowings under senior secured credit facilities, other prior secured and unsecured borrowings and proceeds from the issuance of common and preferred stock. Our</w:t>
      </w:r>
      <w:r>
        <w:rPr>
          <w:color w:val="000000"/>
          <w:sz w:val="20"/>
          <w:szCs w:val="20"/>
        </w:rPr>
        <w:t xml:space="preserve"> primary cash needs are for day to day operations, to fund working capital requirements, to fund our acquisition strategy and any related cash earn-out obligations, to pay interest and principal on our indebtedness and dividends on our Series A-2 preferred</w:t>
      </w:r>
      <w:r>
        <w:rPr>
          <w:color w:val="000000"/>
          <w:sz w:val="20"/>
          <w:szCs w:val="20"/>
        </w:rPr>
        <w:t xml:space="preserve"> stock, and to make capital expenditures. Additionally, the CTEH acquisition agreement includes an earn-out provision that provides for the payment of contingent consideration based on CTEH’s 2021 results in an aggregate amount not to exceed $30.0 million,</w:t>
      </w:r>
      <w:r>
        <w:rPr>
          <w:color w:val="000000"/>
          <w:sz w:val="20"/>
          <w:szCs w:val="20"/>
        </w:rPr>
        <w:t xml:space="preserve"> with the earn-out payment equal to a specified multiple of CTEH’s EBITDA for 2021 in excess of a specified target. Any payment in respect of 2021 will be payable in cash. See Note 7 to our unaudited condensed consolidated financial statements included in </w:t>
      </w:r>
      <w:r>
        <w:rPr>
          <w:color w:val="000000"/>
          <w:sz w:val="20"/>
          <w:szCs w:val="20"/>
        </w:rPr>
        <w:t xml:space="preserve">Part 1, Item 1. “Financial Statements.” </w:t>
      </w:r>
    </w:p>
    <w:p w14:paraId="77D414B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We expect to continue to fund our liquidity requirements, including any cash earn-out payments that may be required in connection with acquisitions, through cash generated from operations and borrowings under our cr</w:t>
      </w:r>
      <w:r>
        <w:rPr>
          <w:color w:val="000000"/>
          <w:sz w:val="20"/>
          <w:szCs w:val="20"/>
        </w:rPr>
        <w:t xml:space="preserve">edit facility. We believe these sources will be sufficient to fund our cash needs for the next twelve months. See “—COVID-19” above for a discussion of the impact of the pandemic on our liquidity. </w:t>
      </w:r>
    </w:p>
    <w:p w14:paraId="1E2C512E"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Cash Flows</w:t>
      </w:r>
    </w:p>
    <w:p w14:paraId="2533264F"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The following table summarizes our cash flows for the periods presented:</w:t>
      </w:r>
    </w:p>
    <w:p w14:paraId="36515AF3"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05"/>
        <w:gridCol w:w="722"/>
        <w:gridCol w:w="75"/>
        <w:gridCol w:w="67"/>
        <w:gridCol w:w="105"/>
        <w:gridCol w:w="724"/>
        <w:gridCol w:w="75"/>
      </w:tblGrid>
      <w:tr w:rsidR="00000000" w14:paraId="35C94E34" w14:textId="77777777">
        <w:trPr>
          <w:divId w:val="1430277833"/>
        </w:trPr>
        <w:tc>
          <w:tcPr>
            <w:tcW w:w="3354" w:type="pct"/>
            <w:shd w:val="clear" w:color="auto" w:fill="FFFFFF"/>
            <w:tcMar>
              <w:top w:w="15" w:type="dxa"/>
              <w:left w:w="0" w:type="dxa"/>
              <w:bottom w:w="0" w:type="dxa"/>
              <w:right w:w="15" w:type="dxa"/>
            </w:tcMar>
            <w:vAlign w:val="bottom"/>
            <w:hideMark/>
          </w:tcPr>
          <w:p w14:paraId="6A1AE33B" w14:textId="77777777" w:rsidR="00000000" w:rsidRDefault="00582324">
            <w:pPr>
              <w:pStyle w:val="a3"/>
              <w:spacing w:before="0" w:beforeAutospacing="0" w:after="0" w:afterAutospacing="0"/>
              <w:rPr>
                <w:sz w:val="18"/>
                <w:szCs w:val="18"/>
              </w:rPr>
            </w:pPr>
            <w:r>
              <w:rPr>
                <w:sz w:val="18"/>
                <w:szCs w:val="18"/>
              </w:rPr>
              <w:t> </w:t>
            </w:r>
          </w:p>
        </w:tc>
        <w:tc>
          <w:tcPr>
            <w:tcW w:w="79" w:type="pct"/>
            <w:shd w:val="clear" w:color="auto" w:fill="FFFFFF"/>
            <w:tcMar>
              <w:top w:w="15" w:type="dxa"/>
              <w:left w:w="0" w:type="dxa"/>
              <w:bottom w:w="0" w:type="dxa"/>
              <w:right w:w="15" w:type="dxa"/>
            </w:tcMar>
            <w:vAlign w:val="bottom"/>
            <w:hideMark/>
          </w:tcPr>
          <w:p w14:paraId="248C4F2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35C5B3F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Six Months Ended June 30,</w:t>
            </w:r>
          </w:p>
        </w:tc>
        <w:tc>
          <w:tcPr>
            <w:tcW w:w="50" w:type="pct"/>
            <w:shd w:val="clear" w:color="auto" w:fill="FFFFFF"/>
            <w:noWrap/>
            <w:tcMar>
              <w:top w:w="15" w:type="dxa"/>
              <w:left w:w="0" w:type="dxa"/>
              <w:bottom w:w="0" w:type="dxa"/>
              <w:right w:w="15" w:type="dxa"/>
            </w:tcMar>
            <w:vAlign w:val="bottom"/>
            <w:hideMark/>
          </w:tcPr>
          <w:p w14:paraId="7C96871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122C00D" w14:textId="77777777">
        <w:trPr>
          <w:divId w:val="1430277833"/>
        </w:trPr>
        <w:tc>
          <w:tcPr>
            <w:tcW w:w="3354" w:type="pct"/>
            <w:shd w:val="clear" w:color="auto" w:fill="FFFFFF"/>
            <w:tcMar>
              <w:top w:w="15" w:type="dxa"/>
              <w:left w:w="0" w:type="dxa"/>
              <w:bottom w:w="0" w:type="dxa"/>
              <w:right w:w="15" w:type="dxa"/>
            </w:tcMar>
            <w:vAlign w:val="bottom"/>
            <w:hideMark/>
          </w:tcPr>
          <w:p w14:paraId="06C9FA6F"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w:t>
            </w:r>
          </w:p>
        </w:tc>
        <w:tc>
          <w:tcPr>
            <w:tcW w:w="79" w:type="pct"/>
            <w:shd w:val="clear" w:color="auto" w:fill="FFFFFF"/>
            <w:tcMar>
              <w:top w:w="15" w:type="dxa"/>
              <w:left w:w="0" w:type="dxa"/>
              <w:bottom w:w="0" w:type="dxa"/>
              <w:right w:w="15" w:type="dxa"/>
            </w:tcMar>
            <w:vAlign w:val="bottom"/>
            <w:hideMark/>
          </w:tcPr>
          <w:p w14:paraId="0D992A2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F1D12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22F0F87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1177E0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FB5C8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4C1873E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7F3AAEA" w14:textId="77777777">
        <w:trPr>
          <w:divId w:val="1430277833"/>
        </w:trPr>
        <w:tc>
          <w:tcPr>
            <w:tcW w:w="3354" w:type="pct"/>
            <w:shd w:val="clear" w:color="auto" w:fill="CFF0FC"/>
            <w:tcMar>
              <w:top w:w="15" w:type="dxa"/>
              <w:left w:w="0" w:type="dxa"/>
              <w:bottom w:w="0" w:type="dxa"/>
              <w:right w:w="15" w:type="dxa"/>
            </w:tcMar>
            <w:hideMark/>
          </w:tcPr>
          <w:p w14:paraId="0D2EA4D8" w14:textId="77777777" w:rsidR="00000000" w:rsidRDefault="00582324">
            <w:pPr>
              <w:pStyle w:val="a3"/>
              <w:spacing w:before="0" w:beforeAutospacing="0" w:after="0" w:afterAutospacing="0"/>
              <w:rPr>
                <w:b/>
                <w:bCs/>
                <w:color w:val="000000"/>
                <w:sz w:val="18"/>
                <w:szCs w:val="18"/>
              </w:rPr>
            </w:pPr>
            <w:r>
              <w:rPr>
                <w:b/>
                <w:bCs/>
                <w:color w:val="000000"/>
                <w:sz w:val="18"/>
                <w:szCs w:val="18"/>
              </w:rPr>
              <w:t>Consolidated Statement of Cash Flows Data:</w:t>
            </w:r>
          </w:p>
        </w:tc>
        <w:tc>
          <w:tcPr>
            <w:tcW w:w="79" w:type="pct"/>
            <w:shd w:val="clear" w:color="auto" w:fill="CFF0FC"/>
            <w:tcMar>
              <w:top w:w="15" w:type="dxa"/>
              <w:left w:w="0" w:type="dxa"/>
              <w:bottom w:w="0" w:type="dxa"/>
              <w:right w:w="15" w:type="dxa"/>
            </w:tcMar>
            <w:vAlign w:val="bottom"/>
            <w:hideMark/>
          </w:tcPr>
          <w:p w14:paraId="5176981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B53E8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3D2BFC1C"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7393D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CFF0FC"/>
            <w:tcMar>
              <w:top w:w="15" w:type="dxa"/>
              <w:left w:w="0" w:type="dxa"/>
              <w:bottom w:w="0" w:type="dxa"/>
              <w:right w:w="15" w:type="dxa"/>
            </w:tcMar>
            <w:vAlign w:val="bottom"/>
            <w:hideMark/>
          </w:tcPr>
          <w:p w14:paraId="7BFA840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A6F4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23F9006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90615B"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E91FFDD" w14:textId="77777777">
        <w:trPr>
          <w:divId w:val="1430277833"/>
        </w:trPr>
        <w:tc>
          <w:tcPr>
            <w:tcW w:w="3354" w:type="pct"/>
            <w:shd w:val="clear" w:color="auto" w:fill="FFFFFF"/>
            <w:tcMar>
              <w:top w:w="15" w:type="dxa"/>
              <w:left w:w="0" w:type="dxa"/>
              <w:bottom w:w="0" w:type="dxa"/>
              <w:right w:w="15" w:type="dxa"/>
            </w:tcMar>
            <w:hideMark/>
          </w:tcPr>
          <w:p w14:paraId="79F09817" w14:textId="77777777" w:rsidR="00000000" w:rsidRDefault="00582324">
            <w:pPr>
              <w:pStyle w:val="a3"/>
              <w:spacing w:before="0" w:beforeAutospacing="0" w:after="0" w:afterAutospacing="0"/>
              <w:rPr>
                <w:color w:val="000000"/>
                <w:sz w:val="18"/>
                <w:szCs w:val="18"/>
              </w:rPr>
            </w:pPr>
            <w:r>
              <w:rPr>
                <w:color w:val="000000"/>
                <w:sz w:val="18"/>
                <w:szCs w:val="18"/>
              </w:rPr>
              <w:t>Net cash used in operating activities</w:t>
            </w:r>
          </w:p>
        </w:tc>
        <w:tc>
          <w:tcPr>
            <w:tcW w:w="79" w:type="pct"/>
            <w:shd w:val="clear" w:color="auto" w:fill="FFFFFF"/>
            <w:tcMar>
              <w:top w:w="15" w:type="dxa"/>
              <w:left w:w="0" w:type="dxa"/>
              <w:bottom w:w="0" w:type="dxa"/>
              <w:right w:w="15" w:type="dxa"/>
            </w:tcMar>
            <w:vAlign w:val="bottom"/>
            <w:hideMark/>
          </w:tcPr>
          <w:p w14:paraId="1E07965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1EE49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3" w:type="pct"/>
            <w:shd w:val="clear" w:color="auto" w:fill="FFFFFF"/>
            <w:noWrap/>
            <w:tcMar>
              <w:top w:w="15" w:type="dxa"/>
              <w:left w:w="0" w:type="dxa"/>
              <w:bottom w:w="0" w:type="dxa"/>
              <w:right w:w="15" w:type="dxa"/>
            </w:tcMar>
            <w:vAlign w:val="bottom"/>
            <w:hideMark/>
          </w:tcPr>
          <w:p w14:paraId="50353B8B" w14:textId="77777777" w:rsidR="00000000" w:rsidRDefault="00582324">
            <w:pPr>
              <w:pStyle w:val="a3"/>
              <w:spacing w:before="0" w:beforeAutospacing="0" w:after="0" w:afterAutospacing="0"/>
              <w:jc w:val="right"/>
              <w:rPr>
                <w:color w:val="000000"/>
                <w:sz w:val="18"/>
                <w:szCs w:val="18"/>
              </w:rPr>
            </w:pPr>
            <w:r>
              <w:rPr>
                <w:color w:val="000000"/>
                <w:sz w:val="18"/>
                <w:szCs w:val="18"/>
              </w:rPr>
              <w:t>(17,046</w:t>
            </w:r>
          </w:p>
        </w:tc>
        <w:tc>
          <w:tcPr>
            <w:tcW w:w="50" w:type="pct"/>
            <w:shd w:val="clear" w:color="auto" w:fill="FFFFFF"/>
            <w:noWrap/>
            <w:tcMar>
              <w:top w:w="15" w:type="dxa"/>
              <w:left w:w="0" w:type="dxa"/>
              <w:bottom w:w="0" w:type="dxa"/>
              <w:right w:w="15" w:type="dxa"/>
            </w:tcMar>
            <w:vAlign w:val="bottom"/>
            <w:hideMark/>
          </w:tcPr>
          <w:p w14:paraId="253A1B8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FFFFFF"/>
            <w:tcMar>
              <w:top w:w="15" w:type="dxa"/>
              <w:left w:w="0" w:type="dxa"/>
              <w:bottom w:w="0" w:type="dxa"/>
              <w:right w:w="15" w:type="dxa"/>
            </w:tcMar>
            <w:vAlign w:val="bottom"/>
            <w:hideMark/>
          </w:tcPr>
          <w:p w14:paraId="413F410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AE260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43" w:type="pct"/>
            <w:shd w:val="clear" w:color="auto" w:fill="FFFFFF"/>
            <w:noWrap/>
            <w:tcMar>
              <w:top w:w="15" w:type="dxa"/>
              <w:left w:w="0" w:type="dxa"/>
              <w:bottom w:w="0" w:type="dxa"/>
              <w:right w:w="15" w:type="dxa"/>
            </w:tcMar>
            <w:vAlign w:val="bottom"/>
            <w:hideMark/>
          </w:tcPr>
          <w:p w14:paraId="5DF57969" w14:textId="77777777" w:rsidR="00000000" w:rsidRDefault="00582324">
            <w:pPr>
              <w:pStyle w:val="a3"/>
              <w:spacing w:before="0" w:beforeAutospacing="0" w:after="0" w:afterAutospacing="0"/>
              <w:jc w:val="right"/>
              <w:rPr>
                <w:color w:val="000000"/>
                <w:sz w:val="18"/>
                <w:szCs w:val="18"/>
              </w:rPr>
            </w:pPr>
            <w:r>
              <w:rPr>
                <w:color w:val="000000"/>
                <w:sz w:val="18"/>
                <w:szCs w:val="18"/>
              </w:rPr>
              <w:t>(1,584</w:t>
            </w:r>
          </w:p>
        </w:tc>
        <w:tc>
          <w:tcPr>
            <w:tcW w:w="50" w:type="pct"/>
            <w:shd w:val="clear" w:color="auto" w:fill="FFFFFF"/>
            <w:noWrap/>
            <w:tcMar>
              <w:top w:w="15" w:type="dxa"/>
              <w:left w:w="0" w:type="dxa"/>
              <w:bottom w:w="0" w:type="dxa"/>
              <w:right w:w="15" w:type="dxa"/>
            </w:tcMar>
            <w:vAlign w:val="bottom"/>
            <w:hideMark/>
          </w:tcPr>
          <w:p w14:paraId="2D3FAB0E"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2E4EB75D" w14:textId="77777777">
        <w:trPr>
          <w:divId w:val="1430277833"/>
        </w:trPr>
        <w:tc>
          <w:tcPr>
            <w:tcW w:w="3354" w:type="pct"/>
            <w:shd w:val="clear" w:color="auto" w:fill="CFF0FC"/>
            <w:tcMar>
              <w:top w:w="15" w:type="dxa"/>
              <w:left w:w="0" w:type="dxa"/>
              <w:bottom w:w="0" w:type="dxa"/>
              <w:right w:w="15" w:type="dxa"/>
            </w:tcMar>
            <w:hideMark/>
          </w:tcPr>
          <w:p w14:paraId="4211C1F0" w14:textId="77777777" w:rsidR="00000000" w:rsidRDefault="00582324">
            <w:pPr>
              <w:pStyle w:val="a3"/>
              <w:spacing w:before="0" w:beforeAutospacing="0" w:after="0" w:afterAutospacing="0"/>
              <w:rPr>
                <w:color w:val="000000"/>
                <w:sz w:val="18"/>
                <w:szCs w:val="18"/>
              </w:rPr>
            </w:pPr>
            <w:r>
              <w:rPr>
                <w:color w:val="000000"/>
                <w:sz w:val="18"/>
                <w:szCs w:val="18"/>
              </w:rPr>
              <w:t>Net cash used in investing activities</w:t>
            </w:r>
          </w:p>
        </w:tc>
        <w:tc>
          <w:tcPr>
            <w:tcW w:w="79" w:type="pct"/>
            <w:shd w:val="clear" w:color="auto" w:fill="CFF0FC"/>
            <w:tcMar>
              <w:top w:w="15" w:type="dxa"/>
              <w:left w:w="0" w:type="dxa"/>
              <w:bottom w:w="0" w:type="dxa"/>
              <w:right w:w="15" w:type="dxa"/>
            </w:tcMar>
            <w:vAlign w:val="bottom"/>
            <w:hideMark/>
          </w:tcPr>
          <w:p w14:paraId="3E49E962"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8B1C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57C6F626" w14:textId="77777777" w:rsidR="00000000" w:rsidRDefault="00582324">
            <w:pPr>
              <w:pStyle w:val="a3"/>
              <w:spacing w:before="0" w:beforeAutospacing="0" w:after="0" w:afterAutospacing="0"/>
              <w:jc w:val="right"/>
              <w:rPr>
                <w:color w:val="000000"/>
                <w:sz w:val="18"/>
                <w:szCs w:val="18"/>
              </w:rPr>
            </w:pPr>
            <w:r>
              <w:rPr>
                <w:color w:val="000000"/>
                <w:sz w:val="18"/>
                <w:szCs w:val="18"/>
              </w:rPr>
              <w:t>(25,815</w:t>
            </w:r>
          </w:p>
        </w:tc>
        <w:tc>
          <w:tcPr>
            <w:tcW w:w="50" w:type="pct"/>
            <w:shd w:val="clear" w:color="auto" w:fill="CFF0FC"/>
            <w:noWrap/>
            <w:tcMar>
              <w:top w:w="15" w:type="dxa"/>
              <w:left w:w="0" w:type="dxa"/>
              <w:bottom w:w="0" w:type="dxa"/>
              <w:right w:w="15" w:type="dxa"/>
            </w:tcMar>
            <w:vAlign w:val="bottom"/>
            <w:hideMark/>
          </w:tcPr>
          <w:p w14:paraId="06DDED2B"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79" w:type="pct"/>
            <w:shd w:val="clear" w:color="auto" w:fill="CFF0FC"/>
            <w:tcMar>
              <w:top w:w="15" w:type="dxa"/>
              <w:left w:w="0" w:type="dxa"/>
              <w:bottom w:w="0" w:type="dxa"/>
              <w:right w:w="15" w:type="dxa"/>
            </w:tcMar>
            <w:vAlign w:val="bottom"/>
            <w:hideMark/>
          </w:tcPr>
          <w:p w14:paraId="0AE04A8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9841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shd w:val="clear" w:color="auto" w:fill="CFF0FC"/>
            <w:noWrap/>
            <w:tcMar>
              <w:top w:w="15" w:type="dxa"/>
              <w:left w:w="0" w:type="dxa"/>
              <w:bottom w:w="0" w:type="dxa"/>
              <w:right w:w="15" w:type="dxa"/>
            </w:tcMar>
            <w:vAlign w:val="bottom"/>
            <w:hideMark/>
          </w:tcPr>
          <w:p w14:paraId="410D6D5A" w14:textId="77777777" w:rsidR="00000000" w:rsidRDefault="00582324">
            <w:pPr>
              <w:pStyle w:val="a3"/>
              <w:spacing w:before="0" w:beforeAutospacing="0" w:after="0" w:afterAutospacing="0"/>
              <w:jc w:val="right"/>
              <w:rPr>
                <w:color w:val="000000"/>
                <w:sz w:val="18"/>
                <w:szCs w:val="18"/>
              </w:rPr>
            </w:pPr>
            <w:r>
              <w:rPr>
                <w:color w:val="000000"/>
                <w:sz w:val="18"/>
                <w:szCs w:val="18"/>
              </w:rPr>
              <w:t>(173,969</w:t>
            </w:r>
          </w:p>
        </w:tc>
        <w:tc>
          <w:tcPr>
            <w:tcW w:w="50" w:type="pct"/>
            <w:shd w:val="clear" w:color="auto" w:fill="CFF0FC"/>
            <w:noWrap/>
            <w:tcMar>
              <w:top w:w="15" w:type="dxa"/>
              <w:left w:w="0" w:type="dxa"/>
              <w:bottom w:w="0" w:type="dxa"/>
              <w:right w:w="15" w:type="dxa"/>
            </w:tcMar>
            <w:vAlign w:val="bottom"/>
            <w:hideMark/>
          </w:tcPr>
          <w:p w14:paraId="3B28FBC0"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41B3142D" w14:textId="77777777">
        <w:trPr>
          <w:divId w:val="1430277833"/>
        </w:trPr>
        <w:tc>
          <w:tcPr>
            <w:tcW w:w="3354" w:type="pct"/>
            <w:shd w:val="clear" w:color="auto" w:fill="FFFFFF"/>
            <w:tcMar>
              <w:top w:w="15" w:type="dxa"/>
              <w:left w:w="0" w:type="dxa"/>
              <w:bottom w:w="0" w:type="dxa"/>
              <w:right w:w="15" w:type="dxa"/>
            </w:tcMar>
            <w:hideMark/>
          </w:tcPr>
          <w:p w14:paraId="1CDD309F" w14:textId="77777777" w:rsidR="00000000" w:rsidRDefault="00582324">
            <w:pPr>
              <w:pStyle w:val="a3"/>
              <w:spacing w:before="0" w:beforeAutospacing="0" w:after="0" w:afterAutospacing="0"/>
              <w:rPr>
                <w:color w:val="000000"/>
                <w:sz w:val="18"/>
                <w:szCs w:val="18"/>
              </w:rPr>
            </w:pPr>
            <w:r>
              <w:rPr>
                <w:color w:val="000000"/>
                <w:sz w:val="18"/>
                <w:szCs w:val="18"/>
              </w:rPr>
              <w:t>Net cash provided by financing activities</w:t>
            </w:r>
          </w:p>
        </w:tc>
        <w:tc>
          <w:tcPr>
            <w:tcW w:w="79" w:type="pct"/>
            <w:shd w:val="clear" w:color="auto" w:fill="FFFFFF"/>
            <w:tcMar>
              <w:top w:w="15" w:type="dxa"/>
              <w:left w:w="0" w:type="dxa"/>
              <w:bottom w:w="0" w:type="dxa"/>
              <w:right w:w="15" w:type="dxa"/>
            </w:tcMar>
            <w:vAlign w:val="bottom"/>
            <w:hideMark/>
          </w:tcPr>
          <w:p w14:paraId="6C9F025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291D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6364ECBC" w14:textId="77777777" w:rsidR="00000000" w:rsidRDefault="00582324">
            <w:pPr>
              <w:pStyle w:val="a3"/>
              <w:spacing w:before="0" w:beforeAutospacing="0" w:after="0" w:afterAutospacing="0"/>
              <w:jc w:val="right"/>
              <w:rPr>
                <w:color w:val="000000"/>
                <w:sz w:val="18"/>
                <w:szCs w:val="18"/>
              </w:rPr>
            </w:pPr>
            <w:r>
              <w:rPr>
                <w:color w:val="000000"/>
                <w:sz w:val="18"/>
                <w:szCs w:val="18"/>
              </w:rPr>
              <w:t>47,643</w:t>
            </w:r>
          </w:p>
        </w:tc>
        <w:tc>
          <w:tcPr>
            <w:tcW w:w="50" w:type="pct"/>
            <w:shd w:val="clear" w:color="auto" w:fill="FFFFFF"/>
            <w:noWrap/>
            <w:tcMar>
              <w:top w:w="15" w:type="dxa"/>
              <w:left w:w="0" w:type="dxa"/>
              <w:bottom w:w="0" w:type="dxa"/>
              <w:right w:w="15" w:type="dxa"/>
            </w:tcMar>
            <w:vAlign w:val="bottom"/>
            <w:hideMark/>
          </w:tcPr>
          <w:p w14:paraId="31DAD5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79" w:type="pct"/>
            <w:shd w:val="clear" w:color="auto" w:fill="FFFFFF"/>
            <w:tcMar>
              <w:top w:w="15" w:type="dxa"/>
              <w:left w:w="0" w:type="dxa"/>
              <w:bottom w:w="0" w:type="dxa"/>
              <w:right w:w="15" w:type="dxa"/>
            </w:tcMar>
            <w:vAlign w:val="bottom"/>
            <w:hideMark/>
          </w:tcPr>
          <w:p w14:paraId="333F08E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44F30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42C82CD" w14:textId="77777777" w:rsidR="00000000" w:rsidRDefault="00582324">
            <w:pPr>
              <w:pStyle w:val="a3"/>
              <w:spacing w:before="0" w:beforeAutospacing="0" w:after="0" w:afterAutospacing="0"/>
              <w:jc w:val="right"/>
              <w:rPr>
                <w:color w:val="000000"/>
                <w:sz w:val="18"/>
                <w:szCs w:val="18"/>
              </w:rPr>
            </w:pPr>
            <w:r>
              <w:rPr>
                <w:color w:val="000000"/>
                <w:sz w:val="18"/>
                <w:szCs w:val="18"/>
              </w:rPr>
              <w:t>213,412</w:t>
            </w:r>
          </w:p>
        </w:tc>
        <w:tc>
          <w:tcPr>
            <w:tcW w:w="50" w:type="pct"/>
            <w:shd w:val="clear" w:color="auto" w:fill="FFFFFF"/>
            <w:noWrap/>
            <w:tcMar>
              <w:top w:w="15" w:type="dxa"/>
              <w:left w:w="0" w:type="dxa"/>
              <w:bottom w:w="0" w:type="dxa"/>
              <w:right w:w="15" w:type="dxa"/>
            </w:tcMar>
            <w:vAlign w:val="bottom"/>
            <w:hideMark/>
          </w:tcPr>
          <w:p w14:paraId="2AA2C6D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5D8DAC2" w14:textId="77777777">
        <w:trPr>
          <w:divId w:val="1430277833"/>
        </w:trPr>
        <w:tc>
          <w:tcPr>
            <w:tcW w:w="3354" w:type="pct"/>
            <w:shd w:val="clear" w:color="auto" w:fill="CFF0FC"/>
            <w:tcMar>
              <w:top w:w="15" w:type="dxa"/>
              <w:left w:w="0" w:type="dxa"/>
              <w:bottom w:w="0" w:type="dxa"/>
              <w:right w:w="15" w:type="dxa"/>
            </w:tcMar>
            <w:hideMark/>
          </w:tcPr>
          <w:p w14:paraId="0E19D5AC" w14:textId="77777777" w:rsidR="00000000" w:rsidRDefault="00582324">
            <w:pPr>
              <w:pStyle w:val="a3"/>
              <w:spacing w:before="0" w:beforeAutospacing="0" w:after="0" w:afterAutospacing="0"/>
              <w:rPr>
                <w:b/>
                <w:bCs/>
                <w:color w:val="000000"/>
                <w:sz w:val="18"/>
                <w:szCs w:val="18"/>
              </w:rPr>
            </w:pPr>
            <w:r>
              <w:rPr>
                <w:b/>
                <w:bCs/>
                <w:color w:val="000000"/>
                <w:sz w:val="18"/>
                <w:szCs w:val="18"/>
              </w:rPr>
              <w:t>Change in cash, cash equivalents and restricted cash</w:t>
            </w:r>
          </w:p>
        </w:tc>
        <w:tc>
          <w:tcPr>
            <w:tcW w:w="79" w:type="pct"/>
            <w:shd w:val="clear" w:color="auto" w:fill="CFF0FC"/>
            <w:tcMar>
              <w:top w:w="15" w:type="dxa"/>
              <w:left w:w="0" w:type="dxa"/>
              <w:bottom w:w="0" w:type="dxa"/>
              <w:right w:w="15" w:type="dxa"/>
            </w:tcMar>
            <w:vAlign w:val="bottom"/>
            <w:hideMark/>
          </w:tcPr>
          <w:p w14:paraId="1026DA5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93E21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54C6E5"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4,782</w:t>
            </w:r>
          </w:p>
        </w:tc>
        <w:tc>
          <w:tcPr>
            <w:tcW w:w="50" w:type="pct"/>
            <w:shd w:val="clear" w:color="auto" w:fill="CFF0FC"/>
            <w:noWrap/>
            <w:tcMar>
              <w:top w:w="15" w:type="dxa"/>
              <w:left w:w="0" w:type="dxa"/>
              <w:bottom w:w="0" w:type="dxa"/>
              <w:right w:w="15" w:type="dxa"/>
            </w:tcMar>
            <w:vAlign w:val="bottom"/>
            <w:hideMark/>
          </w:tcPr>
          <w:p w14:paraId="685F30C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79" w:type="pct"/>
            <w:shd w:val="clear" w:color="auto" w:fill="CFF0FC"/>
            <w:tcMar>
              <w:top w:w="15" w:type="dxa"/>
              <w:left w:w="0" w:type="dxa"/>
              <w:bottom w:w="0" w:type="dxa"/>
              <w:right w:w="15" w:type="dxa"/>
            </w:tcMar>
            <w:vAlign w:val="bottom"/>
            <w:hideMark/>
          </w:tcPr>
          <w:p w14:paraId="26DF5095"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233B7E"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AE4909"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37,859</w:t>
            </w:r>
          </w:p>
        </w:tc>
        <w:tc>
          <w:tcPr>
            <w:tcW w:w="50" w:type="pct"/>
            <w:shd w:val="clear" w:color="auto" w:fill="CFF0FC"/>
            <w:noWrap/>
            <w:tcMar>
              <w:top w:w="15" w:type="dxa"/>
              <w:left w:w="0" w:type="dxa"/>
              <w:bottom w:w="0" w:type="dxa"/>
              <w:right w:w="15" w:type="dxa"/>
            </w:tcMar>
            <w:vAlign w:val="bottom"/>
            <w:hideMark/>
          </w:tcPr>
          <w:p w14:paraId="3334A634" w14:textId="77777777" w:rsidR="00000000" w:rsidRDefault="00582324">
            <w:pPr>
              <w:pStyle w:val="a3"/>
              <w:spacing w:before="0" w:beforeAutospacing="0" w:after="0" w:afterAutospacing="0"/>
              <w:rPr>
                <w:b/>
                <w:bCs/>
                <w:color w:val="000000"/>
                <w:sz w:val="2"/>
                <w:szCs w:val="2"/>
              </w:rPr>
            </w:pPr>
            <w:r>
              <w:rPr>
                <w:b/>
                <w:bCs/>
                <w:color w:val="000000"/>
                <w:sz w:val="2"/>
                <w:szCs w:val="2"/>
              </w:rPr>
              <w:t> </w:t>
            </w:r>
          </w:p>
        </w:tc>
      </w:tr>
    </w:tbl>
    <w:p w14:paraId="6B4CEAFD"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0DFD3B1" w14:textId="77777777" w:rsidR="00000000" w:rsidRDefault="00582324">
      <w:pPr>
        <w:pStyle w:val="a3"/>
        <w:shd w:val="clear" w:color="auto" w:fill="FFFFFF"/>
        <w:spacing w:before="160" w:beforeAutospacing="0" w:after="0" w:afterAutospacing="0"/>
        <w:ind w:left="357"/>
        <w:rPr>
          <w:b/>
          <w:bCs/>
          <w:i/>
          <w:iCs/>
          <w:color w:val="000000"/>
          <w:sz w:val="20"/>
          <w:szCs w:val="20"/>
        </w:rPr>
      </w:pPr>
      <w:r>
        <w:rPr>
          <w:b/>
          <w:bCs/>
          <w:i/>
          <w:iCs/>
          <w:color w:val="000000"/>
          <w:sz w:val="20"/>
          <w:szCs w:val="20"/>
        </w:rPr>
        <w:t>Operating Activities</w:t>
      </w:r>
    </w:p>
    <w:p w14:paraId="25C8D072"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Cash flows from operating activities can fluctuate from period-to-period as earnings, working capital needs and the timing of payments for contingent consideration, taxes, bonus payments and other operating items impact reported cash flows. </w:t>
      </w:r>
    </w:p>
    <w:p w14:paraId="23F16029" w14:textId="77777777" w:rsidR="00000000" w:rsidRDefault="00582324">
      <w:pPr>
        <w:pStyle w:val="a3"/>
        <w:shd w:val="clear" w:color="auto" w:fill="FFFFFF"/>
        <w:spacing w:before="0" w:beforeAutospacing="0" w:after="0" w:afterAutospacing="0"/>
        <w:rPr>
          <w:sz w:val="20"/>
          <w:szCs w:val="20"/>
        </w:rPr>
      </w:pPr>
      <w:r>
        <w:rPr>
          <w:sz w:val="20"/>
          <w:szCs w:val="20"/>
        </w:rPr>
        <w:t> </w:t>
      </w:r>
    </w:p>
    <w:p w14:paraId="7E02D374"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rPr>
        <w:t xml:space="preserve">For the six </w:t>
      </w:r>
      <w:r>
        <w:rPr>
          <w:color w:val="000000"/>
          <w:sz w:val="20"/>
          <w:szCs w:val="20"/>
        </w:rPr>
        <w:t>months ended June 30, 2021, net cash used in operating activities was $17.0 million compared to net cash used in operating activities of $1.6 million for the six months ended June 30, 2020. Cash used in operations includes payment of contingent considerati</w:t>
      </w:r>
      <w:r>
        <w:rPr>
          <w:color w:val="000000"/>
          <w:sz w:val="20"/>
          <w:szCs w:val="20"/>
        </w:rPr>
        <w:t>on of $15.5 million and $6.2 million in the six months ended June 30, 2021 and June 30, 2020, respectively. Excluding payment of contingent consideration, cash used in operating activities was $1.5 million, compared to cash provided by operating activities</w:t>
      </w:r>
      <w:r>
        <w:rPr>
          <w:color w:val="000000"/>
          <w:sz w:val="20"/>
          <w:szCs w:val="20"/>
        </w:rPr>
        <w:t xml:space="preserve"> of $4.6 million in the prior year, a decrease of $6.1 million. The period-over-period decrease was primarily due to the $30.9 million increase in working capital in the current year versus the prior year change in working capital. The increase in working </w:t>
      </w:r>
      <w:r>
        <w:rPr>
          <w:color w:val="000000"/>
          <w:sz w:val="20"/>
          <w:szCs w:val="20"/>
        </w:rPr>
        <w:t xml:space="preserve">capital in the current year is as a result of the increase revenues in the current quarter versus the fourth quarter of 2020. The increase in working capital was partially offset by higher year-to-date earnings before contingent consideration payments and </w:t>
      </w:r>
      <w:r>
        <w:rPr>
          <w:color w:val="000000"/>
          <w:sz w:val="20"/>
          <w:szCs w:val="20"/>
        </w:rPr>
        <w:t>non-cash items, including bad debt, depreciation and amortization, stock-based compensation expense, write-off of deferred debt issuance costs, deferred taxes and fair value adjustments of $23.3 million and lower cloud computing costs of $1.2 million.</w:t>
      </w:r>
    </w:p>
    <w:p w14:paraId="4D77076F" w14:textId="77777777" w:rsidR="00000000" w:rsidRDefault="00582324">
      <w:pPr>
        <w:pStyle w:val="a3"/>
        <w:shd w:val="clear" w:color="auto" w:fill="FFFFFF"/>
        <w:spacing w:before="0" w:beforeAutospacing="0" w:after="0" w:afterAutospacing="0"/>
        <w:rPr>
          <w:sz w:val="20"/>
          <w:szCs w:val="20"/>
        </w:rPr>
      </w:pPr>
      <w:r>
        <w:rPr>
          <w:sz w:val="20"/>
          <w:szCs w:val="20"/>
        </w:rPr>
        <w:t> </w:t>
      </w:r>
    </w:p>
    <w:p w14:paraId="6A64F9F9"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rPr>
        <w:t>Working capital increased by $30.9 million in the six months ended June 30, 2021, primarily due to an increase in accounts receivable and contract assets of $31.0 million (as a result of significantly higher revenues in the three months ended June 30, 2021</w:t>
      </w:r>
      <w:r>
        <w:rPr>
          <w:color w:val="000000"/>
          <w:sz w:val="20"/>
          <w:szCs w:val="20"/>
        </w:rPr>
        <w:t xml:space="preserve"> when compared to the three months ended December 31, 2020), as well as lower accrued payroll and benefits of $2.8 million from higher annual bonus payments made in the first quarter of 2021, partially offset by a decrease in prepaid expenses and other cur</w:t>
      </w:r>
      <w:r>
        <w:rPr>
          <w:color w:val="000000"/>
          <w:sz w:val="20"/>
          <w:szCs w:val="20"/>
        </w:rPr>
        <w:t>rent assets of $1.3 million, as compared to a decrease in working capital of $0.2 million in the six months ended June 30, 2020, which was driven by a decrease in accounts receivable and contract assets of $7.4 million, as well as higher accrued payroll an</w:t>
      </w:r>
      <w:r>
        <w:rPr>
          <w:color w:val="000000"/>
          <w:sz w:val="20"/>
          <w:szCs w:val="20"/>
        </w:rPr>
        <w:t xml:space="preserve">d benefits of $1.9 million, partially offset by an increase in accounts payable and accrued liabilities of $10.1 million and an increase in prepaid expenses and other current assets of $2.1 million. </w:t>
      </w:r>
    </w:p>
    <w:p w14:paraId="3ED6BEB1"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Investing Activities</w:t>
      </w:r>
    </w:p>
    <w:p w14:paraId="4F5E6218"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For the six months ended June 30, 2</w:t>
      </w:r>
      <w:r>
        <w:rPr>
          <w:color w:val="000000"/>
          <w:sz w:val="20"/>
          <w:szCs w:val="20"/>
        </w:rPr>
        <w:t>021, net cash used in investing activities was $25.8 million, primarily driven by cash paid for the acquisitions of MSE and Vista, net of cash acquired, of $14.9 million, as well as payment of assumed purchase price obligations of $8.4 million, and purchas</w:t>
      </w:r>
      <w:r>
        <w:rPr>
          <w:color w:val="000000"/>
          <w:sz w:val="20"/>
          <w:szCs w:val="20"/>
        </w:rPr>
        <w:t>es of property and equipment for cash consideration of $2.6 million.</w:t>
      </w:r>
    </w:p>
    <w:p w14:paraId="72E60BBB"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p w14:paraId="7E5CFD0A" w14:textId="77777777" w:rsidR="00000000" w:rsidRDefault="00582324">
      <w:pPr>
        <w:pStyle w:val="a3"/>
        <w:spacing w:before="240" w:beforeAutospacing="0" w:after="0" w:afterAutospacing="0"/>
        <w:jc w:val="center"/>
        <w:rPr>
          <w:sz w:val="20"/>
          <w:szCs w:val="20"/>
        </w:rPr>
      </w:pPr>
      <w:r>
        <w:rPr>
          <w:sz w:val="20"/>
          <w:szCs w:val="20"/>
        </w:rPr>
        <w:t>45</w:t>
      </w:r>
    </w:p>
    <w:p w14:paraId="50646F6E" w14:textId="77777777" w:rsidR="00000000" w:rsidRDefault="00582324">
      <w:pPr>
        <w:rPr>
          <w:rFonts w:eastAsia="Times New Roman"/>
        </w:rPr>
      </w:pPr>
      <w:r>
        <w:rPr>
          <w:rFonts w:eastAsia="Times New Roman"/>
        </w:rPr>
        <w:pict w14:anchorId="543EB041">
          <v:rect id="_x0000_i1071" style="width:0;height:1.5pt" o:hralign="center" o:hrstd="t" o:hr="t" fillcolor="#a0a0a0" stroked="f"/>
        </w:pict>
      </w:r>
    </w:p>
    <w:p w14:paraId="3813A01C" w14:textId="77777777" w:rsidR="00000000" w:rsidRDefault="00582324">
      <w:pPr>
        <w:pStyle w:val="a3"/>
        <w:spacing w:before="0" w:beforeAutospacing="0" w:after="0" w:afterAutospacing="0"/>
        <w:rPr>
          <w:sz w:val="20"/>
          <w:szCs w:val="20"/>
        </w:rPr>
      </w:pPr>
      <w:r>
        <w:rPr>
          <w:sz w:val="20"/>
          <w:szCs w:val="20"/>
        </w:rPr>
        <w:t> </w:t>
      </w:r>
    </w:p>
    <w:p w14:paraId="63F22125" w14:textId="77777777" w:rsidR="00000000" w:rsidRDefault="00582324">
      <w:pPr>
        <w:pStyle w:val="a3"/>
        <w:spacing w:before="0" w:beforeAutospacing="0" w:after="0" w:afterAutospacing="0"/>
        <w:rPr>
          <w:sz w:val="20"/>
          <w:szCs w:val="20"/>
        </w:rPr>
      </w:pPr>
      <w:r>
        <w:rPr>
          <w:sz w:val="20"/>
          <w:szCs w:val="20"/>
        </w:rPr>
        <w:t> </w:t>
      </w:r>
    </w:p>
    <w:p w14:paraId="5AEE7383"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rPr>
        <w:t>For the six months ended June 30, 2020, net cash used in investing activities was $174.0 million, primarily driven by cash paid for the acquis</w:t>
      </w:r>
      <w:r>
        <w:rPr>
          <w:color w:val="000000"/>
          <w:sz w:val="20"/>
          <w:szCs w:val="20"/>
        </w:rPr>
        <w:t>ition of CTEH, net of cash acquired, of $173.5 million, as well as purchases of property and equipment for cash consideration of $3.2 million.</w:t>
      </w:r>
    </w:p>
    <w:p w14:paraId="08D25816" w14:textId="77777777" w:rsidR="00000000" w:rsidRDefault="00582324">
      <w:pPr>
        <w:pStyle w:val="a3"/>
        <w:shd w:val="clear" w:color="auto" w:fill="FFFFFF"/>
        <w:spacing w:before="360" w:beforeAutospacing="0" w:after="0" w:afterAutospacing="0"/>
        <w:ind w:left="357"/>
        <w:rPr>
          <w:b/>
          <w:bCs/>
          <w:i/>
          <w:iCs/>
          <w:color w:val="000000"/>
          <w:sz w:val="20"/>
          <w:szCs w:val="20"/>
        </w:rPr>
      </w:pPr>
      <w:r>
        <w:rPr>
          <w:b/>
          <w:bCs/>
          <w:i/>
          <w:iCs/>
          <w:color w:val="000000"/>
          <w:sz w:val="20"/>
          <w:szCs w:val="20"/>
        </w:rPr>
        <w:t>Financing Activities</w:t>
      </w:r>
    </w:p>
    <w:p w14:paraId="088A0243"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For the six months ended June 30, 2021, net cash provided by financing activities was $47.6 </w:t>
      </w:r>
      <w:r>
        <w:rPr>
          <w:color w:val="000000"/>
          <w:sz w:val="20"/>
          <w:szCs w:val="20"/>
        </w:rPr>
        <w:t xml:space="preserve">million. Cash provided by financing activities was driven by borrowings under the 2021 Credit Facility, consisting of $175.0 million under the term loan and $65.0 million under the revolver, and proceeds received from the exercise of stock options of $3.1 </w:t>
      </w:r>
      <w:r>
        <w:rPr>
          <w:color w:val="000000"/>
          <w:sz w:val="20"/>
          <w:szCs w:val="20"/>
        </w:rPr>
        <w:t>million, partially offset by the use of proceeds</w:t>
      </w:r>
      <w:r>
        <w:rPr>
          <w:color w:val="000000"/>
          <w:sz w:val="20"/>
          <w:szCs w:val="20"/>
          <w:shd w:val="clear" w:color="auto" w:fill="FFFFFF"/>
        </w:rPr>
        <w:t xml:space="preserve"> from the 2021 Credit Facility to repay the $213.4 million outstanding under the 2020 Credit Facility</w:t>
      </w:r>
      <w:r>
        <w:rPr>
          <w:color w:val="000000"/>
          <w:sz w:val="20"/>
          <w:szCs w:val="20"/>
        </w:rPr>
        <w:t>, the payment of the quarterly dividend on the Series A-2 preferred stock of $8.2 million, the payment of a</w:t>
      </w:r>
      <w:r>
        <w:rPr>
          <w:color w:val="000000"/>
          <w:sz w:val="20"/>
          <w:szCs w:val="20"/>
        </w:rPr>
        <w:t>cquisition-related contingent consideration of $9.6 million, and the repayment of finance leases of $1.1 million.</w:t>
      </w:r>
    </w:p>
    <w:p w14:paraId="318575A5"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p w14:paraId="67FF0259" w14:textId="77777777" w:rsidR="00000000" w:rsidRDefault="00582324">
      <w:pPr>
        <w:pStyle w:val="a3"/>
        <w:shd w:val="clear" w:color="auto" w:fill="FFFFFF"/>
        <w:spacing w:before="0" w:beforeAutospacing="0" w:after="0" w:afterAutospacing="0"/>
        <w:ind w:firstLine="416"/>
        <w:rPr>
          <w:color w:val="000000"/>
          <w:sz w:val="20"/>
          <w:szCs w:val="20"/>
        </w:rPr>
      </w:pPr>
      <w:r>
        <w:rPr>
          <w:color w:val="000000"/>
          <w:sz w:val="20"/>
          <w:szCs w:val="20"/>
          <w:shd w:val="clear" w:color="auto" w:fill="FFFFFF"/>
        </w:rPr>
        <w:t xml:space="preserve">For the six months ended June 30, 2020, net cash provided by financing activities was $213.4 million. Cash provided by financing activities </w:t>
      </w:r>
      <w:r>
        <w:rPr>
          <w:color w:val="000000"/>
          <w:sz w:val="20"/>
          <w:szCs w:val="20"/>
          <w:shd w:val="clear" w:color="auto" w:fill="FFFFFF"/>
        </w:rPr>
        <w:t>was driven by borrowings under the 2020 Credit Facility, consisting of $175.0 million under the term loan and $25.0 million under the revolver, as well as net proceeds of $173.7 million from the issuance of the Series A-2 preferred stock. Proceeds from the</w:t>
      </w:r>
      <w:r>
        <w:rPr>
          <w:color w:val="000000"/>
          <w:sz w:val="20"/>
          <w:szCs w:val="20"/>
          <w:shd w:val="clear" w:color="auto" w:fill="FFFFFF"/>
        </w:rPr>
        <w:t xml:space="preserve"> 2020 Credit Facility were used primarily to repay the $177.5 million outstanding under the Prior Senior Credit Facility, whereas proceeds from the issuance of the Series A-2 preferred stock were used to finance a portion of the acquisition of CTEH. Cash f</w:t>
      </w:r>
      <w:r>
        <w:rPr>
          <w:color w:val="000000"/>
          <w:sz w:val="20"/>
          <w:szCs w:val="20"/>
          <w:shd w:val="clear" w:color="auto" w:fill="FFFFFF"/>
        </w:rPr>
        <w:t>rom financing activities was also used to make payments of acquisition-related contingent consideration of $6.0 million, amortization payments of $1.3 million related to our term loan under our prior senior secured credit facility, the repayment of capital</w:t>
      </w:r>
      <w:r>
        <w:rPr>
          <w:color w:val="000000"/>
          <w:sz w:val="20"/>
          <w:szCs w:val="20"/>
          <w:shd w:val="clear" w:color="auto" w:fill="FFFFFF"/>
        </w:rPr>
        <w:t xml:space="preserve"> leases of $1.2 million, and the payment of debt issuance and debt extinguishment costs of $6.7 million.</w:t>
      </w:r>
    </w:p>
    <w:p w14:paraId="3D09EE25"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Credit Facilities</w:t>
      </w:r>
    </w:p>
    <w:p w14:paraId="4101C4CD" w14:textId="77777777" w:rsidR="00000000" w:rsidRDefault="00582324">
      <w:pPr>
        <w:pStyle w:val="a3"/>
        <w:shd w:val="clear" w:color="auto" w:fill="FFFFFF"/>
        <w:spacing w:before="120" w:beforeAutospacing="0" w:after="0" w:afterAutospacing="0"/>
        <w:ind w:firstLine="416"/>
        <w:rPr>
          <w:b/>
          <w:bCs/>
          <w:i/>
          <w:iCs/>
          <w:color w:val="000000"/>
          <w:sz w:val="20"/>
          <w:szCs w:val="20"/>
        </w:rPr>
      </w:pPr>
      <w:r>
        <w:rPr>
          <w:b/>
          <w:bCs/>
          <w:i/>
          <w:iCs/>
          <w:color w:val="000000"/>
          <w:sz w:val="20"/>
          <w:szCs w:val="20"/>
        </w:rPr>
        <w:t>2021 Credit Facility</w:t>
      </w:r>
    </w:p>
    <w:p w14:paraId="7BE7D19F" w14:textId="77777777" w:rsidR="00000000" w:rsidRDefault="00582324">
      <w:pPr>
        <w:pStyle w:val="a3"/>
        <w:spacing w:before="120" w:beforeAutospacing="0" w:after="0" w:afterAutospacing="0"/>
        <w:ind w:firstLine="416"/>
        <w:rPr>
          <w:color w:val="000000"/>
          <w:sz w:val="20"/>
          <w:szCs w:val="20"/>
        </w:rPr>
      </w:pPr>
      <w:r>
        <w:rPr>
          <w:color w:val="000000"/>
          <w:sz w:val="20"/>
          <w:szCs w:val="20"/>
        </w:rPr>
        <w:t>On April 27, 2021, we entered into a new Senior Secured Credit Agreement (the “2021 Credit Facility”) providing for a new $300.0 million credit facility comprised of a $175.0 million term loan and a $125.0 million revolving credit facility, and used a port</w:t>
      </w:r>
      <w:r>
        <w:rPr>
          <w:color w:val="000000"/>
          <w:sz w:val="20"/>
          <w:szCs w:val="20"/>
        </w:rPr>
        <w:t>ion of the proceeds to repay all amounts outstanding under the 2020 Credit Facility. The 2021 revolving credit facility includes a $20.0 million sublimit for the issuance of letters of credit. Subject to certain exceptions, all amounts under the 2021 Credi</w:t>
      </w:r>
      <w:r>
        <w:rPr>
          <w:color w:val="000000"/>
          <w:sz w:val="20"/>
          <w:szCs w:val="20"/>
        </w:rPr>
        <w:t>t Facility will become due on April 27, 2026. We have the option to borrow incremental term loans or request an increase in the aggregate commitments under the revolving credit facility up to an aggregate amount of $150.0 million subject to the satisfactio</w:t>
      </w:r>
      <w:r>
        <w:rPr>
          <w:color w:val="000000"/>
          <w:sz w:val="20"/>
          <w:szCs w:val="20"/>
        </w:rPr>
        <w:t>n of certain conditions.</w:t>
      </w:r>
    </w:p>
    <w:p w14:paraId="0761C93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 xml:space="preserve">The 2021 Credit Facility term loan must be repaid in quarterly installments and shall amortize at the following annualized rates beginning with the quarter ended December 31, 2021 with the remaining balance due and payable in full </w:t>
      </w:r>
      <w:r>
        <w:rPr>
          <w:color w:val="000000"/>
          <w:sz w:val="20"/>
          <w:szCs w:val="20"/>
          <w:shd w:val="clear" w:color="auto" w:fill="FFFFFF"/>
        </w:rPr>
        <w:t>upon the five-year anniversary from the closing date:</w:t>
      </w:r>
    </w:p>
    <w:tbl>
      <w:tblPr>
        <w:tblW w:w="4500" w:type="pct"/>
        <w:tblCellMar>
          <w:left w:w="0" w:type="dxa"/>
          <w:right w:w="0" w:type="dxa"/>
        </w:tblCellMar>
        <w:tblLook w:val="04A0" w:firstRow="1" w:lastRow="0" w:firstColumn="1" w:lastColumn="0" w:noHBand="0" w:noVBand="1"/>
      </w:tblPr>
      <w:tblGrid>
        <w:gridCol w:w="1109"/>
        <w:gridCol w:w="75"/>
        <w:gridCol w:w="873"/>
        <w:gridCol w:w="75"/>
        <w:gridCol w:w="248"/>
        <w:gridCol w:w="75"/>
        <w:gridCol w:w="873"/>
        <w:gridCol w:w="75"/>
        <w:gridCol w:w="248"/>
        <w:gridCol w:w="75"/>
        <w:gridCol w:w="873"/>
        <w:gridCol w:w="75"/>
        <w:gridCol w:w="248"/>
        <w:gridCol w:w="75"/>
        <w:gridCol w:w="873"/>
        <w:gridCol w:w="75"/>
        <w:gridCol w:w="248"/>
        <w:gridCol w:w="75"/>
        <w:gridCol w:w="873"/>
        <w:gridCol w:w="75"/>
        <w:gridCol w:w="259"/>
      </w:tblGrid>
      <w:tr w:rsidR="00000000" w14:paraId="26DB739D" w14:textId="77777777">
        <w:trPr>
          <w:divId w:val="590041120"/>
        </w:trPr>
        <w:tc>
          <w:tcPr>
            <w:tcW w:w="742" w:type="pct"/>
            <w:shd w:val="clear" w:color="auto" w:fill="FFFFFF"/>
            <w:tcMar>
              <w:top w:w="15" w:type="dxa"/>
              <w:left w:w="0" w:type="dxa"/>
              <w:bottom w:w="0" w:type="dxa"/>
              <w:right w:w="15" w:type="dxa"/>
            </w:tcMar>
            <w:vAlign w:val="bottom"/>
            <w:hideMark/>
          </w:tcPr>
          <w:p w14:paraId="4D70C740" w14:textId="77777777" w:rsidR="00000000" w:rsidRDefault="00582324">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98C9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bottom w:val="single" w:sz="6" w:space="0" w:color="000000"/>
            </w:tcBorders>
            <w:shd w:val="clear" w:color="auto" w:fill="FFFFFF"/>
            <w:noWrap/>
            <w:tcMar>
              <w:top w:w="15" w:type="dxa"/>
              <w:left w:w="0" w:type="dxa"/>
              <w:bottom w:w="0" w:type="dxa"/>
              <w:right w:w="15" w:type="dxa"/>
            </w:tcMar>
            <w:vAlign w:val="bottom"/>
            <w:hideMark/>
          </w:tcPr>
          <w:p w14:paraId="527CD8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8F14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tcBorders>
              <w:bottom w:val="single" w:sz="6" w:space="0" w:color="000000"/>
            </w:tcBorders>
            <w:shd w:val="clear" w:color="auto" w:fill="FFFFFF"/>
            <w:tcMar>
              <w:top w:w="15" w:type="dxa"/>
              <w:left w:w="0" w:type="dxa"/>
              <w:bottom w:w="0" w:type="dxa"/>
              <w:right w:w="15" w:type="dxa"/>
            </w:tcMar>
            <w:vAlign w:val="bottom"/>
            <w:hideMark/>
          </w:tcPr>
          <w:p w14:paraId="7E0774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11CE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bottom w:val="single" w:sz="6" w:space="0" w:color="000000"/>
            </w:tcBorders>
            <w:shd w:val="clear" w:color="auto" w:fill="FFFFFF"/>
            <w:noWrap/>
            <w:tcMar>
              <w:top w:w="15" w:type="dxa"/>
              <w:left w:w="0" w:type="dxa"/>
              <w:bottom w:w="0" w:type="dxa"/>
              <w:right w:w="15" w:type="dxa"/>
            </w:tcMar>
            <w:vAlign w:val="bottom"/>
            <w:hideMark/>
          </w:tcPr>
          <w:p w14:paraId="691E98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D2A9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tcBorders>
              <w:bottom w:val="single" w:sz="6" w:space="0" w:color="000000"/>
            </w:tcBorders>
            <w:shd w:val="clear" w:color="auto" w:fill="FFFFFF"/>
            <w:tcMar>
              <w:top w:w="15" w:type="dxa"/>
              <w:left w:w="0" w:type="dxa"/>
              <w:bottom w:w="0" w:type="dxa"/>
              <w:right w:w="15" w:type="dxa"/>
            </w:tcMar>
            <w:vAlign w:val="bottom"/>
            <w:hideMark/>
          </w:tcPr>
          <w:p w14:paraId="0DC784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216A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bottom w:val="single" w:sz="6" w:space="0" w:color="000000"/>
            </w:tcBorders>
            <w:shd w:val="clear" w:color="auto" w:fill="FFFFFF"/>
            <w:noWrap/>
            <w:tcMar>
              <w:top w:w="15" w:type="dxa"/>
              <w:left w:w="0" w:type="dxa"/>
              <w:bottom w:w="0" w:type="dxa"/>
              <w:right w:w="15" w:type="dxa"/>
            </w:tcMar>
            <w:vAlign w:val="bottom"/>
            <w:hideMark/>
          </w:tcPr>
          <w:p w14:paraId="2F013A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2C337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tcBorders>
              <w:bottom w:val="single" w:sz="6" w:space="0" w:color="000000"/>
            </w:tcBorders>
            <w:shd w:val="clear" w:color="auto" w:fill="FFFFFF"/>
            <w:tcMar>
              <w:top w:w="15" w:type="dxa"/>
              <w:left w:w="0" w:type="dxa"/>
              <w:bottom w:w="0" w:type="dxa"/>
              <w:right w:w="15" w:type="dxa"/>
            </w:tcMar>
            <w:vAlign w:val="bottom"/>
            <w:hideMark/>
          </w:tcPr>
          <w:p w14:paraId="03BED5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B16A8A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bottom w:val="single" w:sz="6" w:space="0" w:color="000000"/>
            </w:tcBorders>
            <w:shd w:val="clear" w:color="auto" w:fill="FFFFFF"/>
            <w:noWrap/>
            <w:tcMar>
              <w:top w:w="15" w:type="dxa"/>
              <w:left w:w="0" w:type="dxa"/>
              <w:bottom w:w="0" w:type="dxa"/>
              <w:right w:w="15" w:type="dxa"/>
            </w:tcMar>
            <w:vAlign w:val="bottom"/>
            <w:hideMark/>
          </w:tcPr>
          <w:p w14:paraId="3F50F1B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5624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tcBorders>
              <w:bottom w:val="single" w:sz="6" w:space="0" w:color="000000"/>
            </w:tcBorders>
            <w:shd w:val="clear" w:color="auto" w:fill="FFFFFF"/>
            <w:tcMar>
              <w:top w:w="15" w:type="dxa"/>
              <w:left w:w="0" w:type="dxa"/>
              <w:bottom w:w="0" w:type="dxa"/>
              <w:right w:w="15" w:type="dxa"/>
            </w:tcMar>
            <w:vAlign w:val="bottom"/>
            <w:hideMark/>
          </w:tcPr>
          <w:p w14:paraId="46D5F5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37DF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bottom w:val="single" w:sz="6" w:space="0" w:color="000000"/>
            </w:tcBorders>
            <w:shd w:val="clear" w:color="auto" w:fill="FFFFFF"/>
            <w:noWrap/>
            <w:tcMar>
              <w:top w:w="15" w:type="dxa"/>
              <w:left w:w="0" w:type="dxa"/>
              <w:bottom w:w="0" w:type="dxa"/>
              <w:right w:w="15" w:type="dxa"/>
            </w:tcMar>
            <w:vAlign w:val="bottom"/>
            <w:hideMark/>
          </w:tcPr>
          <w:p w14:paraId="0F75E93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980D2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tcBorders>
              <w:bottom w:val="single" w:sz="6" w:space="0" w:color="000000"/>
            </w:tcBorders>
            <w:shd w:val="clear" w:color="auto" w:fill="FFFFFF"/>
            <w:tcMar>
              <w:top w:w="15" w:type="dxa"/>
              <w:left w:w="0" w:type="dxa"/>
              <w:bottom w:w="0" w:type="dxa"/>
              <w:right w:w="15" w:type="dxa"/>
            </w:tcMar>
            <w:vAlign w:val="bottom"/>
            <w:hideMark/>
          </w:tcPr>
          <w:p w14:paraId="1E25AFF1"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261D1E9" w14:textId="77777777">
        <w:trPr>
          <w:divId w:val="590041120"/>
        </w:trPr>
        <w:tc>
          <w:tcPr>
            <w:tcW w:w="742" w:type="pct"/>
            <w:shd w:val="clear" w:color="auto" w:fill="FFFFFF"/>
            <w:tcMar>
              <w:top w:w="15" w:type="dxa"/>
              <w:left w:w="0" w:type="dxa"/>
              <w:bottom w:w="0" w:type="dxa"/>
              <w:right w:w="15" w:type="dxa"/>
            </w:tcMar>
            <w:vAlign w:val="bottom"/>
            <w:hideMark/>
          </w:tcPr>
          <w:p w14:paraId="4BEF17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257" w:type="pct"/>
            <w:gridSpan w:val="2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5E4AA1"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Amortization Table</w:t>
            </w:r>
          </w:p>
        </w:tc>
      </w:tr>
      <w:tr w:rsidR="00000000" w14:paraId="2967F112" w14:textId="77777777">
        <w:trPr>
          <w:divId w:val="590041120"/>
        </w:trPr>
        <w:tc>
          <w:tcPr>
            <w:tcW w:w="742" w:type="pct"/>
            <w:shd w:val="clear" w:color="auto" w:fill="FFFFFF"/>
            <w:tcMar>
              <w:top w:w="15" w:type="dxa"/>
              <w:left w:w="0" w:type="dxa"/>
              <w:bottom w:w="0" w:type="dxa"/>
              <w:right w:w="15" w:type="dxa"/>
            </w:tcMar>
            <w:vAlign w:val="bottom"/>
            <w:hideMark/>
          </w:tcPr>
          <w:p w14:paraId="2DBEC62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C5101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1</w:t>
            </w:r>
          </w:p>
        </w:tc>
        <w:tc>
          <w:tcPr>
            <w:tcW w:w="50" w:type="pct"/>
            <w:shd w:val="clear" w:color="auto" w:fill="FFFFFF"/>
            <w:noWrap/>
            <w:tcMar>
              <w:top w:w="15" w:type="dxa"/>
              <w:left w:w="0" w:type="dxa"/>
              <w:bottom w:w="0" w:type="dxa"/>
              <w:right w:w="15" w:type="dxa"/>
            </w:tcMar>
            <w:vAlign w:val="bottom"/>
            <w:hideMark/>
          </w:tcPr>
          <w:p w14:paraId="45077CE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66" w:type="pct"/>
            <w:tcBorders>
              <w:top w:val="single" w:sz="6" w:space="0" w:color="000000"/>
            </w:tcBorders>
            <w:shd w:val="clear" w:color="auto" w:fill="FFFFFF"/>
            <w:tcMar>
              <w:top w:w="15" w:type="dxa"/>
              <w:left w:w="0" w:type="dxa"/>
              <w:bottom w:w="0" w:type="dxa"/>
              <w:right w:w="15" w:type="dxa"/>
            </w:tcMar>
            <w:vAlign w:val="bottom"/>
            <w:hideMark/>
          </w:tcPr>
          <w:p w14:paraId="4B5074E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A09AF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2</w:t>
            </w:r>
          </w:p>
        </w:tc>
        <w:tc>
          <w:tcPr>
            <w:tcW w:w="50" w:type="pct"/>
            <w:shd w:val="clear" w:color="auto" w:fill="FFFFFF"/>
            <w:noWrap/>
            <w:tcMar>
              <w:top w:w="15" w:type="dxa"/>
              <w:left w:w="0" w:type="dxa"/>
              <w:bottom w:w="0" w:type="dxa"/>
              <w:right w:w="15" w:type="dxa"/>
            </w:tcMar>
            <w:vAlign w:val="bottom"/>
            <w:hideMark/>
          </w:tcPr>
          <w:p w14:paraId="74664E5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66" w:type="pct"/>
            <w:tcBorders>
              <w:top w:val="single" w:sz="6" w:space="0" w:color="000000"/>
            </w:tcBorders>
            <w:shd w:val="clear" w:color="auto" w:fill="FFFFFF"/>
            <w:tcMar>
              <w:top w:w="15" w:type="dxa"/>
              <w:left w:w="0" w:type="dxa"/>
              <w:bottom w:w="0" w:type="dxa"/>
              <w:right w:w="15" w:type="dxa"/>
            </w:tcMar>
            <w:vAlign w:val="bottom"/>
            <w:hideMark/>
          </w:tcPr>
          <w:p w14:paraId="13D88AE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552FA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3</w:t>
            </w:r>
          </w:p>
        </w:tc>
        <w:tc>
          <w:tcPr>
            <w:tcW w:w="50" w:type="pct"/>
            <w:shd w:val="clear" w:color="auto" w:fill="FFFFFF"/>
            <w:noWrap/>
            <w:tcMar>
              <w:top w:w="15" w:type="dxa"/>
              <w:left w:w="0" w:type="dxa"/>
              <w:bottom w:w="0" w:type="dxa"/>
              <w:right w:w="15" w:type="dxa"/>
            </w:tcMar>
            <w:vAlign w:val="bottom"/>
            <w:hideMark/>
          </w:tcPr>
          <w:p w14:paraId="6012304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66" w:type="pct"/>
            <w:tcBorders>
              <w:top w:val="single" w:sz="6" w:space="0" w:color="000000"/>
            </w:tcBorders>
            <w:shd w:val="clear" w:color="auto" w:fill="FFFFFF"/>
            <w:tcMar>
              <w:top w:w="15" w:type="dxa"/>
              <w:left w:w="0" w:type="dxa"/>
              <w:bottom w:w="0" w:type="dxa"/>
              <w:right w:w="15" w:type="dxa"/>
            </w:tcMar>
            <w:vAlign w:val="bottom"/>
            <w:hideMark/>
          </w:tcPr>
          <w:p w14:paraId="34D2CB2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C8ED0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4</w:t>
            </w:r>
          </w:p>
        </w:tc>
        <w:tc>
          <w:tcPr>
            <w:tcW w:w="50" w:type="pct"/>
            <w:shd w:val="clear" w:color="auto" w:fill="FFFFFF"/>
            <w:noWrap/>
            <w:tcMar>
              <w:top w:w="15" w:type="dxa"/>
              <w:left w:w="0" w:type="dxa"/>
              <w:bottom w:w="0" w:type="dxa"/>
              <w:right w:w="15" w:type="dxa"/>
            </w:tcMar>
            <w:vAlign w:val="bottom"/>
            <w:hideMark/>
          </w:tcPr>
          <w:p w14:paraId="5839755D"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66" w:type="pct"/>
            <w:tcBorders>
              <w:top w:val="single" w:sz="6" w:space="0" w:color="000000"/>
            </w:tcBorders>
            <w:shd w:val="clear" w:color="auto" w:fill="FFFFFF"/>
            <w:tcMar>
              <w:top w:w="15" w:type="dxa"/>
              <w:left w:w="0" w:type="dxa"/>
              <w:bottom w:w="0" w:type="dxa"/>
              <w:right w:w="15" w:type="dxa"/>
            </w:tcMar>
            <w:vAlign w:val="bottom"/>
            <w:hideMark/>
          </w:tcPr>
          <w:p w14:paraId="2F58527E"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c>
          <w:tcPr>
            <w:tcW w:w="6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61803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Year 5</w:t>
            </w:r>
          </w:p>
        </w:tc>
        <w:tc>
          <w:tcPr>
            <w:tcW w:w="50" w:type="pct"/>
            <w:shd w:val="clear" w:color="auto" w:fill="FFFFFF"/>
            <w:noWrap/>
            <w:tcMar>
              <w:top w:w="15" w:type="dxa"/>
              <w:left w:w="0" w:type="dxa"/>
              <w:bottom w:w="0" w:type="dxa"/>
              <w:right w:w="15" w:type="dxa"/>
            </w:tcMar>
            <w:vAlign w:val="bottom"/>
            <w:hideMark/>
          </w:tcPr>
          <w:p w14:paraId="3980B30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66" w:type="pct"/>
            <w:tcBorders>
              <w:top w:val="single" w:sz="6" w:space="0" w:color="000000"/>
            </w:tcBorders>
            <w:shd w:val="clear" w:color="auto" w:fill="FFFFFF"/>
            <w:tcMar>
              <w:top w:w="15" w:type="dxa"/>
              <w:left w:w="0" w:type="dxa"/>
              <w:bottom w:w="0" w:type="dxa"/>
              <w:right w:w="15" w:type="dxa"/>
            </w:tcMar>
            <w:vAlign w:val="bottom"/>
            <w:hideMark/>
          </w:tcPr>
          <w:p w14:paraId="1960960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 </w:t>
            </w:r>
          </w:p>
        </w:tc>
      </w:tr>
      <w:tr w:rsidR="00000000" w14:paraId="40A3AB86" w14:textId="77777777">
        <w:trPr>
          <w:divId w:val="590041120"/>
        </w:trPr>
        <w:tc>
          <w:tcPr>
            <w:tcW w:w="742" w:type="pct"/>
            <w:shd w:val="clear" w:color="auto" w:fill="CFF0FC"/>
            <w:tcMar>
              <w:top w:w="15" w:type="dxa"/>
              <w:left w:w="0" w:type="dxa"/>
              <w:bottom w:w="0" w:type="dxa"/>
              <w:right w:w="15" w:type="dxa"/>
            </w:tcMar>
            <w:vAlign w:val="bottom"/>
            <w:hideMark/>
          </w:tcPr>
          <w:p w14:paraId="1397FC4F" w14:textId="77777777" w:rsidR="00000000" w:rsidRDefault="00582324">
            <w:pPr>
              <w:pStyle w:val="a3"/>
              <w:spacing w:before="0" w:beforeAutospacing="0" w:after="0" w:afterAutospacing="0"/>
              <w:rPr>
                <w:b/>
                <w:bCs/>
                <w:color w:val="000000"/>
                <w:sz w:val="18"/>
                <w:szCs w:val="18"/>
              </w:rPr>
            </w:pPr>
            <w:r>
              <w:rPr>
                <w:b/>
                <w:bCs/>
                <w:color w:val="000000"/>
                <w:sz w:val="18"/>
                <w:szCs w:val="18"/>
              </w:rPr>
              <w:t>Term Loan</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B7221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14:paraId="34A39975"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0342F3D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shd w:val="clear" w:color="auto" w:fill="CFF0FC"/>
            <w:tcMar>
              <w:top w:w="15" w:type="dxa"/>
              <w:left w:w="0" w:type="dxa"/>
              <w:bottom w:w="0" w:type="dxa"/>
              <w:right w:w="15" w:type="dxa"/>
            </w:tcMar>
            <w:vAlign w:val="center"/>
            <w:hideMark/>
          </w:tcPr>
          <w:p w14:paraId="3A90A2B8"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BF48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14:paraId="1A3E2DCB"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CFF0FC"/>
            <w:noWrap/>
            <w:tcMar>
              <w:top w:w="15" w:type="dxa"/>
              <w:left w:w="0" w:type="dxa"/>
              <w:bottom w:w="0" w:type="dxa"/>
              <w:right w:w="15" w:type="dxa"/>
            </w:tcMar>
            <w:vAlign w:val="bottom"/>
            <w:hideMark/>
          </w:tcPr>
          <w:p w14:paraId="5E6F937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shd w:val="clear" w:color="auto" w:fill="CFF0FC"/>
            <w:tcMar>
              <w:top w:w="15" w:type="dxa"/>
              <w:left w:w="0" w:type="dxa"/>
              <w:bottom w:w="0" w:type="dxa"/>
              <w:right w:w="15" w:type="dxa"/>
            </w:tcMar>
            <w:vAlign w:val="center"/>
            <w:hideMark/>
          </w:tcPr>
          <w:p w14:paraId="797A454D"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C196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14:paraId="37C42699" w14:textId="77777777" w:rsidR="00000000" w:rsidRDefault="00582324">
            <w:pPr>
              <w:pStyle w:val="a3"/>
              <w:spacing w:before="0" w:beforeAutospacing="0" w:after="0" w:afterAutospacing="0"/>
              <w:jc w:val="right"/>
              <w:rPr>
                <w:color w:val="000000"/>
                <w:sz w:val="18"/>
                <w:szCs w:val="18"/>
              </w:rPr>
            </w:pPr>
            <w:r>
              <w:rPr>
                <w:color w:val="000000"/>
                <w:sz w:val="18"/>
                <w:szCs w:val="18"/>
              </w:rPr>
              <w:t>7.5</w:t>
            </w:r>
          </w:p>
        </w:tc>
        <w:tc>
          <w:tcPr>
            <w:tcW w:w="50" w:type="pct"/>
            <w:shd w:val="clear" w:color="auto" w:fill="CFF0FC"/>
            <w:noWrap/>
            <w:tcMar>
              <w:top w:w="15" w:type="dxa"/>
              <w:left w:w="0" w:type="dxa"/>
              <w:bottom w:w="0" w:type="dxa"/>
              <w:right w:w="15" w:type="dxa"/>
            </w:tcMar>
            <w:vAlign w:val="bottom"/>
            <w:hideMark/>
          </w:tcPr>
          <w:p w14:paraId="7B097E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shd w:val="clear" w:color="auto" w:fill="CFF0FC"/>
            <w:tcMar>
              <w:top w:w="15" w:type="dxa"/>
              <w:left w:w="0" w:type="dxa"/>
              <w:bottom w:w="0" w:type="dxa"/>
              <w:right w:w="15" w:type="dxa"/>
            </w:tcMar>
            <w:vAlign w:val="center"/>
            <w:hideMark/>
          </w:tcPr>
          <w:p w14:paraId="3643A99C"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CE9E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14:paraId="7D9C3854" w14:textId="77777777" w:rsidR="00000000" w:rsidRDefault="00582324">
            <w:pPr>
              <w:pStyle w:val="a3"/>
              <w:spacing w:before="0" w:beforeAutospacing="0" w:after="0" w:afterAutospacing="0"/>
              <w:jc w:val="right"/>
              <w:rPr>
                <w:color w:val="000000"/>
                <w:sz w:val="18"/>
                <w:szCs w:val="18"/>
              </w:rPr>
            </w:pPr>
            <w:r>
              <w:rPr>
                <w:color w:val="000000"/>
                <w:sz w:val="18"/>
                <w:szCs w:val="18"/>
              </w:rPr>
              <w:t>7.5</w:t>
            </w:r>
          </w:p>
        </w:tc>
        <w:tc>
          <w:tcPr>
            <w:tcW w:w="50" w:type="pct"/>
            <w:shd w:val="clear" w:color="auto" w:fill="CFF0FC"/>
            <w:noWrap/>
            <w:tcMar>
              <w:top w:w="15" w:type="dxa"/>
              <w:left w:w="0" w:type="dxa"/>
              <w:bottom w:w="0" w:type="dxa"/>
              <w:right w:w="15" w:type="dxa"/>
            </w:tcMar>
            <w:vAlign w:val="bottom"/>
            <w:hideMark/>
          </w:tcPr>
          <w:p w14:paraId="6D29E3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shd w:val="clear" w:color="auto" w:fill="CFF0FC"/>
            <w:tcMar>
              <w:top w:w="15" w:type="dxa"/>
              <w:left w:w="0" w:type="dxa"/>
              <w:bottom w:w="0" w:type="dxa"/>
              <w:right w:w="15" w:type="dxa"/>
            </w:tcMar>
            <w:vAlign w:val="center"/>
            <w:hideMark/>
          </w:tcPr>
          <w:p w14:paraId="7B08ADFC"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07A7B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84" w:type="pct"/>
            <w:tcBorders>
              <w:top w:val="single" w:sz="6" w:space="0" w:color="000000"/>
            </w:tcBorders>
            <w:shd w:val="clear" w:color="auto" w:fill="CFF0FC"/>
            <w:noWrap/>
            <w:tcMar>
              <w:top w:w="15" w:type="dxa"/>
              <w:left w:w="0" w:type="dxa"/>
              <w:bottom w:w="0" w:type="dxa"/>
              <w:right w:w="15" w:type="dxa"/>
            </w:tcMar>
            <w:vAlign w:val="bottom"/>
            <w:hideMark/>
          </w:tcPr>
          <w:p w14:paraId="1BB8F09E" w14:textId="77777777" w:rsidR="00000000" w:rsidRDefault="00582324">
            <w:pPr>
              <w:pStyle w:val="a3"/>
              <w:spacing w:before="0" w:beforeAutospacing="0" w:after="0" w:afterAutospacing="0"/>
              <w:jc w:val="right"/>
              <w:rPr>
                <w:color w:val="000000"/>
                <w:sz w:val="18"/>
                <w:szCs w:val="18"/>
              </w:rPr>
            </w:pPr>
            <w:r>
              <w:rPr>
                <w:color w:val="000000"/>
                <w:sz w:val="18"/>
                <w:szCs w:val="18"/>
              </w:rPr>
              <w:t>10.0</w:t>
            </w:r>
          </w:p>
        </w:tc>
        <w:tc>
          <w:tcPr>
            <w:tcW w:w="50" w:type="pct"/>
            <w:shd w:val="clear" w:color="auto" w:fill="CFF0FC"/>
            <w:noWrap/>
            <w:tcMar>
              <w:top w:w="15" w:type="dxa"/>
              <w:left w:w="0" w:type="dxa"/>
              <w:bottom w:w="0" w:type="dxa"/>
              <w:right w:w="15" w:type="dxa"/>
            </w:tcMar>
            <w:vAlign w:val="bottom"/>
            <w:hideMark/>
          </w:tcPr>
          <w:p w14:paraId="20F3A38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166" w:type="pct"/>
            <w:shd w:val="clear" w:color="auto" w:fill="CFF0FC"/>
            <w:tcMar>
              <w:top w:w="15" w:type="dxa"/>
              <w:left w:w="0" w:type="dxa"/>
              <w:bottom w:w="0" w:type="dxa"/>
              <w:right w:w="15" w:type="dxa"/>
            </w:tcMar>
            <w:vAlign w:val="center"/>
            <w:hideMark/>
          </w:tcPr>
          <w:p w14:paraId="3DD572D8" w14:textId="77777777" w:rsidR="00000000" w:rsidRDefault="00582324">
            <w:pPr>
              <w:pStyle w:val="a3"/>
              <w:spacing w:before="0" w:beforeAutospacing="0" w:after="0" w:afterAutospacing="0"/>
              <w:jc w:val="center"/>
              <w:rPr>
                <w:color w:val="000000"/>
                <w:sz w:val="18"/>
                <w:szCs w:val="18"/>
              </w:rPr>
            </w:pPr>
            <w:r>
              <w:rPr>
                <w:color w:val="000000"/>
                <w:sz w:val="18"/>
                <w:szCs w:val="18"/>
              </w:rPr>
              <w:t>%</w:t>
            </w:r>
          </w:p>
        </w:tc>
      </w:tr>
    </w:tbl>
    <w:p w14:paraId="61F8127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The </w:t>
      </w:r>
      <w:r>
        <w:rPr>
          <w:color w:val="000000"/>
          <w:sz w:val="20"/>
          <w:szCs w:val="20"/>
          <w:shd w:val="clear" w:color="auto" w:fill="FFFFFF"/>
        </w:rPr>
        <w:t xml:space="preserve">2021 Credit Facility </w:t>
      </w:r>
      <w:r>
        <w:rPr>
          <w:color w:val="000000"/>
          <w:sz w:val="20"/>
          <w:szCs w:val="20"/>
        </w:rPr>
        <w:t>term loan and the revolver bear interest subject to the Company’s leverage ratio and LIBOR as follows:</w:t>
      </w:r>
    </w:p>
    <w:tbl>
      <w:tblPr>
        <w:tblW w:w="4500" w:type="pct"/>
        <w:tblCellMar>
          <w:left w:w="0" w:type="dxa"/>
          <w:right w:w="0" w:type="dxa"/>
        </w:tblCellMar>
        <w:tblLook w:val="04A0" w:firstRow="1" w:lastRow="0" w:firstColumn="1" w:lastColumn="0" w:noHBand="0" w:noVBand="1"/>
      </w:tblPr>
      <w:tblGrid>
        <w:gridCol w:w="1782"/>
        <w:gridCol w:w="60"/>
        <w:gridCol w:w="1705"/>
        <w:gridCol w:w="60"/>
        <w:gridCol w:w="72"/>
        <w:gridCol w:w="633"/>
        <w:gridCol w:w="60"/>
        <w:gridCol w:w="165"/>
        <w:gridCol w:w="72"/>
        <w:gridCol w:w="633"/>
        <w:gridCol w:w="60"/>
        <w:gridCol w:w="165"/>
        <w:gridCol w:w="105"/>
        <w:gridCol w:w="930"/>
        <w:gridCol w:w="60"/>
        <w:gridCol w:w="165"/>
        <w:gridCol w:w="61"/>
        <w:gridCol w:w="462"/>
        <w:gridCol w:w="60"/>
        <w:gridCol w:w="165"/>
      </w:tblGrid>
      <w:tr w:rsidR="00000000" w14:paraId="72393AE3" w14:textId="77777777">
        <w:trPr>
          <w:divId w:val="2008483794"/>
        </w:trPr>
        <w:tc>
          <w:tcPr>
            <w:tcW w:w="1241" w:type="pct"/>
            <w:tcBorders>
              <w:bottom w:val="single" w:sz="6" w:space="0" w:color="000000"/>
            </w:tcBorders>
            <w:shd w:val="clear" w:color="auto" w:fill="FFFFFF"/>
            <w:tcMar>
              <w:top w:w="15" w:type="dxa"/>
              <w:left w:w="0" w:type="dxa"/>
              <w:bottom w:w="0" w:type="dxa"/>
              <w:right w:w="15" w:type="dxa"/>
            </w:tcMar>
            <w:vAlign w:val="bottom"/>
            <w:hideMark/>
          </w:tcPr>
          <w:p w14:paraId="04E9307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Pricing Tier</w:t>
            </w:r>
          </w:p>
        </w:tc>
        <w:tc>
          <w:tcPr>
            <w:tcW w:w="58" w:type="pct"/>
            <w:shd w:val="clear" w:color="auto" w:fill="FFFFFF"/>
            <w:tcMar>
              <w:top w:w="15" w:type="dxa"/>
              <w:left w:w="0" w:type="dxa"/>
              <w:bottom w:w="0" w:type="dxa"/>
              <w:right w:w="15" w:type="dxa"/>
            </w:tcMar>
            <w:vAlign w:val="bottom"/>
            <w:hideMark/>
          </w:tcPr>
          <w:p w14:paraId="00F4A81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1198" w:type="pct"/>
            <w:tcBorders>
              <w:bottom w:val="single" w:sz="6" w:space="0" w:color="000000"/>
            </w:tcBorders>
            <w:shd w:val="clear" w:color="auto" w:fill="FFFFFF"/>
            <w:tcMar>
              <w:top w:w="15" w:type="dxa"/>
              <w:left w:w="0" w:type="dxa"/>
              <w:bottom w:w="0" w:type="dxa"/>
              <w:right w:w="15" w:type="dxa"/>
            </w:tcMar>
            <w:vAlign w:val="bottom"/>
            <w:hideMark/>
          </w:tcPr>
          <w:p w14:paraId="44E1149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09DF61A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Leverage Ratio</w:t>
            </w:r>
          </w:p>
        </w:tc>
        <w:tc>
          <w:tcPr>
            <w:tcW w:w="58" w:type="pct"/>
            <w:shd w:val="clear" w:color="auto" w:fill="FFFFFF"/>
            <w:tcMar>
              <w:top w:w="15" w:type="dxa"/>
              <w:left w:w="0" w:type="dxa"/>
              <w:bottom w:w="0" w:type="dxa"/>
              <w:right w:w="15" w:type="dxa"/>
            </w:tcMar>
            <w:vAlign w:val="bottom"/>
            <w:hideMark/>
          </w:tcPr>
          <w:p w14:paraId="59B1706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495" w:type="pct"/>
            <w:gridSpan w:val="2"/>
            <w:tcBorders>
              <w:bottom w:val="single" w:sz="6" w:space="0" w:color="000000"/>
            </w:tcBorders>
            <w:shd w:val="clear" w:color="auto" w:fill="FFFFFF"/>
            <w:tcMar>
              <w:top w:w="15" w:type="dxa"/>
              <w:left w:w="0" w:type="dxa"/>
              <w:bottom w:w="0" w:type="dxa"/>
              <w:right w:w="15" w:type="dxa"/>
            </w:tcMar>
            <w:vAlign w:val="bottom"/>
            <w:hideMark/>
          </w:tcPr>
          <w:p w14:paraId="0732C0A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Senior Credit Facilities</w:t>
            </w:r>
          </w:p>
          <w:p w14:paraId="4115328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LIBOR</w:t>
            </w:r>
          </w:p>
        </w:tc>
        <w:tc>
          <w:tcPr>
            <w:tcW w:w="50" w:type="pct"/>
            <w:shd w:val="clear" w:color="auto" w:fill="FFFFFF"/>
            <w:noWrap/>
            <w:tcMar>
              <w:top w:w="15" w:type="dxa"/>
              <w:left w:w="0" w:type="dxa"/>
              <w:bottom w:w="0" w:type="dxa"/>
              <w:right w:w="15" w:type="dxa"/>
            </w:tcMar>
            <w:vAlign w:val="bottom"/>
            <w:hideMark/>
          </w:tcPr>
          <w:p w14:paraId="653FAAB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 w:type="pct"/>
            <w:shd w:val="clear" w:color="auto" w:fill="FFFFFF"/>
            <w:tcMar>
              <w:top w:w="15" w:type="dxa"/>
              <w:left w:w="0" w:type="dxa"/>
              <w:bottom w:w="0" w:type="dxa"/>
              <w:right w:w="15" w:type="dxa"/>
            </w:tcMar>
            <w:vAlign w:val="bottom"/>
            <w:hideMark/>
          </w:tcPr>
          <w:p w14:paraId="56865573"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495" w:type="pct"/>
            <w:gridSpan w:val="2"/>
            <w:tcBorders>
              <w:bottom w:val="single" w:sz="6" w:space="0" w:color="000000"/>
            </w:tcBorders>
            <w:shd w:val="clear" w:color="auto" w:fill="FFFFFF"/>
            <w:tcMar>
              <w:top w:w="15" w:type="dxa"/>
              <w:left w:w="0" w:type="dxa"/>
              <w:bottom w:w="0" w:type="dxa"/>
              <w:right w:w="15" w:type="dxa"/>
            </w:tcMar>
            <w:vAlign w:val="bottom"/>
            <w:hideMark/>
          </w:tcPr>
          <w:p w14:paraId="7A89047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Senior Credit Facilities</w:t>
            </w:r>
          </w:p>
          <w:p w14:paraId="757DA52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Base Rate</w:t>
            </w:r>
          </w:p>
        </w:tc>
        <w:tc>
          <w:tcPr>
            <w:tcW w:w="50" w:type="pct"/>
            <w:shd w:val="clear" w:color="auto" w:fill="FFFFFF"/>
            <w:noWrap/>
            <w:tcMar>
              <w:top w:w="15" w:type="dxa"/>
              <w:left w:w="0" w:type="dxa"/>
              <w:bottom w:w="0" w:type="dxa"/>
              <w:right w:w="15" w:type="dxa"/>
            </w:tcMar>
            <w:vAlign w:val="bottom"/>
            <w:hideMark/>
          </w:tcPr>
          <w:p w14:paraId="70355AC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 w:type="pct"/>
            <w:shd w:val="clear" w:color="auto" w:fill="FFFFFF"/>
            <w:tcMar>
              <w:top w:w="15" w:type="dxa"/>
              <w:left w:w="0" w:type="dxa"/>
              <w:bottom w:w="0" w:type="dxa"/>
              <w:right w:w="15" w:type="dxa"/>
            </w:tcMar>
            <w:vAlign w:val="bottom"/>
            <w:hideMark/>
          </w:tcPr>
          <w:p w14:paraId="49E85225"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495" w:type="pct"/>
            <w:gridSpan w:val="2"/>
            <w:tcBorders>
              <w:bottom w:val="single" w:sz="6" w:space="0" w:color="000000"/>
            </w:tcBorders>
            <w:shd w:val="clear" w:color="auto" w:fill="FFFFFF"/>
            <w:tcMar>
              <w:top w:w="15" w:type="dxa"/>
              <w:left w:w="0" w:type="dxa"/>
              <w:bottom w:w="0" w:type="dxa"/>
              <w:right w:w="15" w:type="dxa"/>
            </w:tcMar>
            <w:vAlign w:val="bottom"/>
            <w:hideMark/>
          </w:tcPr>
          <w:p w14:paraId="70A424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Commitment</w:t>
            </w:r>
          </w:p>
          <w:p w14:paraId="642440EF"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Fee</w:t>
            </w:r>
          </w:p>
        </w:tc>
        <w:tc>
          <w:tcPr>
            <w:tcW w:w="50" w:type="pct"/>
            <w:shd w:val="clear" w:color="auto" w:fill="FFFFFF"/>
            <w:noWrap/>
            <w:tcMar>
              <w:top w:w="15" w:type="dxa"/>
              <w:left w:w="0" w:type="dxa"/>
              <w:bottom w:w="0" w:type="dxa"/>
              <w:right w:w="15" w:type="dxa"/>
            </w:tcMar>
            <w:vAlign w:val="bottom"/>
            <w:hideMark/>
          </w:tcPr>
          <w:p w14:paraId="5DDBEBDC"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 w:type="pct"/>
            <w:shd w:val="clear" w:color="auto" w:fill="FFFFFF"/>
            <w:tcMar>
              <w:top w:w="15" w:type="dxa"/>
              <w:left w:w="0" w:type="dxa"/>
              <w:bottom w:w="0" w:type="dxa"/>
              <w:right w:w="15" w:type="dxa"/>
            </w:tcMar>
            <w:vAlign w:val="bottom"/>
            <w:hideMark/>
          </w:tcPr>
          <w:p w14:paraId="58F44B5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495" w:type="pct"/>
            <w:gridSpan w:val="2"/>
            <w:tcBorders>
              <w:bottom w:val="single" w:sz="6" w:space="0" w:color="000000"/>
            </w:tcBorders>
            <w:shd w:val="clear" w:color="auto" w:fill="FFFFFF"/>
            <w:tcMar>
              <w:top w:w="15" w:type="dxa"/>
              <w:left w:w="0" w:type="dxa"/>
              <w:bottom w:w="0" w:type="dxa"/>
              <w:right w:w="15" w:type="dxa"/>
            </w:tcMar>
            <w:vAlign w:val="bottom"/>
            <w:hideMark/>
          </w:tcPr>
          <w:p w14:paraId="2EFBEC9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Letter of Credit Fee</w:t>
            </w:r>
          </w:p>
        </w:tc>
        <w:tc>
          <w:tcPr>
            <w:tcW w:w="50" w:type="pct"/>
            <w:shd w:val="clear" w:color="auto" w:fill="FFFFFF"/>
            <w:noWrap/>
            <w:tcMar>
              <w:top w:w="15" w:type="dxa"/>
              <w:left w:w="0" w:type="dxa"/>
              <w:bottom w:w="0" w:type="dxa"/>
              <w:right w:w="15" w:type="dxa"/>
            </w:tcMar>
            <w:vAlign w:val="bottom"/>
            <w:hideMark/>
          </w:tcPr>
          <w:p w14:paraId="11B0A42B"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5" w:type="pct"/>
            <w:shd w:val="clear" w:color="auto" w:fill="FFFFFF"/>
            <w:tcMar>
              <w:top w:w="15" w:type="dxa"/>
              <w:left w:w="0" w:type="dxa"/>
              <w:bottom w:w="0" w:type="dxa"/>
              <w:right w:w="15" w:type="dxa"/>
            </w:tcMar>
            <w:vAlign w:val="bottom"/>
            <w:hideMark/>
          </w:tcPr>
          <w:p w14:paraId="4096BF64"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r>
      <w:tr w:rsidR="00000000" w14:paraId="5626952C" w14:textId="77777777">
        <w:trPr>
          <w:divId w:val="2008483794"/>
        </w:trPr>
        <w:tc>
          <w:tcPr>
            <w:tcW w:w="1241" w:type="pct"/>
            <w:tcBorders>
              <w:top w:val="single" w:sz="6" w:space="0" w:color="000000"/>
            </w:tcBorders>
            <w:shd w:val="clear" w:color="auto" w:fill="CFF0FC"/>
            <w:tcMar>
              <w:top w:w="15" w:type="dxa"/>
              <w:left w:w="0" w:type="dxa"/>
              <w:bottom w:w="0" w:type="dxa"/>
              <w:right w:w="15" w:type="dxa"/>
            </w:tcMar>
            <w:hideMark/>
          </w:tcPr>
          <w:p w14:paraId="18951552" w14:textId="77777777" w:rsidR="00000000" w:rsidRDefault="00582324">
            <w:pPr>
              <w:pStyle w:val="a3"/>
              <w:spacing w:before="0" w:beforeAutospacing="0" w:after="0" w:afterAutospacing="0"/>
              <w:jc w:val="center"/>
              <w:rPr>
                <w:color w:val="000000"/>
                <w:sz w:val="18"/>
                <w:szCs w:val="18"/>
              </w:rPr>
            </w:pPr>
            <w:r>
              <w:rPr>
                <w:color w:val="000000"/>
                <w:sz w:val="18"/>
                <w:szCs w:val="18"/>
              </w:rPr>
              <w:t>1</w:t>
            </w:r>
          </w:p>
        </w:tc>
        <w:tc>
          <w:tcPr>
            <w:tcW w:w="58" w:type="pct"/>
            <w:shd w:val="clear" w:color="auto" w:fill="CFF0FC"/>
            <w:tcMar>
              <w:top w:w="15" w:type="dxa"/>
              <w:left w:w="0" w:type="dxa"/>
              <w:bottom w:w="0" w:type="dxa"/>
              <w:right w:w="15" w:type="dxa"/>
            </w:tcMar>
            <w:vAlign w:val="bottom"/>
            <w:hideMark/>
          </w:tcPr>
          <w:p w14:paraId="2A5FB23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98" w:type="pct"/>
            <w:tcBorders>
              <w:top w:val="single" w:sz="6" w:space="0" w:color="000000"/>
            </w:tcBorders>
            <w:shd w:val="clear" w:color="auto" w:fill="CFF0FC"/>
            <w:tcMar>
              <w:top w:w="15" w:type="dxa"/>
              <w:left w:w="0" w:type="dxa"/>
              <w:bottom w:w="0" w:type="dxa"/>
              <w:right w:w="15" w:type="dxa"/>
            </w:tcMar>
            <w:vAlign w:val="bottom"/>
            <w:hideMark/>
          </w:tcPr>
          <w:p w14:paraId="344405FA" w14:textId="77777777" w:rsidR="00000000" w:rsidRDefault="00582324">
            <w:pPr>
              <w:pStyle w:val="a3"/>
              <w:spacing w:before="0" w:beforeAutospacing="0" w:after="0" w:afterAutospacing="0"/>
              <w:jc w:val="center"/>
              <w:rPr>
                <w:color w:val="000000"/>
                <w:sz w:val="18"/>
                <w:szCs w:val="18"/>
              </w:rPr>
            </w:pPr>
            <w:r>
              <w:rPr>
                <w:color w:val="000000"/>
                <w:sz w:val="18"/>
                <w:szCs w:val="18"/>
              </w:rPr>
              <w:t>≥</w:t>
            </w:r>
            <w:r>
              <w:rPr>
                <w:color w:val="000000"/>
                <w:sz w:val="18"/>
                <w:szCs w:val="18"/>
              </w:rPr>
              <w:t xml:space="preserve"> 3.75 to 1.0</w:t>
            </w:r>
          </w:p>
        </w:tc>
        <w:tc>
          <w:tcPr>
            <w:tcW w:w="58" w:type="pct"/>
            <w:shd w:val="clear" w:color="auto" w:fill="CFF0FC"/>
            <w:tcMar>
              <w:top w:w="15" w:type="dxa"/>
              <w:left w:w="0" w:type="dxa"/>
              <w:bottom w:w="0" w:type="dxa"/>
              <w:right w:w="15" w:type="dxa"/>
            </w:tcMar>
            <w:vAlign w:val="bottom"/>
            <w:hideMark/>
          </w:tcPr>
          <w:p w14:paraId="30A60B2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07C8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tcBorders>
              <w:top w:val="single" w:sz="6" w:space="0" w:color="000000"/>
            </w:tcBorders>
            <w:shd w:val="clear" w:color="auto" w:fill="CFF0FC"/>
            <w:noWrap/>
            <w:tcMar>
              <w:top w:w="15" w:type="dxa"/>
              <w:left w:w="0" w:type="dxa"/>
              <w:bottom w:w="0" w:type="dxa"/>
              <w:right w:w="15" w:type="dxa"/>
            </w:tcMar>
            <w:vAlign w:val="bottom"/>
            <w:hideMark/>
          </w:tcPr>
          <w:p w14:paraId="5EB1A85D"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CFF0FC"/>
            <w:noWrap/>
            <w:tcMar>
              <w:top w:w="15" w:type="dxa"/>
              <w:left w:w="0" w:type="dxa"/>
              <w:bottom w:w="0" w:type="dxa"/>
              <w:right w:w="15" w:type="dxa"/>
            </w:tcMar>
            <w:vAlign w:val="bottom"/>
            <w:hideMark/>
          </w:tcPr>
          <w:p w14:paraId="6094EF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4CA745D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2F3C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tcBorders>
              <w:top w:val="single" w:sz="6" w:space="0" w:color="000000"/>
            </w:tcBorders>
            <w:shd w:val="clear" w:color="auto" w:fill="CFF0FC"/>
            <w:noWrap/>
            <w:tcMar>
              <w:top w:w="15" w:type="dxa"/>
              <w:left w:w="0" w:type="dxa"/>
              <w:bottom w:w="0" w:type="dxa"/>
              <w:right w:w="15" w:type="dxa"/>
            </w:tcMar>
            <w:vAlign w:val="bottom"/>
            <w:hideMark/>
          </w:tcPr>
          <w:p w14:paraId="572DC39D" w14:textId="77777777" w:rsidR="00000000" w:rsidRDefault="00582324">
            <w:pPr>
              <w:pStyle w:val="a3"/>
              <w:spacing w:before="0" w:beforeAutospacing="0" w:after="0" w:afterAutospacing="0"/>
              <w:jc w:val="right"/>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bottom"/>
            <w:hideMark/>
          </w:tcPr>
          <w:p w14:paraId="11B649B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19367F4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BD3DB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tcBorders>
              <w:top w:val="single" w:sz="6" w:space="0" w:color="000000"/>
            </w:tcBorders>
            <w:shd w:val="clear" w:color="auto" w:fill="CFF0FC"/>
            <w:noWrap/>
            <w:tcMar>
              <w:top w:w="15" w:type="dxa"/>
              <w:left w:w="0" w:type="dxa"/>
              <w:bottom w:w="0" w:type="dxa"/>
              <w:right w:w="15" w:type="dxa"/>
            </w:tcMar>
            <w:vAlign w:val="bottom"/>
            <w:hideMark/>
          </w:tcPr>
          <w:p w14:paraId="28F5E33C" w14:textId="77777777" w:rsidR="00000000" w:rsidRDefault="00582324">
            <w:pPr>
              <w:pStyle w:val="a3"/>
              <w:spacing w:before="0" w:beforeAutospacing="0" w:after="0" w:afterAutospacing="0"/>
              <w:jc w:val="right"/>
              <w:rPr>
                <w:color w:val="000000"/>
                <w:sz w:val="18"/>
                <w:szCs w:val="18"/>
              </w:rPr>
            </w:pPr>
            <w:r>
              <w:rPr>
                <w:color w:val="000000"/>
                <w:sz w:val="18"/>
                <w:szCs w:val="18"/>
              </w:rPr>
              <w:t>0.25</w:t>
            </w:r>
          </w:p>
        </w:tc>
        <w:tc>
          <w:tcPr>
            <w:tcW w:w="50" w:type="pct"/>
            <w:shd w:val="clear" w:color="auto" w:fill="CFF0FC"/>
            <w:noWrap/>
            <w:tcMar>
              <w:top w:w="15" w:type="dxa"/>
              <w:left w:w="0" w:type="dxa"/>
              <w:bottom w:w="0" w:type="dxa"/>
              <w:right w:w="15" w:type="dxa"/>
            </w:tcMar>
            <w:vAlign w:val="bottom"/>
            <w:hideMark/>
          </w:tcPr>
          <w:p w14:paraId="7C1B46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3D68631D"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AF21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tcBorders>
              <w:top w:val="single" w:sz="6" w:space="0" w:color="000000"/>
            </w:tcBorders>
            <w:shd w:val="clear" w:color="auto" w:fill="CFF0FC"/>
            <w:noWrap/>
            <w:tcMar>
              <w:top w:w="15" w:type="dxa"/>
              <w:left w:w="0" w:type="dxa"/>
              <w:bottom w:w="0" w:type="dxa"/>
              <w:right w:w="15" w:type="dxa"/>
            </w:tcMar>
            <w:vAlign w:val="bottom"/>
            <w:hideMark/>
          </w:tcPr>
          <w:p w14:paraId="21B3A67B"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CFF0FC"/>
            <w:noWrap/>
            <w:tcMar>
              <w:top w:w="15" w:type="dxa"/>
              <w:left w:w="0" w:type="dxa"/>
              <w:bottom w:w="0" w:type="dxa"/>
              <w:right w:w="15" w:type="dxa"/>
            </w:tcMar>
            <w:vAlign w:val="bottom"/>
            <w:hideMark/>
          </w:tcPr>
          <w:p w14:paraId="04068C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0A3CB63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r>
      <w:tr w:rsidR="00000000" w14:paraId="4E3CAD6C" w14:textId="77777777">
        <w:trPr>
          <w:divId w:val="2008483794"/>
        </w:trPr>
        <w:tc>
          <w:tcPr>
            <w:tcW w:w="1241" w:type="pct"/>
            <w:shd w:val="clear" w:color="auto" w:fill="FFFFFF"/>
            <w:tcMar>
              <w:top w:w="15" w:type="dxa"/>
              <w:left w:w="0" w:type="dxa"/>
              <w:bottom w:w="0" w:type="dxa"/>
              <w:right w:w="15" w:type="dxa"/>
            </w:tcMar>
            <w:hideMark/>
          </w:tcPr>
          <w:p w14:paraId="2135A03D" w14:textId="77777777" w:rsidR="00000000" w:rsidRDefault="00582324">
            <w:pPr>
              <w:pStyle w:val="a3"/>
              <w:spacing w:before="0" w:beforeAutospacing="0" w:after="0" w:afterAutospacing="0"/>
              <w:jc w:val="center"/>
              <w:rPr>
                <w:color w:val="000000"/>
                <w:sz w:val="18"/>
                <w:szCs w:val="18"/>
              </w:rPr>
            </w:pPr>
            <w:r>
              <w:rPr>
                <w:color w:val="000000"/>
                <w:sz w:val="18"/>
                <w:szCs w:val="18"/>
              </w:rPr>
              <w:t>2</w:t>
            </w:r>
          </w:p>
        </w:tc>
        <w:tc>
          <w:tcPr>
            <w:tcW w:w="58" w:type="pct"/>
            <w:shd w:val="clear" w:color="auto" w:fill="FFFFFF"/>
            <w:tcMar>
              <w:top w:w="15" w:type="dxa"/>
              <w:left w:w="0" w:type="dxa"/>
              <w:bottom w:w="0" w:type="dxa"/>
              <w:right w:w="15" w:type="dxa"/>
            </w:tcMar>
            <w:vAlign w:val="bottom"/>
            <w:hideMark/>
          </w:tcPr>
          <w:p w14:paraId="2151032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98" w:type="pct"/>
            <w:shd w:val="clear" w:color="auto" w:fill="FFFFFF"/>
            <w:tcMar>
              <w:top w:w="15" w:type="dxa"/>
              <w:left w:w="0" w:type="dxa"/>
              <w:bottom w:w="0" w:type="dxa"/>
              <w:right w:w="15" w:type="dxa"/>
            </w:tcMar>
            <w:vAlign w:val="bottom"/>
            <w:hideMark/>
          </w:tcPr>
          <w:p w14:paraId="3BF3A5F9"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 3.75 to 1.0 but </w:t>
            </w:r>
            <w:r>
              <w:rPr>
                <w:color w:val="000000"/>
                <w:sz w:val="18"/>
                <w:szCs w:val="18"/>
              </w:rPr>
              <w:t>≥</w:t>
            </w:r>
            <w:r>
              <w:rPr>
                <w:color w:val="000000"/>
                <w:sz w:val="18"/>
                <w:szCs w:val="18"/>
              </w:rPr>
              <w:t xml:space="preserve"> 3.25 to 1.0</w:t>
            </w:r>
          </w:p>
        </w:tc>
        <w:tc>
          <w:tcPr>
            <w:tcW w:w="58" w:type="pct"/>
            <w:shd w:val="clear" w:color="auto" w:fill="FFFFFF"/>
            <w:tcMar>
              <w:top w:w="15" w:type="dxa"/>
              <w:left w:w="0" w:type="dxa"/>
              <w:bottom w:w="0" w:type="dxa"/>
              <w:right w:w="15" w:type="dxa"/>
            </w:tcMar>
            <w:vAlign w:val="bottom"/>
            <w:hideMark/>
          </w:tcPr>
          <w:p w14:paraId="0D33060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7AA9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71B29E98" w14:textId="77777777" w:rsidR="00000000" w:rsidRDefault="00582324">
            <w:pPr>
              <w:pStyle w:val="a3"/>
              <w:spacing w:before="0" w:beforeAutospacing="0" w:after="0" w:afterAutospacing="0"/>
              <w:jc w:val="right"/>
              <w:rPr>
                <w:color w:val="000000"/>
                <w:sz w:val="18"/>
                <w:szCs w:val="18"/>
              </w:rPr>
            </w:pPr>
            <w:r>
              <w:rPr>
                <w:color w:val="000000"/>
                <w:sz w:val="18"/>
                <w:szCs w:val="18"/>
              </w:rPr>
              <w:t>2.25</w:t>
            </w:r>
          </w:p>
        </w:tc>
        <w:tc>
          <w:tcPr>
            <w:tcW w:w="50" w:type="pct"/>
            <w:shd w:val="clear" w:color="auto" w:fill="FFFFFF"/>
            <w:noWrap/>
            <w:tcMar>
              <w:top w:w="15" w:type="dxa"/>
              <w:left w:w="0" w:type="dxa"/>
              <w:bottom w:w="0" w:type="dxa"/>
              <w:right w:w="15" w:type="dxa"/>
            </w:tcMar>
            <w:vAlign w:val="bottom"/>
            <w:hideMark/>
          </w:tcPr>
          <w:p w14:paraId="6C7B2A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4C1D1EE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371AC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210AE0C5" w14:textId="77777777" w:rsidR="00000000" w:rsidRDefault="00582324">
            <w:pPr>
              <w:pStyle w:val="a3"/>
              <w:spacing w:before="0" w:beforeAutospacing="0" w:after="0" w:afterAutospacing="0"/>
              <w:jc w:val="right"/>
              <w:rPr>
                <w:color w:val="000000"/>
                <w:sz w:val="18"/>
                <w:szCs w:val="18"/>
              </w:rPr>
            </w:pPr>
            <w:r>
              <w:rPr>
                <w:color w:val="000000"/>
                <w:sz w:val="18"/>
                <w:szCs w:val="18"/>
              </w:rPr>
              <w:t>1.25</w:t>
            </w:r>
          </w:p>
        </w:tc>
        <w:tc>
          <w:tcPr>
            <w:tcW w:w="50" w:type="pct"/>
            <w:shd w:val="clear" w:color="auto" w:fill="FFFFFF"/>
            <w:noWrap/>
            <w:tcMar>
              <w:top w:w="15" w:type="dxa"/>
              <w:left w:w="0" w:type="dxa"/>
              <w:bottom w:w="0" w:type="dxa"/>
              <w:right w:w="15" w:type="dxa"/>
            </w:tcMar>
            <w:vAlign w:val="bottom"/>
            <w:hideMark/>
          </w:tcPr>
          <w:p w14:paraId="395D99F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56E78B1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D0CC3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6436933F" w14:textId="77777777" w:rsidR="00000000" w:rsidRDefault="00582324">
            <w:pPr>
              <w:pStyle w:val="a3"/>
              <w:spacing w:before="0" w:beforeAutospacing="0" w:after="0" w:afterAutospacing="0"/>
              <w:jc w:val="right"/>
              <w:rPr>
                <w:color w:val="000000"/>
                <w:sz w:val="18"/>
                <w:szCs w:val="18"/>
              </w:rPr>
            </w:pPr>
            <w:r>
              <w:rPr>
                <w:color w:val="000000"/>
                <w:sz w:val="18"/>
                <w:szCs w:val="18"/>
              </w:rPr>
              <w:t>0.23</w:t>
            </w:r>
          </w:p>
        </w:tc>
        <w:tc>
          <w:tcPr>
            <w:tcW w:w="50" w:type="pct"/>
            <w:shd w:val="clear" w:color="auto" w:fill="FFFFFF"/>
            <w:noWrap/>
            <w:tcMar>
              <w:top w:w="15" w:type="dxa"/>
              <w:left w:w="0" w:type="dxa"/>
              <w:bottom w:w="0" w:type="dxa"/>
              <w:right w:w="15" w:type="dxa"/>
            </w:tcMar>
            <w:vAlign w:val="bottom"/>
            <w:hideMark/>
          </w:tcPr>
          <w:p w14:paraId="1CBBC61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6AABDB1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FFEC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3E143B63" w14:textId="77777777" w:rsidR="00000000" w:rsidRDefault="00582324">
            <w:pPr>
              <w:pStyle w:val="a3"/>
              <w:spacing w:before="0" w:beforeAutospacing="0" w:after="0" w:afterAutospacing="0"/>
              <w:jc w:val="right"/>
              <w:rPr>
                <w:color w:val="000000"/>
                <w:sz w:val="18"/>
                <w:szCs w:val="18"/>
              </w:rPr>
            </w:pPr>
            <w:r>
              <w:rPr>
                <w:color w:val="000000"/>
                <w:sz w:val="18"/>
                <w:szCs w:val="18"/>
              </w:rPr>
              <w:t>2.25</w:t>
            </w:r>
          </w:p>
        </w:tc>
        <w:tc>
          <w:tcPr>
            <w:tcW w:w="50" w:type="pct"/>
            <w:shd w:val="clear" w:color="auto" w:fill="FFFFFF"/>
            <w:noWrap/>
            <w:tcMar>
              <w:top w:w="15" w:type="dxa"/>
              <w:left w:w="0" w:type="dxa"/>
              <w:bottom w:w="0" w:type="dxa"/>
              <w:right w:w="15" w:type="dxa"/>
            </w:tcMar>
            <w:vAlign w:val="bottom"/>
            <w:hideMark/>
          </w:tcPr>
          <w:p w14:paraId="293711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40B72CC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r>
      <w:tr w:rsidR="00000000" w14:paraId="0C555ECE" w14:textId="77777777">
        <w:trPr>
          <w:divId w:val="2008483794"/>
        </w:trPr>
        <w:tc>
          <w:tcPr>
            <w:tcW w:w="1241" w:type="pct"/>
            <w:shd w:val="clear" w:color="auto" w:fill="CFF0FC"/>
            <w:tcMar>
              <w:top w:w="15" w:type="dxa"/>
              <w:left w:w="0" w:type="dxa"/>
              <w:bottom w:w="0" w:type="dxa"/>
              <w:right w:w="15" w:type="dxa"/>
            </w:tcMar>
            <w:hideMark/>
          </w:tcPr>
          <w:p w14:paraId="08D5E2C0" w14:textId="77777777" w:rsidR="00000000" w:rsidRDefault="00582324">
            <w:pPr>
              <w:pStyle w:val="a3"/>
              <w:spacing w:before="0" w:beforeAutospacing="0" w:after="0" w:afterAutospacing="0"/>
              <w:jc w:val="center"/>
              <w:rPr>
                <w:color w:val="000000"/>
                <w:sz w:val="18"/>
                <w:szCs w:val="18"/>
              </w:rPr>
            </w:pPr>
            <w:r>
              <w:rPr>
                <w:color w:val="000000"/>
                <w:sz w:val="18"/>
                <w:szCs w:val="18"/>
              </w:rPr>
              <w:t>3</w:t>
            </w:r>
          </w:p>
        </w:tc>
        <w:tc>
          <w:tcPr>
            <w:tcW w:w="58" w:type="pct"/>
            <w:shd w:val="clear" w:color="auto" w:fill="CFF0FC"/>
            <w:tcMar>
              <w:top w:w="15" w:type="dxa"/>
              <w:left w:w="0" w:type="dxa"/>
              <w:bottom w:w="0" w:type="dxa"/>
              <w:right w:w="15" w:type="dxa"/>
            </w:tcMar>
            <w:vAlign w:val="bottom"/>
            <w:hideMark/>
          </w:tcPr>
          <w:p w14:paraId="1068A36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98" w:type="pct"/>
            <w:shd w:val="clear" w:color="auto" w:fill="CFF0FC"/>
            <w:tcMar>
              <w:top w:w="15" w:type="dxa"/>
              <w:left w:w="0" w:type="dxa"/>
              <w:bottom w:w="0" w:type="dxa"/>
              <w:right w:w="15" w:type="dxa"/>
            </w:tcMar>
            <w:vAlign w:val="bottom"/>
            <w:hideMark/>
          </w:tcPr>
          <w:p w14:paraId="1951CDCF"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&lt;3.25 to 1.0 but </w:t>
            </w:r>
            <w:r>
              <w:rPr>
                <w:color w:val="000000"/>
                <w:sz w:val="18"/>
                <w:szCs w:val="18"/>
              </w:rPr>
              <w:t>≥</w:t>
            </w:r>
            <w:r>
              <w:rPr>
                <w:color w:val="000000"/>
                <w:sz w:val="18"/>
                <w:szCs w:val="18"/>
              </w:rPr>
              <w:t xml:space="preserve"> 2.50 to 1.0</w:t>
            </w:r>
          </w:p>
        </w:tc>
        <w:tc>
          <w:tcPr>
            <w:tcW w:w="58" w:type="pct"/>
            <w:shd w:val="clear" w:color="auto" w:fill="CFF0FC"/>
            <w:tcMar>
              <w:top w:w="15" w:type="dxa"/>
              <w:left w:w="0" w:type="dxa"/>
              <w:bottom w:w="0" w:type="dxa"/>
              <w:right w:w="15" w:type="dxa"/>
            </w:tcMar>
            <w:vAlign w:val="bottom"/>
            <w:hideMark/>
          </w:tcPr>
          <w:p w14:paraId="72514FC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6F17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24E68EC1" w14:textId="77777777" w:rsidR="00000000" w:rsidRDefault="00582324">
            <w:pPr>
              <w:pStyle w:val="a3"/>
              <w:spacing w:before="0" w:beforeAutospacing="0" w:after="0" w:afterAutospacing="0"/>
              <w:jc w:val="right"/>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bottom"/>
            <w:hideMark/>
          </w:tcPr>
          <w:p w14:paraId="3BFF4D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4C4CAA4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2D0E8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3F94303B" w14:textId="77777777" w:rsidR="00000000" w:rsidRDefault="00582324">
            <w:pPr>
              <w:pStyle w:val="a3"/>
              <w:spacing w:before="0" w:beforeAutospacing="0" w:after="0" w:afterAutospacing="0"/>
              <w:jc w:val="right"/>
              <w:rPr>
                <w:color w:val="000000"/>
                <w:sz w:val="18"/>
                <w:szCs w:val="18"/>
              </w:rPr>
            </w:pPr>
            <w:r>
              <w:rPr>
                <w:color w:val="000000"/>
                <w:sz w:val="18"/>
                <w:szCs w:val="18"/>
              </w:rPr>
              <w:t>1.00</w:t>
            </w:r>
          </w:p>
        </w:tc>
        <w:tc>
          <w:tcPr>
            <w:tcW w:w="50" w:type="pct"/>
            <w:shd w:val="clear" w:color="auto" w:fill="CFF0FC"/>
            <w:noWrap/>
            <w:tcMar>
              <w:top w:w="15" w:type="dxa"/>
              <w:left w:w="0" w:type="dxa"/>
              <w:bottom w:w="0" w:type="dxa"/>
              <w:right w:w="15" w:type="dxa"/>
            </w:tcMar>
            <w:vAlign w:val="bottom"/>
            <w:hideMark/>
          </w:tcPr>
          <w:p w14:paraId="330B2EB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4F0AD4F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9865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0A71A644" w14:textId="77777777" w:rsidR="00000000" w:rsidRDefault="00582324">
            <w:pPr>
              <w:pStyle w:val="a3"/>
              <w:spacing w:before="0" w:beforeAutospacing="0" w:after="0" w:afterAutospacing="0"/>
              <w:jc w:val="right"/>
              <w:rPr>
                <w:color w:val="000000"/>
                <w:sz w:val="18"/>
                <w:szCs w:val="18"/>
              </w:rPr>
            </w:pPr>
            <w:r>
              <w:rPr>
                <w:color w:val="000000"/>
                <w:sz w:val="18"/>
                <w:szCs w:val="18"/>
              </w:rPr>
              <w:t>0.20</w:t>
            </w:r>
          </w:p>
        </w:tc>
        <w:tc>
          <w:tcPr>
            <w:tcW w:w="50" w:type="pct"/>
            <w:shd w:val="clear" w:color="auto" w:fill="CFF0FC"/>
            <w:noWrap/>
            <w:tcMar>
              <w:top w:w="15" w:type="dxa"/>
              <w:left w:w="0" w:type="dxa"/>
              <w:bottom w:w="0" w:type="dxa"/>
              <w:right w:w="15" w:type="dxa"/>
            </w:tcMar>
            <w:vAlign w:val="bottom"/>
            <w:hideMark/>
          </w:tcPr>
          <w:p w14:paraId="450439F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4E30D2E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18ED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5160BB96" w14:textId="77777777" w:rsidR="00000000" w:rsidRDefault="00582324">
            <w:pPr>
              <w:pStyle w:val="a3"/>
              <w:spacing w:before="0" w:beforeAutospacing="0" w:after="0" w:afterAutospacing="0"/>
              <w:jc w:val="right"/>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bottom"/>
            <w:hideMark/>
          </w:tcPr>
          <w:p w14:paraId="070946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09E75FD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r>
      <w:tr w:rsidR="00000000" w14:paraId="21B25FE8" w14:textId="77777777">
        <w:trPr>
          <w:divId w:val="2008483794"/>
        </w:trPr>
        <w:tc>
          <w:tcPr>
            <w:tcW w:w="1241" w:type="pct"/>
            <w:shd w:val="clear" w:color="auto" w:fill="FFFFFF"/>
            <w:tcMar>
              <w:top w:w="15" w:type="dxa"/>
              <w:left w:w="0" w:type="dxa"/>
              <w:bottom w:w="0" w:type="dxa"/>
              <w:right w:w="15" w:type="dxa"/>
            </w:tcMar>
            <w:hideMark/>
          </w:tcPr>
          <w:p w14:paraId="4222BD2F" w14:textId="77777777" w:rsidR="00000000" w:rsidRDefault="00582324">
            <w:pPr>
              <w:pStyle w:val="a3"/>
              <w:spacing w:before="0" w:beforeAutospacing="0" w:after="0" w:afterAutospacing="0"/>
              <w:jc w:val="center"/>
              <w:rPr>
                <w:color w:val="000000"/>
                <w:sz w:val="18"/>
                <w:szCs w:val="18"/>
              </w:rPr>
            </w:pPr>
            <w:r>
              <w:rPr>
                <w:color w:val="000000"/>
                <w:sz w:val="18"/>
                <w:szCs w:val="18"/>
              </w:rPr>
              <w:t>4</w:t>
            </w:r>
          </w:p>
        </w:tc>
        <w:tc>
          <w:tcPr>
            <w:tcW w:w="58" w:type="pct"/>
            <w:shd w:val="clear" w:color="auto" w:fill="FFFFFF"/>
            <w:tcMar>
              <w:top w:w="15" w:type="dxa"/>
              <w:left w:w="0" w:type="dxa"/>
              <w:bottom w:w="0" w:type="dxa"/>
              <w:right w:w="15" w:type="dxa"/>
            </w:tcMar>
            <w:vAlign w:val="bottom"/>
            <w:hideMark/>
          </w:tcPr>
          <w:p w14:paraId="49C07E5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98" w:type="pct"/>
            <w:shd w:val="clear" w:color="auto" w:fill="FFFFFF"/>
            <w:tcMar>
              <w:top w:w="15" w:type="dxa"/>
              <w:left w:w="0" w:type="dxa"/>
              <w:bottom w:w="0" w:type="dxa"/>
              <w:right w:w="15" w:type="dxa"/>
            </w:tcMar>
            <w:vAlign w:val="bottom"/>
            <w:hideMark/>
          </w:tcPr>
          <w:p w14:paraId="78BB3694"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&lt;2.50 to 1.0 but </w:t>
            </w:r>
            <w:r>
              <w:rPr>
                <w:color w:val="000000"/>
                <w:sz w:val="18"/>
                <w:szCs w:val="18"/>
              </w:rPr>
              <w:t>≥</w:t>
            </w:r>
            <w:r>
              <w:rPr>
                <w:color w:val="000000"/>
                <w:sz w:val="18"/>
                <w:szCs w:val="18"/>
              </w:rPr>
              <w:t xml:space="preserve"> 1.75 to 1.0</w:t>
            </w:r>
          </w:p>
        </w:tc>
        <w:tc>
          <w:tcPr>
            <w:tcW w:w="58" w:type="pct"/>
            <w:shd w:val="clear" w:color="auto" w:fill="FFFFFF"/>
            <w:tcMar>
              <w:top w:w="15" w:type="dxa"/>
              <w:left w:w="0" w:type="dxa"/>
              <w:bottom w:w="0" w:type="dxa"/>
              <w:right w:w="15" w:type="dxa"/>
            </w:tcMar>
            <w:vAlign w:val="bottom"/>
            <w:hideMark/>
          </w:tcPr>
          <w:p w14:paraId="4129B25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ABA7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0F3533DC" w14:textId="77777777" w:rsidR="00000000" w:rsidRDefault="00582324">
            <w:pPr>
              <w:pStyle w:val="a3"/>
              <w:spacing w:before="0" w:beforeAutospacing="0" w:after="0" w:afterAutospacing="0"/>
              <w:jc w:val="right"/>
              <w:rPr>
                <w:color w:val="000000"/>
                <w:sz w:val="18"/>
                <w:szCs w:val="18"/>
              </w:rPr>
            </w:pPr>
            <w:r>
              <w:rPr>
                <w:color w:val="000000"/>
                <w:sz w:val="18"/>
                <w:szCs w:val="18"/>
              </w:rPr>
              <w:t>1.75</w:t>
            </w:r>
          </w:p>
        </w:tc>
        <w:tc>
          <w:tcPr>
            <w:tcW w:w="50" w:type="pct"/>
            <w:shd w:val="clear" w:color="auto" w:fill="FFFFFF"/>
            <w:noWrap/>
            <w:tcMar>
              <w:top w:w="15" w:type="dxa"/>
              <w:left w:w="0" w:type="dxa"/>
              <w:bottom w:w="0" w:type="dxa"/>
              <w:right w:w="15" w:type="dxa"/>
            </w:tcMar>
            <w:vAlign w:val="bottom"/>
            <w:hideMark/>
          </w:tcPr>
          <w:p w14:paraId="07133BF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07F1342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6B5EF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7127018B" w14:textId="77777777" w:rsidR="00000000" w:rsidRDefault="00582324">
            <w:pPr>
              <w:pStyle w:val="a3"/>
              <w:spacing w:before="0" w:beforeAutospacing="0" w:after="0" w:afterAutospacing="0"/>
              <w:jc w:val="right"/>
              <w:rPr>
                <w:color w:val="000000"/>
                <w:sz w:val="18"/>
                <w:szCs w:val="18"/>
              </w:rPr>
            </w:pPr>
            <w:r>
              <w:rPr>
                <w:color w:val="000000"/>
                <w:sz w:val="18"/>
                <w:szCs w:val="18"/>
              </w:rPr>
              <w:t>0.75</w:t>
            </w:r>
          </w:p>
        </w:tc>
        <w:tc>
          <w:tcPr>
            <w:tcW w:w="50" w:type="pct"/>
            <w:shd w:val="clear" w:color="auto" w:fill="FFFFFF"/>
            <w:noWrap/>
            <w:tcMar>
              <w:top w:w="15" w:type="dxa"/>
              <w:left w:w="0" w:type="dxa"/>
              <w:bottom w:w="0" w:type="dxa"/>
              <w:right w:w="15" w:type="dxa"/>
            </w:tcMar>
            <w:vAlign w:val="bottom"/>
            <w:hideMark/>
          </w:tcPr>
          <w:p w14:paraId="00732D3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5D99F98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06C7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5A2DB549" w14:textId="77777777" w:rsidR="00000000" w:rsidRDefault="00582324">
            <w:pPr>
              <w:pStyle w:val="a3"/>
              <w:spacing w:before="0" w:beforeAutospacing="0" w:after="0" w:afterAutospacing="0"/>
              <w:jc w:val="right"/>
              <w:rPr>
                <w:color w:val="000000"/>
                <w:sz w:val="18"/>
                <w:szCs w:val="18"/>
              </w:rPr>
            </w:pPr>
            <w:r>
              <w:rPr>
                <w:color w:val="000000"/>
                <w:sz w:val="18"/>
                <w:szCs w:val="18"/>
              </w:rPr>
              <w:t>0.15</w:t>
            </w:r>
          </w:p>
        </w:tc>
        <w:tc>
          <w:tcPr>
            <w:tcW w:w="50" w:type="pct"/>
            <w:shd w:val="clear" w:color="auto" w:fill="FFFFFF"/>
            <w:noWrap/>
            <w:tcMar>
              <w:top w:w="15" w:type="dxa"/>
              <w:left w:w="0" w:type="dxa"/>
              <w:bottom w:w="0" w:type="dxa"/>
              <w:right w:w="15" w:type="dxa"/>
            </w:tcMar>
            <w:vAlign w:val="bottom"/>
            <w:hideMark/>
          </w:tcPr>
          <w:p w14:paraId="269089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11EE9DB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254F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FFFFFF"/>
            <w:noWrap/>
            <w:tcMar>
              <w:top w:w="15" w:type="dxa"/>
              <w:left w:w="0" w:type="dxa"/>
              <w:bottom w:w="0" w:type="dxa"/>
              <w:right w:w="15" w:type="dxa"/>
            </w:tcMar>
            <w:vAlign w:val="bottom"/>
            <w:hideMark/>
          </w:tcPr>
          <w:p w14:paraId="545B0EB8" w14:textId="77777777" w:rsidR="00000000" w:rsidRDefault="00582324">
            <w:pPr>
              <w:pStyle w:val="a3"/>
              <w:spacing w:before="0" w:beforeAutospacing="0" w:after="0" w:afterAutospacing="0"/>
              <w:jc w:val="right"/>
              <w:rPr>
                <w:color w:val="000000"/>
                <w:sz w:val="18"/>
                <w:szCs w:val="18"/>
              </w:rPr>
            </w:pPr>
            <w:r>
              <w:rPr>
                <w:color w:val="000000"/>
                <w:sz w:val="18"/>
                <w:szCs w:val="18"/>
              </w:rPr>
              <w:t>1.75</w:t>
            </w:r>
          </w:p>
        </w:tc>
        <w:tc>
          <w:tcPr>
            <w:tcW w:w="50" w:type="pct"/>
            <w:shd w:val="clear" w:color="auto" w:fill="FFFFFF"/>
            <w:noWrap/>
            <w:tcMar>
              <w:top w:w="15" w:type="dxa"/>
              <w:left w:w="0" w:type="dxa"/>
              <w:bottom w:w="0" w:type="dxa"/>
              <w:right w:w="15" w:type="dxa"/>
            </w:tcMar>
            <w:vAlign w:val="bottom"/>
            <w:hideMark/>
          </w:tcPr>
          <w:p w14:paraId="44508A7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14:paraId="60DD37C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r>
      <w:tr w:rsidR="00000000" w14:paraId="3ADE5097" w14:textId="77777777">
        <w:trPr>
          <w:divId w:val="2008483794"/>
        </w:trPr>
        <w:tc>
          <w:tcPr>
            <w:tcW w:w="1241" w:type="pct"/>
            <w:shd w:val="clear" w:color="auto" w:fill="CFF0FC"/>
            <w:tcMar>
              <w:top w:w="15" w:type="dxa"/>
              <w:left w:w="0" w:type="dxa"/>
              <w:bottom w:w="0" w:type="dxa"/>
              <w:right w:w="15" w:type="dxa"/>
            </w:tcMar>
            <w:hideMark/>
          </w:tcPr>
          <w:p w14:paraId="5316161B" w14:textId="77777777" w:rsidR="00000000" w:rsidRDefault="00582324">
            <w:pPr>
              <w:pStyle w:val="a3"/>
              <w:spacing w:before="0" w:beforeAutospacing="0" w:after="0" w:afterAutospacing="0"/>
              <w:jc w:val="center"/>
              <w:rPr>
                <w:color w:val="000000"/>
                <w:sz w:val="18"/>
                <w:szCs w:val="18"/>
              </w:rPr>
            </w:pPr>
            <w:r>
              <w:rPr>
                <w:color w:val="000000"/>
                <w:sz w:val="18"/>
                <w:szCs w:val="18"/>
              </w:rPr>
              <w:t>5</w:t>
            </w:r>
          </w:p>
        </w:tc>
        <w:tc>
          <w:tcPr>
            <w:tcW w:w="58" w:type="pct"/>
            <w:shd w:val="clear" w:color="auto" w:fill="CFF0FC"/>
            <w:tcMar>
              <w:top w:w="15" w:type="dxa"/>
              <w:left w:w="0" w:type="dxa"/>
              <w:bottom w:w="0" w:type="dxa"/>
              <w:right w:w="15" w:type="dxa"/>
            </w:tcMar>
            <w:vAlign w:val="bottom"/>
            <w:hideMark/>
          </w:tcPr>
          <w:p w14:paraId="115AE6F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98" w:type="pct"/>
            <w:shd w:val="clear" w:color="auto" w:fill="CFF0FC"/>
            <w:tcMar>
              <w:top w:w="15" w:type="dxa"/>
              <w:left w:w="0" w:type="dxa"/>
              <w:bottom w:w="0" w:type="dxa"/>
              <w:right w:w="15" w:type="dxa"/>
            </w:tcMar>
            <w:vAlign w:val="bottom"/>
            <w:hideMark/>
          </w:tcPr>
          <w:p w14:paraId="675AA349" w14:textId="77777777" w:rsidR="00000000" w:rsidRDefault="00582324">
            <w:pPr>
              <w:pStyle w:val="a3"/>
              <w:spacing w:before="0" w:beforeAutospacing="0" w:after="0" w:afterAutospacing="0"/>
              <w:jc w:val="center"/>
              <w:rPr>
                <w:color w:val="000000"/>
                <w:sz w:val="18"/>
                <w:szCs w:val="18"/>
              </w:rPr>
            </w:pPr>
            <w:r>
              <w:rPr>
                <w:color w:val="000000"/>
                <w:sz w:val="18"/>
                <w:szCs w:val="18"/>
              </w:rPr>
              <w:t>&lt;1.75 to 1.0</w:t>
            </w:r>
          </w:p>
        </w:tc>
        <w:tc>
          <w:tcPr>
            <w:tcW w:w="58" w:type="pct"/>
            <w:shd w:val="clear" w:color="auto" w:fill="CFF0FC"/>
            <w:tcMar>
              <w:top w:w="15" w:type="dxa"/>
              <w:left w:w="0" w:type="dxa"/>
              <w:bottom w:w="0" w:type="dxa"/>
              <w:right w:w="15" w:type="dxa"/>
            </w:tcMar>
            <w:vAlign w:val="bottom"/>
            <w:hideMark/>
          </w:tcPr>
          <w:p w14:paraId="1B370B6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BD26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5884F775" w14:textId="77777777" w:rsidR="00000000" w:rsidRDefault="00582324">
            <w:pPr>
              <w:pStyle w:val="a3"/>
              <w:spacing w:before="0" w:beforeAutospacing="0" w:after="0" w:afterAutospacing="0"/>
              <w:jc w:val="right"/>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bottom"/>
            <w:hideMark/>
          </w:tcPr>
          <w:p w14:paraId="00161D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6B792A4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56CCA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76F58CB6" w14:textId="77777777" w:rsidR="00000000" w:rsidRDefault="00582324">
            <w:pPr>
              <w:pStyle w:val="a3"/>
              <w:spacing w:before="0" w:beforeAutospacing="0" w:after="0" w:afterAutospacing="0"/>
              <w:jc w:val="right"/>
              <w:rPr>
                <w:color w:val="000000"/>
                <w:sz w:val="18"/>
                <w:szCs w:val="18"/>
              </w:rPr>
            </w:pPr>
            <w:r>
              <w:rPr>
                <w:color w:val="000000"/>
                <w:sz w:val="18"/>
                <w:szCs w:val="18"/>
              </w:rPr>
              <w:t>0.50</w:t>
            </w:r>
          </w:p>
        </w:tc>
        <w:tc>
          <w:tcPr>
            <w:tcW w:w="50" w:type="pct"/>
            <w:shd w:val="clear" w:color="auto" w:fill="CFF0FC"/>
            <w:noWrap/>
            <w:tcMar>
              <w:top w:w="15" w:type="dxa"/>
              <w:left w:w="0" w:type="dxa"/>
              <w:bottom w:w="0" w:type="dxa"/>
              <w:right w:w="15" w:type="dxa"/>
            </w:tcMar>
            <w:vAlign w:val="bottom"/>
            <w:hideMark/>
          </w:tcPr>
          <w:p w14:paraId="452419D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1500A43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495" w:type="pct"/>
            <w:gridSpan w:val="2"/>
            <w:shd w:val="clear" w:color="auto" w:fill="CFF0FC"/>
            <w:tcMar>
              <w:top w:w="15" w:type="dxa"/>
              <w:left w:w="0" w:type="dxa"/>
              <w:bottom w:w="0" w:type="dxa"/>
              <w:right w:w="15" w:type="dxa"/>
            </w:tcMar>
            <w:vAlign w:val="bottom"/>
            <w:hideMark/>
          </w:tcPr>
          <w:p w14:paraId="54A90B5A" w14:textId="77777777" w:rsidR="00000000" w:rsidRDefault="00582324">
            <w:pPr>
              <w:pStyle w:val="a3"/>
              <w:spacing w:before="0" w:beforeAutospacing="0" w:after="0" w:afterAutospacing="0"/>
              <w:jc w:val="right"/>
              <w:rPr>
                <w:color w:val="000000"/>
                <w:sz w:val="18"/>
                <w:szCs w:val="18"/>
              </w:rPr>
            </w:pPr>
            <w:r>
              <w:rPr>
                <w:color w:val="000000"/>
                <w:sz w:val="18"/>
                <w:szCs w:val="18"/>
              </w:rPr>
              <w:t>0.15</w:t>
            </w:r>
          </w:p>
        </w:tc>
        <w:tc>
          <w:tcPr>
            <w:tcW w:w="50" w:type="pct"/>
            <w:shd w:val="clear" w:color="auto" w:fill="CFF0FC"/>
            <w:noWrap/>
            <w:tcMar>
              <w:top w:w="15" w:type="dxa"/>
              <w:left w:w="0" w:type="dxa"/>
              <w:bottom w:w="0" w:type="dxa"/>
              <w:right w:w="15" w:type="dxa"/>
            </w:tcMar>
            <w:vAlign w:val="bottom"/>
            <w:hideMark/>
          </w:tcPr>
          <w:p w14:paraId="7425641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597CE15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6DE193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45" w:type="pct"/>
            <w:shd w:val="clear" w:color="auto" w:fill="CFF0FC"/>
            <w:noWrap/>
            <w:tcMar>
              <w:top w:w="15" w:type="dxa"/>
              <w:left w:w="0" w:type="dxa"/>
              <w:bottom w:w="0" w:type="dxa"/>
              <w:right w:w="15" w:type="dxa"/>
            </w:tcMar>
            <w:vAlign w:val="bottom"/>
            <w:hideMark/>
          </w:tcPr>
          <w:p w14:paraId="317AB69D" w14:textId="77777777" w:rsidR="00000000" w:rsidRDefault="00582324">
            <w:pPr>
              <w:pStyle w:val="a3"/>
              <w:spacing w:before="0" w:beforeAutospacing="0" w:after="0" w:afterAutospacing="0"/>
              <w:jc w:val="right"/>
              <w:rPr>
                <w:color w:val="000000"/>
                <w:sz w:val="18"/>
                <w:szCs w:val="18"/>
              </w:rPr>
            </w:pPr>
            <w:r>
              <w:rPr>
                <w:color w:val="000000"/>
                <w:sz w:val="18"/>
                <w:szCs w:val="18"/>
              </w:rPr>
              <w:t>1.50</w:t>
            </w:r>
          </w:p>
        </w:tc>
        <w:tc>
          <w:tcPr>
            <w:tcW w:w="50" w:type="pct"/>
            <w:shd w:val="clear" w:color="auto" w:fill="CFF0FC"/>
            <w:noWrap/>
            <w:tcMar>
              <w:top w:w="15" w:type="dxa"/>
              <w:left w:w="0" w:type="dxa"/>
              <w:bottom w:w="0" w:type="dxa"/>
              <w:right w:w="15" w:type="dxa"/>
            </w:tcMar>
            <w:vAlign w:val="bottom"/>
            <w:hideMark/>
          </w:tcPr>
          <w:p w14:paraId="4BBC78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14:paraId="185974B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r>
    </w:tbl>
    <w:p w14:paraId="7DC683B9" w14:textId="77777777" w:rsidR="00000000" w:rsidRDefault="00582324">
      <w:pPr>
        <w:pStyle w:val="a3"/>
        <w:shd w:val="clear" w:color="auto" w:fill="FFFFFF"/>
        <w:spacing w:before="0" w:beforeAutospacing="0" w:after="0" w:afterAutospacing="0"/>
        <w:ind w:firstLine="416"/>
        <w:rPr>
          <w:sz w:val="20"/>
          <w:szCs w:val="20"/>
        </w:rPr>
      </w:pPr>
      <w:r>
        <w:rPr>
          <w:sz w:val="20"/>
          <w:szCs w:val="20"/>
        </w:rPr>
        <w:t> </w:t>
      </w:r>
    </w:p>
    <w:p w14:paraId="43B84C5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shd w:val="clear" w:color="auto" w:fill="FFFFFF"/>
        </w:rPr>
        <w:t xml:space="preserve">Additionally, we may receive an interest rate adjustment of up to 0.05% under the 2021 Credit Facility based on our performance against certain defined sustainability and environmental, social and governance related objectives. </w:t>
      </w:r>
    </w:p>
    <w:p w14:paraId="105664E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shd w:val="clear" w:color="auto" w:fill="FFFFFF"/>
        </w:rPr>
        <w:t>Our obligations under the 2</w:t>
      </w:r>
      <w:r>
        <w:rPr>
          <w:color w:val="000000"/>
          <w:sz w:val="20"/>
          <w:szCs w:val="20"/>
          <w:shd w:val="clear" w:color="auto" w:fill="FFFFFF"/>
        </w:rPr>
        <w:t>021 Credit Facility are guaranteed by certain of our existing and future direct and indirect subsidiaries, and such obligations are secured by substantially all of our assets. The 2021 Credit Facility includes a number of covenants imposing certain restric</w:t>
      </w:r>
      <w:r>
        <w:rPr>
          <w:color w:val="000000"/>
          <w:sz w:val="20"/>
          <w:szCs w:val="20"/>
          <w:shd w:val="clear" w:color="auto" w:fill="FFFFFF"/>
        </w:rPr>
        <w:t xml:space="preserve">tions on our business, including, among other things, restrictions on our ability to incur indebtedness, prepay or amend other indebtedness, create liens, make certain fundamental changes including mergers or dissolutions, </w:t>
      </w:r>
    </w:p>
    <w:p w14:paraId="5D68BE17" w14:textId="77777777" w:rsidR="00000000" w:rsidRDefault="00582324">
      <w:pPr>
        <w:pStyle w:val="a3"/>
        <w:spacing w:before="240" w:beforeAutospacing="0" w:after="0" w:afterAutospacing="0"/>
        <w:jc w:val="center"/>
        <w:rPr>
          <w:sz w:val="20"/>
          <w:szCs w:val="20"/>
        </w:rPr>
      </w:pPr>
      <w:r>
        <w:rPr>
          <w:sz w:val="20"/>
          <w:szCs w:val="20"/>
        </w:rPr>
        <w:t>46</w:t>
      </w:r>
    </w:p>
    <w:p w14:paraId="16515498" w14:textId="77777777" w:rsidR="00000000" w:rsidRDefault="00582324">
      <w:pPr>
        <w:rPr>
          <w:rFonts w:eastAsia="Times New Roman"/>
        </w:rPr>
      </w:pPr>
      <w:r>
        <w:rPr>
          <w:rFonts w:eastAsia="Times New Roman"/>
        </w:rPr>
        <w:pict w14:anchorId="03FC98C4">
          <v:rect id="_x0000_i1072" style="width:0;height:1.5pt" o:hralign="center" o:hrstd="t" o:hr="t" fillcolor="#a0a0a0" stroked="f"/>
        </w:pict>
      </w:r>
    </w:p>
    <w:p w14:paraId="492715B2" w14:textId="77777777" w:rsidR="00000000" w:rsidRDefault="00582324">
      <w:pPr>
        <w:pStyle w:val="a3"/>
        <w:spacing w:before="0" w:beforeAutospacing="0" w:after="0" w:afterAutospacing="0"/>
        <w:rPr>
          <w:sz w:val="20"/>
          <w:szCs w:val="20"/>
        </w:rPr>
      </w:pPr>
      <w:r>
        <w:rPr>
          <w:sz w:val="20"/>
          <w:szCs w:val="20"/>
        </w:rPr>
        <w:t> </w:t>
      </w:r>
    </w:p>
    <w:p w14:paraId="7B783CA1" w14:textId="77777777" w:rsidR="00000000" w:rsidRDefault="00582324">
      <w:pPr>
        <w:pStyle w:val="a3"/>
        <w:shd w:val="clear" w:color="auto" w:fill="FFFFFF"/>
        <w:spacing w:before="240" w:beforeAutospacing="0" w:after="0" w:afterAutospacing="0"/>
        <w:rPr>
          <w:color w:val="000000"/>
          <w:sz w:val="20"/>
          <w:szCs w:val="20"/>
        </w:rPr>
      </w:pPr>
      <w:r>
        <w:rPr>
          <w:color w:val="000000"/>
          <w:sz w:val="20"/>
          <w:szCs w:val="20"/>
          <w:shd w:val="clear" w:color="auto" w:fill="FFFFFF"/>
        </w:rPr>
        <w:t>pay dividends and repurchase or make other payments in respect of capital stock, make certain investments, sell assets, change our lines of business, enter into transactions with affiliates and other corporate actions. The 2021 Credit Facility al</w:t>
      </w:r>
      <w:r>
        <w:rPr>
          <w:color w:val="000000"/>
          <w:sz w:val="20"/>
          <w:szCs w:val="20"/>
          <w:shd w:val="clear" w:color="auto" w:fill="FFFFFF"/>
        </w:rPr>
        <w:t>so includes financial covenants requiring us to remain below a maximum total net leverage ratio of 4.25 times, which steps down to 4.00 times beginning with the quarter ending December 31, 2022 through and including the quarter ending September 30, 2023 an</w:t>
      </w:r>
      <w:r>
        <w:rPr>
          <w:color w:val="000000"/>
          <w:sz w:val="20"/>
          <w:szCs w:val="20"/>
          <w:shd w:val="clear" w:color="auto" w:fill="FFFFFF"/>
        </w:rPr>
        <w:t>d then to 3.75 times beginning with the quarter ending December 31, 2023 (provided that, subject to certain requirements, the maximum net leverage ratio may be increased by 0.50:1.00, not to exceed 4.25:1.00, for a period of four consecutive fiscal quarter</w:t>
      </w:r>
      <w:r>
        <w:rPr>
          <w:color w:val="000000"/>
          <w:sz w:val="20"/>
          <w:szCs w:val="20"/>
          <w:shd w:val="clear" w:color="auto" w:fill="FFFFFF"/>
        </w:rPr>
        <w:t>s in connection with certain permitted acquisitions), and a minimum fixed charge coverage ratio of 1.25 times. As of June 30, 2021, the Company’s consolidated total leverage ratio (as defined in the 2021 Credit Facility) was 3.1 times. The calculation of t</w:t>
      </w:r>
      <w:r>
        <w:rPr>
          <w:color w:val="000000"/>
          <w:sz w:val="20"/>
          <w:szCs w:val="20"/>
          <w:shd w:val="clear" w:color="auto" w:fill="FFFFFF"/>
        </w:rPr>
        <w:t>he Company’s consolidated total leverage ratio under the 2021 Credit Facility is consistent with the calculation of the consolidated total leverage ratio under the 2020 Credit Facility. The weighted average interest rate on the 2021 Credit Facility as of J</w:t>
      </w:r>
      <w:r>
        <w:rPr>
          <w:color w:val="000000"/>
          <w:sz w:val="20"/>
          <w:szCs w:val="20"/>
          <w:shd w:val="clear" w:color="auto" w:fill="FFFFFF"/>
        </w:rPr>
        <w:t>une 30, 2021 was 2.1%. We were in compliance with all applicable covenants under the 2021 Credit Facility as of June 30, 2021.</w:t>
      </w:r>
    </w:p>
    <w:p w14:paraId="4EBAED1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The 2021 Credit Facility contains a mandatory prepayment feature upon a number of events, including with the proceeds of certain </w:t>
      </w:r>
      <w:r>
        <w:rPr>
          <w:color w:val="000000"/>
          <w:sz w:val="20"/>
          <w:szCs w:val="20"/>
        </w:rPr>
        <w:t xml:space="preserve">asset sales and proceeds from the issuance of any debt. </w:t>
      </w:r>
    </w:p>
    <w:p w14:paraId="74257353" w14:textId="77777777" w:rsidR="00000000" w:rsidRDefault="00582324">
      <w:pPr>
        <w:pStyle w:val="a3"/>
        <w:spacing w:before="240" w:beforeAutospacing="0" w:after="0" w:afterAutospacing="0"/>
        <w:ind w:firstLine="416"/>
        <w:rPr>
          <w:color w:val="000000"/>
          <w:sz w:val="20"/>
          <w:szCs w:val="20"/>
        </w:rPr>
      </w:pPr>
      <w:r>
        <w:rPr>
          <w:color w:val="000000"/>
          <w:sz w:val="20"/>
          <w:szCs w:val="20"/>
        </w:rPr>
        <w:t>See Note 13 to our unaudited condensed consolidated financial statements included in Part I, Item 1. “Financial Statements.”</w:t>
      </w:r>
    </w:p>
    <w:p w14:paraId="5BC6224C"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2020 Credit Facility</w:t>
      </w:r>
    </w:p>
    <w:p w14:paraId="5B1EB438"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On April 13, 2020, we entered into a Unitranche Credi</w:t>
      </w:r>
      <w:r>
        <w:rPr>
          <w:color w:val="000000"/>
          <w:sz w:val="20"/>
          <w:szCs w:val="20"/>
        </w:rPr>
        <w:t>t Agreement (the “2020 Credit Facility”) providing for $225.0 million credit facility comprised of a $175.0 million term loan and a $50.0 million revolving credit facility, and used a portion of the proceeds from the 2020 Credit Facility to repay all amoun</w:t>
      </w:r>
      <w:r>
        <w:rPr>
          <w:color w:val="000000"/>
          <w:sz w:val="20"/>
          <w:szCs w:val="20"/>
        </w:rPr>
        <w:t xml:space="preserve">ts outstanding under the Prior Senior Secured Credit Facility. The 2020 </w:t>
      </w:r>
      <w:r>
        <w:rPr>
          <w:color w:val="000000"/>
          <w:sz w:val="20"/>
          <w:szCs w:val="20"/>
          <w:shd w:val="clear" w:color="auto" w:fill="FFFFFF"/>
        </w:rPr>
        <w:t>Credit Facility</w:t>
      </w:r>
      <w:r>
        <w:rPr>
          <w:color w:val="000000"/>
          <w:sz w:val="20"/>
          <w:szCs w:val="20"/>
        </w:rPr>
        <w:t xml:space="preserve"> would have matured on the earliest of (a) April 13, 2025 and (b) so long as our Series A-2 preferred stock had not been redeemed in full or otherwise not converted into</w:t>
      </w:r>
      <w:r>
        <w:rPr>
          <w:color w:val="000000"/>
          <w:sz w:val="20"/>
          <w:szCs w:val="20"/>
        </w:rPr>
        <w:t xml:space="preserve"> common stock of Montrose, the date that was 180 days before the Series A-2 preferred equity mandatory redemption date, unless prior to such date, the Series A-2 preferred equity mandatory redemption date had been extended to a date not earlier than one hu</w:t>
      </w:r>
      <w:r>
        <w:rPr>
          <w:color w:val="000000"/>
          <w:sz w:val="20"/>
          <w:szCs w:val="20"/>
        </w:rPr>
        <w:t xml:space="preserve">ndred eighty (180) days after April 13, 2025. </w:t>
      </w:r>
    </w:p>
    <w:p w14:paraId="43F4B6CA"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Initially, the term loan bore interest at a rate of LIBOR plus 5.0% (subject to a 1.0% LIBOR floor) or the base rate plus 4.0%. Effective October 6, 2020, we amended the 2020 credit facility to provide for a r</w:t>
      </w:r>
      <w:r>
        <w:rPr>
          <w:color w:val="000000"/>
          <w:sz w:val="20"/>
          <w:szCs w:val="20"/>
        </w:rPr>
        <w:t>eduction on the applicable interest rate on the term loan from LIBOR plus 5.0% with a 1.0% LIBOR floor to LIBOR plus 4.5% with a 1.0% LIBOR floor. The revolver bore interest at a rate of LIBOR plus 3.5% or the base rate plus 2.5%. The revolver was also sub</w:t>
      </w:r>
      <w:r>
        <w:rPr>
          <w:color w:val="000000"/>
          <w:sz w:val="20"/>
          <w:szCs w:val="20"/>
        </w:rPr>
        <w:t xml:space="preserve">ject to an unused commitment fee of 0.35%. </w:t>
      </w:r>
    </w:p>
    <w:p w14:paraId="1E15332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term loan began amortizing quarterly with fiscal quarter ending September 30, 2020, with a required repayment of (a) $0.5 million for fiscal quarter ending September 30, 2020 and each other fiscal quarter thr</w:t>
      </w:r>
      <w:r>
        <w:rPr>
          <w:color w:val="000000"/>
          <w:sz w:val="20"/>
          <w:szCs w:val="20"/>
        </w:rPr>
        <w:t xml:space="preserve">ough and including June 30, 2021, (b) $1.1 million for fiscal quarter ending September 30, 2021 and each other fiscal quarter through and including June 30, 2022, and (c) $1.6 million for each fiscal quarter ending thereafter. </w:t>
      </w:r>
    </w:p>
    <w:p w14:paraId="2E5956B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2020 Credit Facility also contained financial covenants requiring us to remain below a maximum consolidated total leverage ratio of 4.25 times, which stepped down to 4.00 times beginning December 31, 2021 and then to 3.75 times beginning December 31, 2</w:t>
      </w:r>
      <w:r>
        <w:rPr>
          <w:color w:val="000000"/>
          <w:sz w:val="20"/>
          <w:szCs w:val="20"/>
        </w:rPr>
        <w:t>022, and a minimum consolidated fixed charge coverage ratio of 1.25 times. As of June 30, 2020, the Company’s leverage ratio, which included the impact of contingent consideration payable in cash, was 3.1 times. The weighted average interest rate on the 20</w:t>
      </w:r>
      <w:r>
        <w:rPr>
          <w:color w:val="000000"/>
          <w:sz w:val="20"/>
          <w:szCs w:val="20"/>
        </w:rPr>
        <w:t>20 Credit Facility as of June 30, 2020 was 5.71%. We were in compliance with all applicable covenants under the 2020 Credit Facility as of June 30, 2020.</w:t>
      </w:r>
    </w:p>
    <w:p w14:paraId="34604648"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All amounts outstanding under the 2020 Credit Facility were repaid on April 27, 2021.</w:t>
      </w:r>
    </w:p>
    <w:p w14:paraId="6C74FA8A" w14:textId="77777777" w:rsidR="00000000" w:rsidRDefault="00582324">
      <w:pPr>
        <w:pStyle w:val="a3"/>
        <w:spacing w:before="240" w:beforeAutospacing="0" w:after="0" w:afterAutospacing="0"/>
        <w:ind w:firstLine="416"/>
        <w:rPr>
          <w:color w:val="000000"/>
          <w:sz w:val="20"/>
          <w:szCs w:val="20"/>
        </w:rPr>
      </w:pPr>
      <w:r>
        <w:rPr>
          <w:color w:val="000000"/>
          <w:sz w:val="20"/>
          <w:szCs w:val="20"/>
        </w:rPr>
        <w:t>See Note 13 to o</w:t>
      </w:r>
      <w:r>
        <w:rPr>
          <w:color w:val="000000"/>
          <w:sz w:val="20"/>
          <w:szCs w:val="20"/>
        </w:rPr>
        <w:t xml:space="preserve">ur unaudited condensed consolidated financial statements included in Part I, Item 1. “Financial Statements.” </w:t>
      </w:r>
    </w:p>
    <w:p w14:paraId="5EBC7DC9" w14:textId="77777777" w:rsidR="00000000" w:rsidRDefault="00582324">
      <w:pPr>
        <w:pStyle w:val="a3"/>
        <w:shd w:val="clear" w:color="auto" w:fill="FFFFFF"/>
        <w:spacing w:before="360" w:beforeAutospacing="0" w:after="0" w:afterAutospacing="0"/>
        <w:ind w:firstLine="416"/>
        <w:rPr>
          <w:b/>
          <w:bCs/>
          <w:i/>
          <w:iCs/>
          <w:color w:val="000000"/>
          <w:sz w:val="20"/>
          <w:szCs w:val="20"/>
        </w:rPr>
      </w:pPr>
      <w:r>
        <w:rPr>
          <w:b/>
          <w:bCs/>
          <w:i/>
          <w:iCs/>
          <w:color w:val="000000"/>
          <w:sz w:val="20"/>
          <w:szCs w:val="20"/>
        </w:rPr>
        <w:t>Prior Credit Facility</w:t>
      </w:r>
    </w:p>
    <w:p w14:paraId="00327964"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Prior Senior Secured Credit Facility most recently amended and restated in July 2019 (the “Prior Credit Facility”) consi</w:t>
      </w:r>
      <w:r>
        <w:rPr>
          <w:color w:val="000000"/>
          <w:sz w:val="20"/>
          <w:szCs w:val="20"/>
        </w:rPr>
        <w:t>sted of a $50.0 million term loan and a $130.0 million revolving credit facility.</w:t>
      </w:r>
    </w:p>
    <w:p w14:paraId="2B679DFD"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Borrowings under the Prior Credit Facility bore interest at either (i) LIBOR plus the applicable margin or (ii) a base rate (equal to the highest of (a) the federal funds rat</w:t>
      </w:r>
      <w:r>
        <w:rPr>
          <w:color w:val="000000"/>
          <w:sz w:val="20"/>
          <w:szCs w:val="20"/>
        </w:rPr>
        <w:t>e plus 0.5%, (b) Bank of America, N.A.’s prime rate and (c) the Eurocurrency Rate, which is based on LIBOR, (using a one-month period plus 1.0%), plus the applicable margin, as we elected). The applicable margin meant a percentage per annum determined in a</w:t>
      </w:r>
      <w:r>
        <w:rPr>
          <w:color w:val="000000"/>
          <w:sz w:val="20"/>
          <w:szCs w:val="20"/>
        </w:rPr>
        <w:t>ccordance with the following table:</w:t>
      </w:r>
    </w:p>
    <w:p w14:paraId="4124B047" w14:textId="77777777" w:rsidR="00000000" w:rsidRDefault="00582324">
      <w:pPr>
        <w:pStyle w:val="a3"/>
        <w:spacing w:before="240" w:beforeAutospacing="0" w:after="0" w:afterAutospacing="0"/>
        <w:jc w:val="center"/>
        <w:rPr>
          <w:sz w:val="20"/>
          <w:szCs w:val="20"/>
        </w:rPr>
      </w:pPr>
      <w:r>
        <w:rPr>
          <w:sz w:val="20"/>
          <w:szCs w:val="20"/>
        </w:rPr>
        <w:t>47</w:t>
      </w:r>
    </w:p>
    <w:p w14:paraId="378B72F4" w14:textId="77777777" w:rsidR="00000000" w:rsidRDefault="00582324">
      <w:pPr>
        <w:rPr>
          <w:rFonts w:eastAsia="Times New Roman"/>
        </w:rPr>
      </w:pPr>
      <w:r>
        <w:rPr>
          <w:rFonts w:eastAsia="Times New Roman"/>
        </w:rPr>
        <w:pict w14:anchorId="0C7D40F1">
          <v:rect id="_x0000_i1073" style="width:0;height:1.5pt" o:hralign="center" o:hrstd="t" o:hr="t" fillcolor="#a0a0a0" stroked="f"/>
        </w:pict>
      </w:r>
    </w:p>
    <w:p w14:paraId="7BC5C857" w14:textId="77777777" w:rsidR="00000000" w:rsidRDefault="00582324">
      <w:pPr>
        <w:pStyle w:val="a3"/>
        <w:spacing w:before="0" w:beforeAutospacing="0" w:after="0" w:afterAutospacing="0"/>
        <w:rPr>
          <w:sz w:val="20"/>
          <w:szCs w:val="20"/>
        </w:rPr>
      </w:pPr>
      <w:r>
        <w:rPr>
          <w:sz w:val="20"/>
          <w:szCs w:val="20"/>
        </w:rPr>
        <w:t> </w:t>
      </w:r>
    </w:p>
    <w:p w14:paraId="6DA3994E"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14"/>
        <w:gridCol w:w="60"/>
        <w:gridCol w:w="1804"/>
        <w:gridCol w:w="60"/>
        <w:gridCol w:w="100"/>
        <w:gridCol w:w="935"/>
        <w:gridCol w:w="165"/>
        <w:gridCol w:w="60"/>
        <w:gridCol w:w="84"/>
        <w:gridCol w:w="782"/>
        <w:gridCol w:w="165"/>
        <w:gridCol w:w="60"/>
        <w:gridCol w:w="64"/>
        <w:gridCol w:w="693"/>
        <w:gridCol w:w="165"/>
        <w:gridCol w:w="60"/>
        <w:gridCol w:w="61"/>
        <w:gridCol w:w="709"/>
        <w:gridCol w:w="165"/>
      </w:tblGrid>
      <w:tr w:rsidR="00000000" w14:paraId="42B40999" w14:textId="77777777">
        <w:trPr>
          <w:divId w:val="1623196195"/>
        </w:trPr>
        <w:tc>
          <w:tcPr>
            <w:tcW w:w="1298" w:type="pct"/>
            <w:tcBorders>
              <w:bottom w:val="single" w:sz="6" w:space="0" w:color="000000"/>
            </w:tcBorders>
            <w:shd w:val="clear" w:color="auto" w:fill="FFFFFF"/>
            <w:tcMar>
              <w:top w:w="15" w:type="dxa"/>
              <w:left w:w="0" w:type="dxa"/>
              <w:bottom w:w="0" w:type="dxa"/>
              <w:right w:w="15" w:type="dxa"/>
            </w:tcMar>
            <w:vAlign w:val="bottom"/>
            <w:hideMark/>
          </w:tcPr>
          <w:p w14:paraId="383D2E29" w14:textId="77777777" w:rsidR="00000000" w:rsidRDefault="00582324">
            <w:pPr>
              <w:pStyle w:val="a3"/>
              <w:spacing w:before="0" w:beforeAutospacing="0" w:after="0" w:afterAutospacing="0"/>
              <w:rPr>
                <w:b/>
                <w:bCs/>
                <w:color w:val="000000"/>
                <w:sz w:val="18"/>
                <w:szCs w:val="18"/>
              </w:rPr>
            </w:pPr>
            <w:r>
              <w:rPr>
                <w:b/>
                <w:bCs/>
                <w:color w:val="000000"/>
                <w:sz w:val="18"/>
                <w:szCs w:val="18"/>
              </w:rPr>
              <w:t>Pricing Tier</w:t>
            </w:r>
          </w:p>
        </w:tc>
        <w:tc>
          <w:tcPr>
            <w:tcW w:w="60" w:type="pct"/>
            <w:shd w:val="clear" w:color="auto" w:fill="FFFFFF"/>
            <w:tcMar>
              <w:top w:w="15" w:type="dxa"/>
              <w:left w:w="0" w:type="dxa"/>
              <w:bottom w:w="0" w:type="dxa"/>
              <w:right w:w="15" w:type="dxa"/>
            </w:tcMar>
            <w:vAlign w:val="bottom"/>
            <w:hideMark/>
          </w:tcPr>
          <w:p w14:paraId="1E20B93B"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1116" w:type="pct"/>
            <w:tcBorders>
              <w:bottom w:val="single" w:sz="6" w:space="0" w:color="000000"/>
            </w:tcBorders>
            <w:shd w:val="clear" w:color="auto" w:fill="FFFFFF"/>
            <w:tcMar>
              <w:top w:w="15" w:type="dxa"/>
              <w:left w:w="0" w:type="dxa"/>
              <w:bottom w:w="0" w:type="dxa"/>
              <w:right w:w="15" w:type="dxa"/>
            </w:tcMar>
            <w:vAlign w:val="bottom"/>
            <w:hideMark/>
          </w:tcPr>
          <w:p w14:paraId="686EDA3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Consolidated</w:t>
            </w:r>
          </w:p>
          <w:p w14:paraId="7FB611E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Leverage Ratio</w:t>
            </w:r>
          </w:p>
        </w:tc>
        <w:tc>
          <w:tcPr>
            <w:tcW w:w="60" w:type="pct"/>
            <w:shd w:val="clear" w:color="auto" w:fill="FFFFFF"/>
            <w:tcMar>
              <w:top w:w="15" w:type="dxa"/>
              <w:left w:w="0" w:type="dxa"/>
              <w:bottom w:w="0" w:type="dxa"/>
              <w:right w:w="15" w:type="dxa"/>
            </w:tcMar>
            <w:vAlign w:val="bottom"/>
            <w:hideMark/>
          </w:tcPr>
          <w:p w14:paraId="06DA6F7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520" w:type="pct"/>
            <w:gridSpan w:val="2"/>
            <w:tcBorders>
              <w:bottom w:val="single" w:sz="6" w:space="0" w:color="000000"/>
            </w:tcBorders>
            <w:shd w:val="clear" w:color="auto" w:fill="FFFFFF"/>
            <w:tcMar>
              <w:top w:w="15" w:type="dxa"/>
              <w:left w:w="0" w:type="dxa"/>
              <w:bottom w:w="0" w:type="dxa"/>
              <w:right w:w="15" w:type="dxa"/>
            </w:tcMar>
            <w:vAlign w:val="bottom"/>
            <w:hideMark/>
          </w:tcPr>
          <w:p w14:paraId="04F1FA53"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Commitment</w:t>
            </w:r>
          </w:p>
          <w:p w14:paraId="521D057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Fee</w:t>
            </w:r>
          </w:p>
        </w:tc>
        <w:tc>
          <w:tcPr>
            <w:tcW w:w="50" w:type="pct"/>
            <w:shd w:val="clear" w:color="auto" w:fill="FFFFFF"/>
            <w:noWrap/>
            <w:tcMar>
              <w:top w:w="15" w:type="dxa"/>
              <w:left w:w="0" w:type="dxa"/>
              <w:bottom w:w="0" w:type="dxa"/>
              <w:right w:w="15" w:type="dxa"/>
            </w:tcMar>
            <w:vAlign w:val="bottom"/>
            <w:hideMark/>
          </w:tcPr>
          <w:p w14:paraId="3E6677D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7C118C36"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520" w:type="pct"/>
            <w:gridSpan w:val="2"/>
            <w:tcBorders>
              <w:bottom w:val="single" w:sz="6" w:space="0" w:color="000000"/>
            </w:tcBorders>
            <w:shd w:val="clear" w:color="auto" w:fill="FFFFFF"/>
            <w:tcMar>
              <w:top w:w="15" w:type="dxa"/>
              <w:left w:w="0" w:type="dxa"/>
              <w:bottom w:w="0" w:type="dxa"/>
              <w:right w:w="15" w:type="dxa"/>
            </w:tcMar>
            <w:vAlign w:val="bottom"/>
            <w:hideMark/>
          </w:tcPr>
          <w:p w14:paraId="483CEA87"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Eurodollar</w:t>
            </w:r>
          </w:p>
          <w:p w14:paraId="63FE211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Rate Loans</w:t>
            </w:r>
          </w:p>
          <w:p w14:paraId="27479C30"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and LIBOR</w:t>
            </w:r>
          </w:p>
          <w:p w14:paraId="013F9F74"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Letter of</w:t>
            </w:r>
          </w:p>
          <w:p w14:paraId="00D4D99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Credit Fee</w:t>
            </w:r>
          </w:p>
        </w:tc>
        <w:tc>
          <w:tcPr>
            <w:tcW w:w="50" w:type="pct"/>
            <w:shd w:val="clear" w:color="auto" w:fill="FFFFFF"/>
            <w:noWrap/>
            <w:tcMar>
              <w:top w:w="15" w:type="dxa"/>
              <w:left w:w="0" w:type="dxa"/>
              <w:bottom w:w="0" w:type="dxa"/>
              <w:right w:w="15" w:type="dxa"/>
            </w:tcMar>
            <w:vAlign w:val="bottom"/>
            <w:hideMark/>
          </w:tcPr>
          <w:p w14:paraId="00AC556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6E54B30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520" w:type="pct"/>
            <w:gridSpan w:val="2"/>
            <w:tcBorders>
              <w:bottom w:val="single" w:sz="6" w:space="0" w:color="000000"/>
            </w:tcBorders>
            <w:shd w:val="clear" w:color="auto" w:fill="FFFFFF"/>
            <w:tcMar>
              <w:top w:w="15" w:type="dxa"/>
              <w:left w:w="0" w:type="dxa"/>
              <w:bottom w:w="0" w:type="dxa"/>
              <w:right w:w="15" w:type="dxa"/>
            </w:tcMar>
            <w:vAlign w:val="bottom"/>
            <w:hideMark/>
          </w:tcPr>
          <w:p w14:paraId="42641E7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Daily</w:t>
            </w:r>
          </w:p>
          <w:p w14:paraId="15F1FFEC"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Floating</w:t>
            </w:r>
          </w:p>
          <w:p w14:paraId="7FF3AC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Rate Loans</w:t>
            </w:r>
          </w:p>
        </w:tc>
        <w:tc>
          <w:tcPr>
            <w:tcW w:w="50" w:type="pct"/>
            <w:shd w:val="clear" w:color="auto" w:fill="FFFFFF"/>
            <w:noWrap/>
            <w:tcMar>
              <w:top w:w="15" w:type="dxa"/>
              <w:left w:w="0" w:type="dxa"/>
              <w:bottom w:w="0" w:type="dxa"/>
              <w:right w:w="15" w:type="dxa"/>
            </w:tcMar>
            <w:vAlign w:val="bottom"/>
            <w:hideMark/>
          </w:tcPr>
          <w:p w14:paraId="4238BA1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60" w:type="pct"/>
            <w:shd w:val="clear" w:color="auto" w:fill="FFFFFF"/>
            <w:tcMar>
              <w:top w:w="15" w:type="dxa"/>
              <w:left w:w="0" w:type="dxa"/>
              <w:bottom w:w="0" w:type="dxa"/>
              <w:right w:w="15" w:type="dxa"/>
            </w:tcMar>
            <w:vAlign w:val="bottom"/>
            <w:hideMark/>
          </w:tcPr>
          <w:p w14:paraId="1547F62D"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 </w:t>
            </w:r>
          </w:p>
        </w:tc>
        <w:tc>
          <w:tcPr>
            <w:tcW w:w="520" w:type="pct"/>
            <w:gridSpan w:val="2"/>
            <w:tcBorders>
              <w:bottom w:val="single" w:sz="6" w:space="0" w:color="000000"/>
            </w:tcBorders>
            <w:shd w:val="clear" w:color="auto" w:fill="FFFFFF"/>
            <w:tcMar>
              <w:top w:w="15" w:type="dxa"/>
              <w:left w:w="0" w:type="dxa"/>
              <w:bottom w:w="0" w:type="dxa"/>
              <w:right w:w="15" w:type="dxa"/>
            </w:tcMar>
            <w:vAlign w:val="bottom"/>
            <w:hideMark/>
          </w:tcPr>
          <w:p w14:paraId="04BBCC7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Rate</w:t>
            </w:r>
          </w:p>
          <w:p w14:paraId="339F49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Loans</w:t>
            </w:r>
          </w:p>
        </w:tc>
        <w:tc>
          <w:tcPr>
            <w:tcW w:w="50" w:type="pct"/>
            <w:shd w:val="clear" w:color="auto" w:fill="FFFFFF"/>
            <w:noWrap/>
            <w:tcMar>
              <w:top w:w="15" w:type="dxa"/>
              <w:left w:w="0" w:type="dxa"/>
              <w:bottom w:w="0" w:type="dxa"/>
              <w:right w:w="15" w:type="dxa"/>
            </w:tcMar>
            <w:vAlign w:val="bottom"/>
            <w:hideMark/>
          </w:tcPr>
          <w:p w14:paraId="00C5E37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C9564AD" w14:textId="77777777">
        <w:trPr>
          <w:divId w:val="1623196195"/>
        </w:trPr>
        <w:tc>
          <w:tcPr>
            <w:tcW w:w="1298" w:type="pct"/>
            <w:tcBorders>
              <w:top w:val="single" w:sz="6" w:space="0" w:color="000000"/>
            </w:tcBorders>
            <w:shd w:val="clear" w:color="auto" w:fill="CFF0FC"/>
            <w:tcMar>
              <w:top w:w="15" w:type="dxa"/>
              <w:left w:w="0" w:type="dxa"/>
              <w:bottom w:w="0" w:type="dxa"/>
              <w:right w:w="15" w:type="dxa"/>
            </w:tcMar>
            <w:hideMark/>
          </w:tcPr>
          <w:p w14:paraId="0FE1035C" w14:textId="77777777" w:rsidR="00000000" w:rsidRDefault="00582324">
            <w:pPr>
              <w:pStyle w:val="a3"/>
              <w:spacing w:before="0" w:beforeAutospacing="0" w:after="0" w:afterAutospacing="0"/>
              <w:jc w:val="center"/>
              <w:rPr>
                <w:color w:val="000000"/>
                <w:sz w:val="18"/>
                <w:szCs w:val="18"/>
              </w:rPr>
            </w:pPr>
            <w:r>
              <w:rPr>
                <w:color w:val="000000"/>
                <w:sz w:val="18"/>
                <w:szCs w:val="18"/>
              </w:rPr>
              <w:t>1</w:t>
            </w:r>
          </w:p>
        </w:tc>
        <w:tc>
          <w:tcPr>
            <w:tcW w:w="60" w:type="pct"/>
            <w:shd w:val="clear" w:color="auto" w:fill="CFF0FC"/>
            <w:tcMar>
              <w:top w:w="15" w:type="dxa"/>
              <w:left w:w="0" w:type="dxa"/>
              <w:bottom w:w="0" w:type="dxa"/>
              <w:right w:w="15" w:type="dxa"/>
            </w:tcMar>
            <w:vAlign w:val="bottom"/>
            <w:hideMark/>
          </w:tcPr>
          <w:p w14:paraId="464A9805"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6" w:type="pct"/>
            <w:tcBorders>
              <w:top w:val="single" w:sz="6" w:space="0" w:color="000000"/>
            </w:tcBorders>
            <w:shd w:val="clear" w:color="auto" w:fill="CFF0FC"/>
            <w:tcMar>
              <w:top w:w="15" w:type="dxa"/>
              <w:left w:w="0" w:type="dxa"/>
              <w:bottom w:w="0" w:type="dxa"/>
              <w:right w:w="15" w:type="dxa"/>
            </w:tcMar>
            <w:vAlign w:val="bottom"/>
            <w:hideMark/>
          </w:tcPr>
          <w:p w14:paraId="36B6C91D" w14:textId="77777777" w:rsidR="00000000" w:rsidRDefault="00582324">
            <w:pPr>
              <w:pStyle w:val="a3"/>
              <w:spacing w:before="0" w:beforeAutospacing="0" w:after="0" w:afterAutospacing="0"/>
              <w:jc w:val="center"/>
              <w:rPr>
                <w:color w:val="000000"/>
                <w:sz w:val="18"/>
                <w:szCs w:val="18"/>
              </w:rPr>
            </w:pPr>
            <w:r>
              <w:rPr>
                <w:color w:val="000000"/>
                <w:sz w:val="18"/>
                <w:szCs w:val="18"/>
              </w:rPr>
              <w:t xml:space="preserve">&gt; </w:t>
            </w:r>
            <w:r>
              <w:rPr>
                <w:color w:val="000000"/>
                <w:sz w:val="18"/>
                <w:szCs w:val="18"/>
              </w:rPr>
              <w:t>3.75 to 1.0</w:t>
            </w:r>
          </w:p>
        </w:tc>
        <w:tc>
          <w:tcPr>
            <w:tcW w:w="60" w:type="pct"/>
            <w:shd w:val="clear" w:color="auto" w:fill="CFF0FC"/>
            <w:tcMar>
              <w:top w:w="15" w:type="dxa"/>
              <w:left w:w="0" w:type="dxa"/>
              <w:bottom w:w="0" w:type="dxa"/>
              <w:right w:w="15" w:type="dxa"/>
            </w:tcMar>
            <w:vAlign w:val="bottom"/>
            <w:hideMark/>
          </w:tcPr>
          <w:p w14:paraId="1D4E3A7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250A3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14:paraId="7106DCC3" w14:textId="77777777" w:rsidR="00000000" w:rsidRDefault="00582324">
            <w:pPr>
              <w:pStyle w:val="a3"/>
              <w:spacing w:before="0" w:beforeAutospacing="0" w:after="0" w:afterAutospacing="0"/>
              <w:jc w:val="right"/>
              <w:rPr>
                <w:color w:val="000000"/>
                <w:sz w:val="18"/>
                <w:szCs w:val="18"/>
              </w:rPr>
            </w:pPr>
            <w:r>
              <w:rPr>
                <w:color w:val="000000"/>
                <w:sz w:val="18"/>
                <w:szCs w:val="18"/>
              </w:rPr>
              <w:t>0.50</w:t>
            </w:r>
          </w:p>
        </w:tc>
        <w:tc>
          <w:tcPr>
            <w:tcW w:w="50" w:type="pct"/>
            <w:shd w:val="clear" w:color="auto" w:fill="CFF0FC"/>
            <w:noWrap/>
            <w:tcMar>
              <w:top w:w="15" w:type="dxa"/>
              <w:left w:w="0" w:type="dxa"/>
              <w:bottom w:w="0" w:type="dxa"/>
              <w:right w:w="15" w:type="dxa"/>
            </w:tcMar>
            <w:vAlign w:val="bottom"/>
            <w:hideMark/>
          </w:tcPr>
          <w:p w14:paraId="2F5028C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 w:type="pct"/>
            <w:shd w:val="clear" w:color="auto" w:fill="CFF0FC"/>
            <w:tcMar>
              <w:top w:w="15" w:type="dxa"/>
              <w:left w:w="0" w:type="dxa"/>
              <w:bottom w:w="0" w:type="dxa"/>
              <w:right w:w="15" w:type="dxa"/>
            </w:tcMar>
            <w:vAlign w:val="bottom"/>
            <w:hideMark/>
          </w:tcPr>
          <w:p w14:paraId="3139A247"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134F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14:paraId="7EEDA0D7" w14:textId="77777777" w:rsidR="00000000" w:rsidRDefault="00582324">
            <w:pPr>
              <w:pStyle w:val="a3"/>
              <w:spacing w:before="0" w:beforeAutospacing="0" w:after="0" w:afterAutospacing="0"/>
              <w:jc w:val="right"/>
              <w:rPr>
                <w:color w:val="000000"/>
                <w:sz w:val="18"/>
                <w:szCs w:val="18"/>
              </w:rPr>
            </w:pPr>
            <w:r>
              <w:rPr>
                <w:color w:val="000000"/>
                <w:sz w:val="18"/>
                <w:szCs w:val="18"/>
              </w:rPr>
              <w:t>4.00</w:t>
            </w:r>
          </w:p>
        </w:tc>
        <w:tc>
          <w:tcPr>
            <w:tcW w:w="50" w:type="pct"/>
            <w:shd w:val="clear" w:color="auto" w:fill="CFF0FC"/>
            <w:noWrap/>
            <w:tcMar>
              <w:top w:w="15" w:type="dxa"/>
              <w:left w:w="0" w:type="dxa"/>
              <w:bottom w:w="0" w:type="dxa"/>
              <w:right w:w="15" w:type="dxa"/>
            </w:tcMar>
            <w:vAlign w:val="bottom"/>
            <w:hideMark/>
          </w:tcPr>
          <w:p w14:paraId="7D405A5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 w:type="pct"/>
            <w:shd w:val="clear" w:color="auto" w:fill="CFF0FC"/>
            <w:tcMar>
              <w:top w:w="15" w:type="dxa"/>
              <w:left w:w="0" w:type="dxa"/>
              <w:bottom w:w="0" w:type="dxa"/>
              <w:right w:w="15" w:type="dxa"/>
            </w:tcMar>
            <w:vAlign w:val="bottom"/>
            <w:hideMark/>
          </w:tcPr>
          <w:p w14:paraId="28D63D08"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F020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14:paraId="4025D645" w14:textId="77777777" w:rsidR="00000000" w:rsidRDefault="00582324">
            <w:pPr>
              <w:pStyle w:val="a3"/>
              <w:spacing w:before="0" w:beforeAutospacing="0" w:after="0" w:afterAutospacing="0"/>
              <w:jc w:val="right"/>
              <w:rPr>
                <w:color w:val="000000"/>
                <w:sz w:val="18"/>
                <w:szCs w:val="18"/>
              </w:rPr>
            </w:pPr>
            <w:r>
              <w:rPr>
                <w:color w:val="000000"/>
                <w:sz w:val="18"/>
                <w:szCs w:val="18"/>
              </w:rPr>
              <w:t>4.00</w:t>
            </w:r>
          </w:p>
        </w:tc>
        <w:tc>
          <w:tcPr>
            <w:tcW w:w="50" w:type="pct"/>
            <w:shd w:val="clear" w:color="auto" w:fill="CFF0FC"/>
            <w:noWrap/>
            <w:tcMar>
              <w:top w:w="15" w:type="dxa"/>
              <w:left w:w="0" w:type="dxa"/>
              <w:bottom w:w="0" w:type="dxa"/>
              <w:right w:w="15" w:type="dxa"/>
            </w:tcMar>
            <w:vAlign w:val="bottom"/>
            <w:hideMark/>
          </w:tcPr>
          <w:p w14:paraId="0699F175"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60" w:type="pct"/>
            <w:shd w:val="clear" w:color="auto" w:fill="CFF0FC"/>
            <w:tcMar>
              <w:top w:w="15" w:type="dxa"/>
              <w:left w:w="0" w:type="dxa"/>
              <w:bottom w:w="0" w:type="dxa"/>
              <w:right w:w="15" w:type="dxa"/>
            </w:tcMar>
            <w:vAlign w:val="bottom"/>
            <w:hideMark/>
          </w:tcPr>
          <w:p w14:paraId="5AD0C78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8479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14:paraId="732ECD06"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657C4CA6"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366F721D" w14:textId="77777777">
        <w:trPr>
          <w:divId w:val="1623196195"/>
        </w:trPr>
        <w:tc>
          <w:tcPr>
            <w:tcW w:w="1298" w:type="pct"/>
            <w:shd w:val="clear" w:color="auto" w:fill="FFFFFF"/>
            <w:tcMar>
              <w:top w:w="15" w:type="dxa"/>
              <w:left w:w="0" w:type="dxa"/>
              <w:bottom w:w="0" w:type="dxa"/>
              <w:right w:w="15" w:type="dxa"/>
            </w:tcMar>
            <w:hideMark/>
          </w:tcPr>
          <w:p w14:paraId="3A444206" w14:textId="77777777" w:rsidR="00000000" w:rsidRDefault="00582324">
            <w:pPr>
              <w:pStyle w:val="a3"/>
              <w:spacing w:before="0" w:beforeAutospacing="0" w:after="0" w:afterAutospacing="0"/>
              <w:jc w:val="center"/>
              <w:rPr>
                <w:color w:val="000000"/>
                <w:sz w:val="18"/>
                <w:szCs w:val="18"/>
              </w:rPr>
            </w:pPr>
            <w:r>
              <w:rPr>
                <w:color w:val="000000"/>
                <w:sz w:val="18"/>
                <w:szCs w:val="18"/>
              </w:rPr>
              <w:t>2</w:t>
            </w:r>
          </w:p>
        </w:tc>
        <w:tc>
          <w:tcPr>
            <w:tcW w:w="60" w:type="pct"/>
            <w:shd w:val="clear" w:color="auto" w:fill="FFFFFF"/>
            <w:tcMar>
              <w:top w:w="15" w:type="dxa"/>
              <w:left w:w="0" w:type="dxa"/>
              <w:bottom w:w="0" w:type="dxa"/>
              <w:right w:w="15" w:type="dxa"/>
            </w:tcMar>
            <w:vAlign w:val="bottom"/>
            <w:hideMark/>
          </w:tcPr>
          <w:p w14:paraId="67A5BFB6"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6" w:type="pct"/>
            <w:shd w:val="clear" w:color="auto" w:fill="FFFFFF"/>
            <w:tcMar>
              <w:top w:w="15" w:type="dxa"/>
              <w:left w:w="0" w:type="dxa"/>
              <w:bottom w:w="0" w:type="dxa"/>
              <w:right w:w="15" w:type="dxa"/>
            </w:tcMar>
            <w:vAlign w:val="bottom"/>
            <w:hideMark/>
          </w:tcPr>
          <w:p w14:paraId="5CB899A8" w14:textId="77777777" w:rsidR="00000000" w:rsidRDefault="00582324">
            <w:pPr>
              <w:pStyle w:val="a3"/>
              <w:spacing w:before="0" w:beforeAutospacing="0" w:after="0" w:afterAutospacing="0"/>
              <w:jc w:val="center"/>
              <w:rPr>
                <w:color w:val="000000"/>
                <w:sz w:val="18"/>
                <w:szCs w:val="18"/>
              </w:rPr>
            </w:pPr>
            <w:r>
              <w:rPr>
                <w:color w:val="000000"/>
                <w:sz w:val="18"/>
                <w:szCs w:val="18"/>
              </w:rPr>
              <w:t>≤</w:t>
            </w:r>
            <w:r>
              <w:rPr>
                <w:color w:val="000000"/>
                <w:sz w:val="18"/>
                <w:szCs w:val="18"/>
              </w:rPr>
              <w:t xml:space="preserve"> 3.75 to 1.0 but &gt; 3.00 to 1.0</w:t>
            </w:r>
          </w:p>
        </w:tc>
        <w:tc>
          <w:tcPr>
            <w:tcW w:w="60" w:type="pct"/>
            <w:shd w:val="clear" w:color="auto" w:fill="FFFFFF"/>
            <w:tcMar>
              <w:top w:w="15" w:type="dxa"/>
              <w:left w:w="0" w:type="dxa"/>
              <w:bottom w:w="0" w:type="dxa"/>
              <w:right w:w="15" w:type="dxa"/>
            </w:tcMar>
            <w:vAlign w:val="bottom"/>
            <w:hideMark/>
          </w:tcPr>
          <w:p w14:paraId="30EBBB7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84951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1F591FD3" w14:textId="77777777" w:rsidR="00000000" w:rsidRDefault="00582324">
            <w:pPr>
              <w:pStyle w:val="a3"/>
              <w:spacing w:before="0" w:beforeAutospacing="0" w:after="0" w:afterAutospacing="0"/>
              <w:jc w:val="right"/>
              <w:rPr>
                <w:color w:val="000000"/>
                <w:sz w:val="18"/>
                <w:szCs w:val="18"/>
              </w:rPr>
            </w:pPr>
            <w:r>
              <w:rPr>
                <w:color w:val="000000"/>
                <w:sz w:val="18"/>
                <w:szCs w:val="18"/>
              </w:rPr>
              <w:t>0.50</w:t>
            </w:r>
          </w:p>
        </w:tc>
        <w:tc>
          <w:tcPr>
            <w:tcW w:w="50" w:type="pct"/>
            <w:shd w:val="clear" w:color="auto" w:fill="FFFFFF"/>
            <w:noWrap/>
            <w:tcMar>
              <w:top w:w="15" w:type="dxa"/>
              <w:left w:w="0" w:type="dxa"/>
              <w:bottom w:w="0" w:type="dxa"/>
              <w:right w:w="15" w:type="dxa"/>
            </w:tcMar>
            <w:vAlign w:val="bottom"/>
            <w:hideMark/>
          </w:tcPr>
          <w:p w14:paraId="3926B48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1CE84E7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1750F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748A3233" w14:textId="77777777" w:rsidR="00000000" w:rsidRDefault="00582324">
            <w:pPr>
              <w:pStyle w:val="a3"/>
              <w:spacing w:before="0" w:beforeAutospacing="0" w:after="0" w:afterAutospacing="0"/>
              <w:jc w:val="right"/>
              <w:rPr>
                <w:color w:val="000000"/>
                <w:sz w:val="18"/>
                <w:szCs w:val="18"/>
              </w:rPr>
            </w:pPr>
            <w:r>
              <w:rPr>
                <w:color w:val="000000"/>
                <w:sz w:val="18"/>
                <w:szCs w:val="18"/>
              </w:rPr>
              <w:t>3.50</w:t>
            </w:r>
          </w:p>
        </w:tc>
        <w:tc>
          <w:tcPr>
            <w:tcW w:w="50" w:type="pct"/>
            <w:shd w:val="clear" w:color="auto" w:fill="FFFFFF"/>
            <w:noWrap/>
            <w:tcMar>
              <w:top w:w="15" w:type="dxa"/>
              <w:left w:w="0" w:type="dxa"/>
              <w:bottom w:w="0" w:type="dxa"/>
              <w:right w:w="15" w:type="dxa"/>
            </w:tcMar>
            <w:vAlign w:val="bottom"/>
            <w:hideMark/>
          </w:tcPr>
          <w:p w14:paraId="74B4D5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865C28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E3A9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02D7528D" w14:textId="77777777" w:rsidR="00000000" w:rsidRDefault="00582324">
            <w:pPr>
              <w:pStyle w:val="a3"/>
              <w:spacing w:before="0" w:beforeAutospacing="0" w:after="0" w:afterAutospacing="0"/>
              <w:jc w:val="right"/>
              <w:rPr>
                <w:color w:val="000000"/>
                <w:sz w:val="18"/>
                <w:szCs w:val="18"/>
              </w:rPr>
            </w:pPr>
            <w:r>
              <w:rPr>
                <w:color w:val="000000"/>
                <w:sz w:val="18"/>
                <w:szCs w:val="18"/>
              </w:rPr>
              <w:t>3.50</w:t>
            </w:r>
          </w:p>
        </w:tc>
        <w:tc>
          <w:tcPr>
            <w:tcW w:w="50" w:type="pct"/>
            <w:shd w:val="clear" w:color="auto" w:fill="FFFFFF"/>
            <w:noWrap/>
            <w:tcMar>
              <w:top w:w="15" w:type="dxa"/>
              <w:left w:w="0" w:type="dxa"/>
              <w:bottom w:w="0" w:type="dxa"/>
              <w:right w:w="15" w:type="dxa"/>
            </w:tcMar>
            <w:vAlign w:val="bottom"/>
            <w:hideMark/>
          </w:tcPr>
          <w:p w14:paraId="19868D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59F967EE"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14EA2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4D66D791"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7D68BED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46B27A1" w14:textId="77777777">
        <w:trPr>
          <w:divId w:val="1623196195"/>
        </w:trPr>
        <w:tc>
          <w:tcPr>
            <w:tcW w:w="1298" w:type="pct"/>
            <w:shd w:val="clear" w:color="auto" w:fill="CFF0FC"/>
            <w:tcMar>
              <w:top w:w="15" w:type="dxa"/>
              <w:left w:w="0" w:type="dxa"/>
              <w:bottom w:w="0" w:type="dxa"/>
              <w:right w:w="15" w:type="dxa"/>
            </w:tcMar>
            <w:hideMark/>
          </w:tcPr>
          <w:p w14:paraId="6C799B2C" w14:textId="77777777" w:rsidR="00000000" w:rsidRDefault="00582324">
            <w:pPr>
              <w:pStyle w:val="a3"/>
              <w:spacing w:before="0" w:beforeAutospacing="0" w:after="0" w:afterAutospacing="0"/>
              <w:jc w:val="center"/>
              <w:rPr>
                <w:color w:val="000000"/>
                <w:sz w:val="18"/>
                <w:szCs w:val="18"/>
              </w:rPr>
            </w:pPr>
            <w:r>
              <w:rPr>
                <w:color w:val="000000"/>
                <w:sz w:val="18"/>
                <w:szCs w:val="18"/>
              </w:rPr>
              <w:t>3</w:t>
            </w:r>
          </w:p>
        </w:tc>
        <w:tc>
          <w:tcPr>
            <w:tcW w:w="60" w:type="pct"/>
            <w:shd w:val="clear" w:color="auto" w:fill="CFF0FC"/>
            <w:tcMar>
              <w:top w:w="15" w:type="dxa"/>
              <w:left w:w="0" w:type="dxa"/>
              <w:bottom w:w="0" w:type="dxa"/>
              <w:right w:w="15" w:type="dxa"/>
            </w:tcMar>
            <w:vAlign w:val="bottom"/>
            <w:hideMark/>
          </w:tcPr>
          <w:p w14:paraId="1042E29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6" w:type="pct"/>
            <w:shd w:val="clear" w:color="auto" w:fill="CFF0FC"/>
            <w:tcMar>
              <w:top w:w="15" w:type="dxa"/>
              <w:left w:w="0" w:type="dxa"/>
              <w:bottom w:w="0" w:type="dxa"/>
              <w:right w:w="15" w:type="dxa"/>
            </w:tcMar>
            <w:vAlign w:val="bottom"/>
            <w:hideMark/>
          </w:tcPr>
          <w:p w14:paraId="70FC9625" w14:textId="77777777" w:rsidR="00000000" w:rsidRDefault="00582324">
            <w:pPr>
              <w:pStyle w:val="a3"/>
              <w:spacing w:before="0" w:beforeAutospacing="0" w:after="0" w:afterAutospacing="0"/>
              <w:jc w:val="center"/>
              <w:rPr>
                <w:color w:val="000000"/>
                <w:sz w:val="18"/>
                <w:szCs w:val="18"/>
              </w:rPr>
            </w:pPr>
            <w:r>
              <w:rPr>
                <w:color w:val="000000"/>
                <w:sz w:val="18"/>
                <w:szCs w:val="18"/>
              </w:rPr>
              <w:t>≤</w:t>
            </w:r>
            <w:r>
              <w:rPr>
                <w:color w:val="000000"/>
                <w:sz w:val="18"/>
                <w:szCs w:val="18"/>
              </w:rPr>
              <w:t xml:space="preserve"> 3.00 to 1.0 but &gt; 2.25 to 1.0</w:t>
            </w:r>
          </w:p>
        </w:tc>
        <w:tc>
          <w:tcPr>
            <w:tcW w:w="60" w:type="pct"/>
            <w:shd w:val="clear" w:color="auto" w:fill="CFF0FC"/>
            <w:tcMar>
              <w:top w:w="15" w:type="dxa"/>
              <w:left w:w="0" w:type="dxa"/>
              <w:bottom w:w="0" w:type="dxa"/>
              <w:right w:w="15" w:type="dxa"/>
            </w:tcMar>
            <w:vAlign w:val="bottom"/>
            <w:hideMark/>
          </w:tcPr>
          <w:p w14:paraId="251905F9"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C06F71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CFF0FC"/>
            <w:noWrap/>
            <w:tcMar>
              <w:top w:w="15" w:type="dxa"/>
              <w:left w:w="0" w:type="dxa"/>
              <w:bottom w:w="0" w:type="dxa"/>
              <w:right w:w="15" w:type="dxa"/>
            </w:tcMar>
            <w:vAlign w:val="bottom"/>
            <w:hideMark/>
          </w:tcPr>
          <w:p w14:paraId="42426B86" w14:textId="77777777" w:rsidR="00000000" w:rsidRDefault="00582324">
            <w:pPr>
              <w:pStyle w:val="a3"/>
              <w:spacing w:before="0" w:beforeAutospacing="0" w:after="0" w:afterAutospacing="0"/>
              <w:jc w:val="right"/>
              <w:rPr>
                <w:color w:val="000000"/>
                <w:sz w:val="18"/>
                <w:szCs w:val="18"/>
              </w:rPr>
            </w:pPr>
            <w:r>
              <w:rPr>
                <w:color w:val="000000"/>
                <w:sz w:val="18"/>
                <w:szCs w:val="18"/>
              </w:rPr>
              <w:t>0.40</w:t>
            </w:r>
          </w:p>
        </w:tc>
        <w:tc>
          <w:tcPr>
            <w:tcW w:w="50" w:type="pct"/>
            <w:shd w:val="clear" w:color="auto" w:fill="CFF0FC"/>
            <w:noWrap/>
            <w:tcMar>
              <w:top w:w="15" w:type="dxa"/>
              <w:left w:w="0" w:type="dxa"/>
              <w:bottom w:w="0" w:type="dxa"/>
              <w:right w:w="15" w:type="dxa"/>
            </w:tcMar>
            <w:vAlign w:val="bottom"/>
            <w:hideMark/>
          </w:tcPr>
          <w:p w14:paraId="0923CD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3D95F8BB"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D73EF1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CFF0FC"/>
            <w:noWrap/>
            <w:tcMar>
              <w:top w:w="15" w:type="dxa"/>
              <w:left w:w="0" w:type="dxa"/>
              <w:bottom w:w="0" w:type="dxa"/>
              <w:right w:w="15" w:type="dxa"/>
            </w:tcMar>
            <w:vAlign w:val="bottom"/>
            <w:hideMark/>
          </w:tcPr>
          <w:p w14:paraId="23A7C79B"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76A14A0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24A16AF3"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F90AA8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CFF0FC"/>
            <w:noWrap/>
            <w:tcMar>
              <w:top w:w="15" w:type="dxa"/>
              <w:left w:w="0" w:type="dxa"/>
              <w:bottom w:w="0" w:type="dxa"/>
              <w:right w:w="15" w:type="dxa"/>
            </w:tcMar>
            <w:vAlign w:val="bottom"/>
            <w:hideMark/>
          </w:tcPr>
          <w:p w14:paraId="4BEB6E29" w14:textId="77777777" w:rsidR="00000000" w:rsidRDefault="00582324">
            <w:pPr>
              <w:pStyle w:val="a3"/>
              <w:spacing w:before="0" w:beforeAutospacing="0" w:after="0" w:afterAutospacing="0"/>
              <w:jc w:val="right"/>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14:paraId="21EE08A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CFF0FC"/>
            <w:tcMar>
              <w:top w:w="15" w:type="dxa"/>
              <w:left w:w="0" w:type="dxa"/>
              <w:bottom w:w="0" w:type="dxa"/>
              <w:right w:w="15" w:type="dxa"/>
            </w:tcMar>
            <w:vAlign w:val="bottom"/>
            <w:hideMark/>
          </w:tcPr>
          <w:p w14:paraId="43CF3F91"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C687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CFF0FC"/>
            <w:noWrap/>
            <w:tcMar>
              <w:top w:w="15" w:type="dxa"/>
              <w:left w:w="0" w:type="dxa"/>
              <w:bottom w:w="0" w:type="dxa"/>
              <w:right w:w="15" w:type="dxa"/>
            </w:tcMar>
            <w:vAlign w:val="bottom"/>
            <w:hideMark/>
          </w:tcPr>
          <w:p w14:paraId="5B453935" w14:textId="77777777" w:rsidR="00000000" w:rsidRDefault="00582324">
            <w:pPr>
              <w:pStyle w:val="a3"/>
              <w:spacing w:before="0" w:beforeAutospacing="0" w:after="0" w:afterAutospacing="0"/>
              <w:jc w:val="right"/>
              <w:rPr>
                <w:color w:val="000000"/>
                <w:sz w:val="18"/>
                <w:szCs w:val="18"/>
              </w:rPr>
            </w:pPr>
            <w:r>
              <w:rPr>
                <w:color w:val="000000"/>
                <w:sz w:val="18"/>
                <w:szCs w:val="18"/>
              </w:rPr>
              <w:t>2.00</w:t>
            </w:r>
          </w:p>
        </w:tc>
        <w:tc>
          <w:tcPr>
            <w:tcW w:w="50" w:type="pct"/>
            <w:shd w:val="clear" w:color="auto" w:fill="CFF0FC"/>
            <w:noWrap/>
            <w:tcMar>
              <w:top w:w="15" w:type="dxa"/>
              <w:left w:w="0" w:type="dxa"/>
              <w:bottom w:w="0" w:type="dxa"/>
              <w:right w:w="15" w:type="dxa"/>
            </w:tcMar>
            <w:vAlign w:val="bottom"/>
            <w:hideMark/>
          </w:tcPr>
          <w:p w14:paraId="09B0885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86DE6A" w14:textId="77777777">
        <w:trPr>
          <w:divId w:val="1623196195"/>
        </w:trPr>
        <w:tc>
          <w:tcPr>
            <w:tcW w:w="1298" w:type="pct"/>
            <w:shd w:val="clear" w:color="auto" w:fill="FFFFFF"/>
            <w:tcMar>
              <w:top w:w="15" w:type="dxa"/>
              <w:left w:w="0" w:type="dxa"/>
              <w:bottom w:w="0" w:type="dxa"/>
              <w:right w:w="15" w:type="dxa"/>
            </w:tcMar>
            <w:hideMark/>
          </w:tcPr>
          <w:p w14:paraId="2DDC23E8" w14:textId="77777777" w:rsidR="00000000" w:rsidRDefault="00582324">
            <w:pPr>
              <w:pStyle w:val="a3"/>
              <w:spacing w:before="0" w:beforeAutospacing="0" w:after="0" w:afterAutospacing="0"/>
              <w:jc w:val="center"/>
              <w:rPr>
                <w:color w:val="000000"/>
                <w:sz w:val="18"/>
                <w:szCs w:val="18"/>
              </w:rPr>
            </w:pPr>
            <w:r>
              <w:rPr>
                <w:color w:val="000000"/>
                <w:sz w:val="18"/>
                <w:szCs w:val="18"/>
              </w:rPr>
              <w:t>4</w:t>
            </w:r>
          </w:p>
        </w:tc>
        <w:tc>
          <w:tcPr>
            <w:tcW w:w="60" w:type="pct"/>
            <w:shd w:val="clear" w:color="auto" w:fill="FFFFFF"/>
            <w:tcMar>
              <w:top w:w="15" w:type="dxa"/>
              <w:left w:w="0" w:type="dxa"/>
              <w:bottom w:w="0" w:type="dxa"/>
              <w:right w:w="15" w:type="dxa"/>
            </w:tcMar>
            <w:vAlign w:val="bottom"/>
            <w:hideMark/>
          </w:tcPr>
          <w:p w14:paraId="715A3BA4"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1116" w:type="pct"/>
            <w:shd w:val="clear" w:color="auto" w:fill="FFFFFF"/>
            <w:tcMar>
              <w:top w:w="15" w:type="dxa"/>
              <w:left w:w="0" w:type="dxa"/>
              <w:bottom w:w="0" w:type="dxa"/>
              <w:right w:w="15" w:type="dxa"/>
            </w:tcMar>
            <w:vAlign w:val="bottom"/>
            <w:hideMark/>
          </w:tcPr>
          <w:p w14:paraId="2DAF03E8" w14:textId="77777777" w:rsidR="00000000" w:rsidRDefault="00582324">
            <w:pPr>
              <w:pStyle w:val="a3"/>
              <w:spacing w:before="0" w:beforeAutospacing="0" w:after="0" w:afterAutospacing="0"/>
              <w:jc w:val="center"/>
              <w:rPr>
                <w:color w:val="000000"/>
                <w:sz w:val="18"/>
                <w:szCs w:val="18"/>
              </w:rPr>
            </w:pPr>
            <w:r>
              <w:rPr>
                <w:color w:val="000000"/>
                <w:sz w:val="18"/>
                <w:szCs w:val="18"/>
              </w:rPr>
              <w:t>&lt; 2.25 to 1.0</w:t>
            </w:r>
          </w:p>
        </w:tc>
        <w:tc>
          <w:tcPr>
            <w:tcW w:w="60" w:type="pct"/>
            <w:shd w:val="clear" w:color="auto" w:fill="FFFFFF"/>
            <w:tcMar>
              <w:top w:w="15" w:type="dxa"/>
              <w:left w:w="0" w:type="dxa"/>
              <w:bottom w:w="0" w:type="dxa"/>
              <w:right w:w="15" w:type="dxa"/>
            </w:tcMar>
            <w:vAlign w:val="bottom"/>
            <w:hideMark/>
          </w:tcPr>
          <w:p w14:paraId="2E35A28A"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A958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2DA21055" w14:textId="77777777" w:rsidR="00000000" w:rsidRDefault="00582324">
            <w:pPr>
              <w:pStyle w:val="a3"/>
              <w:spacing w:before="0" w:beforeAutospacing="0" w:after="0" w:afterAutospacing="0"/>
              <w:jc w:val="right"/>
              <w:rPr>
                <w:color w:val="000000"/>
                <w:sz w:val="18"/>
                <w:szCs w:val="18"/>
              </w:rPr>
            </w:pPr>
            <w:r>
              <w:rPr>
                <w:color w:val="000000"/>
                <w:sz w:val="18"/>
                <w:szCs w:val="18"/>
              </w:rPr>
              <w:t>0.30</w:t>
            </w:r>
          </w:p>
        </w:tc>
        <w:tc>
          <w:tcPr>
            <w:tcW w:w="50" w:type="pct"/>
            <w:shd w:val="clear" w:color="auto" w:fill="FFFFFF"/>
            <w:noWrap/>
            <w:tcMar>
              <w:top w:w="15" w:type="dxa"/>
              <w:left w:w="0" w:type="dxa"/>
              <w:bottom w:w="0" w:type="dxa"/>
              <w:right w:w="15" w:type="dxa"/>
            </w:tcMar>
            <w:vAlign w:val="bottom"/>
            <w:hideMark/>
          </w:tcPr>
          <w:p w14:paraId="3D594AE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259C027F"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1895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633BC1F7"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068D15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D6F16ED"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CF80C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088D184F" w14:textId="77777777" w:rsidR="00000000" w:rsidRDefault="00582324">
            <w:pPr>
              <w:pStyle w:val="a3"/>
              <w:spacing w:before="0" w:beforeAutospacing="0" w:after="0" w:afterAutospacing="0"/>
              <w:jc w:val="right"/>
              <w:rPr>
                <w:color w:val="000000"/>
                <w:sz w:val="18"/>
                <w:szCs w:val="18"/>
              </w:rPr>
            </w:pPr>
            <w:r>
              <w:rPr>
                <w:color w:val="000000"/>
                <w:sz w:val="18"/>
                <w:szCs w:val="18"/>
              </w:rPr>
              <w:t>2.50</w:t>
            </w:r>
          </w:p>
        </w:tc>
        <w:tc>
          <w:tcPr>
            <w:tcW w:w="50" w:type="pct"/>
            <w:shd w:val="clear" w:color="auto" w:fill="FFFFFF"/>
            <w:noWrap/>
            <w:tcMar>
              <w:top w:w="15" w:type="dxa"/>
              <w:left w:w="0" w:type="dxa"/>
              <w:bottom w:w="0" w:type="dxa"/>
              <w:right w:w="15" w:type="dxa"/>
            </w:tcMar>
            <w:vAlign w:val="bottom"/>
            <w:hideMark/>
          </w:tcPr>
          <w:p w14:paraId="27EA4E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60" w:type="pct"/>
            <w:shd w:val="clear" w:color="auto" w:fill="FFFFFF"/>
            <w:tcMar>
              <w:top w:w="15" w:type="dxa"/>
              <w:left w:w="0" w:type="dxa"/>
              <w:bottom w:w="0" w:type="dxa"/>
              <w:right w:w="15" w:type="dxa"/>
            </w:tcMar>
            <w:vAlign w:val="bottom"/>
            <w:hideMark/>
          </w:tcPr>
          <w:p w14:paraId="62CE14F0" w14:textId="77777777" w:rsidR="00000000" w:rsidRDefault="00582324">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06276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70" w:type="pct"/>
            <w:shd w:val="clear" w:color="auto" w:fill="FFFFFF"/>
            <w:noWrap/>
            <w:tcMar>
              <w:top w:w="15" w:type="dxa"/>
              <w:left w:w="0" w:type="dxa"/>
              <w:bottom w:w="0" w:type="dxa"/>
              <w:right w:w="15" w:type="dxa"/>
            </w:tcMar>
            <w:vAlign w:val="bottom"/>
            <w:hideMark/>
          </w:tcPr>
          <w:p w14:paraId="6221BF87" w14:textId="77777777" w:rsidR="00000000" w:rsidRDefault="00582324">
            <w:pPr>
              <w:pStyle w:val="a3"/>
              <w:spacing w:before="0" w:beforeAutospacing="0" w:after="0" w:afterAutospacing="0"/>
              <w:jc w:val="right"/>
              <w:rPr>
                <w:color w:val="000000"/>
                <w:sz w:val="18"/>
                <w:szCs w:val="18"/>
              </w:rPr>
            </w:pPr>
            <w:r>
              <w:rPr>
                <w:color w:val="000000"/>
                <w:sz w:val="18"/>
                <w:szCs w:val="18"/>
              </w:rPr>
              <w:t>1.50</w:t>
            </w:r>
          </w:p>
        </w:tc>
        <w:tc>
          <w:tcPr>
            <w:tcW w:w="50" w:type="pct"/>
            <w:shd w:val="clear" w:color="auto" w:fill="FFFFFF"/>
            <w:noWrap/>
            <w:tcMar>
              <w:top w:w="15" w:type="dxa"/>
              <w:left w:w="0" w:type="dxa"/>
              <w:bottom w:w="0" w:type="dxa"/>
              <w:right w:w="15" w:type="dxa"/>
            </w:tcMar>
            <w:vAlign w:val="bottom"/>
            <w:hideMark/>
          </w:tcPr>
          <w:p w14:paraId="43BD9195"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030F67D2" w14:textId="77777777" w:rsidR="00000000" w:rsidRDefault="00582324">
      <w:pPr>
        <w:pStyle w:val="a3"/>
        <w:shd w:val="clear" w:color="auto" w:fill="FFFFFF"/>
        <w:spacing w:before="0" w:beforeAutospacing="0" w:after="0" w:afterAutospacing="0"/>
        <w:rPr>
          <w:sz w:val="20"/>
          <w:szCs w:val="20"/>
        </w:rPr>
      </w:pPr>
      <w:r>
        <w:rPr>
          <w:sz w:val="20"/>
          <w:szCs w:val="20"/>
        </w:rPr>
        <w:t> </w:t>
      </w:r>
    </w:p>
    <w:p w14:paraId="010E9891" w14:textId="77777777" w:rsidR="00000000" w:rsidRDefault="00582324">
      <w:pPr>
        <w:pStyle w:val="a3"/>
        <w:shd w:val="clear" w:color="auto" w:fill="FFFFFF"/>
        <w:spacing w:before="40" w:beforeAutospacing="0" w:after="0" w:afterAutospacing="0"/>
        <w:ind w:firstLine="416"/>
        <w:rPr>
          <w:color w:val="000000"/>
          <w:sz w:val="20"/>
          <w:szCs w:val="20"/>
        </w:rPr>
      </w:pPr>
      <w:r>
        <w:rPr>
          <w:color w:val="000000"/>
          <w:sz w:val="20"/>
          <w:szCs w:val="20"/>
        </w:rPr>
        <w:t>All amounts outstanding under the Prior Credit Facility were repaid on April 13, 2020 with proceeds from the 2021 Credit Facility.</w:t>
      </w:r>
    </w:p>
    <w:p w14:paraId="27FFABC6"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See Note 13 to our unaudited condensed consolidated financial statements included in Part I, Item 1. “Financial Statements.” </w:t>
      </w:r>
    </w:p>
    <w:p w14:paraId="166DA524"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Series A-1 Preferred Stock</w:t>
      </w:r>
    </w:p>
    <w:p w14:paraId="07651117"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On October 19, 2018, we issued 12,000 shares of our Series A-1 preferred stock. The Series A-1 preferred stock accrued dividends quarterly at an annual rate of 15.0% with respect to any dividends paid in cash and at an annual ra</w:t>
      </w:r>
      <w:r>
        <w:rPr>
          <w:color w:val="000000"/>
          <w:sz w:val="20"/>
          <w:szCs w:val="20"/>
        </w:rPr>
        <w:t xml:space="preserve">te of 14.2%, compounded quarterly with respect to dividends that are accrued. In the event of a redemption, a holder was guaranteed a minimum of either two or three years of dividends depending on the nature of the redemption. As of June 30, 2020, we were </w:t>
      </w:r>
      <w:r>
        <w:rPr>
          <w:color w:val="000000"/>
          <w:sz w:val="20"/>
          <w:szCs w:val="20"/>
        </w:rPr>
        <w:t>subject to a maximum consolidated total leverage ratio, including the outstanding principal and accrued dividend on the Series A-1 preferred stock, of 10.0 times as of the end of any fiscal quarter until maturity. We were in compliance with the covenants a</w:t>
      </w:r>
      <w:r>
        <w:rPr>
          <w:color w:val="000000"/>
          <w:sz w:val="20"/>
          <w:szCs w:val="20"/>
        </w:rPr>
        <w:t xml:space="preserve">s of June 30, 2020. </w:t>
      </w:r>
    </w:p>
    <w:p w14:paraId="4B4D4143"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shd w:val="clear" w:color="auto" w:fill="FFFFFF"/>
        </w:rPr>
        <w:t xml:space="preserve">On July 27, 2020, we redeemed in full the Series A-1 preferred stock, including the guaranteed minimum two-year dividend. We used $131.8 million of the IPO proceeds and 1,786,739 shares of common stock to redeem all outstanding shares </w:t>
      </w:r>
      <w:r>
        <w:rPr>
          <w:color w:val="000000"/>
          <w:sz w:val="20"/>
          <w:szCs w:val="20"/>
          <w:shd w:val="clear" w:color="auto" w:fill="FFFFFF"/>
        </w:rPr>
        <w:t xml:space="preserve">of the redeemable Series A-1 preferred stock. </w:t>
      </w:r>
    </w:p>
    <w:p w14:paraId="6DCD7560"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See Note 16 to our unaudited condensed consolidated financial statements included in Part I, Item 1. “Financial Statements.”</w:t>
      </w:r>
    </w:p>
    <w:p w14:paraId="7E1CD7B6"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Series A-2 Preferred Stock</w:t>
      </w:r>
    </w:p>
    <w:p w14:paraId="338C5A6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 xml:space="preserve">On April 13, 2020, we issued 17,500 shares of the Series </w:t>
      </w:r>
      <w:r>
        <w:rPr>
          <w:color w:val="000000"/>
          <w:sz w:val="20"/>
          <w:szCs w:val="20"/>
        </w:rPr>
        <w:t xml:space="preserve">A-2 preferred stock with a par value of $0.0001 per share and a warrant to purchase common stock, in exchange for $175.0 million. Prior to the completion of the IPO, each share of Series A-2 preferred stock accrued dividends at the rate of 15.0% per annum </w:t>
      </w:r>
      <w:r>
        <w:rPr>
          <w:color w:val="000000"/>
          <w:sz w:val="20"/>
          <w:szCs w:val="20"/>
        </w:rPr>
        <w:t>with respect to dividends that were paid in cash, and 14.2% per annum, with respect to dividends that accrued and compounded, resulting in an annual dividend rate of 15.0%, and 9.0% per annum after the IPO. Following the completion of the IPO, the Series A</w:t>
      </w:r>
      <w:r>
        <w:rPr>
          <w:color w:val="000000"/>
          <w:sz w:val="20"/>
          <w:szCs w:val="20"/>
        </w:rPr>
        <w:t>-2 preferred stock does not mature or have a cash repayment obligation; however, it is redeemable at our option. The Series A-2 preferred stock becomes convertible into our common stock beginning on the four-year anniversary of the Series A-2 preferred sto</w:t>
      </w:r>
      <w:r>
        <w:rPr>
          <w:color w:val="000000"/>
          <w:sz w:val="20"/>
          <w:szCs w:val="20"/>
        </w:rPr>
        <w:t>ck issuance. Upon the four-year anniversary of the issuance, holders of Series A-2 preferred stock may convert up to $60.0 million of such shares into our common stock at a conversion rate discounted to 85.0% of the volume weighted average trading value, w</w:t>
      </w:r>
      <w:r>
        <w:rPr>
          <w:color w:val="000000"/>
          <w:sz w:val="20"/>
          <w:szCs w:val="20"/>
        </w:rPr>
        <w:t>ith the permitted amount of Series A-2 preferred stock to be converted increasing at each subsequent anniversary of the issuance until the sixth anniversary, after which all of the Series A-2 preferred stock may be converted at the holder’s option. Followi</w:t>
      </w:r>
      <w:r>
        <w:rPr>
          <w:color w:val="000000"/>
          <w:sz w:val="20"/>
          <w:szCs w:val="20"/>
        </w:rPr>
        <w:t xml:space="preserve">ng the completion of the IPO and redemption of the Series A-1 preferred stock on July 27, 2020 with a portion of the proceeds therefrom and newly issued shares of common stock, the Series A-2 preferred stock dividend rate changed to 9.0% per annum </w:t>
      </w:r>
      <w:r>
        <w:rPr>
          <w:color w:val="000000"/>
          <w:sz w:val="20"/>
          <w:szCs w:val="20"/>
          <w:shd w:val="clear" w:color="auto" w:fill="FFFFFF"/>
        </w:rPr>
        <w:t>with req</w:t>
      </w:r>
      <w:r>
        <w:rPr>
          <w:color w:val="000000"/>
          <w:sz w:val="20"/>
          <w:szCs w:val="20"/>
          <w:shd w:val="clear" w:color="auto" w:fill="FFFFFF"/>
        </w:rPr>
        <w:t>uired quarterly cash payments</w:t>
      </w:r>
      <w:r>
        <w:rPr>
          <w:color w:val="000000"/>
          <w:sz w:val="20"/>
          <w:szCs w:val="20"/>
        </w:rPr>
        <w:t>. If permitted under our existing debt facilities, we must pay the Series A-2 preferred stock dividend in cash each quarter.</w:t>
      </w:r>
    </w:p>
    <w:p w14:paraId="2A75E46F"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With respect to any redemption of any share of the Series A-2 preferred stock prior to April 13, 2023,</w:t>
      </w:r>
      <w:r>
        <w:rPr>
          <w:color w:val="000000"/>
          <w:sz w:val="20"/>
          <w:szCs w:val="20"/>
        </w:rPr>
        <w:t xml:space="preserve"> we are subject to a make whole penalty in which the holder is guaranteed at least three years of dividend payments on the redeemed amount.</w:t>
      </w:r>
    </w:p>
    <w:p w14:paraId="07C95231"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See Note 17 to our unaudited condensed consolidated financial statements included in Part I, Item 1. “Financial Stat</w:t>
      </w:r>
      <w:r>
        <w:rPr>
          <w:color w:val="000000"/>
          <w:sz w:val="20"/>
          <w:szCs w:val="20"/>
        </w:rPr>
        <w:t>ements.”</w:t>
      </w:r>
    </w:p>
    <w:p w14:paraId="5162C970" w14:textId="77777777" w:rsidR="00000000" w:rsidRDefault="00582324">
      <w:pPr>
        <w:pStyle w:val="a3"/>
        <w:shd w:val="clear" w:color="auto" w:fill="FFFFFF"/>
        <w:spacing w:before="240" w:beforeAutospacing="0" w:after="0" w:afterAutospacing="0"/>
        <w:rPr>
          <w:b/>
          <w:bCs/>
          <w:color w:val="000000"/>
          <w:sz w:val="20"/>
          <w:szCs w:val="20"/>
        </w:rPr>
      </w:pPr>
      <w:r>
        <w:rPr>
          <w:b/>
          <w:bCs/>
          <w:color w:val="000000"/>
          <w:sz w:val="20"/>
          <w:szCs w:val="20"/>
        </w:rPr>
        <w:t>Off-Balance Sheet Arrangements</w:t>
      </w:r>
    </w:p>
    <w:p w14:paraId="55D6AAE6"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During the period presented, we did not have, and we do not currently have, any off-balance sheet financing arrangements or any relationships with unconsolidated entities or financial partnerships, including entities</w:t>
      </w:r>
      <w:r>
        <w:rPr>
          <w:color w:val="000000"/>
          <w:sz w:val="20"/>
          <w:szCs w:val="20"/>
        </w:rPr>
        <w:t xml:space="preserve"> sometimes referred to as structured finance or special purpose entities, that were established for the purpose of facilitating off-balance sheet arrangements or other contractually narrow or limited purposes.</w:t>
      </w:r>
    </w:p>
    <w:p w14:paraId="276711E6" w14:textId="77777777" w:rsidR="00000000" w:rsidRDefault="00582324">
      <w:pPr>
        <w:pStyle w:val="a3"/>
        <w:spacing w:before="240" w:beforeAutospacing="0" w:after="0" w:afterAutospacing="0"/>
        <w:jc w:val="center"/>
        <w:rPr>
          <w:sz w:val="20"/>
          <w:szCs w:val="20"/>
        </w:rPr>
      </w:pPr>
      <w:r>
        <w:rPr>
          <w:sz w:val="20"/>
          <w:szCs w:val="20"/>
        </w:rPr>
        <w:t>48</w:t>
      </w:r>
    </w:p>
    <w:p w14:paraId="38265DF3" w14:textId="77777777" w:rsidR="00000000" w:rsidRDefault="00582324">
      <w:pPr>
        <w:rPr>
          <w:rFonts w:eastAsia="Times New Roman"/>
        </w:rPr>
      </w:pPr>
      <w:r>
        <w:rPr>
          <w:rFonts w:eastAsia="Times New Roman"/>
        </w:rPr>
        <w:pict w14:anchorId="3C3117B2">
          <v:rect id="_x0000_i1074" style="width:0;height:1.5pt" o:hralign="center" o:hrstd="t" o:hr="t" fillcolor="#a0a0a0" stroked="f"/>
        </w:pict>
      </w:r>
    </w:p>
    <w:p w14:paraId="32EF125D" w14:textId="77777777" w:rsidR="00000000" w:rsidRDefault="00582324">
      <w:pPr>
        <w:pStyle w:val="a3"/>
        <w:spacing w:before="0" w:beforeAutospacing="0" w:after="0" w:afterAutospacing="0"/>
        <w:rPr>
          <w:sz w:val="20"/>
          <w:szCs w:val="20"/>
        </w:rPr>
      </w:pPr>
      <w:r>
        <w:rPr>
          <w:sz w:val="20"/>
          <w:szCs w:val="20"/>
        </w:rPr>
        <w:t> </w:t>
      </w:r>
    </w:p>
    <w:p w14:paraId="18A04085"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Critical Accounting Policies and Estimates</w:t>
      </w:r>
    </w:p>
    <w:p w14:paraId="56D7F3C6"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2020 Form 10-K includes a summary of the critical accounting policies we believe are the most important to aid in understanding our financial results. There have been no material changes to those critical acco</w:t>
      </w:r>
      <w:r>
        <w:rPr>
          <w:color w:val="000000"/>
          <w:sz w:val="20"/>
          <w:szCs w:val="20"/>
        </w:rPr>
        <w:t xml:space="preserve">unting policies as disclosed therein, other than as described in Note 2. </w:t>
      </w:r>
    </w:p>
    <w:p w14:paraId="35AFDB61"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JOBS Act Accounting Election</w:t>
      </w:r>
    </w:p>
    <w:p w14:paraId="367FFA05"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We are an emerging growth company, as defined in the JOBS Act. Under the JOBS Act, emerging growth companies can delay adopting new or revised accounting</w:t>
      </w:r>
      <w:r>
        <w:rPr>
          <w:color w:val="000000"/>
          <w:sz w:val="20"/>
          <w:szCs w:val="20"/>
        </w:rPr>
        <w:t xml:space="preserve"> standards issued subsequent to the enactment of the JOBS Act until such time as those standards apply to private companies. We have elected to use this extended transition period for complying with new or revised accounting standards that have different e</w:t>
      </w:r>
      <w:r>
        <w:rPr>
          <w:color w:val="000000"/>
          <w:sz w:val="20"/>
          <w:szCs w:val="20"/>
        </w:rPr>
        <w:t>ffective dates for public and private companies until the earlier of the date we (1) are no longer an emerging growth company or (2) affirmatively and irrevocably opt out of the extended transition period provided in the JOBS Act. As a result, our financia</w:t>
      </w:r>
      <w:r>
        <w:rPr>
          <w:color w:val="000000"/>
          <w:sz w:val="20"/>
          <w:szCs w:val="20"/>
        </w:rPr>
        <w:t>l statements may not be comparable to companies that comply with new or revised accounting pronouncements as of public company effective dates. As June 30, 2021, the end of our second fiscal quarter, the market value of our common stock held by non-affilia</w:t>
      </w:r>
      <w:r>
        <w:rPr>
          <w:color w:val="000000"/>
          <w:sz w:val="20"/>
          <w:szCs w:val="20"/>
        </w:rPr>
        <w:t xml:space="preserve">tes exceeded $700.0 million and, as a result, we will no longer qualify as an emerging growth company at the end of the fiscal year ended December 31, 2021. </w:t>
      </w:r>
    </w:p>
    <w:p w14:paraId="66A76D3A"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NON-GAAP Financial Information</w:t>
      </w:r>
    </w:p>
    <w:p w14:paraId="40163AFD"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In addition to our results under GAAP, we also present in this Quar</w:t>
      </w:r>
      <w:r>
        <w:rPr>
          <w:color w:val="000000"/>
          <w:sz w:val="20"/>
          <w:szCs w:val="20"/>
        </w:rPr>
        <w:t>terly report on Form 10-Q other supplemental financial measures of financial performance that are not required by, or presented in accordance with, GAAP, including Adjusted EBITDA and Adjusted EBITDA margin. We calculate Adjusted EBITDA as net income (loss</w:t>
      </w:r>
      <w:r>
        <w:rPr>
          <w:color w:val="000000"/>
          <w:sz w:val="20"/>
          <w:szCs w:val="20"/>
        </w:rPr>
        <w:t>) before interest expense, income tax expense (benefit) and depreciation and amortization, adjusted for the impact of certain other items, including stock-based compensation expense and acquisition-related costs, as set forth in greater detail in the table</w:t>
      </w:r>
      <w:r>
        <w:rPr>
          <w:color w:val="000000"/>
          <w:sz w:val="20"/>
          <w:szCs w:val="20"/>
        </w:rPr>
        <w:t xml:space="preserve"> below. Adjusted EBITDA margin represents Adjusted EBITDA as a percentage of revenues for a given period.</w:t>
      </w:r>
    </w:p>
    <w:p w14:paraId="2FE1CB7C"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Adjusted EBITDA and Adjusted EBITDA margin are two of the primary metrics used by management to evaluate our financial performance and compare it to t</w:t>
      </w:r>
      <w:r>
        <w:rPr>
          <w:color w:val="000000"/>
          <w:sz w:val="20"/>
          <w:szCs w:val="20"/>
        </w:rPr>
        <w:t>hat of our peers, evaluate the effectiveness of our business strategies, make budgeting and capital allocation decisions and in connection with our executive incentive compensation. These measures are also frequently used by analysts, investors and other i</w:t>
      </w:r>
      <w:r>
        <w:rPr>
          <w:color w:val="000000"/>
          <w:sz w:val="20"/>
          <w:szCs w:val="20"/>
        </w:rPr>
        <w:t>nterested parties to evaluate companies in our industry. Further, we believe they are helpful in highlighting trends in our operating results because they allow for more consistent comparisons of financial performance between periods by excluding gains and</w:t>
      </w:r>
      <w:r>
        <w:rPr>
          <w:color w:val="000000"/>
          <w:sz w:val="20"/>
          <w:szCs w:val="20"/>
        </w:rPr>
        <w:t xml:space="preserve"> losses that are non-operational in nature or outside the control of management, as well as items that may differ significantly depending on long-term strategic decisions regarding capital structure, the tax jurisdictions in which we operate and capital in</w:t>
      </w:r>
      <w:r>
        <w:rPr>
          <w:color w:val="000000"/>
          <w:sz w:val="20"/>
          <w:szCs w:val="20"/>
        </w:rPr>
        <w:t>vestments.</w:t>
      </w:r>
    </w:p>
    <w:p w14:paraId="04482A25"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 xml:space="preserve">These non-GAAP measures do, however, have certain limitations and should not be considered as an alternative to net income or any other performance measure derived in accordance with GAAP. Our presentation of Adjusted EBITDA and Adjusted EBITDA </w:t>
      </w:r>
      <w:r>
        <w:rPr>
          <w:color w:val="000000"/>
          <w:sz w:val="20"/>
          <w:szCs w:val="20"/>
        </w:rPr>
        <w:t>margin should not be construed as an inference that our future results will be unaffected by unusual or non-recurring items for which we may make adjustments. In addition, Adjusted EBITDA and Adjusted EBITDA margin may not be comparable to similarly titled</w:t>
      </w:r>
      <w:r>
        <w:rPr>
          <w:color w:val="000000"/>
          <w:sz w:val="20"/>
          <w:szCs w:val="20"/>
        </w:rPr>
        <w:t xml:space="preserve"> measures used by other companies in our industry or across different industries, and other companies may not present these or similar measures. Management compensates for these limitations by using these measures as supplemental financial metrics and in c</w:t>
      </w:r>
      <w:r>
        <w:rPr>
          <w:color w:val="000000"/>
          <w:sz w:val="20"/>
          <w:szCs w:val="20"/>
        </w:rPr>
        <w:t>onjunction with our results prepared in accordance with GAAP. We encourage investors and others to review our financial information in its entirety, not to rely on any single measure and to view Adjusted EBITDA and Adjusted EBITDA margin in conjunction wit</w:t>
      </w:r>
      <w:r>
        <w:rPr>
          <w:color w:val="000000"/>
          <w:sz w:val="20"/>
          <w:szCs w:val="20"/>
        </w:rPr>
        <w:t>h the related GAAP measures.</w:t>
      </w:r>
    </w:p>
    <w:p w14:paraId="5F85759A" w14:textId="77777777" w:rsidR="00000000" w:rsidRDefault="00582324">
      <w:pPr>
        <w:pStyle w:val="a3"/>
        <w:spacing w:before="240" w:beforeAutospacing="0" w:after="0" w:afterAutospacing="0"/>
        <w:jc w:val="center"/>
        <w:rPr>
          <w:sz w:val="20"/>
          <w:szCs w:val="20"/>
        </w:rPr>
      </w:pPr>
      <w:r>
        <w:rPr>
          <w:sz w:val="20"/>
          <w:szCs w:val="20"/>
        </w:rPr>
        <w:t>49</w:t>
      </w:r>
    </w:p>
    <w:p w14:paraId="1DFD7C93" w14:textId="77777777" w:rsidR="00000000" w:rsidRDefault="00582324">
      <w:pPr>
        <w:rPr>
          <w:rFonts w:eastAsia="Times New Roman"/>
        </w:rPr>
      </w:pPr>
      <w:r>
        <w:rPr>
          <w:rFonts w:eastAsia="Times New Roman"/>
        </w:rPr>
        <w:pict w14:anchorId="4266DFB4">
          <v:rect id="_x0000_i1075" style="width:0;height:1.5pt" o:hralign="center" o:hrstd="t" o:hr="t" fillcolor="#a0a0a0" stroked="f"/>
        </w:pict>
      </w:r>
    </w:p>
    <w:p w14:paraId="20A0CEE6" w14:textId="77777777" w:rsidR="00000000" w:rsidRDefault="00582324">
      <w:pPr>
        <w:pStyle w:val="a3"/>
        <w:spacing w:before="0" w:beforeAutospacing="0" w:after="0" w:afterAutospacing="0"/>
        <w:rPr>
          <w:sz w:val="20"/>
          <w:szCs w:val="20"/>
        </w:rPr>
      </w:pPr>
      <w:r>
        <w:rPr>
          <w:sz w:val="20"/>
          <w:szCs w:val="20"/>
        </w:rPr>
        <w:t> </w:t>
      </w:r>
    </w:p>
    <w:p w14:paraId="542E0992" w14:textId="77777777" w:rsidR="00000000" w:rsidRDefault="00582324">
      <w:pPr>
        <w:pStyle w:val="a3"/>
        <w:shd w:val="clear" w:color="auto" w:fill="FFFFFF"/>
        <w:spacing w:before="240" w:beforeAutospacing="0" w:after="0" w:afterAutospacing="0"/>
        <w:ind w:firstLine="416"/>
        <w:rPr>
          <w:color w:val="000000"/>
          <w:sz w:val="20"/>
          <w:szCs w:val="20"/>
        </w:rPr>
      </w:pPr>
      <w:r>
        <w:rPr>
          <w:color w:val="000000"/>
          <w:sz w:val="20"/>
          <w:szCs w:val="20"/>
        </w:rPr>
        <w:t>The following is a reconciliation of our net (loss) income to Adjusted EBITDA:</w:t>
      </w:r>
    </w:p>
    <w:p w14:paraId="053212D7" w14:textId="77777777" w:rsidR="00000000" w:rsidRDefault="00582324">
      <w:pPr>
        <w:pStyle w:val="a3"/>
        <w:shd w:val="clear" w:color="auto" w:fill="FFFFFF"/>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61"/>
        <w:gridCol w:w="74"/>
        <w:gridCol w:w="105"/>
        <w:gridCol w:w="672"/>
        <w:gridCol w:w="75"/>
        <w:gridCol w:w="75"/>
        <w:gridCol w:w="105"/>
        <w:gridCol w:w="675"/>
        <w:gridCol w:w="75"/>
        <w:gridCol w:w="75"/>
        <w:gridCol w:w="105"/>
        <w:gridCol w:w="673"/>
        <w:gridCol w:w="75"/>
        <w:gridCol w:w="75"/>
        <w:gridCol w:w="105"/>
        <w:gridCol w:w="675"/>
        <w:gridCol w:w="75"/>
      </w:tblGrid>
      <w:tr w:rsidR="00000000" w14:paraId="0C7E2186" w14:textId="77777777">
        <w:trPr>
          <w:divId w:val="4982284"/>
        </w:trPr>
        <w:tc>
          <w:tcPr>
            <w:tcW w:w="2523" w:type="pct"/>
            <w:shd w:val="clear" w:color="auto" w:fill="FFFFFF"/>
            <w:tcMar>
              <w:top w:w="15" w:type="dxa"/>
              <w:left w:w="0" w:type="dxa"/>
              <w:bottom w:w="0" w:type="dxa"/>
              <w:right w:w="15" w:type="dxa"/>
            </w:tcMar>
            <w:vAlign w:val="bottom"/>
            <w:hideMark/>
          </w:tcPr>
          <w:p w14:paraId="6D096BB0" w14:textId="77777777" w:rsidR="00000000" w:rsidRDefault="00582324">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1D7537E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34ED467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Three Months</w:t>
            </w:r>
          </w:p>
          <w:p w14:paraId="0DB4547D"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5A1A076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339B5CB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6A402E25"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For the Six Months</w:t>
            </w:r>
          </w:p>
          <w:p w14:paraId="3B37299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Ended June 30,</w:t>
            </w:r>
          </w:p>
        </w:tc>
        <w:tc>
          <w:tcPr>
            <w:tcW w:w="50" w:type="pct"/>
            <w:shd w:val="clear" w:color="auto" w:fill="FFFFFF"/>
            <w:noWrap/>
            <w:tcMar>
              <w:top w:w="15" w:type="dxa"/>
              <w:left w:w="0" w:type="dxa"/>
              <w:bottom w:w="0" w:type="dxa"/>
              <w:right w:w="15" w:type="dxa"/>
            </w:tcMar>
            <w:vAlign w:val="bottom"/>
            <w:hideMark/>
          </w:tcPr>
          <w:p w14:paraId="4E43722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1F0417D2" w14:textId="77777777">
        <w:trPr>
          <w:divId w:val="4982284"/>
        </w:trPr>
        <w:tc>
          <w:tcPr>
            <w:tcW w:w="2523" w:type="pct"/>
            <w:shd w:val="clear" w:color="auto" w:fill="FFFFFF"/>
            <w:tcMar>
              <w:top w:w="15" w:type="dxa"/>
              <w:left w:w="0" w:type="dxa"/>
              <w:bottom w:w="0" w:type="dxa"/>
              <w:right w:w="15" w:type="dxa"/>
            </w:tcMar>
            <w:vAlign w:val="bottom"/>
            <w:hideMark/>
          </w:tcPr>
          <w:p w14:paraId="5DD8DABC" w14:textId="77777777" w:rsidR="00000000" w:rsidRDefault="00582324">
            <w:pPr>
              <w:pStyle w:val="a3"/>
              <w:spacing w:before="0" w:beforeAutospacing="0" w:after="0" w:afterAutospacing="0"/>
              <w:rPr>
                <w:b/>
                <w:bCs/>
                <w:color w:val="000000"/>
                <w:sz w:val="18"/>
                <w:szCs w:val="18"/>
              </w:rPr>
            </w:pPr>
            <w:r>
              <w:rPr>
                <w:b/>
                <w:bCs/>
                <w:color w:val="000000"/>
                <w:sz w:val="18"/>
                <w:szCs w:val="18"/>
              </w:rPr>
              <w:t>(in thousands)</w:t>
            </w:r>
          </w:p>
        </w:tc>
        <w:tc>
          <w:tcPr>
            <w:tcW w:w="59" w:type="pct"/>
            <w:shd w:val="clear" w:color="auto" w:fill="FFFFFF"/>
            <w:tcMar>
              <w:top w:w="15" w:type="dxa"/>
              <w:left w:w="0" w:type="dxa"/>
              <w:bottom w:w="0" w:type="dxa"/>
              <w:right w:w="15" w:type="dxa"/>
            </w:tcMar>
            <w:vAlign w:val="bottom"/>
            <w:hideMark/>
          </w:tcPr>
          <w:p w14:paraId="634C3BF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A501CA"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1B428FC8"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392A69F"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0F2018"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3B4EF5A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5F323B8A"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23085B"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2021</w:t>
            </w:r>
          </w:p>
        </w:tc>
        <w:tc>
          <w:tcPr>
            <w:tcW w:w="50" w:type="pct"/>
            <w:shd w:val="clear" w:color="auto" w:fill="FFFFFF"/>
            <w:noWrap/>
            <w:tcMar>
              <w:top w:w="15" w:type="dxa"/>
              <w:left w:w="0" w:type="dxa"/>
              <w:bottom w:w="0" w:type="dxa"/>
              <w:right w:w="15" w:type="dxa"/>
            </w:tcMar>
            <w:vAlign w:val="bottom"/>
            <w:hideMark/>
          </w:tcPr>
          <w:p w14:paraId="4C046220"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5F354203"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324582" w14:textId="77777777" w:rsidR="00000000" w:rsidRDefault="00582324">
            <w:pPr>
              <w:pStyle w:val="a3"/>
              <w:spacing w:before="0" w:beforeAutospacing="0" w:after="0" w:afterAutospacing="0"/>
              <w:jc w:val="center"/>
              <w:rPr>
                <w:b/>
                <w:bCs/>
                <w:color w:val="000000"/>
                <w:sz w:val="18"/>
                <w:szCs w:val="18"/>
              </w:rPr>
            </w:pPr>
            <w:r>
              <w:rPr>
                <w:b/>
                <w:bCs/>
                <w:color w:val="000000"/>
                <w:sz w:val="18"/>
                <w:szCs w:val="18"/>
              </w:rPr>
              <w:t>2020</w:t>
            </w:r>
          </w:p>
        </w:tc>
        <w:tc>
          <w:tcPr>
            <w:tcW w:w="50" w:type="pct"/>
            <w:shd w:val="clear" w:color="auto" w:fill="FFFFFF"/>
            <w:noWrap/>
            <w:tcMar>
              <w:top w:w="15" w:type="dxa"/>
              <w:left w:w="0" w:type="dxa"/>
              <w:bottom w:w="0" w:type="dxa"/>
              <w:right w:w="15" w:type="dxa"/>
            </w:tcMar>
            <w:vAlign w:val="bottom"/>
            <w:hideMark/>
          </w:tcPr>
          <w:p w14:paraId="38A14C97"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6AECE497" w14:textId="77777777">
        <w:trPr>
          <w:divId w:val="4982284"/>
        </w:trPr>
        <w:tc>
          <w:tcPr>
            <w:tcW w:w="2523" w:type="pct"/>
            <w:shd w:val="clear" w:color="auto" w:fill="CFF0FC"/>
            <w:tcMar>
              <w:top w:w="15" w:type="dxa"/>
              <w:left w:w="0" w:type="dxa"/>
              <w:bottom w:w="0" w:type="dxa"/>
              <w:right w:w="15" w:type="dxa"/>
            </w:tcMar>
            <w:hideMark/>
          </w:tcPr>
          <w:p w14:paraId="7B129A65" w14:textId="77777777" w:rsidR="00000000" w:rsidRDefault="00582324">
            <w:pPr>
              <w:pStyle w:val="a3"/>
              <w:spacing w:before="0" w:beforeAutospacing="0" w:after="0" w:afterAutospacing="0"/>
              <w:rPr>
                <w:color w:val="000000"/>
                <w:sz w:val="18"/>
                <w:szCs w:val="18"/>
              </w:rPr>
            </w:pPr>
            <w:r>
              <w:rPr>
                <w:color w:val="000000"/>
                <w:sz w:val="18"/>
                <w:szCs w:val="18"/>
              </w:rPr>
              <w:t>Net (loss) income</w:t>
            </w:r>
          </w:p>
        </w:tc>
        <w:tc>
          <w:tcPr>
            <w:tcW w:w="59" w:type="pct"/>
            <w:shd w:val="clear" w:color="auto" w:fill="CFF0FC"/>
            <w:tcMar>
              <w:top w:w="15" w:type="dxa"/>
              <w:left w:w="0" w:type="dxa"/>
              <w:bottom w:w="0" w:type="dxa"/>
              <w:right w:w="15" w:type="dxa"/>
            </w:tcMar>
            <w:vAlign w:val="bottom"/>
            <w:hideMark/>
          </w:tcPr>
          <w:p w14:paraId="13B9FCF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2B701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A79128D" w14:textId="77777777" w:rsidR="00000000" w:rsidRDefault="00582324">
            <w:pPr>
              <w:pStyle w:val="a3"/>
              <w:spacing w:before="0" w:beforeAutospacing="0" w:after="0" w:afterAutospacing="0"/>
              <w:jc w:val="right"/>
              <w:rPr>
                <w:color w:val="000000"/>
                <w:sz w:val="18"/>
                <w:szCs w:val="18"/>
              </w:rPr>
            </w:pPr>
            <w:r>
              <w:rPr>
                <w:color w:val="000000"/>
                <w:sz w:val="18"/>
                <w:szCs w:val="18"/>
              </w:rPr>
              <w:t>(14,483</w:t>
            </w:r>
          </w:p>
        </w:tc>
        <w:tc>
          <w:tcPr>
            <w:tcW w:w="50" w:type="pct"/>
            <w:shd w:val="clear" w:color="auto" w:fill="CFF0FC"/>
            <w:noWrap/>
            <w:tcMar>
              <w:top w:w="15" w:type="dxa"/>
              <w:left w:w="0" w:type="dxa"/>
              <w:bottom w:w="0" w:type="dxa"/>
              <w:right w:w="15" w:type="dxa"/>
            </w:tcMar>
            <w:vAlign w:val="bottom"/>
            <w:hideMark/>
          </w:tcPr>
          <w:p w14:paraId="71C99B63"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5E5B21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3219DA"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216B156" w14:textId="77777777" w:rsidR="00000000" w:rsidRDefault="00582324">
            <w:pPr>
              <w:pStyle w:val="a3"/>
              <w:spacing w:before="0" w:beforeAutospacing="0" w:after="0" w:afterAutospacing="0"/>
              <w:jc w:val="right"/>
              <w:rPr>
                <w:color w:val="000000"/>
                <w:sz w:val="18"/>
                <w:szCs w:val="18"/>
              </w:rPr>
            </w:pPr>
            <w:r>
              <w:rPr>
                <w:color w:val="000000"/>
                <w:sz w:val="18"/>
                <w:szCs w:val="18"/>
              </w:rPr>
              <w:t>13,224</w:t>
            </w:r>
          </w:p>
        </w:tc>
        <w:tc>
          <w:tcPr>
            <w:tcW w:w="50" w:type="pct"/>
            <w:shd w:val="clear" w:color="auto" w:fill="CFF0FC"/>
            <w:noWrap/>
            <w:tcMar>
              <w:top w:w="15" w:type="dxa"/>
              <w:left w:w="0" w:type="dxa"/>
              <w:bottom w:w="0" w:type="dxa"/>
              <w:right w:w="15" w:type="dxa"/>
            </w:tcMar>
            <w:vAlign w:val="bottom"/>
            <w:hideMark/>
          </w:tcPr>
          <w:p w14:paraId="7B9E14B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7A8DC6E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15B4D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7C752E0" w14:textId="77777777" w:rsidR="00000000" w:rsidRDefault="00582324">
            <w:pPr>
              <w:pStyle w:val="a3"/>
              <w:spacing w:before="0" w:beforeAutospacing="0" w:after="0" w:afterAutospacing="0"/>
              <w:jc w:val="right"/>
              <w:rPr>
                <w:color w:val="000000"/>
                <w:sz w:val="18"/>
                <w:szCs w:val="18"/>
              </w:rPr>
            </w:pPr>
            <w:r>
              <w:rPr>
                <w:color w:val="000000"/>
                <w:sz w:val="18"/>
                <w:szCs w:val="18"/>
              </w:rPr>
              <w:t>(26,079</w:t>
            </w:r>
          </w:p>
        </w:tc>
        <w:tc>
          <w:tcPr>
            <w:tcW w:w="50" w:type="pct"/>
            <w:shd w:val="clear" w:color="auto" w:fill="CFF0FC"/>
            <w:noWrap/>
            <w:tcMar>
              <w:top w:w="15" w:type="dxa"/>
              <w:left w:w="0" w:type="dxa"/>
              <w:bottom w:w="0" w:type="dxa"/>
              <w:right w:w="15" w:type="dxa"/>
            </w:tcMar>
            <w:vAlign w:val="bottom"/>
            <w:hideMark/>
          </w:tcPr>
          <w:p w14:paraId="14C3531D"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24583D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2AFA6E"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3D63E94" w14:textId="77777777" w:rsidR="00000000" w:rsidRDefault="00582324">
            <w:pPr>
              <w:pStyle w:val="a3"/>
              <w:spacing w:before="0" w:beforeAutospacing="0" w:after="0" w:afterAutospacing="0"/>
              <w:jc w:val="right"/>
              <w:rPr>
                <w:color w:val="000000"/>
                <w:sz w:val="18"/>
                <w:szCs w:val="18"/>
              </w:rPr>
            </w:pPr>
            <w:r>
              <w:rPr>
                <w:color w:val="000000"/>
                <w:sz w:val="18"/>
                <w:szCs w:val="18"/>
              </w:rPr>
              <w:t>(28,024</w:t>
            </w:r>
          </w:p>
        </w:tc>
        <w:tc>
          <w:tcPr>
            <w:tcW w:w="50" w:type="pct"/>
            <w:shd w:val="clear" w:color="auto" w:fill="CFF0FC"/>
            <w:noWrap/>
            <w:tcMar>
              <w:top w:w="15" w:type="dxa"/>
              <w:left w:w="0" w:type="dxa"/>
              <w:bottom w:w="0" w:type="dxa"/>
              <w:right w:w="15" w:type="dxa"/>
            </w:tcMar>
            <w:vAlign w:val="bottom"/>
            <w:hideMark/>
          </w:tcPr>
          <w:p w14:paraId="5D2B8DD4"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6609391C" w14:textId="77777777">
        <w:trPr>
          <w:divId w:val="4982284"/>
        </w:trPr>
        <w:tc>
          <w:tcPr>
            <w:tcW w:w="2523" w:type="pct"/>
            <w:shd w:val="clear" w:color="auto" w:fill="FFFFFF"/>
            <w:tcMar>
              <w:top w:w="15" w:type="dxa"/>
              <w:left w:w="0" w:type="dxa"/>
              <w:bottom w:w="0" w:type="dxa"/>
              <w:right w:w="15" w:type="dxa"/>
            </w:tcMar>
            <w:hideMark/>
          </w:tcPr>
          <w:p w14:paraId="1D0A683F" w14:textId="77777777" w:rsidR="00000000" w:rsidRDefault="00582324">
            <w:pPr>
              <w:pStyle w:val="a3"/>
              <w:spacing w:before="0" w:beforeAutospacing="0" w:after="0" w:afterAutospacing="0"/>
              <w:rPr>
                <w:color w:val="000000"/>
                <w:sz w:val="18"/>
                <w:szCs w:val="18"/>
              </w:rPr>
            </w:pPr>
            <w:r>
              <w:rPr>
                <w:color w:val="000000"/>
                <w:sz w:val="18"/>
                <w:szCs w:val="18"/>
              </w:rPr>
              <w:t>Interest expense</w:t>
            </w:r>
          </w:p>
        </w:tc>
        <w:tc>
          <w:tcPr>
            <w:tcW w:w="59" w:type="pct"/>
            <w:shd w:val="clear" w:color="auto" w:fill="FFFFFF"/>
            <w:tcMar>
              <w:top w:w="15" w:type="dxa"/>
              <w:left w:w="0" w:type="dxa"/>
              <w:bottom w:w="0" w:type="dxa"/>
              <w:right w:w="15" w:type="dxa"/>
            </w:tcMar>
            <w:vAlign w:val="bottom"/>
            <w:hideMark/>
          </w:tcPr>
          <w:p w14:paraId="334E083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9ECD5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0E38AA39" w14:textId="77777777" w:rsidR="00000000" w:rsidRDefault="00582324">
            <w:pPr>
              <w:pStyle w:val="a3"/>
              <w:spacing w:before="0" w:beforeAutospacing="0" w:after="0" w:afterAutospacing="0"/>
              <w:jc w:val="right"/>
              <w:rPr>
                <w:color w:val="000000"/>
                <w:sz w:val="18"/>
                <w:szCs w:val="18"/>
              </w:rPr>
            </w:pPr>
            <w:r>
              <w:rPr>
                <w:color w:val="000000"/>
                <w:sz w:val="18"/>
                <w:szCs w:val="18"/>
              </w:rPr>
              <w:t>6,798</w:t>
            </w:r>
          </w:p>
        </w:tc>
        <w:tc>
          <w:tcPr>
            <w:tcW w:w="50" w:type="pct"/>
            <w:shd w:val="clear" w:color="auto" w:fill="FFFFFF"/>
            <w:noWrap/>
            <w:tcMar>
              <w:top w:w="15" w:type="dxa"/>
              <w:left w:w="0" w:type="dxa"/>
              <w:bottom w:w="0" w:type="dxa"/>
              <w:right w:w="15" w:type="dxa"/>
            </w:tcMar>
            <w:vAlign w:val="bottom"/>
            <w:hideMark/>
          </w:tcPr>
          <w:p w14:paraId="2EE70C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0E4A6E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E34C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40F2E6F0" w14:textId="77777777" w:rsidR="00000000" w:rsidRDefault="00582324">
            <w:pPr>
              <w:pStyle w:val="a3"/>
              <w:spacing w:before="0" w:beforeAutospacing="0" w:after="0" w:afterAutospacing="0"/>
              <w:jc w:val="right"/>
              <w:rPr>
                <w:color w:val="000000"/>
                <w:sz w:val="18"/>
                <w:szCs w:val="18"/>
              </w:rPr>
            </w:pPr>
            <w:r>
              <w:rPr>
                <w:color w:val="000000"/>
                <w:sz w:val="18"/>
                <w:szCs w:val="18"/>
              </w:rPr>
              <w:t>5,260</w:t>
            </w:r>
          </w:p>
        </w:tc>
        <w:tc>
          <w:tcPr>
            <w:tcW w:w="50" w:type="pct"/>
            <w:shd w:val="clear" w:color="auto" w:fill="FFFFFF"/>
            <w:noWrap/>
            <w:tcMar>
              <w:top w:w="15" w:type="dxa"/>
              <w:left w:w="0" w:type="dxa"/>
              <w:bottom w:w="0" w:type="dxa"/>
              <w:right w:w="15" w:type="dxa"/>
            </w:tcMar>
            <w:vAlign w:val="bottom"/>
            <w:hideMark/>
          </w:tcPr>
          <w:p w14:paraId="41924B2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245AA37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43EB75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350C8901" w14:textId="77777777" w:rsidR="00000000" w:rsidRDefault="00582324">
            <w:pPr>
              <w:pStyle w:val="a3"/>
              <w:spacing w:before="0" w:beforeAutospacing="0" w:after="0" w:afterAutospacing="0"/>
              <w:jc w:val="right"/>
              <w:rPr>
                <w:color w:val="000000"/>
                <w:sz w:val="18"/>
                <w:szCs w:val="18"/>
              </w:rPr>
            </w:pPr>
            <w:r>
              <w:rPr>
                <w:color w:val="000000"/>
                <w:sz w:val="18"/>
                <w:szCs w:val="18"/>
              </w:rPr>
              <w:t>9,486</w:t>
            </w:r>
          </w:p>
        </w:tc>
        <w:tc>
          <w:tcPr>
            <w:tcW w:w="50" w:type="pct"/>
            <w:shd w:val="clear" w:color="auto" w:fill="FFFFFF"/>
            <w:noWrap/>
            <w:tcMar>
              <w:top w:w="15" w:type="dxa"/>
              <w:left w:w="0" w:type="dxa"/>
              <w:bottom w:w="0" w:type="dxa"/>
              <w:right w:w="15" w:type="dxa"/>
            </w:tcMar>
            <w:vAlign w:val="bottom"/>
            <w:hideMark/>
          </w:tcPr>
          <w:p w14:paraId="3CF0C3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B8DD0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7C17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558B215B" w14:textId="77777777" w:rsidR="00000000" w:rsidRDefault="00582324">
            <w:pPr>
              <w:pStyle w:val="a3"/>
              <w:spacing w:before="0" w:beforeAutospacing="0" w:after="0" w:afterAutospacing="0"/>
              <w:jc w:val="right"/>
              <w:rPr>
                <w:color w:val="000000"/>
                <w:sz w:val="18"/>
                <w:szCs w:val="18"/>
              </w:rPr>
            </w:pPr>
            <w:r>
              <w:rPr>
                <w:color w:val="000000"/>
                <w:sz w:val="18"/>
                <w:szCs w:val="18"/>
              </w:rPr>
              <w:t>7,853</w:t>
            </w:r>
          </w:p>
        </w:tc>
        <w:tc>
          <w:tcPr>
            <w:tcW w:w="50" w:type="pct"/>
            <w:shd w:val="clear" w:color="auto" w:fill="FFFFFF"/>
            <w:noWrap/>
            <w:tcMar>
              <w:top w:w="15" w:type="dxa"/>
              <w:left w:w="0" w:type="dxa"/>
              <w:bottom w:w="0" w:type="dxa"/>
              <w:right w:w="15" w:type="dxa"/>
            </w:tcMar>
            <w:vAlign w:val="bottom"/>
            <w:hideMark/>
          </w:tcPr>
          <w:p w14:paraId="558B8F6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43BE8F9" w14:textId="77777777">
        <w:trPr>
          <w:divId w:val="4982284"/>
        </w:trPr>
        <w:tc>
          <w:tcPr>
            <w:tcW w:w="2523" w:type="pct"/>
            <w:shd w:val="clear" w:color="auto" w:fill="CFF0FC"/>
            <w:tcMar>
              <w:top w:w="15" w:type="dxa"/>
              <w:left w:w="0" w:type="dxa"/>
              <w:bottom w:w="0" w:type="dxa"/>
              <w:right w:w="15" w:type="dxa"/>
            </w:tcMar>
            <w:hideMark/>
          </w:tcPr>
          <w:p w14:paraId="0AE0C715" w14:textId="77777777" w:rsidR="00000000" w:rsidRDefault="00582324">
            <w:pPr>
              <w:pStyle w:val="a3"/>
              <w:spacing w:before="0" w:beforeAutospacing="0" w:after="0" w:afterAutospacing="0"/>
              <w:rPr>
                <w:color w:val="000000"/>
                <w:sz w:val="18"/>
                <w:szCs w:val="18"/>
              </w:rPr>
            </w:pPr>
            <w:r>
              <w:rPr>
                <w:color w:val="000000"/>
                <w:sz w:val="18"/>
                <w:szCs w:val="18"/>
              </w:rPr>
              <w:t>Income tax expense</w:t>
            </w:r>
          </w:p>
        </w:tc>
        <w:tc>
          <w:tcPr>
            <w:tcW w:w="59" w:type="pct"/>
            <w:shd w:val="clear" w:color="auto" w:fill="CFF0FC"/>
            <w:tcMar>
              <w:top w:w="15" w:type="dxa"/>
              <w:left w:w="0" w:type="dxa"/>
              <w:bottom w:w="0" w:type="dxa"/>
              <w:right w:w="15" w:type="dxa"/>
            </w:tcMar>
            <w:vAlign w:val="bottom"/>
            <w:hideMark/>
          </w:tcPr>
          <w:p w14:paraId="6C42374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34FD06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67F9B93B" w14:textId="77777777" w:rsidR="00000000" w:rsidRDefault="00582324">
            <w:pPr>
              <w:pStyle w:val="a3"/>
              <w:spacing w:before="0" w:beforeAutospacing="0" w:after="0" w:afterAutospacing="0"/>
              <w:jc w:val="right"/>
              <w:rPr>
                <w:color w:val="000000"/>
                <w:sz w:val="18"/>
                <w:szCs w:val="18"/>
              </w:rPr>
            </w:pPr>
            <w:r>
              <w:rPr>
                <w:color w:val="000000"/>
                <w:sz w:val="18"/>
                <w:szCs w:val="18"/>
              </w:rPr>
              <w:t>(256</w:t>
            </w:r>
          </w:p>
        </w:tc>
        <w:tc>
          <w:tcPr>
            <w:tcW w:w="50" w:type="pct"/>
            <w:shd w:val="clear" w:color="auto" w:fill="CFF0FC"/>
            <w:noWrap/>
            <w:tcMar>
              <w:top w:w="15" w:type="dxa"/>
              <w:left w:w="0" w:type="dxa"/>
              <w:bottom w:w="0" w:type="dxa"/>
              <w:right w:w="15" w:type="dxa"/>
            </w:tcMar>
            <w:vAlign w:val="bottom"/>
            <w:hideMark/>
          </w:tcPr>
          <w:p w14:paraId="7243FBC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351ED7F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50BE8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63AA3508" w14:textId="77777777" w:rsidR="00000000" w:rsidRDefault="00582324">
            <w:pPr>
              <w:pStyle w:val="a3"/>
              <w:spacing w:before="0" w:beforeAutospacing="0" w:after="0" w:afterAutospacing="0"/>
              <w:jc w:val="right"/>
              <w:rPr>
                <w:color w:val="000000"/>
                <w:sz w:val="18"/>
                <w:szCs w:val="18"/>
              </w:rPr>
            </w:pPr>
            <w:r>
              <w:rPr>
                <w:color w:val="000000"/>
                <w:sz w:val="18"/>
                <w:szCs w:val="18"/>
              </w:rPr>
              <w:t>(1,759</w:t>
            </w:r>
          </w:p>
        </w:tc>
        <w:tc>
          <w:tcPr>
            <w:tcW w:w="50" w:type="pct"/>
            <w:shd w:val="clear" w:color="auto" w:fill="CFF0FC"/>
            <w:noWrap/>
            <w:tcMar>
              <w:top w:w="15" w:type="dxa"/>
              <w:left w:w="0" w:type="dxa"/>
              <w:bottom w:w="0" w:type="dxa"/>
              <w:right w:w="15" w:type="dxa"/>
            </w:tcMar>
            <w:vAlign w:val="bottom"/>
            <w:hideMark/>
          </w:tcPr>
          <w:p w14:paraId="13C154A4"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7AD8DE2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CFA8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758ACB0F" w14:textId="77777777" w:rsidR="00000000" w:rsidRDefault="00582324">
            <w:pPr>
              <w:pStyle w:val="a3"/>
              <w:spacing w:before="0" w:beforeAutospacing="0" w:after="0" w:afterAutospacing="0"/>
              <w:jc w:val="right"/>
              <w:rPr>
                <w:color w:val="000000"/>
                <w:sz w:val="18"/>
                <w:szCs w:val="18"/>
              </w:rPr>
            </w:pPr>
            <w:r>
              <w:rPr>
                <w:color w:val="000000"/>
                <w:sz w:val="18"/>
                <w:szCs w:val="18"/>
              </w:rPr>
              <w:t>(254</w:t>
            </w:r>
          </w:p>
        </w:tc>
        <w:tc>
          <w:tcPr>
            <w:tcW w:w="50" w:type="pct"/>
            <w:shd w:val="clear" w:color="auto" w:fill="CFF0FC"/>
            <w:noWrap/>
            <w:tcMar>
              <w:top w:w="15" w:type="dxa"/>
              <w:left w:w="0" w:type="dxa"/>
              <w:bottom w:w="0" w:type="dxa"/>
              <w:right w:w="15" w:type="dxa"/>
            </w:tcMar>
            <w:vAlign w:val="bottom"/>
            <w:hideMark/>
          </w:tcPr>
          <w:p w14:paraId="689CE686"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664488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E2478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081F3577" w14:textId="77777777" w:rsidR="00000000" w:rsidRDefault="00582324">
            <w:pPr>
              <w:pStyle w:val="a3"/>
              <w:spacing w:before="0" w:beforeAutospacing="0" w:after="0" w:afterAutospacing="0"/>
              <w:jc w:val="right"/>
              <w:rPr>
                <w:color w:val="000000"/>
                <w:sz w:val="18"/>
                <w:szCs w:val="18"/>
              </w:rPr>
            </w:pPr>
            <w:r>
              <w:rPr>
                <w:color w:val="000000"/>
                <w:sz w:val="18"/>
                <w:szCs w:val="18"/>
              </w:rPr>
              <w:t>(4,911</w:t>
            </w:r>
          </w:p>
        </w:tc>
        <w:tc>
          <w:tcPr>
            <w:tcW w:w="50" w:type="pct"/>
            <w:shd w:val="clear" w:color="auto" w:fill="CFF0FC"/>
            <w:noWrap/>
            <w:tcMar>
              <w:top w:w="15" w:type="dxa"/>
              <w:left w:w="0" w:type="dxa"/>
              <w:bottom w:w="0" w:type="dxa"/>
              <w:right w:w="15" w:type="dxa"/>
            </w:tcMar>
            <w:vAlign w:val="bottom"/>
            <w:hideMark/>
          </w:tcPr>
          <w:p w14:paraId="3052D180" w14:textId="77777777" w:rsidR="00000000" w:rsidRDefault="00582324">
            <w:pPr>
              <w:pStyle w:val="a3"/>
              <w:spacing w:before="0" w:beforeAutospacing="0" w:after="0" w:afterAutospacing="0"/>
              <w:rPr>
                <w:color w:val="000000"/>
                <w:sz w:val="18"/>
                <w:szCs w:val="18"/>
              </w:rPr>
            </w:pPr>
            <w:r>
              <w:rPr>
                <w:color w:val="000000"/>
                <w:sz w:val="18"/>
                <w:szCs w:val="18"/>
              </w:rPr>
              <w:t>)</w:t>
            </w:r>
          </w:p>
        </w:tc>
      </w:tr>
      <w:tr w:rsidR="00000000" w14:paraId="1B9A4C41" w14:textId="77777777">
        <w:trPr>
          <w:divId w:val="4982284"/>
        </w:trPr>
        <w:tc>
          <w:tcPr>
            <w:tcW w:w="2523" w:type="pct"/>
            <w:shd w:val="clear" w:color="auto" w:fill="FFFFFF"/>
            <w:tcMar>
              <w:top w:w="15" w:type="dxa"/>
              <w:left w:w="0" w:type="dxa"/>
              <w:bottom w:w="0" w:type="dxa"/>
              <w:right w:w="15" w:type="dxa"/>
            </w:tcMar>
            <w:hideMark/>
          </w:tcPr>
          <w:p w14:paraId="3965919E" w14:textId="77777777" w:rsidR="00000000" w:rsidRDefault="00582324">
            <w:pPr>
              <w:pStyle w:val="a3"/>
              <w:spacing w:before="0" w:beforeAutospacing="0" w:after="0" w:afterAutospacing="0"/>
              <w:rPr>
                <w:color w:val="000000"/>
                <w:sz w:val="18"/>
                <w:szCs w:val="18"/>
              </w:rPr>
            </w:pPr>
            <w:r>
              <w:rPr>
                <w:color w:val="000000"/>
                <w:sz w:val="18"/>
                <w:szCs w:val="18"/>
              </w:rPr>
              <w:t>Depreciation and amortization</w:t>
            </w:r>
          </w:p>
        </w:tc>
        <w:tc>
          <w:tcPr>
            <w:tcW w:w="59" w:type="pct"/>
            <w:shd w:val="clear" w:color="auto" w:fill="FFFFFF"/>
            <w:tcMar>
              <w:top w:w="15" w:type="dxa"/>
              <w:left w:w="0" w:type="dxa"/>
              <w:bottom w:w="0" w:type="dxa"/>
              <w:right w:w="15" w:type="dxa"/>
            </w:tcMar>
            <w:vAlign w:val="bottom"/>
            <w:hideMark/>
          </w:tcPr>
          <w:p w14:paraId="0890294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8D2CB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BF935BB" w14:textId="77777777" w:rsidR="00000000" w:rsidRDefault="00582324">
            <w:pPr>
              <w:pStyle w:val="a3"/>
              <w:spacing w:before="0" w:beforeAutospacing="0" w:after="0" w:afterAutospacing="0"/>
              <w:jc w:val="right"/>
              <w:rPr>
                <w:color w:val="000000"/>
                <w:sz w:val="18"/>
                <w:szCs w:val="18"/>
              </w:rPr>
            </w:pPr>
            <w:r>
              <w:rPr>
                <w:color w:val="000000"/>
                <w:sz w:val="18"/>
                <w:szCs w:val="18"/>
              </w:rPr>
              <w:t>10,905</w:t>
            </w:r>
          </w:p>
        </w:tc>
        <w:tc>
          <w:tcPr>
            <w:tcW w:w="50" w:type="pct"/>
            <w:shd w:val="clear" w:color="auto" w:fill="FFFFFF"/>
            <w:noWrap/>
            <w:tcMar>
              <w:top w:w="15" w:type="dxa"/>
              <w:left w:w="0" w:type="dxa"/>
              <w:bottom w:w="0" w:type="dxa"/>
              <w:right w:w="15" w:type="dxa"/>
            </w:tcMar>
            <w:vAlign w:val="bottom"/>
            <w:hideMark/>
          </w:tcPr>
          <w:p w14:paraId="328F2B3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3978ABA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55CF52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A351BA7" w14:textId="77777777" w:rsidR="00000000" w:rsidRDefault="00582324">
            <w:pPr>
              <w:pStyle w:val="a3"/>
              <w:spacing w:before="0" w:beforeAutospacing="0" w:after="0" w:afterAutospacing="0"/>
              <w:jc w:val="right"/>
              <w:rPr>
                <w:color w:val="000000"/>
                <w:sz w:val="18"/>
                <w:szCs w:val="18"/>
              </w:rPr>
            </w:pPr>
            <w:r>
              <w:rPr>
                <w:color w:val="000000"/>
                <w:sz w:val="18"/>
                <w:szCs w:val="18"/>
              </w:rPr>
              <w:t>9,784</w:t>
            </w:r>
          </w:p>
        </w:tc>
        <w:tc>
          <w:tcPr>
            <w:tcW w:w="50" w:type="pct"/>
            <w:shd w:val="clear" w:color="auto" w:fill="FFFFFF"/>
            <w:noWrap/>
            <w:tcMar>
              <w:top w:w="15" w:type="dxa"/>
              <w:left w:w="0" w:type="dxa"/>
              <w:bottom w:w="0" w:type="dxa"/>
              <w:right w:w="15" w:type="dxa"/>
            </w:tcMar>
            <w:vAlign w:val="bottom"/>
            <w:hideMark/>
          </w:tcPr>
          <w:p w14:paraId="2272AAA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240908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9071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54DDBF7" w14:textId="77777777" w:rsidR="00000000" w:rsidRDefault="00582324">
            <w:pPr>
              <w:pStyle w:val="a3"/>
              <w:spacing w:before="0" w:beforeAutospacing="0" w:after="0" w:afterAutospacing="0"/>
              <w:jc w:val="right"/>
              <w:rPr>
                <w:color w:val="000000"/>
                <w:sz w:val="18"/>
                <w:szCs w:val="18"/>
              </w:rPr>
            </w:pPr>
            <w:r>
              <w:rPr>
                <w:color w:val="000000"/>
                <w:sz w:val="18"/>
                <w:szCs w:val="18"/>
              </w:rPr>
              <w:t>21,674</w:t>
            </w:r>
          </w:p>
        </w:tc>
        <w:tc>
          <w:tcPr>
            <w:tcW w:w="50" w:type="pct"/>
            <w:shd w:val="clear" w:color="auto" w:fill="FFFFFF"/>
            <w:noWrap/>
            <w:tcMar>
              <w:top w:w="15" w:type="dxa"/>
              <w:left w:w="0" w:type="dxa"/>
              <w:bottom w:w="0" w:type="dxa"/>
              <w:right w:w="15" w:type="dxa"/>
            </w:tcMar>
            <w:vAlign w:val="bottom"/>
            <w:hideMark/>
          </w:tcPr>
          <w:p w14:paraId="16FC36D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64D0EB7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DE501E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586C912" w14:textId="77777777" w:rsidR="00000000" w:rsidRDefault="00582324">
            <w:pPr>
              <w:pStyle w:val="a3"/>
              <w:spacing w:before="0" w:beforeAutospacing="0" w:after="0" w:afterAutospacing="0"/>
              <w:jc w:val="right"/>
              <w:rPr>
                <w:color w:val="000000"/>
                <w:sz w:val="18"/>
                <w:szCs w:val="18"/>
              </w:rPr>
            </w:pPr>
            <w:r>
              <w:rPr>
                <w:color w:val="000000"/>
                <w:sz w:val="18"/>
                <w:szCs w:val="18"/>
              </w:rPr>
              <w:t>17,344</w:t>
            </w:r>
          </w:p>
        </w:tc>
        <w:tc>
          <w:tcPr>
            <w:tcW w:w="50" w:type="pct"/>
            <w:shd w:val="clear" w:color="auto" w:fill="FFFFFF"/>
            <w:noWrap/>
            <w:tcMar>
              <w:top w:w="15" w:type="dxa"/>
              <w:left w:w="0" w:type="dxa"/>
              <w:bottom w:w="0" w:type="dxa"/>
              <w:right w:w="15" w:type="dxa"/>
            </w:tcMar>
            <w:vAlign w:val="bottom"/>
            <w:hideMark/>
          </w:tcPr>
          <w:p w14:paraId="6EDC7C52"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09F5121" w14:textId="77777777">
        <w:trPr>
          <w:divId w:val="4982284"/>
        </w:trPr>
        <w:tc>
          <w:tcPr>
            <w:tcW w:w="2523" w:type="pct"/>
            <w:shd w:val="clear" w:color="auto" w:fill="CFF0FC"/>
            <w:tcMar>
              <w:top w:w="15" w:type="dxa"/>
              <w:left w:w="0" w:type="dxa"/>
              <w:bottom w:w="0" w:type="dxa"/>
              <w:right w:w="15" w:type="dxa"/>
            </w:tcMar>
            <w:hideMark/>
          </w:tcPr>
          <w:p w14:paraId="096C13D6" w14:textId="77777777" w:rsidR="00000000" w:rsidRDefault="00582324">
            <w:pPr>
              <w:pStyle w:val="a3"/>
              <w:spacing w:before="0" w:beforeAutospacing="0" w:after="0" w:afterAutospacing="0"/>
              <w:rPr>
                <w:b/>
                <w:bCs/>
                <w:color w:val="000000"/>
                <w:sz w:val="18"/>
                <w:szCs w:val="18"/>
              </w:rPr>
            </w:pPr>
            <w:r>
              <w:rPr>
                <w:b/>
                <w:bCs/>
                <w:color w:val="000000"/>
                <w:sz w:val="18"/>
                <w:szCs w:val="18"/>
              </w:rPr>
              <w:t>EBITDA</w:t>
            </w:r>
          </w:p>
        </w:tc>
        <w:tc>
          <w:tcPr>
            <w:tcW w:w="59" w:type="pct"/>
            <w:shd w:val="clear" w:color="auto" w:fill="CFF0FC"/>
            <w:tcMar>
              <w:top w:w="15" w:type="dxa"/>
              <w:left w:w="0" w:type="dxa"/>
              <w:bottom w:w="0" w:type="dxa"/>
              <w:right w:w="15" w:type="dxa"/>
            </w:tcMar>
            <w:vAlign w:val="bottom"/>
            <w:hideMark/>
          </w:tcPr>
          <w:p w14:paraId="1241B16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3F091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64CA74C"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2,964</w:t>
            </w:r>
          </w:p>
        </w:tc>
        <w:tc>
          <w:tcPr>
            <w:tcW w:w="50" w:type="pct"/>
            <w:shd w:val="clear" w:color="auto" w:fill="CFF0FC"/>
            <w:noWrap/>
            <w:tcMar>
              <w:top w:w="15" w:type="dxa"/>
              <w:left w:w="0" w:type="dxa"/>
              <w:bottom w:w="0" w:type="dxa"/>
              <w:right w:w="15" w:type="dxa"/>
            </w:tcMar>
            <w:vAlign w:val="bottom"/>
            <w:hideMark/>
          </w:tcPr>
          <w:p w14:paraId="75BAF6D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CFF0FC"/>
            <w:tcMar>
              <w:top w:w="15" w:type="dxa"/>
              <w:left w:w="0" w:type="dxa"/>
              <w:bottom w:w="0" w:type="dxa"/>
              <w:right w:w="15" w:type="dxa"/>
            </w:tcMar>
            <w:vAlign w:val="bottom"/>
            <w:hideMark/>
          </w:tcPr>
          <w:p w14:paraId="209C3CB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D1411F"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ABC0E8B"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26,509</w:t>
            </w:r>
          </w:p>
        </w:tc>
        <w:tc>
          <w:tcPr>
            <w:tcW w:w="50" w:type="pct"/>
            <w:shd w:val="clear" w:color="auto" w:fill="CFF0FC"/>
            <w:noWrap/>
            <w:tcMar>
              <w:top w:w="15" w:type="dxa"/>
              <w:left w:w="0" w:type="dxa"/>
              <w:bottom w:w="0" w:type="dxa"/>
              <w:right w:w="15" w:type="dxa"/>
            </w:tcMar>
            <w:vAlign w:val="bottom"/>
            <w:hideMark/>
          </w:tcPr>
          <w:p w14:paraId="6B869A8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CFF0FC"/>
            <w:tcMar>
              <w:top w:w="15" w:type="dxa"/>
              <w:left w:w="0" w:type="dxa"/>
              <w:bottom w:w="0" w:type="dxa"/>
              <w:right w:w="15" w:type="dxa"/>
            </w:tcMar>
            <w:vAlign w:val="bottom"/>
            <w:hideMark/>
          </w:tcPr>
          <w:p w14:paraId="25E2F1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476369"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3BD702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4,827</w:t>
            </w:r>
          </w:p>
        </w:tc>
        <w:tc>
          <w:tcPr>
            <w:tcW w:w="50" w:type="pct"/>
            <w:shd w:val="clear" w:color="auto" w:fill="CFF0FC"/>
            <w:noWrap/>
            <w:tcMar>
              <w:top w:w="15" w:type="dxa"/>
              <w:left w:w="0" w:type="dxa"/>
              <w:bottom w:w="0" w:type="dxa"/>
              <w:right w:w="15" w:type="dxa"/>
            </w:tcMar>
            <w:vAlign w:val="bottom"/>
            <w:hideMark/>
          </w:tcPr>
          <w:p w14:paraId="7583C302"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CFF0FC"/>
            <w:tcMar>
              <w:top w:w="15" w:type="dxa"/>
              <w:left w:w="0" w:type="dxa"/>
              <w:bottom w:w="0" w:type="dxa"/>
              <w:right w:w="15" w:type="dxa"/>
            </w:tcMar>
            <w:vAlign w:val="bottom"/>
            <w:hideMark/>
          </w:tcPr>
          <w:p w14:paraId="5ADD0AD4"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F53E74"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769E75F"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(7,738</w:t>
            </w:r>
          </w:p>
        </w:tc>
        <w:tc>
          <w:tcPr>
            <w:tcW w:w="50" w:type="pct"/>
            <w:shd w:val="clear" w:color="auto" w:fill="CFF0FC"/>
            <w:noWrap/>
            <w:tcMar>
              <w:top w:w="15" w:type="dxa"/>
              <w:left w:w="0" w:type="dxa"/>
              <w:bottom w:w="0" w:type="dxa"/>
              <w:right w:w="15" w:type="dxa"/>
            </w:tcMar>
            <w:vAlign w:val="bottom"/>
            <w:hideMark/>
          </w:tcPr>
          <w:p w14:paraId="54DDEB79"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r>
      <w:tr w:rsidR="00000000" w14:paraId="12A57450" w14:textId="77777777">
        <w:trPr>
          <w:divId w:val="4982284"/>
        </w:trPr>
        <w:tc>
          <w:tcPr>
            <w:tcW w:w="2523" w:type="pct"/>
            <w:shd w:val="clear" w:color="auto" w:fill="FFFFFF"/>
            <w:tcMar>
              <w:top w:w="15" w:type="dxa"/>
              <w:left w:w="0" w:type="dxa"/>
              <w:bottom w:w="0" w:type="dxa"/>
              <w:right w:w="15" w:type="dxa"/>
            </w:tcMar>
            <w:hideMark/>
          </w:tcPr>
          <w:p w14:paraId="5AF84677" w14:textId="77777777" w:rsidR="00000000" w:rsidRDefault="00582324">
            <w:pPr>
              <w:pStyle w:val="a3"/>
              <w:spacing w:before="0" w:beforeAutospacing="0" w:after="0" w:afterAutospacing="0"/>
              <w:rPr>
                <w:color w:val="000000"/>
                <w:sz w:val="18"/>
                <w:szCs w:val="18"/>
              </w:rPr>
            </w:pPr>
            <w:r>
              <w:rPr>
                <w:color w:val="000000"/>
                <w:sz w:val="18"/>
                <w:szCs w:val="18"/>
              </w:rPr>
              <w:t xml:space="preserve">Stock-based compensation </w:t>
            </w:r>
            <w:r>
              <w:rPr>
                <w:color w:val="000000"/>
                <w:sz w:val="15"/>
                <w:szCs w:val="15"/>
                <w:vertAlign w:val="superscript"/>
              </w:rPr>
              <w:t>(1)</w:t>
            </w:r>
          </w:p>
        </w:tc>
        <w:tc>
          <w:tcPr>
            <w:tcW w:w="59" w:type="pct"/>
            <w:shd w:val="clear" w:color="auto" w:fill="FFFFFF"/>
            <w:tcMar>
              <w:top w:w="15" w:type="dxa"/>
              <w:left w:w="0" w:type="dxa"/>
              <w:bottom w:w="0" w:type="dxa"/>
              <w:right w:w="15" w:type="dxa"/>
            </w:tcMar>
            <w:vAlign w:val="bottom"/>
            <w:hideMark/>
          </w:tcPr>
          <w:p w14:paraId="01B417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E8F76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868FCA6" w14:textId="77777777" w:rsidR="00000000" w:rsidRDefault="00582324">
            <w:pPr>
              <w:pStyle w:val="a3"/>
              <w:spacing w:before="0" w:beforeAutospacing="0" w:after="0" w:afterAutospacing="0"/>
              <w:jc w:val="right"/>
              <w:rPr>
                <w:color w:val="000000"/>
                <w:sz w:val="18"/>
                <w:szCs w:val="18"/>
              </w:rPr>
            </w:pPr>
            <w:r>
              <w:rPr>
                <w:color w:val="000000"/>
                <w:sz w:val="18"/>
                <w:szCs w:val="18"/>
              </w:rPr>
              <w:t>2,417</w:t>
            </w:r>
          </w:p>
        </w:tc>
        <w:tc>
          <w:tcPr>
            <w:tcW w:w="50" w:type="pct"/>
            <w:shd w:val="clear" w:color="auto" w:fill="FFFFFF"/>
            <w:noWrap/>
            <w:tcMar>
              <w:top w:w="15" w:type="dxa"/>
              <w:left w:w="0" w:type="dxa"/>
              <w:bottom w:w="0" w:type="dxa"/>
              <w:right w:w="15" w:type="dxa"/>
            </w:tcMar>
            <w:vAlign w:val="bottom"/>
            <w:hideMark/>
          </w:tcPr>
          <w:p w14:paraId="5EB1340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4F252A6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D8D7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1CCBB141" w14:textId="77777777" w:rsidR="00000000" w:rsidRDefault="00582324">
            <w:pPr>
              <w:pStyle w:val="a3"/>
              <w:spacing w:before="0" w:beforeAutospacing="0" w:after="0" w:afterAutospacing="0"/>
              <w:jc w:val="right"/>
              <w:rPr>
                <w:color w:val="000000"/>
                <w:sz w:val="18"/>
                <w:szCs w:val="18"/>
              </w:rPr>
            </w:pPr>
            <w:r>
              <w:rPr>
                <w:color w:val="000000"/>
                <w:sz w:val="18"/>
                <w:szCs w:val="18"/>
              </w:rPr>
              <w:t>1,140</w:t>
            </w:r>
          </w:p>
        </w:tc>
        <w:tc>
          <w:tcPr>
            <w:tcW w:w="50" w:type="pct"/>
            <w:shd w:val="clear" w:color="auto" w:fill="FFFFFF"/>
            <w:noWrap/>
            <w:tcMar>
              <w:top w:w="15" w:type="dxa"/>
              <w:left w:w="0" w:type="dxa"/>
              <w:bottom w:w="0" w:type="dxa"/>
              <w:right w:w="15" w:type="dxa"/>
            </w:tcMar>
            <w:vAlign w:val="bottom"/>
            <w:hideMark/>
          </w:tcPr>
          <w:p w14:paraId="4D5BDE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877D1E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7BC4C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5DCEE20C" w14:textId="77777777" w:rsidR="00000000" w:rsidRDefault="00582324">
            <w:pPr>
              <w:pStyle w:val="a3"/>
              <w:spacing w:before="0" w:beforeAutospacing="0" w:after="0" w:afterAutospacing="0"/>
              <w:jc w:val="right"/>
              <w:rPr>
                <w:color w:val="000000"/>
                <w:sz w:val="18"/>
                <w:szCs w:val="18"/>
              </w:rPr>
            </w:pPr>
            <w:r>
              <w:rPr>
                <w:color w:val="000000"/>
                <w:sz w:val="18"/>
                <w:szCs w:val="18"/>
              </w:rPr>
              <w:t>4,222</w:t>
            </w:r>
          </w:p>
        </w:tc>
        <w:tc>
          <w:tcPr>
            <w:tcW w:w="50" w:type="pct"/>
            <w:shd w:val="clear" w:color="auto" w:fill="FFFFFF"/>
            <w:noWrap/>
            <w:tcMar>
              <w:top w:w="15" w:type="dxa"/>
              <w:left w:w="0" w:type="dxa"/>
              <w:bottom w:w="0" w:type="dxa"/>
              <w:right w:w="15" w:type="dxa"/>
            </w:tcMar>
            <w:vAlign w:val="bottom"/>
            <w:hideMark/>
          </w:tcPr>
          <w:p w14:paraId="64C2DE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22E341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5C0B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7D3306EA" w14:textId="77777777" w:rsidR="00000000" w:rsidRDefault="00582324">
            <w:pPr>
              <w:pStyle w:val="a3"/>
              <w:spacing w:before="0" w:beforeAutospacing="0" w:after="0" w:afterAutospacing="0"/>
              <w:jc w:val="right"/>
              <w:rPr>
                <w:color w:val="000000"/>
                <w:sz w:val="18"/>
                <w:szCs w:val="18"/>
              </w:rPr>
            </w:pPr>
            <w:r>
              <w:rPr>
                <w:color w:val="000000"/>
                <w:sz w:val="18"/>
                <w:szCs w:val="18"/>
              </w:rPr>
              <w:t>2,290</w:t>
            </w:r>
          </w:p>
        </w:tc>
        <w:tc>
          <w:tcPr>
            <w:tcW w:w="50" w:type="pct"/>
            <w:shd w:val="clear" w:color="auto" w:fill="FFFFFF"/>
            <w:noWrap/>
            <w:tcMar>
              <w:top w:w="15" w:type="dxa"/>
              <w:left w:w="0" w:type="dxa"/>
              <w:bottom w:w="0" w:type="dxa"/>
              <w:right w:w="15" w:type="dxa"/>
            </w:tcMar>
            <w:vAlign w:val="bottom"/>
            <w:hideMark/>
          </w:tcPr>
          <w:p w14:paraId="299D4D2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211CED5" w14:textId="77777777">
        <w:trPr>
          <w:divId w:val="4982284"/>
        </w:trPr>
        <w:tc>
          <w:tcPr>
            <w:tcW w:w="2523" w:type="pct"/>
            <w:shd w:val="clear" w:color="auto" w:fill="CFF0FC"/>
            <w:tcMar>
              <w:top w:w="15" w:type="dxa"/>
              <w:left w:w="0" w:type="dxa"/>
              <w:bottom w:w="0" w:type="dxa"/>
              <w:right w:w="15" w:type="dxa"/>
            </w:tcMar>
            <w:hideMark/>
          </w:tcPr>
          <w:p w14:paraId="706BDBCE" w14:textId="77777777" w:rsidR="00000000" w:rsidRDefault="00582324">
            <w:pPr>
              <w:pStyle w:val="a3"/>
              <w:spacing w:before="0" w:beforeAutospacing="0" w:after="0" w:afterAutospacing="0"/>
              <w:rPr>
                <w:color w:val="000000"/>
                <w:sz w:val="18"/>
                <w:szCs w:val="18"/>
              </w:rPr>
            </w:pPr>
            <w:r>
              <w:rPr>
                <w:color w:val="000000"/>
                <w:sz w:val="18"/>
                <w:szCs w:val="18"/>
              </w:rPr>
              <w:t xml:space="preserve">Start-up losses and investment in new services </w:t>
            </w:r>
            <w:r>
              <w:rPr>
                <w:color w:val="000000"/>
                <w:sz w:val="15"/>
                <w:szCs w:val="15"/>
                <w:vertAlign w:val="superscript"/>
              </w:rPr>
              <w:t>(2)</w:t>
            </w:r>
          </w:p>
        </w:tc>
        <w:tc>
          <w:tcPr>
            <w:tcW w:w="59" w:type="pct"/>
            <w:shd w:val="clear" w:color="auto" w:fill="CFF0FC"/>
            <w:tcMar>
              <w:top w:w="15" w:type="dxa"/>
              <w:left w:w="0" w:type="dxa"/>
              <w:bottom w:w="0" w:type="dxa"/>
              <w:right w:w="15" w:type="dxa"/>
            </w:tcMar>
            <w:vAlign w:val="bottom"/>
            <w:hideMark/>
          </w:tcPr>
          <w:p w14:paraId="74DC574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40C6EB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2BFF75E9" w14:textId="77777777" w:rsidR="00000000" w:rsidRDefault="00582324">
            <w:pPr>
              <w:pStyle w:val="a3"/>
              <w:spacing w:before="0" w:beforeAutospacing="0" w:after="0" w:afterAutospacing="0"/>
              <w:jc w:val="right"/>
              <w:rPr>
                <w:color w:val="000000"/>
                <w:sz w:val="18"/>
                <w:szCs w:val="18"/>
              </w:rPr>
            </w:pPr>
            <w:r>
              <w:rPr>
                <w:color w:val="000000"/>
                <w:sz w:val="18"/>
                <w:szCs w:val="18"/>
              </w:rPr>
              <w:t>1,123</w:t>
            </w:r>
          </w:p>
        </w:tc>
        <w:tc>
          <w:tcPr>
            <w:tcW w:w="50" w:type="pct"/>
            <w:shd w:val="clear" w:color="auto" w:fill="CFF0FC"/>
            <w:noWrap/>
            <w:tcMar>
              <w:top w:w="15" w:type="dxa"/>
              <w:left w:w="0" w:type="dxa"/>
              <w:bottom w:w="0" w:type="dxa"/>
              <w:right w:w="15" w:type="dxa"/>
            </w:tcMar>
            <w:vAlign w:val="bottom"/>
            <w:hideMark/>
          </w:tcPr>
          <w:p w14:paraId="025B3DE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016324C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86E04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7856E989" w14:textId="77777777" w:rsidR="00000000" w:rsidRDefault="00582324">
            <w:pPr>
              <w:pStyle w:val="a3"/>
              <w:spacing w:before="0" w:beforeAutospacing="0" w:after="0" w:afterAutospacing="0"/>
              <w:jc w:val="right"/>
              <w:rPr>
                <w:color w:val="000000"/>
                <w:sz w:val="18"/>
                <w:szCs w:val="18"/>
              </w:rPr>
            </w:pPr>
            <w:r>
              <w:rPr>
                <w:color w:val="000000"/>
                <w:sz w:val="18"/>
                <w:szCs w:val="18"/>
              </w:rPr>
              <w:t>296</w:t>
            </w:r>
          </w:p>
        </w:tc>
        <w:tc>
          <w:tcPr>
            <w:tcW w:w="50" w:type="pct"/>
            <w:shd w:val="clear" w:color="auto" w:fill="CFF0FC"/>
            <w:noWrap/>
            <w:tcMar>
              <w:top w:w="15" w:type="dxa"/>
              <w:left w:w="0" w:type="dxa"/>
              <w:bottom w:w="0" w:type="dxa"/>
              <w:right w:w="15" w:type="dxa"/>
            </w:tcMar>
            <w:vAlign w:val="bottom"/>
            <w:hideMark/>
          </w:tcPr>
          <w:p w14:paraId="394A33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6EA6330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006D9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2079BA0A" w14:textId="77777777" w:rsidR="00000000" w:rsidRDefault="00582324">
            <w:pPr>
              <w:pStyle w:val="a3"/>
              <w:spacing w:before="0" w:beforeAutospacing="0" w:after="0" w:afterAutospacing="0"/>
              <w:jc w:val="right"/>
              <w:rPr>
                <w:color w:val="000000"/>
                <w:sz w:val="18"/>
                <w:szCs w:val="18"/>
              </w:rPr>
            </w:pPr>
            <w:r>
              <w:rPr>
                <w:color w:val="000000"/>
                <w:sz w:val="18"/>
                <w:szCs w:val="18"/>
              </w:rPr>
              <w:t>2,090</w:t>
            </w:r>
          </w:p>
        </w:tc>
        <w:tc>
          <w:tcPr>
            <w:tcW w:w="50" w:type="pct"/>
            <w:shd w:val="clear" w:color="auto" w:fill="CFF0FC"/>
            <w:noWrap/>
            <w:tcMar>
              <w:top w:w="15" w:type="dxa"/>
              <w:left w:w="0" w:type="dxa"/>
              <w:bottom w:w="0" w:type="dxa"/>
              <w:right w:w="15" w:type="dxa"/>
            </w:tcMar>
            <w:vAlign w:val="bottom"/>
            <w:hideMark/>
          </w:tcPr>
          <w:p w14:paraId="78E2C64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2EDE92C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B19A4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5777B822" w14:textId="77777777" w:rsidR="00000000" w:rsidRDefault="00582324">
            <w:pPr>
              <w:pStyle w:val="a3"/>
              <w:spacing w:before="0" w:beforeAutospacing="0" w:after="0" w:afterAutospacing="0"/>
              <w:jc w:val="right"/>
              <w:rPr>
                <w:color w:val="000000"/>
                <w:sz w:val="18"/>
                <w:szCs w:val="18"/>
              </w:rPr>
            </w:pPr>
            <w:r>
              <w:rPr>
                <w:color w:val="000000"/>
                <w:sz w:val="18"/>
                <w:szCs w:val="18"/>
              </w:rPr>
              <w:t>675</w:t>
            </w:r>
          </w:p>
        </w:tc>
        <w:tc>
          <w:tcPr>
            <w:tcW w:w="50" w:type="pct"/>
            <w:shd w:val="clear" w:color="auto" w:fill="CFF0FC"/>
            <w:noWrap/>
            <w:tcMar>
              <w:top w:w="15" w:type="dxa"/>
              <w:left w:w="0" w:type="dxa"/>
              <w:bottom w:w="0" w:type="dxa"/>
              <w:right w:w="15" w:type="dxa"/>
            </w:tcMar>
            <w:vAlign w:val="bottom"/>
            <w:hideMark/>
          </w:tcPr>
          <w:p w14:paraId="26DFC83F"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A0659D2" w14:textId="77777777">
        <w:trPr>
          <w:divId w:val="4982284"/>
        </w:trPr>
        <w:tc>
          <w:tcPr>
            <w:tcW w:w="2523" w:type="pct"/>
            <w:shd w:val="clear" w:color="auto" w:fill="FFFFFF"/>
            <w:tcMar>
              <w:top w:w="15" w:type="dxa"/>
              <w:left w:w="0" w:type="dxa"/>
              <w:bottom w:w="0" w:type="dxa"/>
              <w:right w:w="15" w:type="dxa"/>
            </w:tcMar>
            <w:hideMark/>
          </w:tcPr>
          <w:p w14:paraId="3038B931" w14:textId="77777777" w:rsidR="00000000" w:rsidRDefault="00582324">
            <w:pPr>
              <w:pStyle w:val="a3"/>
              <w:spacing w:before="0" w:beforeAutospacing="0" w:after="0" w:afterAutospacing="0"/>
              <w:rPr>
                <w:color w:val="000000"/>
                <w:sz w:val="18"/>
                <w:szCs w:val="18"/>
              </w:rPr>
            </w:pPr>
            <w:r>
              <w:rPr>
                <w:color w:val="000000"/>
                <w:sz w:val="18"/>
                <w:szCs w:val="18"/>
              </w:rPr>
              <w:t xml:space="preserve">Acquisition costs </w:t>
            </w:r>
            <w:r>
              <w:rPr>
                <w:color w:val="000000"/>
                <w:sz w:val="15"/>
                <w:szCs w:val="15"/>
                <w:vertAlign w:val="superscript"/>
              </w:rPr>
              <w:t>(3)</w:t>
            </w:r>
          </w:p>
        </w:tc>
        <w:tc>
          <w:tcPr>
            <w:tcW w:w="59" w:type="pct"/>
            <w:shd w:val="clear" w:color="auto" w:fill="FFFFFF"/>
            <w:tcMar>
              <w:top w:w="15" w:type="dxa"/>
              <w:left w:w="0" w:type="dxa"/>
              <w:bottom w:w="0" w:type="dxa"/>
              <w:right w:w="15" w:type="dxa"/>
            </w:tcMar>
            <w:vAlign w:val="bottom"/>
            <w:hideMark/>
          </w:tcPr>
          <w:p w14:paraId="0B25515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AF17F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537BEB1" w14:textId="77777777" w:rsidR="00000000" w:rsidRDefault="00582324">
            <w:pPr>
              <w:pStyle w:val="a3"/>
              <w:spacing w:before="0" w:beforeAutospacing="0" w:after="0" w:afterAutospacing="0"/>
              <w:jc w:val="right"/>
              <w:rPr>
                <w:color w:val="000000"/>
                <w:sz w:val="18"/>
                <w:szCs w:val="18"/>
              </w:rPr>
            </w:pPr>
            <w:r>
              <w:rPr>
                <w:color w:val="000000"/>
                <w:sz w:val="18"/>
                <w:szCs w:val="18"/>
              </w:rPr>
              <w:t>506</w:t>
            </w:r>
          </w:p>
        </w:tc>
        <w:tc>
          <w:tcPr>
            <w:tcW w:w="50" w:type="pct"/>
            <w:shd w:val="clear" w:color="auto" w:fill="FFFFFF"/>
            <w:noWrap/>
            <w:tcMar>
              <w:top w:w="15" w:type="dxa"/>
              <w:left w:w="0" w:type="dxa"/>
              <w:bottom w:w="0" w:type="dxa"/>
              <w:right w:w="15" w:type="dxa"/>
            </w:tcMar>
            <w:vAlign w:val="bottom"/>
            <w:hideMark/>
          </w:tcPr>
          <w:p w14:paraId="669B633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23A29C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62316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1E0E228C" w14:textId="77777777" w:rsidR="00000000" w:rsidRDefault="00582324">
            <w:pPr>
              <w:pStyle w:val="a3"/>
              <w:spacing w:before="0" w:beforeAutospacing="0" w:after="0" w:afterAutospacing="0"/>
              <w:jc w:val="right"/>
              <w:rPr>
                <w:color w:val="000000"/>
                <w:sz w:val="18"/>
                <w:szCs w:val="18"/>
              </w:rPr>
            </w:pPr>
            <w:r>
              <w:rPr>
                <w:color w:val="000000"/>
                <w:sz w:val="18"/>
                <w:szCs w:val="18"/>
              </w:rPr>
              <w:t>2,454</w:t>
            </w:r>
          </w:p>
        </w:tc>
        <w:tc>
          <w:tcPr>
            <w:tcW w:w="50" w:type="pct"/>
            <w:shd w:val="clear" w:color="auto" w:fill="FFFFFF"/>
            <w:noWrap/>
            <w:tcMar>
              <w:top w:w="15" w:type="dxa"/>
              <w:left w:w="0" w:type="dxa"/>
              <w:bottom w:w="0" w:type="dxa"/>
              <w:right w:w="15" w:type="dxa"/>
            </w:tcMar>
            <w:vAlign w:val="bottom"/>
            <w:hideMark/>
          </w:tcPr>
          <w:p w14:paraId="1F501E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FAC96C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209C2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D130119" w14:textId="77777777" w:rsidR="00000000" w:rsidRDefault="00582324">
            <w:pPr>
              <w:pStyle w:val="a3"/>
              <w:spacing w:before="0" w:beforeAutospacing="0" w:after="0" w:afterAutospacing="0"/>
              <w:jc w:val="right"/>
              <w:rPr>
                <w:color w:val="000000"/>
                <w:sz w:val="18"/>
                <w:szCs w:val="18"/>
              </w:rPr>
            </w:pPr>
            <w:r>
              <w:rPr>
                <w:color w:val="000000"/>
                <w:sz w:val="18"/>
                <w:szCs w:val="18"/>
              </w:rPr>
              <w:t>743</w:t>
            </w:r>
          </w:p>
        </w:tc>
        <w:tc>
          <w:tcPr>
            <w:tcW w:w="50" w:type="pct"/>
            <w:shd w:val="clear" w:color="auto" w:fill="FFFFFF"/>
            <w:noWrap/>
            <w:tcMar>
              <w:top w:w="15" w:type="dxa"/>
              <w:left w:w="0" w:type="dxa"/>
              <w:bottom w:w="0" w:type="dxa"/>
              <w:right w:w="15" w:type="dxa"/>
            </w:tcMar>
            <w:vAlign w:val="bottom"/>
            <w:hideMark/>
          </w:tcPr>
          <w:p w14:paraId="4D1DE4D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0EE0CDE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47901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116FFAFB" w14:textId="77777777" w:rsidR="00000000" w:rsidRDefault="00582324">
            <w:pPr>
              <w:pStyle w:val="a3"/>
              <w:spacing w:before="0" w:beforeAutospacing="0" w:after="0" w:afterAutospacing="0"/>
              <w:jc w:val="right"/>
              <w:rPr>
                <w:color w:val="000000"/>
                <w:sz w:val="18"/>
                <w:szCs w:val="18"/>
              </w:rPr>
            </w:pPr>
            <w:r>
              <w:rPr>
                <w:color w:val="000000"/>
                <w:sz w:val="18"/>
                <w:szCs w:val="18"/>
              </w:rPr>
              <w:t>3,761</w:t>
            </w:r>
          </w:p>
        </w:tc>
        <w:tc>
          <w:tcPr>
            <w:tcW w:w="50" w:type="pct"/>
            <w:shd w:val="clear" w:color="auto" w:fill="FFFFFF"/>
            <w:noWrap/>
            <w:tcMar>
              <w:top w:w="15" w:type="dxa"/>
              <w:left w:w="0" w:type="dxa"/>
              <w:bottom w:w="0" w:type="dxa"/>
              <w:right w:w="15" w:type="dxa"/>
            </w:tcMar>
            <w:vAlign w:val="bottom"/>
            <w:hideMark/>
          </w:tcPr>
          <w:p w14:paraId="0FFC383E"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79A44774" w14:textId="77777777">
        <w:trPr>
          <w:divId w:val="4982284"/>
        </w:trPr>
        <w:tc>
          <w:tcPr>
            <w:tcW w:w="2523" w:type="pct"/>
            <w:shd w:val="clear" w:color="auto" w:fill="CFF0FC"/>
            <w:tcMar>
              <w:top w:w="15" w:type="dxa"/>
              <w:left w:w="0" w:type="dxa"/>
              <w:bottom w:w="0" w:type="dxa"/>
              <w:right w:w="15" w:type="dxa"/>
            </w:tcMar>
            <w:hideMark/>
          </w:tcPr>
          <w:p w14:paraId="40B0A914" w14:textId="77777777" w:rsidR="00000000" w:rsidRDefault="00582324">
            <w:pPr>
              <w:pStyle w:val="a3"/>
              <w:spacing w:before="0" w:beforeAutospacing="0" w:after="0" w:afterAutospacing="0"/>
              <w:rPr>
                <w:color w:val="000000"/>
                <w:sz w:val="18"/>
                <w:szCs w:val="18"/>
              </w:rPr>
            </w:pPr>
            <w:r>
              <w:rPr>
                <w:color w:val="000000"/>
                <w:sz w:val="18"/>
                <w:szCs w:val="18"/>
              </w:rPr>
              <w:t>Fair value changes in financial instruments</w:t>
            </w:r>
            <w:r>
              <w:rPr>
                <w:color w:val="000000"/>
                <w:sz w:val="15"/>
                <w:szCs w:val="15"/>
                <w:vertAlign w:val="superscript"/>
              </w:rPr>
              <w:t xml:space="preserve"> (4)</w:t>
            </w:r>
          </w:p>
        </w:tc>
        <w:tc>
          <w:tcPr>
            <w:tcW w:w="59" w:type="pct"/>
            <w:shd w:val="clear" w:color="auto" w:fill="CFF0FC"/>
            <w:tcMar>
              <w:top w:w="15" w:type="dxa"/>
              <w:left w:w="0" w:type="dxa"/>
              <w:bottom w:w="0" w:type="dxa"/>
              <w:right w:w="15" w:type="dxa"/>
            </w:tcMar>
            <w:vAlign w:val="bottom"/>
            <w:hideMark/>
          </w:tcPr>
          <w:p w14:paraId="54532B4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5B0E3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3E256C84" w14:textId="77777777" w:rsidR="00000000" w:rsidRDefault="00582324">
            <w:pPr>
              <w:pStyle w:val="a3"/>
              <w:spacing w:before="0" w:beforeAutospacing="0" w:after="0" w:afterAutospacing="0"/>
              <w:jc w:val="right"/>
              <w:rPr>
                <w:color w:val="000000"/>
                <w:sz w:val="18"/>
                <w:szCs w:val="18"/>
              </w:rPr>
            </w:pPr>
            <w:r>
              <w:rPr>
                <w:color w:val="000000"/>
                <w:sz w:val="18"/>
                <w:szCs w:val="18"/>
              </w:rPr>
              <w:t>518</w:t>
            </w:r>
          </w:p>
        </w:tc>
        <w:tc>
          <w:tcPr>
            <w:tcW w:w="50" w:type="pct"/>
            <w:shd w:val="clear" w:color="auto" w:fill="CFF0FC"/>
            <w:noWrap/>
            <w:tcMar>
              <w:top w:w="15" w:type="dxa"/>
              <w:left w:w="0" w:type="dxa"/>
              <w:bottom w:w="0" w:type="dxa"/>
              <w:right w:w="15" w:type="dxa"/>
            </w:tcMar>
            <w:vAlign w:val="bottom"/>
            <w:hideMark/>
          </w:tcPr>
          <w:p w14:paraId="3CC0E73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4F73B61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51EAE7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2518A21E" w14:textId="77777777" w:rsidR="00000000" w:rsidRDefault="00582324">
            <w:pPr>
              <w:pStyle w:val="a3"/>
              <w:spacing w:before="0" w:beforeAutospacing="0" w:after="0" w:afterAutospacing="0"/>
              <w:jc w:val="right"/>
              <w:rPr>
                <w:color w:val="000000"/>
                <w:sz w:val="18"/>
                <w:szCs w:val="18"/>
              </w:rPr>
            </w:pPr>
            <w:r>
              <w:rPr>
                <w:color w:val="000000"/>
                <w:sz w:val="18"/>
                <w:szCs w:val="18"/>
              </w:rPr>
              <w:t>(21,842</w:t>
            </w:r>
          </w:p>
        </w:tc>
        <w:tc>
          <w:tcPr>
            <w:tcW w:w="50" w:type="pct"/>
            <w:shd w:val="clear" w:color="auto" w:fill="CFF0FC"/>
            <w:noWrap/>
            <w:tcMar>
              <w:top w:w="15" w:type="dxa"/>
              <w:left w:w="0" w:type="dxa"/>
              <w:bottom w:w="0" w:type="dxa"/>
              <w:right w:w="15" w:type="dxa"/>
            </w:tcMar>
            <w:vAlign w:val="bottom"/>
            <w:hideMark/>
          </w:tcPr>
          <w:p w14:paraId="3D100EEC" w14:textId="77777777" w:rsidR="00000000" w:rsidRDefault="00582324">
            <w:pPr>
              <w:pStyle w:val="a3"/>
              <w:spacing w:before="0" w:beforeAutospacing="0" w:after="0" w:afterAutospacing="0"/>
              <w:rPr>
                <w:color w:val="000000"/>
                <w:sz w:val="18"/>
                <w:szCs w:val="18"/>
              </w:rPr>
            </w:pPr>
            <w:r>
              <w:rPr>
                <w:color w:val="000000"/>
                <w:sz w:val="18"/>
                <w:szCs w:val="18"/>
              </w:rPr>
              <w:t>)</w:t>
            </w:r>
          </w:p>
        </w:tc>
        <w:tc>
          <w:tcPr>
            <w:tcW w:w="59" w:type="pct"/>
            <w:shd w:val="clear" w:color="auto" w:fill="CFF0FC"/>
            <w:tcMar>
              <w:top w:w="15" w:type="dxa"/>
              <w:left w:w="0" w:type="dxa"/>
              <w:bottom w:w="0" w:type="dxa"/>
              <w:right w:w="15" w:type="dxa"/>
            </w:tcMar>
            <w:vAlign w:val="bottom"/>
            <w:hideMark/>
          </w:tcPr>
          <w:p w14:paraId="2C194C2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18B34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346B205F" w14:textId="77777777" w:rsidR="00000000" w:rsidRDefault="00582324">
            <w:pPr>
              <w:pStyle w:val="a3"/>
              <w:spacing w:before="0" w:beforeAutospacing="0" w:after="0" w:afterAutospacing="0"/>
              <w:jc w:val="right"/>
              <w:rPr>
                <w:color w:val="000000"/>
                <w:sz w:val="18"/>
                <w:szCs w:val="18"/>
              </w:rPr>
            </w:pPr>
            <w:r>
              <w:rPr>
                <w:color w:val="000000"/>
                <w:sz w:val="18"/>
                <w:szCs w:val="18"/>
              </w:rPr>
              <w:t>1,120</w:t>
            </w:r>
          </w:p>
        </w:tc>
        <w:tc>
          <w:tcPr>
            <w:tcW w:w="50" w:type="pct"/>
            <w:shd w:val="clear" w:color="auto" w:fill="CFF0FC"/>
            <w:noWrap/>
            <w:tcMar>
              <w:top w:w="15" w:type="dxa"/>
              <w:left w:w="0" w:type="dxa"/>
              <w:bottom w:w="0" w:type="dxa"/>
              <w:right w:w="15" w:type="dxa"/>
            </w:tcMar>
            <w:vAlign w:val="bottom"/>
            <w:hideMark/>
          </w:tcPr>
          <w:p w14:paraId="0CC5A39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1522CC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313C2D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5827C8AA" w14:textId="77777777" w:rsidR="00000000" w:rsidRDefault="00582324">
            <w:pPr>
              <w:pStyle w:val="a3"/>
              <w:spacing w:before="0" w:beforeAutospacing="0" w:after="0" w:afterAutospacing="0"/>
              <w:jc w:val="right"/>
              <w:rPr>
                <w:color w:val="000000"/>
                <w:sz w:val="18"/>
                <w:szCs w:val="18"/>
              </w:rPr>
            </w:pPr>
            <w:r>
              <w:rPr>
                <w:color w:val="000000"/>
                <w:sz w:val="18"/>
                <w:szCs w:val="18"/>
              </w:rPr>
              <w:t>7,783</w:t>
            </w:r>
          </w:p>
        </w:tc>
        <w:tc>
          <w:tcPr>
            <w:tcW w:w="50" w:type="pct"/>
            <w:shd w:val="clear" w:color="auto" w:fill="CFF0FC"/>
            <w:noWrap/>
            <w:tcMar>
              <w:top w:w="15" w:type="dxa"/>
              <w:left w:w="0" w:type="dxa"/>
              <w:bottom w:w="0" w:type="dxa"/>
              <w:right w:w="15" w:type="dxa"/>
            </w:tcMar>
            <w:vAlign w:val="bottom"/>
            <w:hideMark/>
          </w:tcPr>
          <w:p w14:paraId="094A1214"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53EC49C4" w14:textId="77777777">
        <w:trPr>
          <w:divId w:val="4982284"/>
        </w:trPr>
        <w:tc>
          <w:tcPr>
            <w:tcW w:w="2523" w:type="pct"/>
            <w:shd w:val="clear" w:color="auto" w:fill="FFFFFF"/>
            <w:tcMar>
              <w:top w:w="15" w:type="dxa"/>
              <w:left w:w="0" w:type="dxa"/>
              <w:bottom w:w="0" w:type="dxa"/>
              <w:right w:w="15" w:type="dxa"/>
            </w:tcMar>
            <w:hideMark/>
          </w:tcPr>
          <w:p w14:paraId="2E562434" w14:textId="77777777" w:rsidR="00000000" w:rsidRDefault="00582324">
            <w:pPr>
              <w:pStyle w:val="a3"/>
              <w:spacing w:before="0" w:beforeAutospacing="0" w:after="0" w:afterAutospacing="0"/>
              <w:rPr>
                <w:color w:val="000000"/>
                <w:sz w:val="18"/>
                <w:szCs w:val="18"/>
              </w:rPr>
            </w:pPr>
            <w:r>
              <w:rPr>
                <w:color w:val="000000"/>
                <w:sz w:val="18"/>
                <w:szCs w:val="18"/>
              </w:rPr>
              <w:t xml:space="preserve">Expenses related to financing transactions </w:t>
            </w:r>
            <w:r>
              <w:rPr>
                <w:color w:val="000000"/>
                <w:sz w:val="15"/>
                <w:szCs w:val="15"/>
                <w:vertAlign w:val="superscript"/>
              </w:rPr>
              <w:t>(5)</w:t>
            </w:r>
          </w:p>
        </w:tc>
        <w:tc>
          <w:tcPr>
            <w:tcW w:w="59" w:type="pct"/>
            <w:shd w:val="clear" w:color="auto" w:fill="FFFFFF"/>
            <w:tcMar>
              <w:top w:w="15" w:type="dxa"/>
              <w:left w:w="0" w:type="dxa"/>
              <w:bottom w:w="0" w:type="dxa"/>
              <w:right w:w="15" w:type="dxa"/>
            </w:tcMar>
            <w:vAlign w:val="bottom"/>
            <w:hideMark/>
          </w:tcPr>
          <w:p w14:paraId="39B7AA7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14882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6CB90F78"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29368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3C25846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5565A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152938F2" w14:textId="77777777" w:rsidR="00000000" w:rsidRDefault="00582324">
            <w:pPr>
              <w:pStyle w:val="a3"/>
              <w:spacing w:before="0" w:beforeAutospacing="0" w:after="0" w:afterAutospacing="0"/>
              <w:jc w:val="right"/>
              <w:rPr>
                <w:color w:val="000000"/>
                <w:sz w:val="18"/>
                <w:szCs w:val="18"/>
              </w:rPr>
            </w:pPr>
            <w:r>
              <w:rPr>
                <w:color w:val="000000"/>
                <w:sz w:val="18"/>
                <w:szCs w:val="18"/>
              </w:rPr>
              <w:t>277</w:t>
            </w:r>
          </w:p>
        </w:tc>
        <w:tc>
          <w:tcPr>
            <w:tcW w:w="50" w:type="pct"/>
            <w:shd w:val="clear" w:color="auto" w:fill="FFFFFF"/>
            <w:noWrap/>
            <w:tcMar>
              <w:top w:w="15" w:type="dxa"/>
              <w:left w:w="0" w:type="dxa"/>
              <w:bottom w:w="0" w:type="dxa"/>
              <w:right w:w="15" w:type="dxa"/>
            </w:tcMar>
            <w:vAlign w:val="bottom"/>
            <w:hideMark/>
          </w:tcPr>
          <w:p w14:paraId="697A52C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14C5DB2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76537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76D01AE" w14:textId="77777777" w:rsidR="00000000" w:rsidRDefault="00582324">
            <w:pPr>
              <w:pStyle w:val="a3"/>
              <w:spacing w:before="0" w:beforeAutospacing="0" w:after="0" w:afterAutospacing="0"/>
              <w:jc w:val="right"/>
              <w:rPr>
                <w:color w:val="000000"/>
                <w:sz w:val="18"/>
                <w:szCs w:val="18"/>
              </w:rPr>
            </w:pPr>
            <w:r>
              <w:rPr>
                <w:color w:val="000000"/>
                <w:sz w:val="18"/>
                <w:szCs w:val="18"/>
              </w:rPr>
              <w:t>50</w:t>
            </w:r>
          </w:p>
        </w:tc>
        <w:tc>
          <w:tcPr>
            <w:tcW w:w="50" w:type="pct"/>
            <w:shd w:val="clear" w:color="auto" w:fill="FFFFFF"/>
            <w:noWrap/>
            <w:tcMar>
              <w:top w:w="15" w:type="dxa"/>
              <w:left w:w="0" w:type="dxa"/>
              <w:bottom w:w="0" w:type="dxa"/>
              <w:right w:w="15" w:type="dxa"/>
            </w:tcMar>
            <w:vAlign w:val="bottom"/>
            <w:hideMark/>
          </w:tcPr>
          <w:p w14:paraId="1BE636F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69D6A7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DFCFF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739F227" w14:textId="77777777" w:rsidR="00000000" w:rsidRDefault="00582324">
            <w:pPr>
              <w:pStyle w:val="a3"/>
              <w:spacing w:before="0" w:beforeAutospacing="0" w:after="0" w:afterAutospacing="0"/>
              <w:jc w:val="right"/>
              <w:rPr>
                <w:color w:val="000000"/>
                <w:sz w:val="18"/>
                <w:szCs w:val="18"/>
              </w:rPr>
            </w:pPr>
            <w:r>
              <w:rPr>
                <w:color w:val="000000"/>
                <w:sz w:val="18"/>
                <w:szCs w:val="18"/>
              </w:rPr>
              <w:t>277</w:t>
            </w:r>
          </w:p>
        </w:tc>
        <w:tc>
          <w:tcPr>
            <w:tcW w:w="50" w:type="pct"/>
            <w:shd w:val="clear" w:color="auto" w:fill="FFFFFF"/>
            <w:noWrap/>
            <w:tcMar>
              <w:top w:w="15" w:type="dxa"/>
              <w:left w:w="0" w:type="dxa"/>
              <w:bottom w:w="0" w:type="dxa"/>
              <w:right w:w="15" w:type="dxa"/>
            </w:tcMar>
            <w:vAlign w:val="bottom"/>
            <w:hideMark/>
          </w:tcPr>
          <w:p w14:paraId="750B774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DD033AB" w14:textId="77777777">
        <w:trPr>
          <w:divId w:val="4982284"/>
        </w:trPr>
        <w:tc>
          <w:tcPr>
            <w:tcW w:w="2523" w:type="pct"/>
            <w:shd w:val="clear" w:color="auto" w:fill="CFF0FC"/>
            <w:tcMar>
              <w:top w:w="15" w:type="dxa"/>
              <w:left w:w="0" w:type="dxa"/>
              <w:bottom w:w="0" w:type="dxa"/>
              <w:right w:w="15" w:type="dxa"/>
            </w:tcMar>
            <w:hideMark/>
          </w:tcPr>
          <w:p w14:paraId="2AD6D605" w14:textId="77777777" w:rsidR="00000000" w:rsidRDefault="00582324">
            <w:pPr>
              <w:pStyle w:val="a3"/>
              <w:spacing w:before="0" w:beforeAutospacing="0" w:after="0" w:afterAutospacing="0"/>
              <w:rPr>
                <w:color w:val="000000"/>
                <w:sz w:val="18"/>
                <w:szCs w:val="18"/>
              </w:rPr>
            </w:pPr>
            <w:r>
              <w:rPr>
                <w:color w:val="000000"/>
                <w:sz w:val="18"/>
                <w:szCs w:val="18"/>
              </w:rPr>
              <w:t>Fair value changes in business acquisitions</w:t>
            </w:r>
          </w:p>
          <w:p w14:paraId="0EDD5449" w14:textId="77777777" w:rsidR="00000000" w:rsidRDefault="00582324">
            <w:pPr>
              <w:pStyle w:val="a3"/>
              <w:spacing w:before="0" w:beforeAutospacing="0" w:after="0" w:afterAutospacing="0"/>
              <w:rPr>
                <w:color w:val="000000"/>
                <w:sz w:val="18"/>
                <w:szCs w:val="18"/>
              </w:rPr>
            </w:pPr>
            <w:r>
              <w:rPr>
                <w:color w:val="000000"/>
                <w:sz w:val="18"/>
                <w:szCs w:val="18"/>
              </w:rPr>
              <w:t xml:space="preserve">   contingent consideration </w:t>
            </w:r>
            <w:r>
              <w:rPr>
                <w:color w:val="000000"/>
                <w:sz w:val="15"/>
                <w:szCs w:val="15"/>
                <w:vertAlign w:val="superscript"/>
              </w:rPr>
              <w:t>(6)</w:t>
            </w:r>
          </w:p>
        </w:tc>
        <w:tc>
          <w:tcPr>
            <w:tcW w:w="59" w:type="pct"/>
            <w:shd w:val="clear" w:color="auto" w:fill="CFF0FC"/>
            <w:tcMar>
              <w:top w:w="15" w:type="dxa"/>
              <w:left w:w="0" w:type="dxa"/>
              <w:bottom w:w="0" w:type="dxa"/>
              <w:right w:w="15" w:type="dxa"/>
            </w:tcMar>
            <w:vAlign w:val="bottom"/>
            <w:hideMark/>
          </w:tcPr>
          <w:p w14:paraId="5BF73F8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4CCAB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180918C2" w14:textId="77777777" w:rsidR="00000000" w:rsidRDefault="00582324">
            <w:pPr>
              <w:pStyle w:val="a3"/>
              <w:spacing w:before="0" w:beforeAutospacing="0" w:after="0" w:afterAutospacing="0"/>
              <w:jc w:val="right"/>
              <w:rPr>
                <w:color w:val="000000"/>
                <w:sz w:val="18"/>
                <w:szCs w:val="18"/>
              </w:rPr>
            </w:pPr>
            <w:r>
              <w:rPr>
                <w:color w:val="000000"/>
                <w:sz w:val="18"/>
                <w:szCs w:val="18"/>
              </w:rPr>
              <w:t>12,971</w:t>
            </w:r>
          </w:p>
        </w:tc>
        <w:tc>
          <w:tcPr>
            <w:tcW w:w="50" w:type="pct"/>
            <w:shd w:val="clear" w:color="auto" w:fill="CFF0FC"/>
            <w:noWrap/>
            <w:tcMar>
              <w:top w:w="15" w:type="dxa"/>
              <w:left w:w="0" w:type="dxa"/>
              <w:bottom w:w="0" w:type="dxa"/>
              <w:right w:w="15" w:type="dxa"/>
            </w:tcMar>
            <w:vAlign w:val="bottom"/>
            <w:hideMark/>
          </w:tcPr>
          <w:p w14:paraId="30079B4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2EDBB8B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4B50B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6A63D0A5"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bottom"/>
            <w:hideMark/>
          </w:tcPr>
          <w:p w14:paraId="124840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78D2F04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5A1177"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4D5CEB5B" w14:textId="77777777" w:rsidR="00000000" w:rsidRDefault="00582324">
            <w:pPr>
              <w:pStyle w:val="a3"/>
              <w:spacing w:before="0" w:beforeAutospacing="0" w:after="0" w:afterAutospacing="0"/>
              <w:jc w:val="right"/>
              <w:rPr>
                <w:color w:val="000000"/>
                <w:sz w:val="18"/>
                <w:szCs w:val="18"/>
              </w:rPr>
            </w:pPr>
            <w:r>
              <w:rPr>
                <w:color w:val="000000"/>
                <w:sz w:val="18"/>
                <w:szCs w:val="18"/>
              </w:rPr>
              <w:t>24,035</w:t>
            </w:r>
          </w:p>
        </w:tc>
        <w:tc>
          <w:tcPr>
            <w:tcW w:w="50" w:type="pct"/>
            <w:shd w:val="clear" w:color="auto" w:fill="CFF0FC"/>
            <w:noWrap/>
            <w:tcMar>
              <w:top w:w="15" w:type="dxa"/>
              <w:left w:w="0" w:type="dxa"/>
              <w:bottom w:w="0" w:type="dxa"/>
              <w:right w:w="15" w:type="dxa"/>
            </w:tcMar>
            <w:vAlign w:val="bottom"/>
            <w:hideMark/>
          </w:tcPr>
          <w:p w14:paraId="00BDD5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0DC102B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91815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291AE22C" w14:textId="77777777" w:rsidR="00000000" w:rsidRDefault="00582324">
            <w:pPr>
              <w:pStyle w:val="a3"/>
              <w:spacing w:before="0" w:beforeAutospacing="0" w:after="0" w:afterAutospacing="0"/>
              <w:jc w:val="right"/>
              <w:rPr>
                <w:color w:val="000000"/>
                <w:sz w:val="18"/>
                <w:szCs w:val="18"/>
              </w:rPr>
            </w:pPr>
            <w:r>
              <w:rPr>
                <w:color w:val="000000"/>
                <w:sz w:val="18"/>
                <w:szCs w:val="18"/>
              </w:rPr>
              <w:t>3,983</w:t>
            </w:r>
          </w:p>
        </w:tc>
        <w:tc>
          <w:tcPr>
            <w:tcW w:w="50" w:type="pct"/>
            <w:shd w:val="clear" w:color="auto" w:fill="CFF0FC"/>
            <w:noWrap/>
            <w:tcMar>
              <w:top w:w="15" w:type="dxa"/>
              <w:left w:w="0" w:type="dxa"/>
              <w:bottom w:w="0" w:type="dxa"/>
              <w:right w:w="15" w:type="dxa"/>
            </w:tcMar>
            <w:vAlign w:val="bottom"/>
            <w:hideMark/>
          </w:tcPr>
          <w:p w14:paraId="076376C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82B953F" w14:textId="77777777">
        <w:trPr>
          <w:divId w:val="4982284"/>
        </w:trPr>
        <w:tc>
          <w:tcPr>
            <w:tcW w:w="2523" w:type="pct"/>
            <w:shd w:val="clear" w:color="auto" w:fill="FFFFFF"/>
            <w:tcMar>
              <w:top w:w="15" w:type="dxa"/>
              <w:left w:w="0" w:type="dxa"/>
              <w:bottom w:w="0" w:type="dxa"/>
              <w:right w:w="15" w:type="dxa"/>
            </w:tcMar>
            <w:hideMark/>
          </w:tcPr>
          <w:p w14:paraId="075AE145" w14:textId="77777777" w:rsidR="00000000" w:rsidRDefault="00582324">
            <w:pPr>
              <w:pStyle w:val="a3"/>
              <w:spacing w:before="0" w:beforeAutospacing="0" w:after="0" w:afterAutospacing="0"/>
              <w:rPr>
                <w:color w:val="000000"/>
                <w:sz w:val="18"/>
                <w:szCs w:val="18"/>
              </w:rPr>
            </w:pPr>
            <w:r>
              <w:rPr>
                <w:color w:val="000000"/>
                <w:sz w:val="18"/>
                <w:szCs w:val="18"/>
              </w:rPr>
              <w:t>Short term purchase accounting fair value adjustment</w:t>
            </w:r>
          </w:p>
          <w:p w14:paraId="4480C5BE" w14:textId="77777777" w:rsidR="00000000" w:rsidRDefault="00582324">
            <w:pPr>
              <w:pStyle w:val="a3"/>
              <w:spacing w:before="0" w:beforeAutospacing="0" w:after="0" w:afterAutospacing="0"/>
              <w:rPr>
                <w:color w:val="000000"/>
                <w:sz w:val="18"/>
                <w:szCs w:val="18"/>
              </w:rPr>
            </w:pPr>
            <w:r>
              <w:rPr>
                <w:color w:val="000000"/>
                <w:sz w:val="18"/>
                <w:szCs w:val="18"/>
              </w:rPr>
              <w:t>   to deferred revenue</w:t>
            </w:r>
            <w:r>
              <w:rPr>
                <w:color w:val="000000"/>
                <w:sz w:val="15"/>
                <w:szCs w:val="15"/>
                <w:vertAlign w:val="superscript"/>
              </w:rPr>
              <w:t xml:space="preserve"> (7)</w:t>
            </w:r>
          </w:p>
        </w:tc>
        <w:tc>
          <w:tcPr>
            <w:tcW w:w="59" w:type="pct"/>
            <w:shd w:val="clear" w:color="auto" w:fill="FFFFFF"/>
            <w:tcMar>
              <w:top w:w="15" w:type="dxa"/>
              <w:left w:w="0" w:type="dxa"/>
              <w:bottom w:w="0" w:type="dxa"/>
              <w:right w:w="15" w:type="dxa"/>
            </w:tcMar>
            <w:vAlign w:val="bottom"/>
            <w:hideMark/>
          </w:tcPr>
          <w:p w14:paraId="1B2EF44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5DEAA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74FF347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D8BF35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7D027F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CF510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365847E"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89899A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614BB1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FE9262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1E6A8642"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7AD59C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05941C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3CD16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3739FDB0" w14:textId="77777777" w:rsidR="00000000" w:rsidRDefault="00582324">
            <w:pPr>
              <w:pStyle w:val="a3"/>
              <w:spacing w:before="0" w:beforeAutospacing="0" w:after="0" w:afterAutospacing="0"/>
              <w:jc w:val="right"/>
              <w:rPr>
                <w:color w:val="000000"/>
                <w:sz w:val="18"/>
                <w:szCs w:val="18"/>
              </w:rPr>
            </w:pPr>
            <w:r>
              <w:rPr>
                <w:color w:val="000000"/>
                <w:sz w:val="18"/>
                <w:szCs w:val="18"/>
              </w:rPr>
              <w:t>243</w:t>
            </w:r>
          </w:p>
        </w:tc>
        <w:tc>
          <w:tcPr>
            <w:tcW w:w="50" w:type="pct"/>
            <w:shd w:val="clear" w:color="auto" w:fill="FFFFFF"/>
            <w:noWrap/>
            <w:tcMar>
              <w:top w:w="15" w:type="dxa"/>
              <w:left w:w="0" w:type="dxa"/>
              <w:bottom w:w="0" w:type="dxa"/>
              <w:right w:w="15" w:type="dxa"/>
            </w:tcMar>
            <w:vAlign w:val="bottom"/>
            <w:hideMark/>
          </w:tcPr>
          <w:p w14:paraId="46C6154A"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1994B5D4" w14:textId="77777777">
        <w:trPr>
          <w:divId w:val="4982284"/>
        </w:trPr>
        <w:tc>
          <w:tcPr>
            <w:tcW w:w="2523" w:type="pct"/>
            <w:shd w:val="clear" w:color="auto" w:fill="CFF0FC"/>
            <w:tcMar>
              <w:top w:w="15" w:type="dxa"/>
              <w:left w:w="0" w:type="dxa"/>
              <w:bottom w:w="0" w:type="dxa"/>
              <w:right w:w="15" w:type="dxa"/>
            </w:tcMar>
            <w:hideMark/>
          </w:tcPr>
          <w:p w14:paraId="7B0951CC" w14:textId="77777777" w:rsidR="00000000" w:rsidRDefault="00582324">
            <w:pPr>
              <w:pStyle w:val="a3"/>
              <w:spacing w:before="0" w:beforeAutospacing="0" w:after="0" w:afterAutospacing="0"/>
              <w:rPr>
                <w:color w:val="000000"/>
                <w:sz w:val="18"/>
                <w:szCs w:val="18"/>
              </w:rPr>
            </w:pPr>
            <w:r>
              <w:rPr>
                <w:color w:val="000000"/>
                <w:sz w:val="18"/>
                <w:szCs w:val="18"/>
              </w:rPr>
              <w:t xml:space="preserve">IPO expense </w:t>
            </w:r>
            <w:r>
              <w:rPr>
                <w:color w:val="000000"/>
                <w:sz w:val="15"/>
                <w:szCs w:val="15"/>
                <w:vertAlign w:val="superscript"/>
              </w:rPr>
              <w:t>(8)</w:t>
            </w:r>
          </w:p>
        </w:tc>
        <w:tc>
          <w:tcPr>
            <w:tcW w:w="59" w:type="pct"/>
            <w:shd w:val="clear" w:color="auto" w:fill="CFF0FC"/>
            <w:tcMar>
              <w:top w:w="15" w:type="dxa"/>
              <w:left w:w="0" w:type="dxa"/>
              <w:bottom w:w="0" w:type="dxa"/>
              <w:right w:w="15" w:type="dxa"/>
            </w:tcMar>
            <w:vAlign w:val="bottom"/>
            <w:hideMark/>
          </w:tcPr>
          <w:p w14:paraId="2F93FCF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5D55B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26AF4014"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C3A01E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4866DA9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DBF7F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0DC4B246"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DF7DE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391A02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5CBBC0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63F82B7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2A8111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44A403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26700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14:paraId="54A3CCE6" w14:textId="77777777" w:rsidR="00000000" w:rsidRDefault="00582324">
            <w:pPr>
              <w:pStyle w:val="a3"/>
              <w:spacing w:before="0" w:beforeAutospacing="0" w:after="0" w:afterAutospacing="0"/>
              <w:jc w:val="right"/>
              <w:rPr>
                <w:color w:val="000000"/>
                <w:sz w:val="18"/>
                <w:szCs w:val="18"/>
              </w:rPr>
            </w:pPr>
            <w:r>
              <w:rPr>
                <w:color w:val="000000"/>
                <w:sz w:val="18"/>
                <w:szCs w:val="18"/>
              </w:rPr>
              <w:t>531</w:t>
            </w:r>
          </w:p>
        </w:tc>
        <w:tc>
          <w:tcPr>
            <w:tcW w:w="50" w:type="pct"/>
            <w:shd w:val="clear" w:color="auto" w:fill="CFF0FC"/>
            <w:noWrap/>
            <w:tcMar>
              <w:top w:w="15" w:type="dxa"/>
              <w:left w:w="0" w:type="dxa"/>
              <w:bottom w:w="0" w:type="dxa"/>
              <w:right w:w="15" w:type="dxa"/>
            </w:tcMar>
            <w:vAlign w:val="bottom"/>
            <w:hideMark/>
          </w:tcPr>
          <w:p w14:paraId="2AF87B08"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3C00E26B" w14:textId="77777777">
        <w:trPr>
          <w:divId w:val="4982284"/>
        </w:trPr>
        <w:tc>
          <w:tcPr>
            <w:tcW w:w="2523" w:type="pct"/>
            <w:shd w:val="clear" w:color="auto" w:fill="FFFFFF"/>
            <w:tcMar>
              <w:top w:w="15" w:type="dxa"/>
              <w:left w:w="0" w:type="dxa"/>
              <w:bottom w:w="0" w:type="dxa"/>
              <w:right w:w="15" w:type="dxa"/>
            </w:tcMar>
            <w:hideMark/>
          </w:tcPr>
          <w:p w14:paraId="79104A46" w14:textId="77777777" w:rsidR="00000000" w:rsidRDefault="00582324">
            <w:pPr>
              <w:pStyle w:val="a3"/>
              <w:spacing w:before="0" w:beforeAutospacing="0" w:after="0" w:afterAutospacing="0"/>
              <w:rPr>
                <w:color w:val="000000"/>
                <w:sz w:val="18"/>
                <w:szCs w:val="18"/>
              </w:rPr>
            </w:pPr>
            <w:r>
              <w:rPr>
                <w:color w:val="000000"/>
                <w:sz w:val="18"/>
                <w:szCs w:val="18"/>
              </w:rPr>
              <w:t>Discontinued service lines and closing of Berkley</w:t>
            </w:r>
          </w:p>
          <w:p w14:paraId="00FE4B7B" w14:textId="77777777" w:rsidR="00000000" w:rsidRDefault="00582324">
            <w:pPr>
              <w:pStyle w:val="a3"/>
              <w:spacing w:before="0" w:beforeAutospacing="0" w:after="0" w:afterAutospacing="0"/>
              <w:rPr>
                <w:color w:val="000000"/>
                <w:sz w:val="18"/>
                <w:szCs w:val="18"/>
              </w:rPr>
            </w:pPr>
            <w:r>
              <w:rPr>
                <w:color w:val="000000"/>
                <w:sz w:val="18"/>
                <w:szCs w:val="18"/>
              </w:rPr>
              <w:t xml:space="preserve">   lab </w:t>
            </w:r>
            <w:r>
              <w:rPr>
                <w:color w:val="000000"/>
                <w:sz w:val="15"/>
                <w:szCs w:val="15"/>
                <w:vertAlign w:val="superscript"/>
              </w:rPr>
              <w:t>(9)</w:t>
            </w:r>
          </w:p>
        </w:tc>
        <w:tc>
          <w:tcPr>
            <w:tcW w:w="59" w:type="pct"/>
            <w:shd w:val="clear" w:color="auto" w:fill="FFFFFF"/>
            <w:tcMar>
              <w:top w:w="15" w:type="dxa"/>
              <w:left w:w="0" w:type="dxa"/>
              <w:bottom w:w="0" w:type="dxa"/>
              <w:right w:w="15" w:type="dxa"/>
            </w:tcMar>
            <w:vAlign w:val="bottom"/>
            <w:hideMark/>
          </w:tcPr>
          <w:p w14:paraId="36A25E76"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0EB83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65BE427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F08AE50"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1B14202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228A5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3E228725" w14:textId="77777777" w:rsidR="00000000" w:rsidRDefault="00582324">
            <w:pPr>
              <w:pStyle w:val="a3"/>
              <w:spacing w:before="0" w:beforeAutospacing="0" w:after="0" w:afterAutospacing="0"/>
              <w:jc w:val="right"/>
              <w:rPr>
                <w:color w:val="000000"/>
                <w:sz w:val="18"/>
                <w:szCs w:val="18"/>
              </w:rPr>
            </w:pPr>
            <w:r>
              <w:rPr>
                <w:color w:val="000000"/>
                <w:sz w:val="18"/>
                <w:szCs w:val="18"/>
              </w:rPr>
              <w:t>1,078</w:t>
            </w:r>
          </w:p>
        </w:tc>
        <w:tc>
          <w:tcPr>
            <w:tcW w:w="50" w:type="pct"/>
            <w:shd w:val="clear" w:color="auto" w:fill="FFFFFF"/>
            <w:noWrap/>
            <w:tcMar>
              <w:top w:w="15" w:type="dxa"/>
              <w:left w:w="0" w:type="dxa"/>
              <w:bottom w:w="0" w:type="dxa"/>
              <w:right w:w="15" w:type="dxa"/>
            </w:tcMar>
            <w:vAlign w:val="bottom"/>
            <w:hideMark/>
          </w:tcPr>
          <w:p w14:paraId="4DA7785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2CC1BDD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9D8999"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79B482E7"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D0ECD5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BE801A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936FD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14:paraId="2935F8E6" w14:textId="77777777" w:rsidR="00000000" w:rsidRDefault="00582324">
            <w:pPr>
              <w:pStyle w:val="a3"/>
              <w:spacing w:before="0" w:beforeAutospacing="0" w:after="0" w:afterAutospacing="0"/>
              <w:jc w:val="right"/>
              <w:rPr>
                <w:color w:val="000000"/>
                <w:sz w:val="18"/>
                <w:szCs w:val="18"/>
              </w:rPr>
            </w:pPr>
            <w:r>
              <w:rPr>
                <w:color w:val="000000"/>
                <w:sz w:val="18"/>
                <w:szCs w:val="18"/>
              </w:rPr>
              <w:t>7,496</w:t>
            </w:r>
          </w:p>
        </w:tc>
        <w:tc>
          <w:tcPr>
            <w:tcW w:w="50" w:type="pct"/>
            <w:shd w:val="clear" w:color="auto" w:fill="FFFFFF"/>
            <w:noWrap/>
            <w:tcMar>
              <w:top w:w="15" w:type="dxa"/>
              <w:left w:w="0" w:type="dxa"/>
              <w:bottom w:w="0" w:type="dxa"/>
              <w:right w:w="15" w:type="dxa"/>
            </w:tcMar>
            <w:vAlign w:val="bottom"/>
            <w:hideMark/>
          </w:tcPr>
          <w:p w14:paraId="169A6427"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638D22AA" w14:textId="77777777">
        <w:trPr>
          <w:divId w:val="4982284"/>
        </w:trPr>
        <w:tc>
          <w:tcPr>
            <w:tcW w:w="2523" w:type="pct"/>
            <w:shd w:val="clear" w:color="auto" w:fill="CFF0FC"/>
            <w:tcMar>
              <w:top w:w="15" w:type="dxa"/>
              <w:left w:w="0" w:type="dxa"/>
              <w:bottom w:w="0" w:type="dxa"/>
              <w:right w:w="15" w:type="dxa"/>
            </w:tcMar>
            <w:hideMark/>
          </w:tcPr>
          <w:p w14:paraId="08FAE9D5" w14:textId="77777777" w:rsidR="00000000" w:rsidRDefault="00582324">
            <w:pPr>
              <w:pStyle w:val="a3"/>
              <w:spacing w:before="0" w:beforeAutospacing="0" w:after="0" w:afterAutospacing="0"/>
              <w:rPr>
                <w:color w:val="000000"/>
                <w:sz w:val="18"/>
                <w:szCs w:val="18"/>
              </w:rPr>
            </w:pPr>
            <w:r>
              <w:rPr>
                <w:color w:val="000000"/>
                <w:sz w:val="18"/>
                <w:szCs w:val="18"/>
              </w:rPr>
              <w:t>Other losses and expenses</w:t>
            </w:r>
            <w:r>
              <w:rPr>
                <w:color w:val="000000"/>
                <w:sz w:val="15"/>
                <w:szCs w:val="15"/>
                <w:vertAlign w:val="superscript"/>
              </w:rPr>
              <w:t>(10)</w:t>
            </w:r>
          </w:p>
        </w:tc>
        <w:tc>
          <w:tcPr>
            <w:tcW w:w="59" w:type="pct"/>
            <w:shd w:val="clear" w:color="auto" w:fill="CFF0FC"/>
            <w:tcMar>
              <w:top w:w="15" w:type="dxa"/>
              <w:left w:w="0" w:type="dxa"/>
              <w:bottom w:w="0" w:type="dxa"/>
              <w:right w:w="15" w:type="dxa"/>
            </w:tcMar>
            <w:vAlign w:val="bottom"/>
            <w:hideMark/>
          </w:tcPr>
          <w:p w14:paraId="1CE9446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F1195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B65680F" w14:textId="77777777" w:rsidR="00000000" w:rsidRDefault="00582324">
            <w:pPr>
              <w:pStyle w:val="a3"/>
              <w:spacing w:before="0" w:beforeAutospacing="0" w:after="0" w:afterAutospacing="0"/>
              <w:jc w:val="right"/>
              <w:rPr>
                <w:color w:val="000000"/>
                <w:sz w:val="18"/>
                <w:szCs w:val="18"/>
              </w:rPr>
            </w:pPr>
            <w:r>
              <w:rPr>
                <w:color w:val="000000"/>
                <w:sz w:val="18"/>
                <w:szCs w:val="18"/>
              </w:rPr>
              <w:t>464</w:t>
            </w:r>
          </w:p>
        </w:tc>
        <w:tc>
          <w:tcPr>
            <w:tcW w:w="50" w:type="pct"/>
            <w:shd w:val="clear" w:color="auto" w:fill="CFF0FC"/>
            <w:noWrap/>
            <w:tcMar>
              <w:top w:w="15" w:type="dxa"/>
              <w:left w:w="0" w:type="dxa"/>
              <w:bottom w:w="0" w:type="dxa"/>
              <w:right w:w="15" w:type="dxa"/>
            </w:tcMar>
            <w:vAlign w:val="bottom"/>
            <w:hideMark/>
          </w:tcPr>
          <w:p w14:paraId="6C55D8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3457B51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CA6F3F"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81A9975" w14:textId="77777777" w:rsidR="00000000" w:rsidRDefault="00582324">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F7DE19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3B45222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3BC4A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DF4F585" w14:textId="77777777" w:rsidR="00000000" w:rsidRDefault="00582324">
            <w:pPr>
              <w:pStyle w:val="a3"/>
              <w:spacing w:before="0" w:beforeAutospacing="0" w:after="0" w:afterAutospacing="0"/>
              <w:jc w:val="right"/>
              <w:rPr>
                <w:color w:val="000000"/>
                <w:sz w:val="18"/>
                <w:szCs w:val="18"/>
              </w:rPr>
            </w:pPr>
            <w:r>
              <w:rPr>
                <w:color w:val="000000"/>
                <w:sz w:val="18"/>
                <w:szCs w:val="18"/>
              </w:rPr>
              <w:t>675</w:t>
            </w:r>
          </w:p>
        </w:tc>
        <w:tc>
          <w:tcPr>
            <w:tcW w:w="50" w:type="pct"/>
            <w:shd w:val="clear" w:color="auto" w:fill="CFF0FC"/>
            <w:noWrap/>
            <w:tcMar>
              <w:top w:w="15" w:type="dxa"/>
              <w:left w:w="0" w:type="dxa"/>
              <w:bottom w:w="0" w:type="dxa"/>
              <w:right w:w="15" w:type="dxa"/>
            </w:tcMar>
            <w:vAlign w:val="bottom"/>
            <w:hideMark/>
          </w:tcPr>
          <w:p w14:paraId="597BAC88"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CFF0FC"/>
            <w:tcMar>
              <w:top w:w="15" w:type="dxa"/>
              <w:left w:w="0" w:type="dxa"/>
              <w:bottom w:w="0" w:type="dxa"/>
              <w:right w:w="15" w:type="dxa"/>
            </w:tcMar>
            <w:vAlign w:val="bottom"/>
            <w:hideMark/>
          </w:tcPr>
          <w:p w14:paraId="7896C6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4E030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AD7BC01" w14:textId="77777777" w:rsidR="00000000" w:rsidRDefault="00582324">
            <w:pPr>
              <w:pStyle w:val="a3"/>
              <w:spacing w:before="0" w:beforeAutospacing="0" w:after="0" w:afterAutospacing="0"/>
              <w:jc w:val="right"/>
              <w:rPr>
                <w:color w:val="000000"/>
                <w:sz w:val="18"/>
                <w:szCs w:val="18"/>
              </w:rPr>
            </w:pPr>
            <w:r>
              <w:rPr>
                <w:color w:val="000000"/>
                <w:sz w:val="18"/>
                <w:szCs w:val="18"/>
              </w:rPr>
              <w:t>147</w:t>
            </w:r>
          </w:p>
        </w:tc>
        <w:tc>
          <w:tcPr>
            <w:tcW w:w="50" w:type="pct"/>
            <w:shd w:val="clear" w:color="auto" w:fill="CFF0FC"/>
            <w:noWrap/>
            <w:tcMar>
              <w:top w:w="15" w:type="dxa"/>
              <w:left w:w="0" w:type="dxa"/>
              <w:bottom w:w="0" w:type="dxa"/>
              <w:right w:w="15" w:type="dxa"/>
            </w:tcMar>
            <w:vAlign w:val="bottom"/>
            <w:hideMark/>
          </w:tcPr>
          <w:p w14:paraId="11542146" w14:textId="77777777" w:rsidR="00000000" w:rsidRDefault="00582324">
            <w:pPr>
              <w:pStyle w:val="a3"/>
              <w:spacing w:before="0" w:beforeAutospacing="0" w:after="0" w:afterAutospacing="0"/>
              <w:rPr>
                <w:color w:val="000000"/>
                <w:sz w:val="18"/>
                <w:szCs w:val="18"/>
              </w:rPr>
            </w:pPr>
            <w:r>
              <w:rPr>
                <w:color w:val="000000"/>
                <w:sz w:val="18"/>
                <w:szCs w:val="18"/>
              </w:rPr>
              <w:t> </w:t>
            </w:r>
          </w:p>
        </w:tc>
      </w:tr>
      <w:tr w:rsidR="00000000" w14:paraId="0A917A0C" w14:textId="77777777">
        <w:trPr>
          <w:divId w:val="4982284"/>
        </w:trPr>
        <w:tc>
          <w:tcPr>
            <w:tcW w:w="2523" w:type="pct"/>
            <w:shd w:val="clear" w:color="auto" w:fill="FFFFFF"/>
            <w:tcMar>
              <w:top w:w="15" w:type="dxa"/>
              <w:left w:w="0" w:type="dxa"/>
              <w:bottom w:w="0" w:type="dxa"/>
              <w:right w:w="15" w:type="dxa"/>
            </w:tcMar>
            <w:hideMark/>
          </w:tcPr>
          <w:p w14:paraId="3877C25A" w14:textId="77777777" w:rsidR="00000000" w:rsidRDefault="00582324">
            <w:pPr>
              <w:pStyle w:val="a3"/>
              <w:spacing w:before="0" w:beforeAutospacing="0" w:after="0" w:afterAutospacing="0"/>
              <w:rPr>
                <w:b/>
                <w:bCs/>
                <w:color w:val="000000"/>
                <w:sz w:val="18"/>
                <w:szCs w:val="18"/>
              </w:rPr>
            </w:pPr>
            <w:r>
              <w:rPr>
                <w:b/>
                <w:bCs/>
                <w:color w:val="000000"/>
                <w:sz w:val="18"/>
                <w:szCs w:val="18"/>
              </w:rPr>
              <w:t>Adjusted EBITDA</w:t>
            </w:r>
          </w:p>
        </w:tc>
        <w:tc>
          <w:tcPr>
            <w:tcW w:w="59" w:type="pct"/>
            <w:shd w:val="clear" w:color="auto" w:fill="FFFFFF"/>
            <w:tcMar>
              <w:top w:w="15" w:type="dxa"/>
              <w:left w:w="0" w:type="dxa"/>
              <w:bottom w:w="0" w:type="dxa"/>
              <w:right w:w="15" w:type="dxa"/>
            </w:tcMar>
            <w:vAlign w:val="bottom"/>
            <w:hideMark/>
          </w:tcPr>
          <w:p w14:paraId="6567D46E"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4D62B7"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D0EFC1"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20,963</w:t>
            </w:r>
          </w:p>
        </w:tc>
        <w:tc>
          <w:tcPr>
            <w:tcW w:w="50" w:type="pct"/>
            <w:shd w:val="clear" w:color="auto" w:fill="FFFFFF"/>
            <w:noWrap/>
            <w:tcMar>
              <w:top w:w="15" w:type="dxa"/>
              <w:left w:w="0" w:type="dxa"/>
              <w:bottom w:w="0" w:type="dxa"/>
              <w:right w:w="15" w:type="dxa"/>
            </w:tcMar>
            <w:vAlign w:val="bottom"/>
            <w:hideMark/>
          </w:tcPr>
          <w:p w14:paraId="648AA0D1"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35486CB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8036F9"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C9BDA7"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13,895</w:t>
            </w:r>
          </w:p>
        </w:tc>
        <w:tc>
          <w:tcPr>
            <w:tcW w:w="50" w:type="pct"/>
            <w:shd w:val="clear" w:color="auto" w:fill="FFFFFF"/>
            <w:noWrap/>
            <w:tcMar>
              <w:top w:w="15" w:type="dxa"/>
              <w:left w:w="0" w:type="dxa"/>
              <w:bottom w:w="0" w:type="dxa"/>
              <w:right w:w="15" w:type="dxa"/>
            </w:tcMar>
            <w:vAlign w:val="bottom"/>
            <w:hideMark/>
          </w:tcPr>
          <w:p w14:paraId="297DAFA6"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55C8301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E9084A"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EFF259"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37,762</w:t>
            </w:r>
          </w:p>
        </w:tc>
        <w:tc>
          <w:tcPr>
            <w:tcW w:w="50" w:type="pct"/>
            <w:shd w:val="clear" w:color="auto" w:fill="FFFFFF"/>
            <w:noWrap/>
            <w:tcMar>
              <w:top w:w="15" w:type="dxa"/>
              <w:left w:w="0" w:type="dxa"/>
              <w:bottom w:w="0" w:type="dxa"/>
              <w:right w:w="15" w:type="dxa"/>
            </w:tcMar>
            <w:vAlign w:val="bottom"/>
            <w:hideMark/>
          </w:tcPr>
          <w:p w14:paraId="513116B9"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c>
          <w:tcPr>
            <w:tcW w:w="59" w:type="pct"/>
            <w:shd w:val="clear" w:color="auto" w:fill="FFFFFF"/>
            <w:tcMar>
              <w:top w:w="15" w:type="dxa"/>
              <w:left w:w="0" w:type="dxa"/>
              <w:bottom w:w="0" w:type="dxa"/>
              <w:right w:w="15" w:type="dxa"/>
            </w:tcMar>
            <w:vAlign w:val="bottom"/>
            <w:hideMark/>
          </w:tcPr>
          <w:p w14:paraId="6341A1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E18E73" w14:textId="77777777" w:rsidR="00000000" w:rsidRDefault="00582324">
            <w:pPr>
              <w:pStyle w:val="a3"/>
              <w:spacing w:before="0" w:beforeAutospacing="0" w:after="0" w:afterAutospacing="0"/>
              <w:rPr>
                <w:b/>
                <w:bCs/>
                <w:color w:val="000000"/>
                <w:sz w:val="18"/>
                <w:szCs w:val="18"/>
              </w:rPr>
            </w:pPr>
            <w:r>
              <w:rPr>
                <w:b/>
                <w:bCs/>
                <w:color w:val="000000"/>
                <w:sz w:val="18"/>
                <w:szCs w:val="18"/>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22B522" w14:textId="77777777" w:rsidR="00000000" w:rsidRDefault="00582324">
            <w:pPr>
              <w:pStyle w:val="a3"/>
              <w:spacing w:before="0" w:beforeAutospacing="0" w:after="0" w:afterAutospacing="0"/>
              <w:jc w:val="right"/>
              <w:rPr>
                <w:b/>
                <w:bCs/>
                <w:color w:val="000000"/>
                <w:sz w:val="18"/>
                <w:szCs w:val="18"/>
              </w:rPr>
            </w:pPr>
            <w:r>
              <w:rPr>
                <w:b/>
                <w:bCs/>
                <w:color w:val="000000"/>
                <w:sz w:val="18"/>
                <w:szCs w:val="18"/>
              </w:rPr>
              <w:t>19,448</w:t>
            </w:r>
          </w:p>
        </w:tc>
        <w:tc>
          <w:tcPr>
            <w:tcW w:w="50" w:type="pct"/>
            <w:shd w:val="clear" w:color="auto" w:fill="FFFFFF"/>
            <w:noWrap/>
            <w:tcMar>
              <w:top w:w="15" w:type="dxa"/>
              <w:left w:w="0" w:type="dxa"/>
              <w:bottom w:w="0" w:type="dxa"/>
              <w:right w:w="15" w:type="dxa"/>
            </w:tcMar>
            <w:vAlign w:val="bottom"/>
            <w:hideMark/>
          </w:tcPr>
          <w:p w14:paraId="758BADA5" w14:textId="77777777" w:rsidR="00000000" w:rsidRDefault="00582324">
            <w:pPr>
              <w:pStyle w:val="a3"/>
              <w:spacing w:before="0" w:beforeAutospacing="0" w:after="0" w:afterAutospacing="0"/>
              <w:rPr>
                <w:b/>
                <w:bCs/>
                <w:color w:val="000000"/>
                <w:sz w:val="18"/>
                <w:szCs w:val="18"/>
              </w:rPr>
            </w:pPr>
            <w:r>
              <w:rPr>
                <w:b/>
                <w:bCs/>
                <w:color w:val="000000"/>
                <w:sz w:val="18"/>
                <w:szCs w:val="18"/>
              </w:rPr>
              <w:t> </w:t>
            </w:r>
          </w:p>
        </w:tc>
      </w:tr>
      <w:tr w:rsidR="00000000" w14:paraId="4E7A111E" w14:textId="77777777">
        <w:trPr>
          <w:divId w:val="4982284"/>
        </w:trPr>
        <w:tc>
          <w:tcPr>
            <w:tcW w:w="2523" w:type="pct"/>
            <w:shd w:val="clear" w:color="auto" w:fill="FFFFFF"/>
            <w:tcMar>
              <w:top w:w="15" w:type="dxa"/>
              <w:left w:w="0" w:type="dxa"/>
              <w:bottom w:w="0" w:type="dxa"/>
              <w:right w:w="15" w:type="dxa"/>
            </w:tcMar>
            <w:vAlign w:val="bottom"/>
            <w:hideMark/>
          </w:tcPr>
          <w:p w14:paraId="0A03CF7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4F39D48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89C0F6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16077E4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84CC9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59AA031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A466133"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290BD06C"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547927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65CB4AF4"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3075D6A"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0C977F22"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F4E3BD"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9" w:type="pct"/>
            <w:shd w:val="clear" w:color="auto" w:fill="FFFFFF"/>
            <w:tcMar>
              <w:top w:w="15" w:type="dxa"/>
              <w:left w:w="0" w:type="dxa"/>
              <w:bottom w:w="0" w:type="dxa"/>
              <w:right w:w="15" w:type="dxa"/>
            </w:tcMar>
            <w:vAlign w:val="bottom"/>
            <w:hideMark/>
          </w:tcPr>
          <w:p w14:paraId="0FD19FD5"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7ED5D81"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14:paraId="682927BB" w14:textId="77777777" w:rsidR="00000000" w:rsidRDefault="00582324">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E6132B" w14:textId="77777777" w:rsidR="00000000" w:rsidRDefault="00582324">
            <w:pPr>
              <w:pStyle w:val="a3"/>
              <w:spacing w:before="0" w:beforeAutospacing="0" w:after="0" w:afterAutospacing="0"/>
              <w:rPr>
                <w:color w:val="000000"/>
                <w:sz w:val="2"/>
                <w:szCs w:val="2"/>
              </w:rPr>
            </w:pPr>
            <w:r>
              <w:rPr>
                <w:color w:val="000000"/>
                <w:sz w:val="2"/>
                <w:szCs w:val="2"/>
              </w:rPr>
              <w:t> </w:t>
            </w:r>
          </w:p>
        </w:tc>
      </w:tr>
    </w:tbl>
    <w:p w14:paraId="3BEF8417" w14:textId="77777777" w:rsidR="00000000" w:rsidRDefault="00582324">
      <w:pPr>
        <w:pStyle w:val="a3"/>
        <w:pBdr>
          <w:bottom w:val="single" w:sz="6" w:space="1" w:color="auto"/>
        </w:pBdr>
        <w:shd w:val="clear" w:color="auto" w:fill="FFFFFF"/>
        <w:spacing w:before="0" w:beforeAutospacing="0" w:after="0" w:afterAutospacing="0"/>
        <w:ind w:right="6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82"/>
        <w:gridCol w:w="8024"/>
      </w:tblGrid>
      <w:tr w:rsidR="00000000" w14:paraId="708E9BE7" w14:textId="77777777">
        <w:trPr>
          <w:divId w:val="1461652210"/>
        </w:trPr>
        <w:tc>
          <w:tcPr>
            <w:tcW w:w="170" w:type="pct"/>
            <w:noWrap/>
            <w:hideMark/>
          </w:tcPr>
          <w:p w14:paraId="6EAB382D" w14:textId="77777777" w:rsidR="00000000" w:rsidRDefault="00582324">
            <w:pPr>
              <w:pStyle w:val="a3"/>
              <w:spacing w:before="40" w:beforeAutospacing="0" w:after="0" w:afterAutospacing="0"/>
              <w:rPr>
                <w:sz w:val="18"/>
                <w:szCs w:val="18"/>
              </w:rPr>
            </w:pPr>
            <w:r>
              <w:rPr>
                <w:sz w:val="18"/>
                <w:szCs w:val="18"/>
              </w:rPr>
              <w:t>(1)</w:t>
            </w:r>
          </w:p>
        </w:tc>
        <w:tc>
          <w:tcPr>
            <w:tcW w:w="0" w:type="auto"/>
            <w:hideMark/>
          </w:tcPr>
          <w:p w14:paraId="3996FDAD" w14:textId="77777777" w:rsidR="00000000" w:rsidRDefault="00582324">
            <w:pPr>
              <w:pStyle w:val="a3"/>
              <w:spacing w:before="40" w:beforeAutospacing="0" w:after="0" w:afterAutospacing="0"/>
              <w:rPr>
                <w:sz w:val="18"/>
                <w:szCs w:val="18"/>
              </w:rPr>
            </w:pPr>
            <w:r>
              <w:rPr>
                <w:sz w:val="18"/>
                <w:szCs w:val="18"/>
              </w:rPr>
              <w:t>Represents non-cash </w:t>
            </w:r>
            <w:r>
              <w:rPr>
                <w:sz w:val="18"/>
                <w:szCs w:val="18"/>
              </w:rPr>
              <w:t>stock-based compensation expenses related to option awards issued to employees and restricted stock grants issued to directors.</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299B3440" w14:textId="77777777">
        <w:tc>
          <w:tcPr>
            <w:tcW w:w="170" w:type="pct"/>
            <w:noWrap/>
            <w:hideMark/>
          </w:tcPr>
          <w:p w14:paraId="29FFE6C1" w14:textId="77777777" w:rsidR="00000000" w:rsidRDefault="00582324">
            <w:pPr>
              <w:pStyle w:val="a3"/>
              <w:spacing w:before="0" w:beforeAutospacing="0" w:after="0" w:afterAutospacing="0"/>
              <w:rPr>
                <w:sz w:val="18"/>
                <w:szCs w:val="18"/>
              </w:rPr>
            </w:pPr>
            <w:r>
              <w:rPr>
                <w:sz w:val="18"/>
                <w:szCs w:val="18"/>
              </w:rPr>
              <w:t>(2)</w:t>
            </w:r>
          </w:p>
        </w:tc>
        <w:tc>
          <w:tcPr>
            <w:tcW w:w="0" w:type="auto"/>
            <w:hideMark/>
          </w:tcPr>
          <w:p w14:paraId="59443B13" w14:textId="77777777" w:rsidR="00000000" w:rsidRDefault="00582324">
            <w:pPr>
              <w:pStyle w:val="a3"/>
              <w:spacing w:before="0" w:beforeAutospacing="0" w:after="0" w:afterAutospacing="0"/>
              <w:rPr>
                <w:sz w:val="18"/>
                <w:szCs w:val="18"/>
              </w:rPr>
            </w:pPr>
            <w:r>
              <w:rPr>
                <w:sz w:val="18"/>
                <w:szCs w:val="18"/>
              </w:rPr>
              <w:t>Represent start-up losses related to losses incurred on (i) the expansion of lab testing methods and lab capacity, includi</w:t>
            </w:r>
            <w:r>
              <w:rPr>
                <w:sz w:val="18"/>
                <w:szCs w:val="18"/>
              </w:rPr>
              <w:t xml:space="preserve">ng into new geographies, (ii) expansion of our Remediation and Consulting services and (iii) expansion into Europe in advance of projects driven by new regulations. </w:t>
            </w:r>
          </w:p>
        </w:tc>
      </w:tr>
    </w:tbl>
    <w:p w14:paraId="423047C1" w14:textId="77777777" w:rsidR="00000000" w:rsidRDefault="00582324">
      <w:pPr>
        <w:divId w:val="1206521607"/>
        <w:rPr>
          <w:rFonts w:eastAsia="Times New Roman"/>
          <w:vanish/>
        </w:rPr>
      </w:pPr>
    </w:p>
    <w:tbl>
      <w:tblPr>
        <w:tblW w:w="5000" w:type="pct"/>
        <w:tblCellMar>
          <w:left w:w="0" w:type="dxa"/>
          <w:right w:w="0" w:type="dxa"/>
        </w:tblCellMar>
        <w:tblLook w:val="04A0" w:firstRow="1" w:lastRow="0" w:firstColumn="1" w:lastColumn="0" w:noHBand="0" w:noVBand="1"/>
      </w:tblPr>
      <w:tblGrid>
        <w:gridCol w:w="282"/>
        <w:gridCol w:w="8024"/>
      </w:tblGrid>
      <w:tr w:rsidR="00000000" w14:paraId="4E7E18F5" w14:textId="77777777">
        <w:trPr>
          <w:divId w:val="1206521607"/>
        </w:trPr>
        <w:tc>
          <w:tcPr>
            <w:tcW w:w="170" w:type="pct"/>
            <w:noWrap/>
            <w:hideMark/>
          </w:tcPr>
          <w:p w14:paraId="513D7C0C" w14:textId="77777777" w:rsidR="00000000" w:rsidRDefault="00582324">
            <w:pPr>
              <w:pStyle w:val="a3"/>
              <w:spacing w:before="0" w:beforeAutospacing="0" w:after="0" w:afterAutospacing="0"/>
              <w:rPr>
                <w:sz w:val="18"/>
                <w:szCs w:val="18"/>
              </w:rPr>
            </w:pPr>
            <w:r>
              <w:rPr>
                <w:sz w:val="18"/>
                <w:szCs w:val="18"/>
              </w:rPr>
              <w:t>(3)</w:t>
            </w:r>
          </w:p>
        </w:tc>
        <w:tc>
          <w:tcPr>
            <w:tcW w:w="0" w:type="auto"/>
            <w:hideMark/>
          </w:tcPr>
          <w:p w14:paraId="3ECCB665" w14:textId="77777777" w:rsidR="00000000" w:rsidRDefault="00582324">
            <w:pPr>
              <w:pStyle w:val="a3"/>
              <w:spacing w:before="0" w:beforeAutospacing="0" w:after="0" w:afterAutospacing="0"/>
              <w:rPr>
                <w:sz w:val="18"/>
                <w:szCs w:val="18"/>
              </w:rPr>
            </w:pPr>
            <w:r>
              <w:rPr>
                <w:sz w:val="18"/>
                <w:szCs w:val="18"/>
              </w:rPr>
              <w:t>Includes financial and tax diligence, consulting, legal, valuation, accounting and t</w:t>
            </w:r>
            <w:r>
              <w:rPr>
                <w:sz w:val="18"/>
                <w:szCs w:val="18"/>
              </w:rPr>
              <w:t>ravel costs and acquisition-related incentives related to our acquisition activity.</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5C336BFF" w14:textId="77777777">
        <w:tc>
          <w:tcPr>
            <w:tcW w:w="170" w:type="pct"/>
            <w:noWrap/>
            <w:hideMark/>
          </w:tcPr>
          <w:p w14:paraId="569047CB" w14:textId="77777777" w:rsidR="00000000" w:rsidRDefault="00582324">
            <w:pPr>
              <w:pStyle w:val="a3"/>
              <w:spacing w:before="0" w:beforeAutospacing="0" w:after="0" w:afterAutospacing="0"/>
              <w:rPr>
                <w:sz w:val="18"/>
                <w:szCs w:val="18"/>
              </w:rPr>
            </w:pPr>
            <w:r>
              <w:rPr>
                <w:sz w:val="18"/>
                <w:szCs w:val="18"/>
              </w:rPr>
              <w:t>(4)</w:t>
            </w:r>
          </w:p>
        </w:tc>
        <w:tc>
          <w:tcPr>
            <w:tcW w:w="0" w:type="auto"/>
            <w:hideMark/>
          </w:tcPr>
          <w:p w14:paraId="781F19F3" w14:textId="77777777" w:rsidR="00000000" w:rsidRDefault="00582324">
            <w:pPr>
              <w:pStyle w:val="a3"/>
              <w:spacing w:before="0" w:beforeAutospacing="0" w:after="0" w:afterAutospacing="0"/>
              <w:rPr>
                <w:sz w:val="18"/>
                <w:szCs w:val="18"/>
              </w:rPr>
            </w:pPr>
            <w:r>
              <w:rPr>
                <w:sz w:val="18"/>
                <w:szCs w:val="18"/>
              </w:rPr>
              <w:t>Amounts relate to the change in fair value of the embedded derivatives and warrant option attached to the Series A-1 preferred stock and the Series A-2 preferred stoc</w:t>
            </w:r>
            <w:r>
              <w:rPr>
                <w:sz w:val="18"/>
                <w:szCs w:val="18"/>
              </w:rPr>
              <w:t xml:space="preserve">k. </w:t>
            </w:r>
          </w:p>
        </w:tc>
      </w:tr>
    </w:tbl>
    <w:p w14:paraId="3BC3050E" w14:textId="77777777" w:rsidR="00000000" w:rsidRDefault="00582324">
      <w:pPr>
        <w:divId w:val="1608804575"/>
        <w:rPr>
          <w:rFonts w:eastAsia="Times New Roman"/>
          <w:vanish/>
        </w:rPr>
      </w:pPr>
    </w:p>
    <w:tbl>
      <w:tblPr>
        <w:tblW w:w="5000" w:type="pct"/>
        <w:tblCellMar>
          <w:left w:w="0" w:type="dxa"/>
          <w:right w:w="0" w:type="dxa"/>
        </w:tblCellMar>
        <w:tblLook w:val="04A0" w:firstRow="1" w:lastRow="0" w:firstColumn="1" w:lastColumn="0" w:noHBand="0" w:noVBand="1"/>
      </w:tblPr>
      <w:tblGrid>
        <w:gridCol w:w="282"/>
        <w:gridCol w:w="8024"/>
      </w:tblGrid>
      <w:tr w:rsidR="00000000" w14:paraId="1B7B7362" w14:textId="77777777">
        <w:trPr>
          <w:divId w:val="1608804575"/>
        </w:trPr>
        <w:tc>
          <w:tcPr>
            <w:tcW w:w="170" w:type="pct"/>
            <w:noWrap/>
            <w:hideMark/>
          </w:tcPr>
          <w:p w14:paraId="43A5C7BF" w14:textId="77777777" w:rsidR="00000000" w:rsidRDefault="00582324">
            <w:pPr>
              <w:pStyle w:val="a3"/>
              <w:spacing w:before="0" w:beforeAutospacing="0" w:after="0" w:afterAutospacing="0"/>
              <w:rPr>
                <w:sz w:val="18"/>
                <w:szCs w:val="18"/>
              </w:rPr>
            </w:pPr>
            <w:r>
              <w:rPr>
                <w:sz w:val="18"/>
                <w:szCs w:val="18"/>
              </w:rPr>
              <w:t>(5)</w:t>
            </w:r>
          </w:p>
        </w:tc>
        <w:tc>
          <w:tcPr>
            <w:tcW w:w="0" w:type="auto"/>
            <w:hideMark/>
          </w:tcPr>
          <w:p w14:paraId="49ECC62C" w14:textId="77777777" w:rsidR="00000000" w:rsidRDefault="00582324">
            <w:pPr>
              <w:pStyle w:val="a3"/>
              <w:spacing w:before="0" w:beforeAutospacing="0" w:after="0" w:afterAutospacing="0"/>
              <w:rPr>
                <w:sz w:val="18"/>
                <w:szCs w:val="18"/>
              </w:rPr>
            </w:pPr>
            <w:r>
              <w:rPr>
                <w:sz w:val="18"/>
                <w:szCs w:val="18"/>
              </w:rPr>
              <w:t xml:space="preserve">Amounts represent non-capitalizable expenses associated with refinancing and amending our debt facilities. </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7E29B7A4" w14:textId="77777777">
        <w:tc>
          <w:tcPr>
            <w:tcW w:w="170" w:type="pct"/>
            <w:noWrap/>
            <w:hideMark/>
          </w:tcPr>
          <w:p w14:paraId="6A063191" w14:textId="77777777" w:rsidR="00000000" w:rsidRDefault="00582324">
            <w:pPr>
              <w:pStyle w:val="a3"/>
              <w:spacing w:before="0" w:beforeAutospacing="0" w:after="0" w:afterAutospacing="0"/>
              <w:rPr>
                <w:sz w:val="18"/>
                <w:szCs w:val="18"/>
              </w:rPr>
            </w:pPr>
            <w:r>
              <w:rPr>
                <w:sz w:val="18"/>
                <w:szCs w:val="18"/>
              </w:rPr>
              <w:t>(6)</w:t>
            </w:r>
          </w:p>
        </w:tc>
        <w:tc>
          <w:tcPr>
            <w:tcW w:w="0" w:type="auto"/>
            <w:hideMark/>
          </w:tcPr>
          <w:p w14:paraId="0AA88602" w14:textId="77777777" w:rsidR="00000000" w:rsidRDefault="00582324">
            <w:pPr>
              <w:pStyle w:val="a3"/>
              <w:spacing w:before="0" w:beforeAutospacing="0" w:after="0" w:afterAutospacing="0"/>
              <w:rPr>
                <w:sz w:val="18"/>
                <w:szCs w:val="18"/>
              </w:rPr>
            </w:pPr>
            <w:r>
              <w:rPr>
                <w:sz w:val="18"/>
                <w:szCs w:val="18"/>
              </w:rPr>
              <w:t xml:space="preserve">Reflects the difference between the expected settlement value of acquisition related earn-out payments at the time of the closing of acquisitions and the expected (or actual) value of earn-outs at the end of the relevant period. </w:t>
            </w:r>
          </w:p>
        </w:tc>
      </w:tr>
    </w:tbl>
    <w:p w14:paraId="21770245" w14:textId="77777777" w:rsidR="00000000" w:rsidRDefault="00582324">
      <w:pPr>
        <w:divId w:val="1168982142"/>
        <w:rPr>
          <w:rFonts w:eastAsia="Times New Roman"/>
          <w:vanish/>
        </w:rPr>
      </w:pPr>
    </w:p>
    <w:tbl>
      <w:tblPr>
        <w:tblW w:w="5000" w:type="pct"/>
        <w:tblCellMar>
          <w:left w:w="0" w:type="dxa"/>
          <w:right w:w="0" w:type="dxa"/>
        </w:tblCellMar>
        <w:tblLook w:val="04A0" w:firstRow="1" w:lastRow="0" w:firstColumn="1" w:lastColumn="0" w:noHBand="0" w:noVBand="1"/>
      </w:tblPr>
      <w:tblGrid>
        <w:gridCol w:w="282"/>
        <w:gridCol w:w="8024"/>
      </w:tblGrid>
      <w:tr w:rsidR="00000000" w14:paraId="691C73CB" w14:textId="77777777">
        <w:trPr>
          <w:divId w:val="1168982142"/>
        </w:trPr>
        <w:tc>
          <w:tcPr>
            <w:tcW w:w="170" w:type="pct"/>
            <w:noWrap/>
            <w:hideMark/>
          </w:tcPr>
          <w:p w14:paraId="6D9ED5EC" w14:textId="77777777" w:rsidR="00000000" w:rsidRDefault="00582324">
            <w:pPr>
              <w:pStyle w:val="a3"/>
              <w:spacing w:before="0" w:beforeAutospacing="0" w:after="0" w:afterAutospacing="0"/>
              <w:rPr>
                <w:sz w:val="18"/>
                <w:szCs w:val="18"/>
              </w:rPr>
            </w:pPr>
            <w:r>
              <w:rPr>
                <w:sz w:val="18"/>
                <w:szCs w:val="18"/>
              </w:rPr>
              <w:t>(7)</w:t>
            </w:r>
          </w:p>
        </w:tc>
        <w:tc>
          <w:tcPr>
            <w:tcW w:w="0" w:type="auto"/>
            <w:hideMark/>
          </w:tcPr>
          <w:p w14:paraId="0181BC2B" w14:textId="77777777" w:rsidR="00000000" w:rsidRDefault="00582324">
            <w:pPr>
              <w:pStyle w:val="a3"/>
              <w:spacing w:before="0" w:beforeAutospacing="0" w:after="0" w:afterAutospacing="0"/>
              <w:rPr>
                <w:sz w:val="18"/>
                <w:szCs w:val="18"/>
              </w:rPr>
            </w:pPr>
            <w:r>
              <w:rPr>
                <w:sz w:val="18"/>
                <w:szCs w:val="18"/>
              </w:rPr>
              <w:t xml:space="preserve">Purchase accounting </w:t>
            </w:r>
            <w:r>
              <w:rPr>
                <w:sz w:val="18"/>
                <w:szCs w:val="18"/>
              </w:rPr>
              <w:t>fair value adjustment to deferred revenue represents the impact of the fair value adjustment to the carrying value of deferred revenue as of the date of acquisition of ECT2.</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78250C99" w14:textId="77777777">
        <w:tc>
          <w:tcPr>
            <w:tcW w:w="170" w:type="pct"/>
            <w:noWrap/>
            <w:hideMark/>
          </w:tcPr>
          <w:p w14:paraId="0393191A" w14:textId="77777777" w:rsidR="00000000" w:rsidRDefault="00582324">
            <w:pPr>
              <w:pStyle w:val="a3"/>
              <w:spacing w:before="0" w:beforeAutospacing="0" w:after="0" w:afterAutospacing="0"/>
              <w:rPr>
                <w:sz w:val="18"/>
                <w:szCs w:val="18"/>
              </w:rPr>
            </w:pPr>
            <w:r>
              <w:rPr>
                <w:sz w:val="18"/>
                <w:szCs w:val="18"/>
              </w:rPr>
              <w:t>(8)</w:t>
            </w:r>
          </w:p>
        </w:tc>
        <w:tc>
          <w:tcPr>
            <w:tcW w:w="0" w:type="auto"/>
            <w:hideMark/>
          </w:tcPr>
          <w:p w14:paraId="3D36BE08" w14:textId="77777777" w:rsidR="00000000" w:rsidRDefault="00582324">
            <w:pPr>
              <w:pStyle w:val="a3"/>
              <w:spacing w:before="0" w:beforeAutospacing="0" w:after="0" w:afterAutospacing="0"/>
              <w:rPr>
                <w:sz w:val="18"/>
                <w:szCs w:val="18"/>
              </w:rPr>
            </w:pPr>
            <w:r>
              <w:rPr>
                <w:sz w:val="18"/>
                <w:szCs w:val="18"/>
              </w:rPr>
              <w:t>Represents expenses incurred by us to prepare for our initial public offerin</w:t>
            </w:r>
            <w:r>
              <w:rPr>
                <w:sz w:val="18"/>
                <w:szCs w:val="18"/>
              </w:rPr>
              <w:t xml:space="preserve">g, as well as costs from IPO-related bonuses. </w:t>
            </w:r>
          </w:p>
        </w:tc>
      </w:tr>
    </w:tbl>
    <w:p w14:paraId="406145AA" w14:textId="77777777" w:rsidR="00000000" w:rsidRDefault="00582324">
      <w:pPr>
        <w:divId w:val="2077436350"/>
        <w:rPr>
          <w:rFonts w:eastAsia="Times New Roman"/>
          <w:vanish/>
        </w:rPr>
      </w:pPr>
    </w:p>
    <w:tbl>
      <w:tblPr>
        <w:tblW w:w="5000" w:type="pct"/>
        <w:tblCellMar>
          <w:left w:w="0" w:type="dxa"/>
          <w:right w:w="0" w:type="dxa"/>
        </w:tblCellMar>
        <w:tblLook w:val="04A0" w:firstRow="1" w:lastRow="0" w:firstColumn="1" w:lastColumn="0" w:noHBand="0" w:noVBand="1"/>
      </w:tblPr>
      <w:tblGrid>
        <w:gridCol w:w="282"/>
        <w:gridCol w:w="8024"/>
      </w:tblGrid>
      <w:tr w:rsidR="00000000" w14:paraId="20FE7987" w14:textId="77777777">
        <w:trPr>
          <w:divId w:val="2077436350"/>
        </w:trPr>
        <w:tc>
          <w:tcPr>
            <w:tcW w:w="170" w:type="pct"/>
            <w:noWrap/>
            <w:hideMark/>
          </w:tcPr>
          <w:p w14:paraId="6EBA5CCD" w14:textId="77777777" w:rsidR="00000000" w:rsidRDefault="00582324">
            <w:pPr>
              <w:pStyle w:val="a3"/>
              <w:spacing w:before="0" w:beforeAutospacing="0" w:after="0" w:afterAutospacing="0"/>
              <w:rPr>
                <w:sz w:val="18"/>
                <w:szCs w:val="18"/>
              </w:rPr>
            </w:pPr>
            <w:r>
              <w:rPr>
                <w:sz w:val="18"/>
                <w:szCs w:val="18"/>
              </w:rPr>
              <w:t xml:space="preserve">(9) </w:t>
            </w:r>
          </w:p>
        </w:tc>
        <w:tc>
          <w:tcPr>
            <w:tcW w:w="0" w:type="auto"/>
            <w:hideMark/>
          </w:tcPr>
          <w:p w14:paraId="7E8720B3" w14:textId="77777777" w:rsidR="00000000" w:rsidRDefault="00582324">
            <w:pPr>
              <w:pStyle w:val="a3"/>
              <w:spacing w:before="0" w:beforeAutospacing="0" w:after="0" w:afterAutospacing="0"/>
              <w:rPr>
                <w:sz w:val="18"/>
                <w:szCs w:val="18"/>
              </w:rPr>
            </w:pPr>
            <w:r>
              <w:rPr>
                <w:sz w:val="18"/>
                <w:szCs w:val="18"/>
              </w:rPr>
              <w:t>Represents losses from the Discontinued Service Lines and the Berkeley lab.</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061D4EAE" w14:textId="77777777">
        <w:tc>
          <w:tcPr>
            <w:tcW w:w="170" w:type="pct"/>
            <w:noWrap/>
            <w:hideMark/>
          </w:tcPr>
          <w:p w14:paraId="5D88E551" w14:textId="77777777" w:rsidR="00000000" w:rsidRDefault="00582324">
            <w:pPr>
              <w:pStyle w:val="a3"/>
              <w:spacing w:before="0" w:beforeAutospacing="0" w:after="0" w:afterAutospacing="0"/>
              <w:rPr>
                <w:sz w:val="18"/>
                <w:szCs w:val="18"/>
              </w:rPr>
            </w:pPr>
            <w:r>
              <w:rPr>
                <w:sz w:val="18"/>
                <w:szCs w:val="18"/>
              </w:rPr>
              <w:t xml:space="preserve">(10) </w:t>
            </w:r>
          </w:p>
        </w:tc>
        <w:tc>
          <w:tcPr>
            <w:tcW w:w="0" w:type="auto"/>
            <w:hideMark/>
          </w:tcPr>
          <w:p w14:paraId="67D233E2" w14:textId="77777777" w:rsidR="00000000" w:rsidRDefault="00582324">
            <w:pPr>
              <w:pStyle w:val="a3"/>
              <w:spacing w:before="0" w:beforeAutospacing="0" w:after="0" w:afterAutospacing="0"/>
              <w:rPr>
                <w:sz w:val="18"/>
                <w:szCs w:val="18"/>
              </w:rPr>
            </w:pPr>
            <w:r>
              <w:rPr>
                <w:sz w:val="18"/>
                <w:szCs w:val="18"/>
              </w:rPr>
              <w:t>Represents non-operational charges incurred as a result of lease abandonments and non-capitalizable costs related to t</w:t>
            </w:r>
            <w:r>
              <w:rPr>
                <w:sz w:val="18"/>
                <w:szCs w:val="18"/>
              </w:rPr>
              <w:t>he implementation of a new ERP and net of insurance gain.</w:t>
            </w:r>
          </w:p>
        </w:tc>
      </w:tr>
    </w:tbl>
    <w:p w14:paraId="2D601A11" w14:textId="77777777" w:rsidR="00000000" w:rsidRDefault="00582324">
      <w:pPr>
        <w:pStyle w:val="a3"/>
        <w:spacing w:before="240" w:beforeAutospacing="0" w:after="0" w:afterAutospacing="0"/>
        <w:jc w:val="center"/>
        <w:rPr>
          <w:sz w:val="20"/>
          <w:szCs w:val="20"/>
        </w:rPr>
      </w:pPr>
      <w:r>
        <w:rPr>
          <w:sz w:val="20"/>
          <w:szCs w:val="20"/>
        </w:rPr>
        <w:t>50</w:t>
      </w:r>
    </w:p>
    <w:p w14:paraId="5AD4C222" w14:textId="77777777" w:rsidR="00000000" w:rsidRDefault="00582324">
      <w:pPr>
        <w:rPr>
          <w:rFonts w:eastAsia="Times New Roman"/>
        </w:rPr>
      </w:pPr>
      <w:r>
        <w:rPr>
          <w:rFonts w:eastAsia="Times New Roman"/>
        </w:rPr>
        <w:pict w14:anchorId="7FA0E6A3">
          <v:rect id="_x0000_i1076" style="width:0;height:1.5pt" o:hralign="center" o:hrstd="t" o:hr="t" fillcolor="#a0a0a0" stroked="f"/>
        </w:pict>
      </w:r>
    </w:p>
    <w:p w14:paraId="2F2888E4"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
        <w:gridCol w:w="8024"/>
      </w:tblGrid>
      <w:tr w:rsidR="00000000" w14:paraId="3E0C9E38" w14:textId="77777777">
        <w:trPr>
          <w:divId w:val="1756316853"/>
        </w:trPr>
        <w:tc>
          <w:tcPr>
            <w:tcW w:w="170" w:type="pct"/>
            <w:noWrap/>
            <w:hideMark/>
          </w:tcPr>
          <w:p w14:paraId="411853F1" w14:textId="77777777" w:rsidR="00000000" w:rsidRDefault="00582324">
            <w:pPr>
              <w:rPr>
                <w:sz w:val="20"/>
                <w:szCs w:val="20"/>
              </w:rPr>
            </w:pPr>
          </w:p>
        </w:tc>
        <w:tc>
          <w:tcPr>
            <w:tcW w:w="0" w:type="auto"/>
            <w:hideMark/>
          </w:tcPr>
          <w:p w14:paraId="5D591878" w14:textId="77777777" w:rsidR="00000000" w:rsidRDefault="00582324">
            <w:pPr>
              <w:rPr>
                <w:rFonts w:eastAsia="Times New Roman"/>
                <w:sz w:val="20"/>
                <w:szCs w:val="20"/>
              </w:rPr>
            </w:pPr>
          </w:p>
        </w:tc>
      </w:tr>
    </w:tbl>
    <w:p w14:paraId="051E9008" w14:textId="77777777" w:rsidR="00000000" w:rsidRDefault="00582324">
      <w:pPr>
        <w:pStyle w:val="a3"/>
        <w:spacing w:before="0" w:beforeAutospacing="0" w:after="0" w:afterAutospacing="0"/>
        <w:rPr>
          <w:b/>
          <w:bCs/>
          <w:sz w:val="20"/>
          <w:szCs w:val="20"/>
        </w:rPr>
      </w:pPr>
      <w:r>
        <w:rPr>
          <w:b/>
          <w:bCs/>
          <w:sz w:val="20"/>
          <w:szCs w:val="20"/>
        </w:rPr>
        <w:t>Item 3. Quantitative and Qualitative Disclosures About Market Risk.</w:t>
      </w:r>
    </w:p>
    <w:p w14:paraId="0088338A" w14:textId="77777777" w:rsidR="00000000" w:rsidRDefault="00582324">
      <w:pPr>
        <w:pStyle w:val="a3"/>
        <w:shd w:val="clear" w:color="auto" w:fill="FFFFFF"/>
        <w:spacing w:before="120" w:beforeAutospacing="0" w:after="0" w:afterAutospacing="0"/>
        <w:rPr>
          <w:b/>
          <w:bCs/>
          <w:i/>
          <w:iCs/>
          <w:color w:val="000000"/>
          <w:sz w:val="20"/>
          <w:szCs w:val="20"/>
        </w:rPr>
      </w:pPr>
      <w:r>
        <w:rPr>
          <w:b/>
          <w:bCs/>
          <w:i/>
          <w:iCs/>
          <w:color w:val="000000"/>
          <w:sz w:val="20"/>
          <w:szCs w:val="20"/>
        </w:rPr>
        <w:t>Interest Rate Risk</w:t>
      </w:r>
    </w:p>
    <w:p w14:paraId="042DE431"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We have market risk exposure arising from changes in interest rates on our credit facility, which bears interest at rates that a</w:t>
      </w:r>
      <w:r>
        <w:rPr>
          <w:color w:val="000000"/>
          <w:sz w:val="20"/>
          <w:szCs w:val="20"/>
        </w:rPr>
        <w:t xml:space="preserve">re benchmarked against LIBOR. Based on our overall interest rate exposure to variable rate debt outstanding as of June 30, 2021, a 1.0% increase in interest rates would increase annual income (loss) before income taxes by approximately $2.4 million. </w:t>
      </w:r>
    </w:p>
    <w:p w14:paraId="6F97E1F9" w14:textId="77777777" w:rsidR="00000000" w:rsidRDefault="00582324">
      <w:pPr>
        <w:pStyle w:val="a3"/>
        <w:shd w:val="clear" w:color="auto" w:fill="FFFFFF"/>
        <w:spacing w:before="360" w:beforeAutospacing="0" w:after="0" w:afterAutospacing="0"/>
        <w:rPr>
          <w:b/>
          <w:bCs/>
          <w:i/>
          <w:iCs/>
          <w:color w:val="000000"/>
          <w:sz w:val="20"/>
          <w:szCs w:val="20"/>
        </w:rPr>
      </w:pPr>
      <w:r>
        <w:rPr>
          <w:b/>
          <w:bCs/>
          <w:i/>
          <w:iCs/>
          <w:color w:val="000000"/>
          <w:sz w:val="20"/>
          <w:szCs w:val="20"/>
        </w:rPr>
        <w:t>Impac</w:t>
      </w:r>
      <w:r>
        <w:rPr>
          <w:b/>
          <w:bCs/>
          <w:i/>
          <w:iCs/>
          <w:color w:val="000000"/>
          <w:sz w:val="20"/>
          <w:szCs w:val="20"/>
        </w:rPr>
        <w:t>t of Inflation</w:t>
      </w:r>
    </w:p>
    <w:p w14:paraId="30C4FF4F"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results of operations and financial condition are presented based on historical cost. While it is difficult to accurately measure the impact of inflation due to the imprecise nature of the estimates required, we believe the effects of in</w:t>
      </w:r>
      <w:r>
        <w:rPr>
          <w:color w:val="000000"/>
          <w:sz w:val="20"/>
          <w:szCs w:val="20"/>
        </w:rPr>
        <w:t>flation, if any, on our historical results of operations and financial condition have been immaterial. We cannot assure you, however, that our results of operations and financial condition will not be materially impacted by inflation in the future.</w:t>
      </w:r>
    </w:p>
    <w:p w14:paraId="108338DE" w14:textId="77777777" w:rsidR="00000000" w:rsidRDefault="00582324">
      <w:pPr>
        <w:pStyle w:val="a3"/>
        <w:spacing w:before="360" w:beforeAutospacing="0" w:after="0" w:afterAutospacing="0"/>
        <w:rPr>
          <w:b/>
          <w:bCs/>
          <w:sz w:val="20"/>
          <w:szCs w:val="20"/>
        </w:rPr>
      </w:pPr>
      <w:r>
        <w:rPr>
          <w:b/>
          <w:bCs/>
          <w:sz w:val="20"/>
          <w:szCs w:val="20"/>
        </w:rPr>
        <w:t>Item 4.</w:t>
      </w:r>
      <w:r>
        <w:rPr>
          <w:b/>
          <w:bCs/>
          <w:sz w:val="20"/>
          <w:szCs w:val="20"/>
        </w:rPr>
        <w:t xml:space="preserve"> Controls and Procedures.</w:t>
      </w:r>
    </w:p>
    <w:p w14:paraId="152954D9" w14:textId="77777777" w:rsidR="00000000" w:rsidRDefault="00582324">
      <w:pPr>
        <w:pStyle w:val="a3"/>
        <w:spacing w:before="120" w:beforeAutospacing="0" w:after="0" w:afterAutospacing="0"/>
        <w:rPr>
          <w:b/>
          <w:bCs/>
          <w:sz w:val="20"/>
          <w:szCs w:val="20"/>
        </w:rPr>
      </w:pPr>
      <w:r>
        <w:rPr>
          <w:b/>
          <w:bCs/>
          <w:sz w:val="20"/>
          <w:szCs w:val="20"/>
        </w:rPr>
        <w:t>Evaluation of Disclosure Controls and Procedures</w:t>
      </w:r>
    </w:p>
    <w:p w14:paraId="6DA8C526" w14:textId="77777777" w:rsidR="00000000" w:rsidRDefault="00582324">
      <w:pPr>
        <w:pStyle w:val="a3"/>
        <w:spacing w:before="120" w:beforeAutospacing="0" w:after="0" w:afterAutospacing="0"/>
        <w:ind w:firstLine="416"/>
        <w:rPr>
          <w:sz w:val="20"/>
          <w:szCs w:val="20"/>
        </w:rPr>
      </w:pPr>
      <w:r>
        <w:rPr>
          <w:sz w:val="20"/>
          <w:szCs w:val="20"/>
        </w:rPr>
        <w:t>As required by Rule 13a-15(b) under the Exchange Act, our management, including our Chief Executive Officer and Chief Financial Officer, carried out an evaluation of the effectivene</w:t>
      </w:r>
      <w:r>
        <w:rPr>
          <w:sz w:val="20"/>
          <w:szCs w:val="20"/>
        </w:rPr>
        <w:t>ss of the design and operation of our disclosure controls and procedures (as defined in Rule 13a-15(e) under the Exchange Act), as of June 30, 2021, the end of the period covered by this Quarterly Report on Form 10-Q.  Based on the foregoing, our Chief Exe</w:t>
      </w:r>
      <w:r>
        <w:rPr>
          <w:sz w:val="20"/>
          <w:szCs w:val="20"/>
        </w:rPr>
        <w:t>cutive Officer and Chief Financial Officer concluded that, as of June 30, 2021, the end of the period covered by this Quarterly Report on Form 10-Q, our disclosure controls and procedures were effective at the reasonable assurance level.</w:t>
      </w:r>
    </w:p>
    <w:p w14:paraId="7EA0251B" w14:textId="77777777" w:rsidR="00000000" w:rsidRDefault="00582324">
      <w:pPr>
        <w:pStyle w:val="a3"/>
        <w:spacing w:before="360" w:beforeAutospacing="0" w:after="0" w:afterAutospacing="0"/>
        <w:rPr>
          <w:b/>
          <w:bCs/>
          <w:sz w:val="20"/>
          <w:szCs w:val="20"/>
        </w:rPr>
      </w:pPr>
      <w:r>
        <w:rPr>
          <w:b/>
          <w:bCs/>
          <w:sz w:val="20"/>
          <w:szCs w:val="20"/>
        </w:rPr>
        <w:t>Internal Control Over Financial Reporting</w:t>
      </w:r>
    </w:p>
    <w:p w14:paraId="60BC88FF" w14:textId="77777777" w:rsidR="00000000" w:rsidRDefault="00582324">
      <w:pPr>
        <w:pStyle w:val="a3"/>
        <w:spacing w:before="120" w:beforeAutospacing="0" w:after="0" w:afterAutospacing="0"/>
        <w:ind w:firstLine="416"/>
        <w:rPr>
          <w:sz w:val="20"/>
          <w:szCs w:val="20"/>
        </w:rPr>
      </w:pPr>
      <w:r>
        <w:rPr>
          <w:sz w:val="20"/>
          <w:szCs w:val="20"/>
        </w:rPr>
        <w:t>There were no changes in our internal control over financial reporting (as defined in Rule 13a-15(f) under the Exchange Act) that occurred during the quarter ended June 30, 2021, that have materially affected, or a</w:t>
      </w:r>
      <w:r>
        <w:rPr>
          <w:sz w:val="20"/>
          <w:szCs w:val="20"/>
        </w:rPr>
        <w:t>re reasonably likely to materially affect, our internal control over financial reporting.</w:t>
      </w:r>
    </w:p>
    <w:p w14:paraId="3BE09925" w14:textId="77777777" w:rsidR="00000000" w:rsidRDefault="00582324">
      <w:pPr>
        <w:pStyle w:val="a3"/>
        <w:shd w:val="clear" w:color="auto" w:fill="FFFFFF"/>
        <w:spacing w:before="360" w:beforeAutospacing="0" w:after="0" w:afterAutospacing="0"/>
        <w:rPr>
          <w:b/>
          <w:bCs/>
          <w:color w:val="000000"/>
          <w:sz w:val="20"/>
          <w:szCs w:val="20"/>
        </w:rPr>
      </w:pPr>
      <w:r>
        <w:rPr>
          <w:b/>
          <w:bCs/>
          <w:color w:val="000000"/>
          <w:sz w:val="20"/>
          <w:szCs w:val="20"/>
        </w:rPr>
        <w:t>Limitations on Effectiveness of Controls</w:t>
      </w:r>
    </w:p>
    <w:p w14:paraId="325FF99B" w14:textId="77777777" w:rsidR="00000000" w:rsidRDefault="00582324">
      <w:pPr>
        <w:pStyle w:val="a3"/>
        <w:shd w:val="clear" w:color="auto" w:fill="FFFFFF"/>
        <w:spacing w:before="120" w:beforeAutospacing="0" w:after="0" w:afterAutospacing="0"/>
        <w:ind w:firstLine="416"/>
        <w:rPr>
          <w:color w:val="000000"/>
          <w:sz w:val="20"/>
          <w:szCs w:val="20"/>
        </w:rPr>
      </w:pPr>
      <w:r>
        <w:rPr>
          <w:color w:val="000000"/>
          <w:sz w:val="20"/>
          <w:szCs w:val="20"/>
        </w:rPr>
        <w:t>Our management, including our principal executive officer and principal financial officer, does not expect that our disclosur</w:t>
      </w:r>
      <w:r>
        <w:rPr>
          <w:color w:val="000000"/>
          <w:sz w:val="20"/>
          <w:szCs w:val="20"/>
        </w:rPr>
        <w:t>e controls and procedures or our system of internal control over financial reporting will prevent or detect all errors and all fraud. A control system, no matter how well designed or operated, can provide only reasonable, but not absolute, assurance that t</w:t>
      </w:r>
      <w:r>
        <w:rPr>
          <w:color w:val="000000"/>
          <w:sz w:val="20"/>
          <w:szCs w:val="20"/>
        </w:rPr>
        <w:t>he objectives of the system of internal control are met. The design of our control system reflects the fact that there are resource constraints, and that the benefits of such control system must be considered relative to their costs. Further, because of th</w:t>
      </w:r>
      <w:r>
        <w:rPr>
          <w:color w:val="000000"/>
          <w:sz w:val="20"/>
          <w:szCs w:val="20"/>
        </w:rPr>
        <w:t>e inherent limitations in all control systems, no evaluation of controls can provide absolute assurance that all control failures and instances of fraud, if any, within the Company have been detected. These inherent limitations include the realities that j</w:t>
      </w:r>
      <w:r>
        <w:rPr>
          <w:color w:val="000000"/>
          <w:sz w:val="20"/>
          <w:szCs w:val="20"/>
        </w:rPr>
        <w:t xml:space="preserve">udgments in decision-making can be faulty and that breakdowns can occur because of simple error or mistake. Additionally, controls can be circumvented by the intentional acts of individuals, by collusion of two or more people, or by management override of </w:t>
      </w:r>
      <w:r>
        <w:rPr>
          <w:color w:val="000000"/>
          <w:sz w:val="20"/>
          <w:szCs w:val="20"/>
        </w:rPr>
        <w:t>the controls. The design of any system of controls is also based in part on certain assumptions about the likelihood of future events, and there can be no assurance that the design of any particular control will always succeed in achieving its objective un</w:t>
      </w:r>
      <w:r>
        <w:rPr>
          <w:color w:val="000000"/>
          <w:sz w:val="20"/>
          <w:szCs w:val="20"/>
        </w:rPr>
        <w:t>der all potential future conditions.</w:t>
      </w:r>
    </w:p>
    <w:p w14:paraId="26F78EFE" w14:textId="77777777" w:rsidR="00000000" w:rsidRDefault="00582324">
      <w:pPr>
        <w:pStyle w:val="a3"/>
        <w:spacing w:before="240" w:beforeAutospacing="0" w:after="0" w:afterAutospacing="0"/>
        <w:jc w:val="center"/>
        <w:rPr>
          <w:sz w:val="20"/>
          <w:szCs w:val="20"/>
        </w:rPr>
      </w:pPr>
      <w:r>
        <w:rPr>
          <w:sz w:val="20"/>
          <w:szCs w:val="20"/>
        </w:rPr>
        <w:t>51</w:t>
      </w:r>
    </w:p>
    <w:p w14:paraId="02357E65" w14:textId="77777777" w:rsidR="00000000" w:rsidRDefault="00582324">
      <w:pPr>
        <w:rPr>
          <w:rFonts w:eastAsia="Times New Roman"/>
        </w:rPr>
      </w:pPr>
      <w:r>
        <w:rPr>
          <w:rFonts w:eastAsia="Times New Roman"/>
        </w:rPr>
        <w:pict w14:anchorId="5ABCEAC8">
          <v:rect id="_x0000_i1077" style="width:0;height:1.5pt" o:hralign="center" o:hrstd="t" o:hr="t" fillcolor="#a0a0a0" stroked="f"/>
        </w:pict>
      </w:r>
    </w:p>
    <w:p w14:paraId="593E8D2E" w14:textId="77777777" w:rsidR="00000000" w:rsidRDefault="00582324">
      <w:pPr>
        <w:pStyle w:val="a3"/>
        <w:spacing w:before="0" w:beforeAutospacing="0" w:after="0" w:afterAutospacing="0"/>
        <w:rPr>
          <w:sz w:val="20"/>
          <w:szCs w:val="20"/>
        </w:rPr>
      </w:pPr>
      <w:r>
        <w:rPr>
          <w:sz w:val="20"/>
          <w:szCs w:val="20"/>
        </w:rPr>
        <w:t> </w:t>
      </w:r>
    </w:p>
    <w:p w14:paraId="4FBB0929" w14:textId="77777777" w:rsidR="00000000" w:rsidRDefault="00582324">
      <w:pPr>
        <w:pStyle w:val="a3"/>
        <w:spacing w:before="0" w:beforeAutospacing="0" w:after="0" w:afterAutospacing="0"/>
        <w:jc w:val="center"/>
        <w:rPr>
          <w:b/>
          <w:bCs/>
          <w:sz w:val="20"/>
          <w:szCs w:val="20"/>
        </w:rPr>
      </w:pPr>
      <w:r>
        <w:rPr>
          <w:b/>
          <w:bCs/>
          <w:sz w:val="20"/>
          <w:szCs w:val="20"/>
        </w:rPr>
        <w:t>PART II—OTHER INFORMATION</w:t>
      </w:r>
    </w:p>
    <w:p w14:paraId="555B4681" w14:textId="77777777" w:rsidR="00000000" w:rsidRDefault="00582324">
      <w:pPr>
        <w:pStyle w:val="a3"/>
        <w:spacing w:before="240" w:beforeAutospacing="0" w:after="0" w:afterAutospacing="0"/>
        <w:rPr>
          <w:b/>
          <w:bCs/>
          <w:sz w:val="20"/>
          <w:szCs w:val="20"/>
        </w:rPr>
      </w:pPr>
      <w:r>
        <w:rPr>
          <w:b/>
          <w:bCs/>
          <w:sz w:val="20"/>
          <w:szCs w:val="20"/>
        </w:rPr>
        <w:t>Item 1. Legal Proceedings.</w:t>
      </w:r>
    </w:p>
    <w:p w14:paraId="29ACB02F" w14:textId="77777777" w:rsidR="00000000" w:rsidRDefault="00582324">
      <w:pPr>
        <w:pStyle w:val="a3"/>
        <w:spacing w:before="120" w:beforeAutospacing="0" w:after="0" w:afterAutospacing="0"/>
        <w:ind w:firstLine="416"/>
        <w:rPr>
          <w:sz w:val="20"/>
          <w:szCs w:val="20"/>
        </w:rPr>
      </w:pPr>
      <w:r>
        <w:rPr>
          <w:sz w:val="20"/>
          <w:szCs w:val="20"/>
        </w:rPr>
        <w:t>From time to time, we are subject to various legal proceedings that arise in the normal course of our business activities, in</w:t>
      </w:r>
      <w:r>
        <w:rPr>
          <w:sz w:val="20"/>
          <w:szCs w:val="20"/>
        </w:rPr>
        <w:t>cluding those involving labor and employment, anti-discrimination, commercial disputes and other matters. We are not a party to any litigation the outcome of which, if determined adversely to us, would individually or in the aggregate be reasonably expecte</w:t>
      </w:r>
      <w:r>
        <w:rPr>
          <w:sz w:val="20"/>
          <w:szCs w:val="20"/>
        </w:rPr>
        <w:t>d to have a material adverse effect on our results of operations or financial position. Regardless of outcome, litigation can have an adverse impact on us because of defense and settlement costs, diversion of management resources and other factors.  </w:t>
      </w:r>
    </w:p>
    <w:p w14:paraId="60EFD570" w14:textId="77777777" w:rsidR="00000000" w:rsidRDefault="00582324">
      <w:pPr>
        <w:pStyle w:val="a3"/>
        <w:spacing w:before="360" w:beforeAutospacing="0" w:after="0" w:afterAutospacing="0"/>
        <w:rPr>
          <w:b/>
          <w:bCs/>
          <w:sz w:val="20"/>
          <w:szCs w:val="20"/>
        </w:rPr>
      </w:pPr>
      <w:r>
        <w:rPr>
          <w:b/>
          <w:bCs/>
          <w:sz w:val="20"/>
          <w:szCs w:val="20"/>
        </w:rPr>
        <w:t xml:space="preserve">Item </w:t>
      </w:r>
      <w:r>
        <w:rPr>
          <w:b/>
          <w:bCs/>
          <w:sz w:val="20"/>
          <w:szCs w:val="20"/>
        </w:rPr>
        <w:t>1A. Risk Factors.</w:t>
      </w:r>
    </w:p>
    <w:p w14:paraId="6BDC05C6" w14:textId="77777777" w:rsidR="00000000" w:rsidRDefault="00582324">
      <w:pPr>
        <w:pStyle w:val="a3"/>
        <w:spacing w:before="120" w:beforeAutospacing="0" w:after="0" w:afterAutospacing="0"/>
        <w:ind w:firstLine="416"/>
        <w:rPr>
          <w:sz w:val="20"/>
          <w:szCs w:val="20"/>
        </w:rPr>
      </w:pPr>
      <w:r>
        <w:rPr>
          <w:sz w:val="20"/>
          <w:szCs w:val="20"/>
        </w:rPr>
        <w:t>There have been no material changes to our risk factors from the risk factors disclosed in our 2020 Form 10-K. The risks described in our 2020 Form 10-K, in addition to the other information set forth in this Quarterly Report on Form 10-Q</w:t>
      </w:r>
      <w:r>
        <w:rPr>
          <w:sz w:val="20"/>
          <w:szCs w:val="20"/>
        </w:rPr>
        <w:t>, are not the only risks facing we face. Additional risks and uncertainties not currently known to us or that we currently deem to be immaterial also may materially adversely affect our business, financial condition and/or operating results.</w:t>
      </w:r>
    </w:p>
    <w:p w14:paraId="72D65FD5" w14:textId="77777777" w:rsidR="00000000" w:rsidRDefault="00582324">
      <w:pPr>
        <w:pStyle w:val="a3"/>
        <w:spacing w:before="360" w:beforeAutospacing="0" w:after="0" w:afterAutospacing="0"/>
        <w:rPr>
          <w:b/>
          <w:bCs/>
          <w:sz w:val="20"/>
          <w:szCs w:val="20"/>
        </w:rPr>
      </w:pPr>
      <w:r>
        <w:rPr>
          <w:b/>
          <w:bCs/>
          <w:sz w:val="20"/>
          <w:szCs w:val="20"/>
        </w:rPr>
        <w:t>Item 2. Unregi</w:t>
      </w:r>
      <w:r>
        <w:rPr>
          <w:b/>
          <w:bCs/>
          <w:sz w:val="20"/>
          <w:szCs w:val="20"/>
        </w:rPr>
        <w:t>stered Sales of Equity Securities and Use of Proceeds.</w:t>
      </w:r>
    </w:p>
    <w:p w14:paraId="25276597" w14:textId="77777777" w:rsidR="00000000" w:rsidRDefault="00582324">
      <w:pPr>
        <w:pStyle w:val="a3"/>
        <w:spacing w:before="360" w:beforeAutospacing="0" w:after="0" w:afterAutospacing="0"/>
        <w:rPr>
          <w:b/>
          <w:bCs/>
          <w:sz w:val="20"/>
          <w:szCs w:val="20"/>
        </w:rPr>
      </w:pPr>
      <w:r>
        <w:rPr>
          <w:b/>
          <w:bCs/>
          <w:sz w:val="20"/>
          <w:szCs w:val="20"/>
        </w:rPr>
        <w:t>Unregistered Sales of Equity Securities</w:t>
      </w:r>
    </w:p>
    <w:p w14:paraId="73712B64" w14:textId="77777777" w:rsidR="00000000" w:rsidRDefault="00582324">
      <w:pPr>
        <w:pStyle w:val="a3"/>
        <w:spacing w:before="120" w:beforeAutospacing="0" w:after="0" w:afterAutospacing="0"/>
        <w:ind w:firstLine="416"/>
        <w:rPr>
          <w:sz w:val="20"/>
          <w:szCs w:val="20"/>
        </w:rPr>
      </w:pPr>
      <w:r>
        <w:rPr>
          <w:sz w:val="20"/>
          <w:szCs w:val="20"/>
        </w:rPr>
        <w:t>On April 1, 2021, we issued 539,607 and 24,230 shares of common stock as additional consideration for (i) the acquisition of CTEH pursuant to the earn-out provis</w:t>
      </w:r>
      <w:r>
        <w:rPr>
          <w:sz w:val="20"/>
          <w:szCs w:val="20"/>
        </w:rPr>
        <w:t>ion of the transaction agreement, and (ii) the acquisition of MSE pursuant to the purchase price true up provision of the transaction agreement, respectively. These issuances of common shares were exempt from the registration requirements of the Securities</w:t>
      </w:r>
      <w:r>
        <w:rPr>
          <w:sz w:val="20"/>
          <w:szCs w:val="20"/>
        </w:rPr>
        <w:t xml:space="preserve"> Act pursuant to Section 4(a)(2) thereof as a transaction by an issuer not involving any public offering. </w:t>
      </w:r>
    </w:p>
    <w:p w14:paraId="579A9DDA" w14:textId="77777777" w:rsidR="00000000" w:rsidRDefault="00582324">
      <w:pPr>
        <w:pStyle w:val="a3"/>
        <w:spacing w:before="120" w:beforeAutospacing="0" w:after="0" w:afterAutospacing="0"/>
        <w:ind w:firstLine="416"/>
        <w:rPr>
          <w:sz w:val="20"/>
          <w:szCs w:val="20"/>
        </w:rPr>
      </w:pPr>
      <w:r>
        <w:rPr>
          <w:sz w:val="20"/>
          <w:szCs w:val="20"/>
        </w:rPr>
        <w:t xml:space="preserve">On June 4, 2021, we issued 9,322 shares of common stock as consideration for the acquisition of Vista.  The issuance of common stock was exempt from </w:t>
      </w:r>
      <w:r>
        <w:rPr>
          <w:sz w:val="20"/>
          <w:szCs w:val="20"/>
        </w:rPr>
        <w:t>the registration requirements of the Securities Act pursuant to Section 4(a)(2) thereof as a transaction by an issuer not involving any public offering.</w:t>
      </w:r>
    </w:p>
    <w:p w14:paraId="61A69E38" w14:textId="77777777" w:rsidR="00000000" w:rsidRDefault="00582324">
      <w:pPr>
        <w:pStyle w:val="a3"/>
        <w:spacing w:before="360" w:beforeAutospacing="0" w:after="0" w:afterAutospacing="0"/>
        <w:rPr>
          <w:b/>
          <w:bCs/>
          <w:sz w:val="20"/>
          <w:szCs w:val="20"/>
        </w:rPr>
      </w:pPr>
      <w:r>
        <w:rPr>
          <w:b/>
          <w:bCs/>
          <w:sz w:val="20"/>
          <w:szCs w:val="20"/>
        </w:rPr>
        <w:t>Item 3. Defaults Upon Senior Securities.</w:t>
      </w:r>
    </w:p>
    <w:p w14:paraId="5010A502" w14:textId="77777777" w:rsidR="00000000" w:rsidRDefault="00582324">
      <w:pPr>
        <w:pStyle w:val="a3"/>
        <w:spacing w:before="120" w:beforeAutospacing="0" w:after="0" w:afterAutospacing="0"/>
        <w:ind w:firstLine="416"/>
        <w:rPr>
          <w:sz w:val="20"/>
          <w:szCs w:val="20"/>
        </w:rPr>
      </w:pPr>
      <w:r>
        <w:rPr>
          <w:sz w:val="20"/>
          <w:szCs w:val="20"/>
        </w:rPr>
        <w:t>None.</w:t>
      </w:r>
    </w:p>
    <w:p w14:paraId="29970F53" w14:textId="77777777" w:rsidR="00000000" w:rsidRDefault="00582324">
      <w:pPr>
        <w:pStyle w:val="a3"/>
        <w:spacing w:before="360" w:beforeAutospacing="0" w:after="0" w:afterAutospacing="0"/>
        <w:rPr>
          <w:b/>
          <w:bCs/>
          <w:sz w:val="20"/>
          <w:szCs w:val="20"/>
        </w:rPr>
      </w:pPr>
      <w:r>
        <w:rPr>
          <w:b/>
          <w:bCs/>
          <w:sz w:val="20"/>
          <w:szCs w:val="20"/>
        </w:rPr>
        <w:t>Item 4. Mine Safety Disclosures.</w:t>
      </w:r>
    </w:p>
    <w:p w14:paraId="2333B593" w14:textId="77777777" w:rsidR="00000000" w:rsidRDefault="00582324">
      <w:pPr>
        <w:pStyle w:val="a3"/>
        <w:spacing w:before="120" w:beforeAutospacing="0" w:after="0" w:afterAutospacing="0"/>
        <w:ind w:firstLine="416"/>
        <w:rPr>
          <w:sz w:val="20"/>
          <w:szCs w:val="20"/>
        </w:rPr>
      </w:pPr>
      <w:r>
        <w:rPr>
          <w:sz w:val="20"/>
          <w:szCs w:val="20"/>
        </w:rPr>
        <w:t>Not applicable.</w:t>
      </w:r>
    </w:p>
    <w:p w14:paraId="11C99AC0" w14:textId="77777777" w:rsidR="00000000" w:rsidRDefault="00582324">
      <w:pPr>
        <w:pStyle w:val="a3"/>
        <w:spacing w:before="360" w:beforeAutospacing="0" w:after="0" w:afterAutospacing="0"/>
        <w:rPr>
          <w:b/>
          <w:bCs/>
          <w:sz w:val="20"/>
          <w:szCs w:val="20"/>
        </w:rPr>
      </w:pPr>
      <w:r>
        <w:rPr>
          <w:b/>
          <w:bCs/>
          <w:sz w:val="20"/>
          <w:szCs w:val="20"/>
        </w:rPr>
        <w:t>Item 5. Other Information.</w:t>
      </w:r>
    </w:p>
    <w:p w14:paraId="7E428320" w14:textId="77777777" w:rsidR="00000000" w:rsidRDefault="00582324">
      <w:pPr>
        <w:pStyle w:val="a3"/>
        <w:shd w:val="clear" w:color="auto" w:fill="FFFFFF"/>
        <w:spacing w:before="120" w:beforeAutospacing="0" w:after="0" w:afterAutospacing="0"/>
        <w:ind w:firstLine="416"/>
        <w:rPr>
          <w:sz w:val="20"/>
          <w:szCs w:val="20"/>
        </w:rPr>
      </w:pPr>
      <w:r>
        <w:rPr>
          <w:sz w:val="20"/>
          <w:szCs w:val="20"/>
        </w:rPr>
        <w:t>None.</w:t>
      </w:r>
    </w:p>
    <w:p w14:paraId="58AD587C" w14:textId="77777777" w:rsidR="00000000" w:rsidRDefault="00582324">
      <w:pPr>
        <w:pStyle w:val="a3"/>
        <w:spacing w:before="240" w:beforeAutospacing="0" w:after="0" w:afterAutospacing="0"/>
        <w:jc w:val="center"/>
        <w:rPr>
          <w:sz w:val="20"/>
          <w:szCs w:val="20"/>
        </w:rPr>
      </w:pPr>
      <w:r>
        <w:rPr>
          <w:sz w:val="20"/>
          <w:szCs w:val="20"/>
        </w:rPr>
        <w:t>52</w:t>
      </w:r>
    </w:p>
    <w:p w14:paraId="0D28829D" w14:textId="77777777" w:rsidR="00000000" w:rsidRDefault="00582324">
      <w:pPr>
        <w:rPr>
          <w:rFonts w:eastAsia="Times New Roman"/>
        </w:rPr>
      </w:pPr>
      <w:r>
        <w:rPr>
          <w:rFonts w:eastAsia="Times New Roman"/>
        </w:rPr>
        <w:pict w14:anchorId="1C87E655">
          <v:rect id="_x0000_i1078" style="width:0;height:1.5pt" o:hralign="center" o:hrstd="t" o:hr="t" fillcolor="#a0a0a0" stroked="f"/>
        </w:pict>
      </w:r>
    </w:p>
    <w:p w14:paraId="66277449" w14:textId="77777777" w:rsidR="00000000" w:rsidRDefault="00582324">
      <w:pPr>
        <w:pStyle w:val="a3"/>
        <w:spacing w:before="0" w:beforeAutospacing="0" w:after="0" w:afterAutospacing="0"/>
        <w:rPr>
          <w:sz w:val="20"/>
          <w:szCs w:val="20"/>
        </w:rPr>
      </w:pPr>
      <w:r>
        <w:rPr>
          <w:sz w:val="20"/>
          <w:szCs w:val="20"/>
        </w:rPr>
        <w:t> </w:t>
      </w:r>
    </w:p>
    <w:p w14:paraId="12A4F7A7" w14:textId="77777777" w:rsidR="00000000" w:rsidRDefault="00582324">
      <w:pPr>
        <w:pStyle w:val="a3"/>
        <w:spacing w:before="0" w:beforeAutospacing="0" w:after="0" w:afterAutospacing="0"/>
        <w:rPr>
          <w:b/>
          <w:bCs/>
          <w:sz w:val="20"/>
          <w:szCs w:val="20"/>
        </w:rPr>
      </w:pPr>
      <w:r>
        <w:rPr>
          <w:b/>
          <w:bCs/>
          <w:sz w:val="20"/>
          <w:szCs w:val="20"/>
        </w:rPr>
        <w:t>Item 6. Exhibits.</w:t>
      </w:r>
    </w:p>
    <w:p w14:paraId="5DBD810E"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5"/>
        <w:gridCol w:w="65"/>
        <w:gridCol w:w="7376"/>
      </w:tblGrid>
      <w:tr w:rsidR="00000000" w14:paraId="43750241" w14:textId="77777777">
        <w:trPr>
          <w:divId w:val="1611013474"/>
        </w:trPr>
        <w:tc>
          <w:tcPr>
            <w:tcW w:w="354" w:type="pct"/>
            <w:tcBorders>
              <w:bottom w:val="single" w:sz="6" w:space="0" w:color="000000"/>
            </w:tcBorders>
            <w:shd w:val="clear" w:color="auto" w:fill="FFFFFF"/>
            <w:tcMar>
              <w:top w:w="15" w:type="dxa"/>
              <w:left w:w="0" w:type="dxa"/>
              <w:bottom w:w="0" w:type="dxa"/>
              <w:right w:w="15" w:type="dxa"/>
            </w:tcMar>
            <w:vAlign w:val="bottom"/>
            <w:hideMark/>
          </w:tcPr>
          <w:p w14:paraId="4A0CE98D"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Exhibit</w:t>
            </w:r>
          </w:p>
          <w:p w14:paraId="6C689C8A"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Number</w:t>
            </w:r>
          </w:p>
        </w:tc>
        <w:tc>
          <w:tcPr>
            <w:tcW w:w="48" w:type="pct"/>
            <w:shd w:val="clear" w:color="auto" w:fill="FFFFFF"/>
            <w:tcMar>
              <w:top w:w="15" w:type="dxa"/>
              <w:left w:w="0" w:type="dxa"/>
              <w:bottom w:w="0" w:type="dxa"/>
              <w:right w:w="15" w:type="dxa"/>
            </w:tcMar>
            <w:vAlign w:val="bottom"/>
            <w:hideMark/>
          </w:tcPr>
          <w:p w14:paraId="044A3D91" w14:textId="77777777" w:rsidR="00000000" w:rsidRDefault="00582324">
            <w:pPr>
              <w:pStyle w:val="a3"/>
              <w:spacing w:before="0" w:beforeAutospacing="0" w:after="0" w:afterAutospacing="0"/>
              <w:rPr>
                <w:color w:val="000000"/>
                <w:sz w:val="16"/>
                <w:szCs w:val="16"/>
              </w:rPr>
            </w:pPr>
            <w:r>
              <w:rPr>
                <w:color w:val="000000"/>
                <w:sz w:val="16"/>
                <w:szCs w:val="16"/>
              </w:rPr>
              <w:t> </w:t>
            </w:r>
          </w:p>
        </w:tc>
        <w:tc>
          <w:tcPr>
            <w:tcW w:w="4598" w:type="pct"/>
            <w:tcBorders>
              <w:bottom w:val="single" w:sz="6" w:space="0" w:color="000000"/>
            </w:tcBorders>
            <w:shd w:val="clear" w:color="auto" w:fill="FFFFFF"/>
            <w:tcMar>
              <w:top w:w="15" w:type="dxa"/>
              <w:left w:w="0" w:type="dxa"/>
              <w:bottom w:w="0" w:type="dxa"/>
              <w:right w:w="15" w:type="dxa"/>
            </w:tcMar>
            <w:vAlign w:val="bottom"/>
            <w:hideMark/>
          </w:tcPr>
          <w:p w14:paraId="2F2898A7" w14:textId="77777777" w:rsidR="00000000" w:rsidRDefault="00582324">
            <w:pPr>
              <w:pStyle w:val="a3"/>
              <w:spacing w:before="0" w:beforeAutospacing="0" w:after="0" w:afterAutospacing="0"/>
              <w:jc w:val="center"/>
              <w:rPr>
                <w:b/>
                <w:bCs/>
                <w:color w:val="000000"/>
                <w:sz w:val="16"/>
                <w:szCs w:val="16"/>
              </w:rPr>
            </w:pPr>
            <w:r>
              <w:rPr>
                <w:b/>
                <w:bCs/>
                <w:color w:val="000000"/>
                <w:sz w:val="16"/>
                <w:szCs w:val="16"/>
              </w:rPr>
              <w:t>Description</w:t>
            </w:r>
          </w:p>
        </w:tc>
      </w:tr>
      <w:tr w:rsidR="00000000" w14:paraId="206FC23E" w14:textId="77777777">
        <w:trPr>
          <w:divId w:val="1611013474"/>
        </w:trPr>
        <w:tc>
          <w:tcPr>
            <w:tcW w:w="354" w:type="pct"/>
            <w:tcBorders>
              <w:top w:val="single" w:sz="6" w:space="0" w:color="000000"/>
            </w:tcBorders>
            <w:shd w:val="clear" w:color="auto" w:fill="FFFFFF"/>
            <w:tcMar>
              <w:top w:w="15" w:type="dxa"/>
              <w:left w:w="0" w:type="dxa"/>
              <w:bottom w:w="0" w:type="dxa"/>
              <w:right w:w="15" w:type="dxa"/>
            </w:tcMar>
            <w:vAlign w:val="bottom"/>
            <w:hideMark/>
          </w:tcPr>
          <w:p w14:paraId="7AE44B4E" w14:textId="77777777" w:rsidR="00000000" w:rsidRDefault="00582324">
            <w:pPr>
              <w:pStyle w:val="a3"/>
              <w:spacing w:before="0" w:beforeAutospacing="0" w:after="0" w:afterAutospacing="0"/>
              <w:rPr>
                <w:color w:val="000000"/>
                <w:sz w:val="12"/>
                <w:szCs w:val="12"/>
              </w:rPr>
            </w:pPr>
            <w:r>
              <w:rPr>
                <w:color w:val="000000"/>
                <w:sz w:val="12"/>
                <w:szCs w:val="12"/>
              </w:rPr>
              <w:t> </w:t>
            </w:r>
          </w:p>
        </w:tc>
        <w:tc>
          <w:tcPr>
            <w:tcW w:w="48" w:type="pct"/>
            <w:shd w:val="clear" w:color="auto" w:fill="FFFFFF"/>
            <w:tcMar>
              <w:top w:w="15" w:type="dxa"/>
              <w:left w:w="0" w:type="dxa"/>
              <w:bottom w:w="0" w:type="dxa"/>
              <w:right w:w="15" w:type="dxa"/>
            </w:tcMar>
            <w:vAlign w:val="bottom"/>
            <w:hideMark/>
          </w:tcPr>
          <w:p w14:paraId="2329EB6B" w14:textId="77777777" w:rsidR="00000000" w:rsidRDefault="00582324">
            <w:pPr>
              <w:pStyle w:val="a3"/>
              <w:spacing w:before="0" w:beforeAutospacing="0" w:after="0" w:afterAutospacing="0"/>
              <w:rPr>
                <w:color w:val="000000"/>
                <w:sz w:val="12"/>
                <w:szCs w:val="12"/>
              </w:rPr>
            </w:pPr>
            <w:r>
              <w:rPr>
                <w:color w:val="000000"/>
                <w:sz w:val="12"/>
                <w:szCs w:val="12"/>
              </w:rPr>
              <w:t> </w:t>
            </w:r>
          </w:p>
        </w:tc>
        <w:tc>
          <w:tcPr>
            <w:tcW w:w="4598" w:type="pct"/>
            <w:tcBorders>
              <w:top w:val="single" w:sz="6" w:space="0" w:color="000000"/>
            </w:tcBorders>
            <w:shd w:val="clear" w:color="auto" w:fill="FFFFFF"/>
            <w:tcMar>
              <w:top w:w="15" w:type="dxa"/>
              <w:left w:w="0" w:type="dxa"/>
              <w:bottom w:w="0" w:type="dxa"/>
              <w:right w:w="15" w:type="dxa"/>
            </w:tcMar>
            <w:vAlign w:val="bottom"/>
            <w:hideMark/>
          </w:tcPr>
          <w:p w14:paraId="1A3939EC" w14:textId="77777777" w:rsidR="00000000" w:rsidRDefault="00582324">
            <w:pPr>
              <w:pStyle w:val="a3"/>
              <w:spacing w:before="0" w:beforeAutospacing="0" w:after="0" w:afterAutospacing="0"/>
              <w:rPr>
                <w:color w:val="000000"/>
                <w:sz w:val="12"/>
                <w:szCs w:val="12"/>
              </w:rPr>
            </w:pPr>
            <w:r>
              <w:rPr>
                <w:color w:val="000000"/>
                <w:sz w:val="12"/>
                <w:szCs w:val="12"/>
              </w:rPr>
              <w:t> </w:t>
            </w:r>
          </w:p>
        </w:tc>
      </w:tr>
      <w:tr w:rsidR="00000000" w14:paraId="26C8444E" w14:textId="77777777">
        <w:trPr>
          <w:divId w:val="1611013474"/>
        </w:trPr>
        <w:tc>
          <w:tcPr>
            <w:tcW w:w="354" w:type="pct"/>
            <w:shd w:val="clear" w:color="auto" w:fill="FFFFFF"/>
            <w:tcMar>
              <w:top w:w="15" w:type="dxa"/>
              <w:left w:w="0" w:type="dxa"/>
              <w:bottom w:w="0" w:type="dxa"/>
              <w:right w:w="15" w:type="dxa"/>
            </w:tcMar>
            <w:hideMark/>
          </w:tcPr>
          <w:p w14:paraId="7A7B7E24"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w:t>
            </w:r>
          </w:p>
        </w:tc>
        <w:tc>
          <w:tcPr>
            <w:tcW w:w="48" w:type="pct"/>
            <w:shd w:val="clear" w:color="auto" w:fill="FFFFFF"/>
            <w:tcMar>
              <w:top w:w="15" w:type="dxa"/>
              <w:left w:w="0" w:type="dxa"/>
              <w:bottom w:w="0" w:type="dxa"/>
              <w:right w:w="15" w:type="dxa"/>
            </w:tcMar>
            <w:hideMark/>
          </w:tcPr>
          <w:p w14:paraId="6EA31F11"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02EBAFEA" w14:textId="77777777" w:rsidR="00000000" w:rsidRDefault="00582324">
            <w:pPr>
              <w:pStyle w:val="a3"/>
              <w:spacing w:before="0" w:beforeAutospacing="0" w:after="0" w:afterAutospacing="0"/>
              <w:rPr>
                <w:sz w:val="20"/>
                <w:szCs w:val="20"/>
              </w:rPr>
            </w:pPr>
            <w:hyperlink r:id="rId4" w:history="1">
              <w:r>
                <w:rPr>
                  <w:rStyle w:val="a4"/>
                  <w:sz w:val="20"/>
                  <w:szCs w:val="20"/>
                </w:rPr>
                <w:t>Credit Agreement, dated April  27, 2021 among Montrose Environmental Group, Inc., Montrose Environmental Group Ltd., the Guarantors (defined therein), each fina</w:t>
              </w:r>
              <w:r>
                <w:rPr>
                  <w:rStyle w:val="a4"/>
                  <w:sz w:val="20"/>
                  <w:szCs w:val="20"/>
                </w:rPr>
                <w:t>ncial institution from time to time party thereto, Bank of the West, as Administrative Agent, Swing Line Lender, L/C Issuer, Sole Bookrunner and Joint Lead Arranger, and Capital One, National Association and BofA Securities, Inc., each as Joint Lead Arrang</w:t>
              </w:r>
              <w:r>
                <w:rPr>
                  <w:rStyle w:val="a4"/>
                  <w:sz w:val="20"/>
                  <w:szCs w:val="20"/>
                </w:rPr>
                <w:t>er (filed as exhibit 10.1 to the Company’s Current Report on Form 8-K filed with the SEC on April 29, 2021 and incorporated herein by reference).</w:t>
              </w:r>
            </w:hyperlink>
          </w:p>
        </w:tc>
      </w:tr>
      <w:tr w:rsidR="00000000" w14:paraId="50303CE7" w14:textId="77777777">
        <w:trPr>
          <w:divId w:val="1611013474"/>
        </w:trPr>
        <w:tc>
          <w:tcPr>
            <w:tcW w:w="354" w:type="pct"/>
            <w:shd w:val="clear" w:color="auto" w:fill="FFFFFF"/>
            <w:tcMar>
              <w:top w:w="15" w:type="dxa"/>
              <w:left w:w="0" w:type="dxa"/>
              <w:bottom w:w="0" w:type="dxa"/>
              <w:right w:w="15" w:type="dxa"/>
            </w:tcMar>
            <w:hideMark/>
          </w:tcPr>
          <w:p w14:paraId="6BF122D3"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31.1*</w:t>
            </w:r>
          </w:p>
        </w:tc>
        <w:tc>
          <w:tcPr>
            <w:tcW w:w="48" w:type="pct"/>
            <w:shd w:val="clear" w:color="auto" w:fill="FFFFFF"/>
            <w:tcMar>
              <w:top w:w="15" w:type="dxa"/>
              <w:left w:w="0" w:type="dxa"/>
              <w:bottom w:w="0" w:type="dxa"/>
              <w:right w:w="15" w:type="dxa"/>
            </w:tcMar>
            <w:hideMark/>
          </w:tcPr>
          <w:p w14:paraId="1CD1FC3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3EC61569" w14:textId="77777777" w:rsidR="00000000" w:rsidRDefault="00582324">
            <w:pPr>
              <w:pStyle w:val="a3"/>
              <w:spacing w:before="0" w:beforeAutospacing="0" w:after="0" w:afterAutospacing="0"/>
              <w:rPr>
                <w:sz w:val="20"/>
                <w:szCs w:val="20"/>
              </w:rPr>
            </w:pPr>
            <w:hyperlink r:id="rId5" w:history="1">
              <w:r>
                <w:rPr>
                  <w:rStyle w:val="a4"/>
                  <w:sz w:val="20"/>
                  <w:szCs w:val="20"/>
                </w:rPr>
                <w:t>Certification of Principal Executive Officer Pursuant to Rules 13a-14</w:t>
              </w:r>
              <w:r>
                <w:rPr>
                  <w:rStyle w:val="a4"/>
                  <w:sz w:val="20"/>
                  <w:szCs w:val="20"/>
                </w:rPr>
                <w:t>(a) and 15d-14(a) under the Securities Exchange Act of 1934, as Adopted Pursuant to Section 302 of the Sarbanes-Oxley Act of 2002.</w:t>
              </w:r>
            </w:hyperlink>
          </w:p>
        </w:tc>
      </w:tr>
      <w:tr w:rsidR="00000000" w14:paraId="06F30C96" w14:textId="77777777">
        <w:trPr>
          <w:divId w:val="1611013474"/>
        </w:trPr>
        <w:tc>
          <w:tcPr>
            <w:tcW w:w="354" w:type="pct"/>
            <w:shd w:val="clear" w:color="auto" w:fill="FFFFFF"/>
            <w:tcMar>
              <w:top w:w="15" w:type="dxa"/>
              <w:left w:w="0" w:type="dxa"/>
              <w:bottom w:w="0" w:type="dxa"/>
              <w:right w:w="15" w:type="dxa"/>
            </w:tcMar>
            <w:hideMark/>
          </w:tcPr>
          <w:p w14:paraId="659D4900"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5E067218"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853EE8B" w14:textId="77777777" w:rsidR="00000000" w:rsidRDefault="00582324">
            <w:pPr>
              <w:pStyle w:val="a3"/>
              <w:spacing w:before="0" w:beforeAutospacing="0" w:after="0" w:afterAutospacing="0"/>
              <w:rPr>
                <w:sz w:val="12"/>
                <w:szCs w:val="12"/>
              </w:rPr>
            </w:pPr>
            <w:r>
              <w:rPr>
                <w:sz w:val="12"/>
                <w:szCs w:val="12"/>
              </w:rPr>
              <w:t> </w:t>
            </w:r>
          </w:p>
        </w:tc>
      </w:tr>
      <w:tr w:rsidR="00000000" w14:paraId="3108E2F0" w14:textId="77777777">
        <w:trPr>
          <w:divId w:val="1611013474"/>
        </w:trPr>
        <w:tc>
          <w:tcPr>
            <w:tcW w:w="354" w:type="pct"/>
            <w:shd w:val="clear" w:color="auto" w:fill="FFFFFF"/>
            <w:tcMar>
              <w:top w:w="15" w:type="dxa"/>
              <w:left w:w="0" w:type="dxa"/>
              <w:bottom w:w="0" w:type="dxa"/>
              <w:right w:w="15" w:type="dxa"/>
            </w:tcMar>
            <w:hideMark/>
          </w:tcPr>
          <w:p w14:paraId="353691E9"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31.2*</w:t>
            </w:r>
          </w:p>
        </w:tc>
        <w:tc>
          <w:tcPr>
            <w:tcW w:w="48" w:type="pct"/>
            <w:shd w:val="clear" w:color="auto" w:fill="FFFFFF"/>
            <w:tcMar>
              <w:top w:w="15" w:type="dxa"/>
              <w:left w:w="0" w:type="dxa"/>
              <w:bottom w:w="0" w:type="dxa"/>
              <w:right w:w="15" w:type="dxa"/>
            </w:tcMar>
            <w:hideMark/>
          </w:tcPr>
          <w:p w14:paraId="09887310"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52B2D101" w14:textId="77777777" w:rsidR="00000000" w:rsidRDefault="00582324">
            <w:pPr>
              <w:pStyle w:val="a3"/>
              <w:spacing w:before="0" w:beforeAutospacing="0" w:after="0" w:afterAutospacing="0"/>
              <w:rPr>
                <w:sz w:val="20"/>
                <w:szCs w:val="20"/>
              </w:rPr>
            </w:pPr>
            <w:hyperlink r:id="rId6" w:history="1">
              <w:r>
                <w:rPr>
                  <w:rStyle w:val="a4"/>
                  <w:sz w:val="20"/>
                  <w:szCs w:val="20"/>
                </w:rPr>
                <w:t xml:space="preserve">Certification of Principal Financial Officer Pursuant to Rules 13a-14(a) and </w:t>
              </w:r>
              <w:r>
                <w:rPr>
                  <w:rStyle w:val="a4"/>
                  <w:sz w:val="20"/>
                  <w:szCs w:val="20"/>
                </w:rPr>
                <w:t>15d-14(a) under the Securities Exchange Act of 1934, as Adopted Pursuant to Section 302 of the Sarbanes-Oxley Act of 2002.</w:t>
              </w:r>
            </w:hyperlink>
          </w:p>
        </w:tc>
      </w:tr>
      <w:tr w:rsidR="00000000" w14:paraId="547AA099" w14:textId="77777777">
        <w:trPr>
          <w:divId w:val="1611013474"/>
        </w:trPr>
        <w:tc>
          <w:tcPr>
            <w:tcW w:w="354" w:type="pct"/>
            <w:shd w:val="clear" w:color="auto" w:fill="FFFFFF"/>
            <w:tcMar>
              <w:top w:w="15" w:type="dxa"/>
              <w:left w:w="0" w:type="dxa"/>
              <w:bottom w:w="0" w:type="dxa"/>
              <w:right w:w="15" w:type="dxa"/>
            </w:tcMar>
            <w:hideMark/>
          </w:tcPr>
          <w:p w14:paraId="3CF6E748"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671383AE"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72AF91D6" w14:textId="77777777" w:rsidR="00000000" w:rsidRDefault="00582324">
            <w:pPr>
              <w:pStyle w:val="a3"/>
              <w:spacing w:before="0" w:beforeAutospacing="0" w:after="0" w:afterAutospacing="0"/>
              <w:rPr>
                <w:sz w:val="12"/>
                <w:szCs w:val="12"/>
              </w:rPr>
            </w:pPr>
            <w:r>
              <w:rPr>
                <w:sz w:val="12"/>
                <w:szCs w:val="12"/>
              </w:rPr>
              <w:t> </w:t>
            </w:r>
          </w:p>
        </w:tc>
      </w:tr>
      <w:tr w:rsidR="00000000" w14:paraId="0CC737FA" w14:textId="77777777">
        <w:trPr>
          <w:divId w:val="1611013474"/>
        </w:trPr>
        <w:tc>
          <w:tcPr>
            <w:tcW w:w="354" w:type="pct"/>
            <w:shd w:val="clear" w:color="auto" w:fill="FFFFFF"/>
            <w:tcMar>
              <w:top w:w="15" w:type="dxa"/>
              <w:left w:w="0" w:type="dxa"/>
              <w:bottom w:w="0" w:type="dxa"/>
              <w:right w:w="15" w:type="dxa"/>
            </w:tcMar>
            <w:hideMark/>
          </w:tcPr>
          <w:p w14:paraId="7F6FF01C"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32.1**</w:t>
            </w:r>
          </w:p>
        </w:tc>
        <w:tc>
          <w:tcPr>
            <w:tcW w:w="48" w:type="pct"/>
            <w:shd w:val="clear" w:color="auto" w:fill="FFFFFF"/>
            <w:tcMar>
              <w:top w:w="15" w:type="dxa"/>
              <w:left w:w="0" w:type="dxa"/>
              <w:bottom w:w="0" w:type="dxa"/>
              <w:right w:w="15" w:type="dxa"/>
            </w:tcMar>
            <w:hideMark/>
          </w:tcPr>
          <w:p w14:paraId="045B5CE9"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4007F823" w14:textId="77777777" w:rsidR="00000000" w:rsidRDefault="00582324">
            <w:pPr>
              <w:pStyle w:val="a3"/>
              <w:spacing w:before="0" w:beforeAutospacing="0" w:after="0" w:afterAutospacing="0"/>
              <w:rPr>
                <w:sz w:val="20"/>
                <w:szCs w:val="20"/>
              </w:rPr>
            </w:pPr>
            <w:hyperlink r:id="rId7" w:history="1">
              <w:r>
                <w:rPr>
                  <w:rStyle w:val="a4"/>
                  <w:sz w:val="20"/>
                  <w:szCs w:val="20"/>
                </w:rPr>
                <w:t>Certification of Principal Executive Officer Pursuant to 18 U.S.C. Section 1350, as Adopted Pursuant to Section 906 of the Sarbanes-Oxley Act of 2002.</w:t>
              </w:r>
            </w:hyperlink>
          </w:p>
        </w:tc>
      </w:tr>
      <w:tr w:rsidR="00000000" w14:paraId="6C6F5E28" w14:textId="77777777">
        <w:trPr>
          <w:divId w:val="1611013474"/>
        </w:trPr>
        <w:tc>
          <w:tcPr>
            <w:tcW w:w="354" w:type="pct"/>
            <w:shd w:val="clear" w:color="auto" w:fill="FFFFFF"/>
            <w:tcMar>
              <w:top w:w="15" w:type="dxa"/>
              <w:left w:w="0" w:type="dxa"/>
              <w:bottom w:w="0" w:type="dxa"/>
              <w:right w:w="15" w:type="dxa"/>
            </w:tcMar>
            <w:hideMark/>
          </w:tcPr>
          <w:p w14:paraId="51BB1C74"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123F758B"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278D2273" w14:textId="77777777" w:rsidR="00000000" w:rsidRDefault="00582324">
            <w:pPr>
              <w:pStyle w:val="a3"/>
              <w:spacing w:before="0" w:beforeAutospacing="0" w:after="0" w:afterAutospacing="0"/>
              <w:rPr>
                <w:sz w:val="12"/>
                <w:szCs w:val="12"/>
              </w:rPr>
            </w:pPr>
            <w:r>
              <w:rPr>
                <w:sz w:val="12"/>
                <w:szCs w:val="12"/>
              </w:rPr>
              <w:t> </w:t>
            </w:r>
          </w:p>
        </w:tc>
      </w:tr>
      <w:tr w:rsidR="00000000" w14:paraId="75D9659A" w14:textId="77777777">
        <w:trPr>
          <w:divId w:val="1611013474"/>
        </w:trPr>
        <w:tc>
          <w:tcPr>
            <w:tcW w:w="354" w:type="pct"/>
            <w:shd w:val="clear" w:color="auto" w:fill="FFFFFF"/>
            <w:tcMar>
              <w:top w:w="15" w:type="dxa"/>
              <w:left w:w="0" w:type="dxa"/>
              <w:bottom w:w="0" w:type="dxa"/>
              <w:right w:w="15" w:type="dxa"/>
            </w:tcMar>
            <w:hideMark/>
          </w:tcPr>
          <w:p w14:paraId="077C1035"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32.2**</w:t>
            </w:r>
          </w:p>
        </w:tc>
        <w:tc>
          <w:tcPr>
            <w:tcW w:w="48" w:type="pct"/>
            <w:shd w:val="clear" w:color="auto" w:fill="FFFFFF"/>
            <w:tcMar>
              <w:top w:w="15" w:type="dxa"/>
              <w:left w:w="0" w:type="dxa"/>
              <w:bottom w:w="0" w:type="dxa"/>
              <w:right w:w="15" w:type="dxa"/>
            </w:tcMar>
            <w:hideMark/>
          </w:tcPr>
          <w:p w14:paraId="3D86757B"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6A55BA4F" w14:textId="77777777" w:rsidR="00000000" w:rsidRDefault="00582324">
            <w:pPr>
              <w:pStyle w:val="a3"/>
              <w:spacing w:before="0" w:beforeAutospacing="0" w:after="0" w:afterAutospacing="0"/>
              <w:rPr>
                <w:sz w:val="20"/>
                <w:szCs w:val="20"/>
              </w:rPr>
            </w:pPr>
            <w:hyperlink r:id="rId8" w:history="1">
              <w:r>
                <w:rPr>
                  <w:rStyle w:val="a4"/>
                  <w:sz w:val="20"/>
                  <w:szCs w:val="20"/>
                </w:rPr>
                <w:t>Certification of Principal Financial Officer Pursuant to</w:t>
              </w:r>
              <w:r>
                <w:rPr>
                  <w:rStyle w:val="a4"/>
                  <w:sz w:val="20"/>
                  <w:szCs w:val="20"/>
                </w:rPr>
                <w:t xml:space="preserve"> 18 U.S.C. Section 1350, as Adopted Pursuant to Section 906 of the Sarbanes-Oxley Act of 2002.</w:t>
              </w:r>
            </w:hyperlink>
          </w:p>
        </w:tc>
      </w:tr>
      <w:tr w:rsidR="00000000" w14:paraId="414FB3D5" w14:textId="77777777">
        <w:trPr>
          <w:divId w:val="1611013474"/>
        </w:trPr>
        <w:tc>
          <w:tcPr>
            <w:tcW w:w="354" w:type="pct"/>
            <w:shd w:val="clear" w:color="auto" w:fill="FFFFFF"/>
            <w:tcMar>
              <w:top w:w="15" w:type="dxa"/>
              <w:left w:w="0" w:type="dxa"/>
              <w:bottom w:w="0" w:type="dxa"/>
              <w:right w:w="15" w:type="dxa"/>
            </w:tcMar>
            <w:hideMark/>
          </w:tcPr>
          <w:p w14:paraId="301BBD48"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33394235"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6ADB6EF" w14:textId="77777777" w:rsidR="00000000" w:rsidRDefault="00582324">
            <w:pPr>
              <w:pStyle w:val="a3"/>
              <w:spacing w:before="0" w:beforeAutospacing="0" w:after="0" w:afterAutospacing="0"/>
              <w:rPr>
                <w:sz w:val="12"/>
                <w:szCs w:val="12"/>
              </w:rPr>
            </w:pPr>
            <w:r>
              <w:rPr>
                <w:sz w:val="12"/>
                <w:szCs w:val="12"/>
              </w:rPr>
              <w:t> </w:t>
            </w:r>
          </w:p>
        </w:tc>
      </w:tr>
      <w:tr w:rsidR="00000000" w14:paraId="33C9A6E8" w14:textId="77777777">
        <w:trPr>
          <w:divId w:val="1611013474"/>
        </w:trPr>
        <w:tc>
          <w:tcPr>
            <w:tcW w:w="354" w:type="pct"/>
            <w:shd w:val="clear" w:color="auto" w:fill="FFFFFF"/>
            <w:tcMar>
              <w:top w:w="15" w:type="dxa"/>
              <w:left w:w="0" w:type="dxa"/>
              <w:bottom w:w="0" w:type="dxa"/>
              <w:right w:w="15" w:type="dxa"/>
            </w:tcMar>
            <w:hideMark/>
          </w:tcPr>
          <w:p w14:paraId="29B2D762"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101.INS*</w:t>
            </w:r>
          </w:p>
        </w:tc>
        <w:tc>
          <w:tcPr>
            <w:tcW w:w="48" w:type="pct"/>
            <w:shd w:val="clear" w:color="auto" w:fill="FFFFFF"/>
            <w:tcMar>
              <w:top w:w="15" w:type="dxa"/>
              <w:left w:w="0" w:type="dxa"/>
              <w:bottom w:w="0" w:type="dxa"/>
              <w:right w:w="15" w:type="dxa"/>
            </w:tcMar>
            <w:hideMark/>
          </w:tcPr>
          <w:p w14:paraId="4CFD9EBF" w14:textId="77777777" w:rsidR="00000000" w:rsidRDefault="00582324">
            <w:pPr>
              <w:pStyle w:val="a3"/>
              <w:spacing w:before="0" w:beforeAutospacing="0" w:after="0" w:afterAutospacing="0"/>
              <w:rPr>
                <w:color w:val="000000"/>
                <w:sz w:val="20"/>
                <w:szCs w:val="20"/>
              </w:rPr>
            </w:pPr>
            <w:r>
              <w:rPr>
                <w:color w:val="000000"/>
                <w:sz w:val="20"/>
                <w:szCs w:val="20"/>
              </w:rPr>
              <w:t> </w:t>
            </w:r>
          </w:p>
        </w:tc>
        <w:tc>
          <w:tcPr>
            <w:tcW w:w="4598" w:type="pct"/>
            <w:shd w:val="clear" w:color="auto" w:fill="FFFFFF"/>
            <w:tcMar>
              <w:top w:w="15" w:type="dxa"/>
              <w:left w:w="0" w:type="dxa"/>
              <w:bottom w:w="0" w:type="dxa"/>
              <w:right w:w="15" w:type="dxa"/>
            </w:tcMar>
            <w:hideMark/>
          </w:tcPr>
          <w:p w14:paraId="38BFDE8D" w14:textId="77777777" w:rsidR="00000000" w:rsidRDefault="00582324">
            <w:pPr>
              <w:pStyle w:val="a3"/>
              <w:spacing w:before="0" w:beforeAutospacing="0" w:after="0" w:afterAutospacing="0"/>
              <w:rPr>
                <w:color w:val="000000"/>
                <w:sz w:val="20"/>
                <w:szCs w:val="20"/>
              </w:rPr>
            </w:pPr>
            <w:r>
              <w:rPr>
                <w:color w:val="000000"/>
                <w:sz w:val="20"/>
                <w:szCs w:val="20"/>
              </w:rPr>
              <w:t>Inline XBRL Instance Document</w:t>
            </w:r>
          </w:p>
        </w:tc>
      </w:tr>
      <w:tr w:rsidR="00000000" w14:paraId="36BFDBB1" w14:textId="77777777">
        <w:trPr>
          <w:divId w:val="1611013474"/>
        </w:trPr>
        <w:tc>
          <w:tcPr>
            <w:tcW w:w="354" w:type="pct"/>
            <w:shd w:val="clear" w:color="auto" w:fill="FFFFFF"/>
            <w:tcMar>
              <w:top w:w="15" w:type="dxa"/>
              <w:left w:w="0" w:type="dxa"/>
              <w:bottom w:w="0" w:type="dxa"/>
              <w:right w:w="15" w:type="dxa"/>
            </w:tcMar>
            <w:hideMark/>
          </w:tcPr>
          <w:p w14:paraId="5A14EA65"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6F7115E8"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606250BA" w14:textId="77777777" w:rsidR="00000000" w:rsidRDefault="00582324">
            <w:pPr>
              <w:pStyle w:val="a3"/>
              <w:spacing w:before="0" w:beforeAutospacing="0" w:after="0" w:afterAutospacing="0"/>
              <w:rPr>
                <w:sz w:val="12"/>
                <w:szCs w:val="12"/>
              </w:rPr>
            </w:pPr>
            <w:r>
              <w:rPr>
                <w:sz w:val="12"/>
                <w:szCs w:val="12"/>
              </w:rPr>
              <w:t> </w:t>
            </w:r>
          </w:p>
        </w:tc>
      </w:tr>
      <w:tr w:rsidR="00000000" w14:paraId="07E12254" w14:textId="77777777">
        <w:trPr>
          <w:divId w:val="1611013474"/>
        </w:trPr>
        <w:tc>
          <w:tcPr>
            <w:tcW w:w="354" w:type="pct"/>
            <w:shd w:val="clear" w:color="auto" w:fill="FFFFFF"/>
            <w:tcMar>
              <w:top w:w="15" w:type="dxa"/>
              <w:left w:w="0" w:type="dxa"/>
              <w:bottom w:w="0" w:type="dxa"/>
              <w:right w:w="15" w:type="dxa"/>
            </w:tcMar>
            <w:hideMark/>
          </w:tcPr>
          <w:p w14:paraId="795BF342"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101.SCH*</w:t>
            </w:r>
          </w:p>
        </w:tc>
        <w:tc>
          <w:tcPr>
            <w:tcW w:w="48" w:type="pct"/>
            <w:shd w:val="clear" w:color="auto" w:fill="FFFFFF"/>
            <w:tcMar>
              <w:top w:w="15" w:type="dxa"/>
              <w:left w:w="0" w:type="dxa"/>
              <w:bottom w:w="0" w:type="dxa"/>
              <w:right w:w="15" w:type="dxa"/>
            </w:tcMar>
            <w:hideMark/>
          </w:tcPr>
          <w:p w14:paraId="579022A3"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4F8DA433" w14:textId="77777777" w:rsidR="00000000" w:rsidRDefault="00582324">
            <w:pPr>
              <w:pStyle w:val="a3"/>
              <w:spacing w:before="0" w:beforeAutospacing="0" w:after="0" w:afterAutospacing="0"/>
              <w:rPr>
                <w:color w:val="000000"/>
                <w:sz w:val="20"/>
                <w:szCs w:val="20"/>
              </w:rPr>
            </w:pPr>
            <w:r>
              <w:rPr>
                <w:color w:val="000000"/>
                <w:sz w:val="20"/>
                <w:szCs w:val="20"/>
              </w:rPr>
              <w:t>Inline XBRL Taxonomy Extension Schema Document</w:t>
            </w:r>
          </w:p>
        </w:tc>
      </w:tr>
      <w:tr w:rsidR="00000000" w14:paraId="6C0B511C" w14:textId="77777777">
        <w:trPr>
          <w:divId w:val="1611013474"/>
        </w:trPr>
        <w:tc>
          <w:tcPr>
            <w:tcW w:w="354" w:type="pct"/>
            <w:shd w:val="clear" w:color="auto" w:fill="FFFFFF"/>
            <w:tcMar>
              <w:top w:w="15" w:type="dxa"/>
              <w:left w:w="0" w:type="dxa"/>
              <w:bottom w:w="0" w:type="dxa"/>
              <w:right w:w="15" w:type="dxa"/>
            </w:tcMar>
            <w:hideMark/>
          </w:tcPr>
          <w:p w14:paraId="62EEB646"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7AD37963"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1DE4C2A1" w14:textId="77777777" w:rsidR="00000000" w:rsidRDefault="00582324">
            <w:pPr>
              <w:pStyle w:val="a3"/>
              <w:spacing w:before="0" w:beforeAutospacing="0" w:after="0" w:afterAutospacing="0"/>
              <w:rPr>
                <w:sz w:val="12"/>
                <w:szCs w:val="12"/>
              </w:rPr>
            </w:pPr>
            <w:r>
              <w:rPr>
                <w:sz w:val="12"/>
                <w:szCs w:val="12"/>
              </w:rPr>
              <w:t> </w:t>
            </w:r>
          </w:p>
        </w:tc>
      </w:tr>
      <w:tr w:rsidR="00000000" w14:paraId="5AB0ABD9" w14:textId="77777777">
        <w:trPr>
          <w:divId w:val="1611013474"/>
        </w:trPr>
        <w:tc>
          <w:tcPr>
            <w:tcW w:w="354" w:type="pct"/>
            <w:shd w:val="clear" w:color="auto" w:fill="FFFFFF"/>
            <w:tcMar>
              <w:top w:w="15" w:type="dxa"/>
              <w:left w:w="0" w:type="dxa"/>
              <w:bottom w:w="0" w:type="dxa"/>
              <w:right w:w="15" w:type="dxa"/>
            </w:tcMar>
            <w:hideMark/>
          </w:tcPr>
          <w:p w14:paraId="093388F9"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101.CAL*</w:t>
            </w:r>
          </w:p>
        </w:tc>
        <w:tc>
          <w:tcPr>
            <w:tcW w:w="48" w:type="pct"/>
            <w:shd w:val="clear" w:color="auto" w:fill="FFFFFF"/>
            <w:tcMar>
              <w:top w:w="15" w:type="dxa"/>
              <w:left w:w="0" w:type="dxa"/>
              <w:bottom w:w="0" w:type="dxa"/>
              <w:right w:w="15" w:type="dxa"/>
            </w:tcMar>
            <w:hideMark/>
          </w:tcPr>
          <w:p w14:paraId="191A7E38"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2868E1F1" w14:textId="77777777" w:rsidR="00000000" w:rsidRDefault="00582324">
            <w:pPr>
              <w:pStyle w:val="a3"/>
              <w:spacing w:before="0" w:beforeAutospacing="0" w:after="0" w:afterAutospacing="0"/>
              <w:rPr>
                <w:color w:val="000000"/>
                <w:sz w:val="20"/>
                <w:szCs w:val="20"/>
              </w:rPr>
            </w:pPr>
            <w:r>
              <w:rPr>
                <w:color w:val="000000"/>
                <w:sz w:val="20"/>
                <w:szCs w:val="20"/>
              </w:rPr>
              <w:t>Inline XBRL Taxonomy Extension Calculation Linkbase Document</w:t>
            </w:r>
          </w:p>
        </w:tc>
      </w:tr>
      <w:tr w:rsidR="00000000" w14:paraId="6E0BE86C" w14:textId="77777777">
        <w:trPr>
          <w:divId w:val="1611013474"/>
        </w:trPr>
        <w:tc>
          <w:tcPr>
            <w:tcW w:w="354" w:type="pct"/>
            <w:shd w:val="clear" w:color="auto" w:fill="FFFFFF"/>
            <w:tcMar>
              <w:top w:w="15" w:type="dxa"/>
              <w:left w:w="0" w:type="dxa"/>
              <w:bottom w:w="0" w:type="dxa"/>
              <w:right w:w="15" w:type="dxa"/>
            </w:tcMar>
            <w:hideMark/>
          </w:tcPr>
          <w:p w14:paraId="46BD80BE"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6F00DBDA"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0EFF2A71" w14:textId="77777777" w:rsidR="00000000" w:rsidRDefault="00582324">
            <w:pPr>
              <w:pStyle w:val="a3"/>
              <w:spacing w:before="0" w:beforeAutospacing="0" w:after="0" w:afterAutospacing="0"/>
              <w:rPr>
                <w:sz w:val="12"/>
                <w:szCs w:val="12"/>
              </w:rPr>
            </w:pPr>
            <w:r>
              <w:rPr>
                <w:sz w:val="12"/>
                <w:szCs w:val="12"/>
              </w:rPr>
              <w:t> </w:t>
            </w:r>
          </w:p>
        </w:tc>
      </w:tr>
      <w:tr w:rsidR="00000000" w14:paraId="7294C4E1" w14:textId="77777777">
        <w:trPr>
          <w:divId w:val="1611013474"/>
        </w:trPr>
        <w:tc>
          <w:tcPr>
            <w:tcW w:w="354" w:type="pct"/>
            <w:shd w:val="clear" w:color="auto" w:fill="FFFFFF"/>
            <w:tcMar>
              <w:top w:w="15" w:type="dxa"/>
              <w:left w:w="0" w:type="dxa"/>
              <w:bottom w:w="0" w:type="dxa"/>
              <w:right w:w="15" w:type="dxa"/>
            </w:tcMar>
            <w:hideMark/>
          </w:tcPr>
          <w:p w14:paraId="59E059FD"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101.DEF*</w:t>
            </w:r>
          </w:p>
        </w:tc>
        <w:tc>
          <w:tcPr>
            <w:tcW w:w="48" w:type="pct"/>
            <w:shd w:val="clear" w:color="auto" w:fill="FFFFFF"/>
            <w:tcMar>
              <w:top w:w="15" w:type="dxa"/>
              <w:left w:w="0" w:type="dxa"/>
              <w:bottom w:w="0" w:type="dxa"/>
              <w:right w:w="15" w:type="dxa"/>
            </w:tcMar>
            <w:hideMark/>
          </w:tcPr>
          <w:p w14:paraId="0EE92856"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21BD3486" w14:textId="77777777" w:rsidR="00000000" w:rsidRDefault="00582324">
            <w:pPr>
              <w:pStyle w:val="a3"/>
              <w:spacing w:before="0" w:beforeAutospacing="0" w:after="0" w:afterAutospacing="0"/>
              <w:rPr>
                <w:color w:val="000000"/>
                <w:sz w:val="20"/>
                <w:szCs w:val="20"/>
              </w:rPr>
            </w:pPr>
            <w:r>
              <w:rPr>
                <w:color w:val="000000"/>
                <w:sz w:val="20"/>
                <w:szCs w:val="20"/>
              </w:rPr>
              <w:t>Inline XBRL Taxonomy Extension Definition Linkbase Document</w:t>
            </w:r>
          </w:p>
        </w:tc>
      </w:tr>
      <w:tr w:rsidR="00000000" w14:paraId="614E9345" w14:textId="77777777">
        <w:trPr>
          <w:divId w:val="1611013474"/>
        </w:trPr>
        <w:tc>
          <w:tcPr>
            <w:tcW w:w="354" w:type="pct"/>
            <w:shd w:val="clear" w:color="auto" w:fill="FFFFFF"/>
            <w:tcMar>
              <w:top w:w="15" w:type="dxa"/>
              <w:left w:w="0" w:type="dxa"/>
              <w:bottom w:w="0" w:type="dxa"/>
              <w:right w:w="15" w:type="dxa"/>
            </w:tcMar>
            <w:hideMark/>
          </w:tcPr>
          <w:p w14:paraId="5051E186"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7045C032"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EEB3B4B" w14:textId="77777777" w:rsidR="00000000" w:rsidRDefault="00582324">
            <w:pPr>
              <w:pStyle w:val="a3"/>
              <w:spacing w:before="0" w:beforeAutospacing="0" w:after="0" w:afterAutospacing="0"/>
              <w:rPr>
                <w:sz w:val="12"/>
                <w:szCs w:val="12"/>
              </w:rPr>
            </w:pPr>
            <w:r>
              <w:rPr>
                <w:sz w:val="12"/>
                <w:szCs w:val="12"/>
              </w:rPr>
              <w:t> </w:t>
            </w:r>
          </w:p>
        </w:tc>
      </w:tr>
      <w:tr w:rsidR="00000000" w14:paraId="15B6B19B" w14:textId="77777777">
        <w:trPr>
          <w:divId w:val="1611013474"/>
        </w:trPr>
        <w:tc>
          <w:tcPr>
            <w:tcW w:w="354" w:type="pct"/>
            <w:shd w:val="clear" w:color="auto" w:fill="FFFFFF"/>
            <w:tcMar>
              <w:top w:w="15" w:type="dxa"/>
              <w:left w:w="0" w:type="dxa"/>
              <w:bottom w:w="0" w:type="dxa"/>
              <w:right w:w="15" w:type="dxa"/>
            </w:tcMar>
            <w:hideMark/>
          </w:tcPr>
          <w:p w14:paraId="1E74B4E8"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101.LAB*</w:t>
            </w:r>
          </w:p>
        </w:tc>
        <w:tc>
          <w:tcPr>
            <w:tcW w:w="48" w:type="pct"/>
            <w:shd w:val="clear" w:color="auto" w:fill="FFFFFF"/>
            <w:tcMar>
              <w:top w:w="15" w:type="dxa"/>
              <w:left w:w="0" w:type="dxa"/>
              <w:bottom w:w="0" w:type="dxa"/>
              <w:right w:w="15" w:type="dxa"/>
            </w:tcMar>
            <w:hideMark/>
          </w:tcPr>
          <w:p w14:paraId="7E4CDEE7"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66102DB7" w14:textId="77777777" w:rsidR="00000000" w:rsidRDefault="00582324">
            <w:pPr>
              <w:pStyle w:val="a3"/>
              <w:spacing w:before="0" w:beforeAutospacing="0" w:after="0" w:afterAutospacing="0"/>
              <w:rPr>
                <w:color w:val="000000"/>
                <w:sz w:val="20"/>
                <w:szCs w:val="20"/>
              </w:rPr>
            </w:pPr>
            <w:r>
              <w:rPr>
                <w:color w:val="000000"/>
                <w:sz w:val="20"/>
                <w:szCs w:val="20"/>
              </w:rPr>
              <w:t>Inline XBRL Taxonomy Extension Label Linkbase Document</w:t>
            </w:r>
          </w:p>
        </w:tc>
      </w:tr>
      <w:tr w:rsidR="00000000" w14:paraId="6913A4AD" w14:textId="77777777">
        <w:trPr>
          <w:divId w:val="1611013474"/>
        </w:trPr>
        <w:tc>
          <w:tcPr>
            <w:tcW w:w="354" w:type="pct"/>
            <w:shd w:val="clear" w:color="auto" w:fill="FFFFFF"/>
            <w:tcMar>
              <w:top w:w="15" w:type="dxa"/>
              <w:left w:w="0" w:type="dxa"/>
              <w:bottom w:w="0" w:type="dxa"/>
              <w:right w:w="15" w:type="dxa"/>
            </w:tcMar>
            <w:hideMark/>
          </w:tcPr>
          <w:p w14:paraId="1CC83EE8" w14:textId="77777777" w:rsidR="00000000" w:rsidRDefault="00582324">
            <w:pPr>
              <w:pStyle w:val="a3"/>
              <w:spacing w:before="0" w:beforeAutospacing="0" w:after="0" w:afterAutospacing="0"/>
              <w:rPr>
                <w:sz w:val="12"/>
                <w:szCs w:val="12"/>
              </w:rPr>
            </w:pPr>
            <w:r>
              <w:rPr>
                <w:sz w:val="12"/>
                <w:szCs w:val="12"/>
              </w:rPr>
              <w:t> </w:t>
            </w:r>
          </w:p>
        </w:tc>
        <w:tc>
          <w:tcPr>
            <w:tcW w:w="48" w:type="pct"/>
            <w:shd w:val="clear" w:color="auto" w:fill="FFFFFF"/>
            <w:tcMar>
              <w:top w:w="15" w:type="dxa"/>
              <w:left w:w="0" w:type="dxa"/>
              <w:bottom w:w="0" w:type="dxa"/>
              <w:right w:w="15" w:type="dxa"/>
            </w:tcMar>
            <w:hideMark/>
          </w:tcPr>
          <w:p w14:paraId="49221B94" w14:textId="77777777" w:rsidR="00000000" w:rsidRDefault="00582324">
            <w:pPr>
              <w:pStyle w:val="a3"/>
              <w:spacing w:before="0" w:beforeAutospacing="0" w:after="0" w:afterAutospacing="0"/>
              <w:rPr>
                <w:sz w:val="12"/>
                <w:szCs w:val="12"/>
              </w:rPr>
            </w:pPr>
            <w:r>
              <w:rPr>
                <w:sz w:val="12"/>
                <w:szCs w:val="12"/>
              </w:rPr>
              <w:t> </w:t>
            </w:r>
          </w:p>
        </w:tc>
        <w:tc>
          <w:tcPr>
            <w:tcW w:w="4598" w:type="pct"/>
            <w:shd w:val="clear" w:color="auto" w:fill="FFFFFF"/>
            <w:tcMar>
              <w:top w:w="15" w:type="dxa"/>
              <w:left w:w="0" w:type="dxa"/>
              <w:bottom w:w="0" w:type="dxa"/>
              <w:right w:w="15" w:type="dxa"/>
            </w:tcMar>
            <w:hideMark/>
          </w:tcPr>
          <w:p w14:paraId="3C88D9AD" w14:textId="77777777" w:rsidR="00000000" w:rsidRDefault="00582324">
            <w:pPr>
              <w:pStyle w:val="a3"/>
              <w:spacing w:before="0" w:beforeAutospacing="0" w:after="0" w:afterAutospacing="0"/>
              <w:rPr>
                <w:sz w:val="12"/>
                <w:szCs w:val="12"/>
              </w:rPr>
            </w:pPr>
            <w:r>
              <w:rPr>
                <w:sz w:val="12"/>
                <w:szCs w:val="12"/>
              </w:rPr>
              <w:t> </w:t>
            </w:r>
          </w:p>
        </w:tc>
      </w:tr>
      <w:tr w:rsidR="00000000" w14:paraId="7C67B3B6" w14:textId="77777777">
        <w:trPr>
          <w:divId w:val="1611013474"/>
        </w:trPr>
        <w:tc>
          <w:tcPr>
            <w:tcW w:w="354" w:type="pct"/>
            <w:shd w:val="clear" w:color="auto" w:fill="FFFFFF"/>
            <w:tcMar>
              <w:top w:w="15" w:type="dxa"/>
              <w:left w:w="0" w:type="dxa"/>
              <w:bottom w:w="0" w:type="dxa"/>
              <w:right w:w="15" w:type="dxa"/>
            </w:tcMar>
            <w:hideMark/>
          </w:tcPr>
          <w:p w14:paraId="31A17117"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101.PRE*</w:t>
            </w:r>
          </w:p>
        </w:tc>
        <w:tc>
          <w:tcPr>
            <w:tcW w:w="48" w:type="pct"/>
            <w:shd w:val="clear" w:color="auto" w:fill="FFFFFF"/>
            <w:tcMar>
              <w:top w:w="15" w:type="dxa"/>
              <w:left w:w="0" w:type="dxa"/>
              <w:bottom w:w="0" w:type="dxa"/>
              <w:right w:w="15" w:type="dxa"/>
            </w:tcMar>
            <w:hideMark/>
          </w:tcPr>
          <w:p w14:paraId="197C5CF2"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53065E5E" w14:textId="77777777" w:rsidR="00000000" w:rsidRDefault="00582324">
            <w:pPr>
              <w:pStyle w:val="a3"/>
              <w:spacing w:before="0" w:beforeAutospacing="0" w:after="0" w:afterAutospacing="0"/>
              <w:rPr>
                <w:color w:val="000000"/>
                <w:sz w:val="20"/>
                <w:szCs w:val="20"/>
              </w:rPr>
            </w:pPr>
            <w:r>
              <w:rPr>
                <w:color w:val="000000"/>
                <w:sz w:val="20"/>
                <w:szCs w:val="20"/>
              </w:rPr>
              <w:t>Inline XBRL Taxonomy Extension Presentation Linkbase Document</w:t>
            </w:r>
          </w:p>
          <w:p w14:paraId="365F2DAA" w14:textId="77777777" w:rsidR="00000000" w:rsidRDefault="00582324">
            <w:pPr>
              <w:pStyle w:val="a3"/>
              <w:spacing w:before="0" w:beforeAutospacing="0" w:after="0" w:afterAutospacing="0"/>
              <w:rPr>
                <w:sz w:val="20"/>
                <w:szCs w:val="20"/>
              </w:rPr>
            </w:pPr>
            <w:r>
              <w:rPr>
                <w:sz w:val="20"/>
                <w:szCs w:val="20"/>
              </w:rPr>
              <w:t> </w:t>
            </w:r>
          </w:p>
        </w:tc>
      </w:tr>
      <w:tr w:rsidR="00000000" w14:paraId="03001C8F" w14:textId="77777777">
        <w:trPr>
          <w:divId w:val="1611013474"/>
        </w:trPr>
        <w:tc>
          <w:tcPr>
            <w:tcW w:w="354" w:type="pct"/>
            <w:shd w:val="clear" w:color="auto" w:fill="FFFFFF"/>
            <w:tcMar>
              <w:top w:w="15" w:type="dxa"/>
              <w:left w:w="0" w:type="dxa"/>
              <w:bottom w:w="0" w:type="dxa"/>
              <w:right w:w="15" w:type="dxa"/>
            </w:tcMar>
            <w:hideMark/>
          </w:tcPr>
          <w:p w14:paraId="31664EF8" w14:textId="77777777" w:rsidR="00000000" w:rsidRDefault="00582324">
            <w:pPr>
              <w:pStyle w:val="a3"/>
              <w:spacing w:before="0" w:beforeAutospacing="0" w:after="0" w:afterAutospacing="0"/>
              <w:rPr>
                <w:color w:val="000000"/>
                <w:sz w:val="20"/>
                <w:szCs w:val="20"/>
              </w:rPr>
            </w:pPr>
            <w:r>
              <w:rPr>
                <w:color w:val="000000"/>
                <w:sz w:val="20"/>
                <w:szCs w:val="20"/>
                <w:shd w:val="clear" w:color="auto" w:fill="FFFFFF"/>
              </w:rPr>
              <w:t>104*</w:t>
            </w:r>
          </w:p>
        </w:tc>
        <w:tc>
          <w:tcPr>
            <w:tcW w:w="48" w:type="pct"/>
            <w:shd w:val="clear" w:color="auto" w:fill="FFFFFF"/>
            <w:tcMar>
              <w:top w:w="15" w:type="dxa"/>
              <w:left w:w="0" w:type="dxa"/>
              <w:bottom w:w="0" w:type="dxa"/>
              <w:right w:w="15" w:type="dxa"/>
            </w:tcMar>
            <w:hideMark/>
          </w:tcPr>
          <w:p w14:paraId="3CF051B1" w14:textId="77777777" w:rsidR="00000000" w:rsidRDefault="00582324">
            <w:pPr>
              <w:pStyle w:val="a3"/>
              <w:spacing w:before="0" w:beforeAutospacing="0" w:after="0" w:afterAutospacing="0"/>
              <w:rPr>
                <w:sz w:val="20"/>
                <w:szCs w:val="20"/>
              </w:rPr>
            </w:pPr>
            <w:r>
              <w:rPr>
                <w:sz w:val="20"/>
                <w:szCs w:val="20"/>
              </w:rPr>
              <w:t> </w:t>
            </w:r>
          </w:p>
        </w:tc>
        <w:tc>
          <w:tcPr>
            <w:tcW w:w="4598" w:type="pct"/>
            <w:shd w:val="clear" w:color="auto" w:fill="FFFFFF"/>
            <w:tcMar>
              <w:top w:w="15" w:type="dxa"/>
              <w:left w:w="0" w:type="dxa"/>
              <w:bottom w:w="0" w:type="dxa"/>
              <w:right w:w="15" w:type="dxa"/>
            </w:tcMar>
            <w:hideMark/>
          </w:tcPr>
          <w:p w14:paraId="6A7AC5B8" w14:textId="77777777" w:rsidR="00000000" w:rsidRDefault="00582324">
            <w:pPr>
              <w:pStyle w:val="a3"/>
              <w:spacing w:before="0" w:beforeAutospacing="0" w:after="0" w:afterAutospacing="0"/>
              <w:rPr>
                <w:color w:val="000000"/>
                <w:sz w:val="20"/>
                <w:szCs w:val="20"/>
              </w:rPr>
            </w:pPr>
            <w:r>
              <w:rPr>
                <w:color w:val="000000"/>
                <w:sz w:val="20"/>
                <w:szCs w:val="20"/>
              </w:rPr>
              <w:t>Cover Page Interactive Data File – The cover page from the Company’s Quarterly Report on Form 10-Q for the qua</w:t>
            </w:r>
            <w:r>
              <w:rPr>
                <w:color w:val="000000"/>
                <w:sz w:val="20"/>
                <w:szCs w:val="20"/>
              </w:rPr>
              <w:t>rter ended June 30, 2021 is formatted in Inline XBRL (included as Exhibit 101)</w:t>
            </w:r>
          </w:p>
        </w:tc>
      </w:tr>
    </w:tbl>
    <w:p w14:paraId="36543EF7" w14:textId="77777777" w:rsidR="00000000" w:rsidRDefault="00582324">
      <w:pPr>
        <w:pStyle w:val="a3"/>
        <w:pBdr>
          <w:bottom w:val="single" w:sz="6" w:space="1" w:color="auto"/>
        </w:pBdr>
        <w:spacing w:before="0" w:beforeAutospacing="0" w:after="0" w:afterAutospacing="0"/>
        <w:ind w:right="690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
        <w:gridCol w:w="8024"/>
      </w:tblGrid>
      <w:tr w:rsidR="00000000" w14:paraId="3610E7E5" w14:textId="77777777">
        <w:trPr>
          <w:divId w:val="102114449"/>
        </w:trPr>
        <w:tc>
          <w:tcPr>
            <w:tcW w:w="170" w:type="pct"/>
            <w:noWrap/>
            <w:hideMark/>
          </w:tcPr>
          <w:p w14:paraId="5900593B" w14:textId="77777777" w:rsidR="00000000" w:rsidRDefault="00582324">
            <w:pPr>
              <w:pStyle w:val="a3"/>
              <w:spacing w:before="40" w:beforeAutospacing="0" w:after="0" w:afterAutospacing="0"/>
              <w:rPr>
                <w:sz w:val="20"/>
                <w:szCs w:val="20"/>
              </w:rPr>
            </w:pPr>
            <w:r>
              <w:rPr>
                <w:sz w:val="20"/>
                <w:szCs w:val="20"/>
              </w:rPr>
              <w:t>*</w:t>
            </w:r>
          </w:p>
        </w:tc>
        <w:tc>
          <w:tcPr>
            <w:tcW w:w="0" w:type="auto"/>
            <w:hideMark/>
          </w:tcPr>
          <w:p w14:paraId="7D6C128F" w14:textId="77777777" w:rsidR="00000000" w:rsidRDefault="00582324">
            <w:pPr>
              <w:pStyle w:val="a3"/>
              <w:spacing w:before="40" w:beforeAutospacing="0" w:after="0" w:afterAutospacing="0"/>
              <w:rPr>
                <w:sz w:val="20"/>
                <w:szCs w:val="20"/>
              </w:rPr>
            </w:pPr>
            <w:r>
              <w:rPr>
                <w:sz w:val="20"/>
                <w:szCs w:val="20"/>
              </w:rPr>
              <w:t>Filed herewith.</w:t>
            </w:r>
          </w:p>
        </w:tc>
      </w:tr>
    </w:tbl>
    <w:tbl>
      <w:tblPr>
        <w:tblW w:w="5000" w:type="pct"/>
        <w:tblCellMar>
          <w:left w:w="0" w:type="dxa"/>
          <w:right w:w="0" w:type="dxa"/>
        </w:tblCellMar>
        <w:tblLook w:val="04A0" w:firstRow="1" w:lastRow="0" w:firstColumn="1" w:lastColumn="0" w:noHBand="0" w:noVBand="1"/>
      </w:tblPr>
      <w:tblGrid>
        <w:gridCol w:w="282"/>
        <w:gridCol w:w="480"/>
      </w:tblGrid>
      <w:tr w:rsidR="00000000" w14:paraId="13626425" w14:textId="77777777">
        <w:tc>
          <w:tcPr>
            <w:tcW w:w="170" w:type="pct"/>
            <w:noWrap/>
            <w:hideMark/>
          </w:tcPr>
          <w:p w14:paraId="419CFE0E" w14:textId="77777777" w:rsidR="00000000" w:rsidRDefault="00582324">
            <w:pPr>
              <w:pStyle w:val="a3"/>
              <w:spacing w:before="40" w:beforeAutospacing="0" w:after="0" w:afterAutospacing="0"/>
              <w:rPr>
                <w:sz w:val="20"/>
                <w:szCs w:val="20"/>
              </w:rPr>
            </w:pPr>
            <w:r>
              <w:rPr>
                <w:sz w:val="20"/>
                <w:szCs w:val="20"/>
              </w:rPr>
              <w:t>**</w:t>
            </w:r>
          </w:p>
        </w:tc>
        <w:tc>
          <w:tcPr>
            <w:tcW w:w="0" w:type="auto"/>
            <w:hideMark/>
          </w:tcPr>
          <w:p w14:paraId="3ECB2BF6" w14:textId="77777777" w:rsidR="00000000" w:rsidRDefault="00582324">
            <w:pPr>
              <w:pStyle w:val="a3"/>
              <w:spacing w:before="40" w:beforeAutospacing="0" w:after="0" w:afterAutospacing="0"/>
              <w:rPr>
                <w:sz w:val="20"/>
                <w:szCs w:val="20"/>
              </w:rPr>
            </w:pPr>
            <w:r>
              <w:rPr>
                <w:sz w:val="20"/>
                <w:szCs w:val="20"/>
              </w:rPr>
              <w:t xml:space="preserve">Exhibit is furnished and shall not be deemed “filed” </w:t>
            </w:r>
            <w:r>
              <w:rPr>
                <w:sz w:val="20"/>
                <w:szCs w:val="20"/>
              </w:rPr>
              <w:t>for purposes of Section 18 of the Exchange Act, or otherwise subject to the liabilities of that section, nor shall it be deemed incorporated by reference in any filing under the Securities Act, or the Exchange Act, except as shall be expressly set forth by</w:t>
            </w:r>
            <w:r>
              <w:rPr>
                <w:sz w:val="20"/>
                <w:szCs w:val="20"/>
              </w:rPr>
              <w:t xml:space="preserve"> specific reference in such filing.</w:t>
            </w:r>
          </w:p>
        </w:tc>
      </w:tr>
    </w:tbl>
    <w:p w14:paraId="40A8A8DF" w14:textId="77777777" w:rsidR="00000000" w:rsidRDefault="00582324">
      <w:pPr>
        <w:pStyle w:val="a3"/>
        <w:spacing w:before="40" w:beforeAutospacing="0" w:after="0" w:afterAutospacing="0"/>
        <w:ind w:left="357" w:hanging="416"/>
        <w:rPr>
          <w:sz w:val="20"/>
          <w:szCs w:val="20"/>
        </w:rPr>
      </w:pPr>
      <w:r>
        <w:rPr>
          <w:sz w:val="20"/>
          <w:szCs w:val="20"/>
        </w:rPr>
        <w:t> </w:t>
      </w:r>
    </w:p>
    <w:p w14:paraId="21634D27" w14:textId="77777777" w:rsidR="00000000" w:rsidRDefault="00582324">
      <w:pPr>
        <w:pStyle w:val="a3"/>
        <w:spacing w:before="240" w:beforeAutospacing="0" w:after="0" w:afterAutospacing="0"/>
        <w:jc w:val="center"/>
        <w:rPr>
          <w:sz w:val="20"/>
          <w:szCs w:val="20"/>
        </w:rPr>
      </w:pPr>
      <w:r>
        <w:rPr>
          <w:sz w:val="20"/>
          <w:szCs w:val="20"/>
        </w:rPr>
        <w:t>53</w:t>
      </w:r>
    </w:p>
    <w:p w14:paraId="79939859" w14:textId="77777777" w:rsidR="00000000" w:rsidRDefault="00582324">
      <w:pPr>
        <w:rPr>
          <w:rFonts w:eastAsia="Times New Roman"/>
        </w:rPr>
      </w:pPr>
      <w:r>
        <w:rPr>
          <w:rFonts w:eastAsia="Times New Roman"/>
        </w:rPr>
        <w:pict w14:anchorId="249BFF08">
          <v:rect id="_x0000_i1079" style="width:0;height:1.5pt" o:hralign="center" o:hrstd="t" o:hr="t" fillcolor="#a0a0a0" stroked="f"/>
        </w:pict>
      </w:r>
    </w:p>
    <w:p w14:paraId="2E487D9A" w14:textId="77777777" w:rsidR="00000000" w:rsidRDefault="00582324">
      <w:pPr>
        <w:pStyle w:val="a3"/>
        <w:spacing w:before="0" w:beforeAutospacing="0" w:after="0" w:afterAutospacing="0"/>
        <w:rPr>
          <w:sz w:val="20"/>
          <w:szCs w:val="20"/>
        </w:rPr>
      </w:pPr>
      <w:r>
        <w:rPr>
          <w:sz w:val="20"/>
          <w:szCs w:val="20"/>
        </w:rPr>
        <w:t> </w:t>
      </w:r>
    </w:p>
    <w:p w14:paraId="2E074CBF" w14:textId="77777777" w:rsidR="00000000" w:rsidRDefault="00582324">
      <w:pPr>
        <w:pStyle w:val="a3"/>
        <w:spacing w:before="0" w:beforeAutospacing="0" w:after="0" w:afterAutospacing="0"/>
        <w:rPr>
          <w:sz w:val="20"/>
          <w:szCs w:val="20"/>
        </w:rPr>
      </w:pPr>
      <w:r>
        <w:rPr>
          <w:sz w:val="20"/>
          <w:szCs w:val="20"/>
        </w:rPr>
        <w:t> </w:t>
      </w:r>
    </w:p>
    <w:p w14:paraId="69180005" w14:textId="77777777" w:rsidR="00000000" w:rsidRDefault="00582324">
      <w:pPr>
        <w:pStyle w:val="a3"/>
        <w:spacing w:before="0" w:beforeAutospacing="0" w:after="0" w:afterAutospacing="0"/>
        <w:jc w:val="center"/>
        <w:rPr>
          <w:b/>
          <w:bCs/>
          <w:sz w:val="20"/>
          <w:szCs w:val="20"/>
        </w:rPr>
      </w:pPr>
      <w:r>
        <w:rPr>
          <w:b/>
          <w:bCs/>
          <w:sz w:val="20"/>
          <w:szCs w:val="20"/>
        </w:rPr>
        <w:t>SIGNATURES</w:t>
      </w:r>
    </w:p>
    <w:p w14:paraId="58C5A857" w14:textId="77777777" w:rsidR="00000000" w:rsidRDefault="00582324">
      <w:pPr>
        <w:pStyle w:val="a3"/>
        <w:spacing w:before="240" w:beforeAutospacing="0" w:after="0" w:afterAutospacing="0"/>
        <w:ind w:firstLine="416"/>
        <w:rPr>
          <w:sz w:val="20"/>
          <w:szCs w:val="20"/>
        </w:rPr>
      </w:pPr>
      <w:r>
        <w:rPr>
          <w:sz w:val="20"/>
          <w:szCs w:val="20"/>
        </w:rPr>
        <w:t>Pursuant to the requirements of the Securities Exchange Act of 1934, the registrant has duly caused this report to be signed on its behalf by the undersigned there</w:t>
      </w:r>
      <w:r>
        <w:rPr>
          <w:sz w:val="20"/>
          <w:szCs w:val="20"/>
        </w:rPr>
        <w:t>unto duly authorized.</w:t>
      </w:r>
    </w:p>
    <w:p w14:paraId="31D7FA5B" w14:textId="77777777" w:rsidR="00000000" w:rsidRDefault="0058232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38"/>
        <w:gridCol w:w="83"/>
        <w:gridCol w:w="332"/>
        <w:gridCol w:w="4153"/>
      </w:tblGrid>
      <w:tr w:rsidR="00000000" w14:paraId="2F9DCF46" w14:textId="77777777">
        <w:trPr>
          <w:divId w:val="913784633"/>
        </w:trPr>
        <w:tc>
          <w:tcPr>
            <w:tcW w:w="2250" w:type="pct"/>
            <w:shd w:val="clear" w:color="auto" w:fill="FFFFFF"/>
            <w:tcMar>
              <w:top w:w="15" w:type="dxa"/>
              <w:left w:w="0" w:type="dxa"/>
              <w:bottom w:w="0" w:type="dxa"/>
              <w:right w:w="15" w:type="dxa"/>
            </w:tcMar>
            <w:hideMark/>
          </w:tcPr>
          <w:p w14:paraId="45AC4C5A" w14:textId="77777777" w:rsidR="00000000" w:rsidRDefault="00582324">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DF9E39F" w14:textId="77777777" w:rsidR="00000000" w:rsidRDefault="00582324">
            <w:pPr>
              <w:pStyle w:val="a3"/>
              <w:spacing w:before="0" w:beforeAutospacing="0" w:after="0" w:afterAutospacing="0"/>
              <w:rPr>
                <w:sz w:val="20"/>
                <w:szCs w:val="20"/>
              </w:rPr>
            </w:pPr>
            <w:r>
              <w:rPr>
                <w:sz w:val="20"/>
                <w:szCs w:val="20"/>
              </w:rPr>
              <w:t> </w:t>
            </w:r>
          </w:p>
        </w:tc>
        <w:tc>
          <w:tcPr>
            <w:tcW w:w="2700" w:type="pct"/>
            <w:gridSpan w:val="2"/>
            <w:shd w:val="clear" w:color="auto" w:fill="FFFFFF"/>
            <w:tcMar>
              <w:top w:w="15" w:type="dxa"/>
              <w:left w:w="0" w:type="dxa"/>
              <w:bottom w:w="0" w:type="dxa"/>
              <w:right w:w="15" w:type="dxa"/>
            </w:tcMar>
            <w:vAlign w:val="bottom"/>
            <w:hideMark/>
          </w:tcPr>
          <w:p w14:paraId="769E3D2D" w14:textId="77777777" w:rsidR="00000000" w:rsidRDefault="00582324">
            <w:pPr>
              <w:pStyle w:val="a3"/>
              <w:spacing w:before="0" w:beforeAutospacing="0" w:after="0" w:afterAutospacing="0"/>
              <w:rPr>
                <w:sz w:val="20"/>
                <w:szCs w:val="20"/>
              </w:rPr>
            </w:pPr>
            <w:r>
              <w:rPr>
                <w:sz w:val="20"/>
                <w:szCs w:val="20"/>
              </w:rPr>
              <w:t>Montrose Environmental Group, Inc.</w:t>
            </w:r>
          </w:p>
        </w:tc>
      </w:tr>
      <w:tr w:rsidR="00000000" w14:paraId="7CA10838" w14:textId="77777777">
        <w:trPr>
          <w:divId w:val="913784633"/>
        </w:trPr>
        <w:tc>
          <w:tcPr>
            <w:tcW w:w="2250" w:type="pct"/>
            <w:shd w:val="clear" w:color="auto" w:fill="FFFFFF"/>
            <w:tcMar>
              <w:top w:w="15" w:type="dxa"/>
              <w:left w:w="0" w:type="dxa"/>
              <w:bottom w:w="0" w:type="dxa"/>
              <w:right w:w="15" w:type="dxa"/>
            </w:tcMar>
            <w:vAlign w:val="center"/>
            <w:hideMark/>
          </w:tcPr>
          <w:p w14:paraId="542587DF" w14:textId="77777777" w:rsidR="00000000" w:rsidRDefault="00582324">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3EDA4EE1" w14:textId="77777777" w:rsidR="00000000" w:rsidRDefault="00582324">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14:paraId="5810D18C" w14:textId="77777777" w:rsidR="00000000" w:rsidRDefault="00582324">
            <w:pPr>
              <w:pStyle w:val="a3"/>
              <w:spacing w:before="0" w:beforeAutospacing="0" w:after="0" w:afterAutospacing="0"/>
              <w:rPr>
                <w:sz w:val="20"/>
                <w:szCs w:val="20"/>
              </w:rPr>
            </w:pPr>
            <w:r>
              <w:rPr>
                <w:sz w:val="20"/>
                <w:szCs w:val="20"/>
              </w:rPr>
              <w:t> </w:t>
            </w:r>
          </w:p>
        </w:tc>
        <w:tc>
          <w:tcPr>
            <w:tcW w:w="2500" w:type="pct"/>
            <w:shd w:val="clear" w:color="auto" w:fill="FFFFFF"/>
            <w:tcMar>
              <w:top w:w="15" w:type="dxa"/>
              <w:left w:w="0" w:type="dxa"/>
              <w:bottom w:w="0" w:type="dxa"/>
              <w:right w:w="15" w:type="dxa"/>
            </w:tcMar>
            <w:vAlign w:val="bottom"/>
            <w:hideMark/>
          </w:tcPr>
          <w:p w14:paraId="1843D076" w14:textId="77777777" w:rsidR="00000000" w:rsidRDefault="00582324">
            <w:pPr>
              <w:pStyle w:val="a3"/>
              <w:spacing w:before="0" w:beforeAutospacing="0" w:after="0" w:afterAutospacing="0"/>
              <w:rPr>
                <w:sz w:val="20"/>
                <w:szCs w:val="20"/>
              </w:rPr>
            </w:pPr>
            <w:r>
              <w:rPr>
                <w:sz w:val="20"/>
                <w:szCs w:val="20"/>
              </w:rPr>
              <w:t> </w:t>
            </w:r>
          </w:p>
        </w:tc>
      </w:tr>
      <w:tr w:rsidR="00000000" w14:paraId="1B61E190" w14:textId="77777777">
        <w:trPr>
          <w:divId w:val="913784633"/>
        </w:trPr>
        <w:tc>
          <w:tcPr>
            <w:tcW w:w="2250" w:type="pct"/>
            <w:shd w:val="clear" w:color="auto" w:fill="FFFFFF"/>
            <w:tcMar>
              <w:top w:w="15" w:type="dxa"/>
              <w:left w:w="0" w:type="dxa"/>
              <w:bottom w:w="0" w:type="dxa"/>
              <w:right w:w="15" w:type="dxa"/>
            </w:tcMar>
            <w:vAlign w:val="bottom"/>
            <w:hideMark/>
          </w:tcPr>
          <w:p w14:paraId="48C545E1" w14:textId="77777777" w:rsidR="00000000" w:rsidRDefault="00582324">
            <w:pPr>
              <w:pStyle w:val="a3"/>
              <w:spacing w:before="0" w:beforeAutospacing="0" w:after="0" w:afterAutospacing="0"/>
              <w:rPr>
                <w:sz w:val="20"/>
                <w:szCs w:val="20"/>
              </w:rPr>
            </w:pPr>
            <w:r>
              <w:rPr>
                <w:sz w:val="20"/>
                <w:szCs w:val="20"/>
              </w:rPr>
              <w:t>Date:  August 11, 2021</w:t>
            </w:r>
          </w:p>
        </w:tc>
        <w:tc>
          <w:tcPr>
            <w:tcW w:w="50" w:type="pct"/>
            <w:shd w:val="clear" w:color="auto" w:fill="FFFFFF"/>
            <w:tcMar>
              <w:top w:w="15" w:type="dxa"/>
              <w:left w:w="0" w:type="dxa"/>
              <w:bottom w:w="0" w:type="dxa"/>
              <w:right w:w="15" w:type="dxa"/>
            </w:tcMar>
            <w:vAlign w:val="bottom"/>
            <w:hideMark/>
          </w:tcPr>
          <w:p w14:paraId="53169431" w14:textId="77777777" w:rsidR="00000000" w:rsidRDefault="00582324">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14:paraId="243FF245" w14:textId="77777777" w:rsidR="00000000" w:rsidRDefault="00582324">
            <w:pPr>
              <w:pStyle w:val="a3"/>
              <w:spacing w:before="0" w:beforeAutospacing="0" w:after="0" w:afterAutospacing="0"/>
              <w:rPr>
                <w:sz w:val="20"/>
                <w:szCs w:val="20"/>
              </w:rPr>
            </w:pPr>
            <w:r>
              <w:rPr>
                <w:sz w:val="20"/>
                <w:szCs w:val="20"/>
              </w:rPr>
              <w:t>By:</w:t>
            </w:r>
          </w:p>
        </w:tc>
        <w:tc>
          <w:tcPr>
            <w:tcW w:w="2500" w:type="pct"/>
            <w:tcBorders>
              <w:bottom w:val="single" w:sz="6" w:space="0" w:color="000000"/>
            </w:tcBorders>
            <w:shd w:val="clear" w:color="auto" w:fill="FFFFFF"/>
            <w:tcMar>
              <w:top w:w="15" w:type="dxa"/>
              <w:left w:w="0" w:type="dxa"/>
              <w:bottom w:w="0" w:type="dxa"/>
              <w:right w:w="15" w:type="dxa"/>
            </w:tcMar>
            <w:vAlign w:val="bottom"/>
            <w:hideMark/>
          </w:tcPr>
          <w:p w14:paraId="443E0C12" w14:textId="77777777" w:rsidR="00000000" w:rsidRDefault="00582324">
            <w:pPr>
              <w:pStyle w:val="a3"/>
              <w:spacing w:before="0" w:beforeAutospacing="0" w:after="0" w:afterAutospacing="0"/>
              <w:jc w:val="center"/>
              <w:rPr>
                <w:sz w:val="20"/>
                <w:szCs w:val="20"/>
              </w:rPr>
            </w:pPr>
            <w:r>
              <w:rPr>
                <w:sz w:val="20"/>
                <w:szCs w:val="20"/>
              </w:rPr>
              <w:t>/s/ Allan Dicks</w:t>
            </w:r>
          </w:p>
        </w:tc>
      </w:tr>
      <w:tr w:rsidR="00000000" w14:paraId="743B8A51" w14:textId="77777777">
        <w:trPr>
          <w:divId w:val="913784633"/>
        </w:trPr>
        <w:tc>
          <w:tcPr>
            <w:tcW w:w="2250" w:type="pct"/>
            <w:shd w:val="clear" w:color="auto" w:fill="FFFFFF"/>
            <w:tcMar>
              <w:top w:w="15" w:type="dxa"/>
              <w:left w:w="0" w:type="dxa"/>
              <w:bottom w:w="0" w:type="dxa"/>
              <w:right w:w="15" w:type="dxa"/>
            </w:tcMar>
            <w:vAlign w:val="bottom"/>
            <w:hideMark/>
          </w:tcPr>
          <w:p w14:paraId="15170EAF" w14:textId="77777777" w:rsidR="00000000" w:rsidRDefault="00582324">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309AF9FC" w14:textId="77777777" w:rsidR="00000000" w:rsidRDefault="00582324">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center"/>
            <w:hideMark/>
          </w:tcPr>
          <w:p w14:paraId="44750B0B" w14:textId="77777777" w:rsidR="00000000" w:rsidRDefault="00582324">
            <w:pPr>
              <w:pStyle w:val="a3"/>
              <w:spacing w:before="0" w:beforeAutospacing="0" w:after="0" w:afterAutospacing="0"/>
              <w:rPr>
                <w:b/>
                <w:bCs/>
                <w:sz w:val="20"/>
                <w:szCs w:val="20"/>
              </w:rPr>
            </w:pPr>
            <w:r>
              <w:rPr>
                <w:b/>
                <w:bCs/>
                <w:sz w:val="20"/>
                <w:szCs w:val="20"/>
              </w:rPr>
              <w:t> </w:t>
            </w:r>
          </w:p>
        </w:tc>
        <w:tc>
          <w:tcPr>
            <w:tcW w:w="2500" w:type="pct"/>
            <w:tcBorders>
              <w:top w:val="single" w:sz="6" w:space="0" w:color="000000"/>
            </w:tcBorders>
            <w:shd w:val="clear" w:color="auto" w:fill="FFFFFF"/>
            <w:tcMar>
              <w:top w:w="15" w:type="dxa"/>
              <w:left w:w="0" w:type="dxa"/>
              <w:bottom w:w="0" w:type="dxa"/>
              <w:right w:w="15" w:type="dxa"/>
            </w:tcMar>
            <w:vAlign w:val="bottom"/>
            <w:hideMark/>
          </w:tcPr>
          <w:p w14:paraId="59357E4F" w14:textId="77777777" w:rsidR="00000000" w:rsidRDefault="00582324">
            <w:pPr>
              <w:pStyle w:val="a3"/>
              <w:spacing w:before="0" w:beforeAutospacing="0" w:after="0" w:afterAutospacing="0"/>
              <w:jc w:val="center"/>
              <w:rPr>
                <w:sz w:val="20"/>
                <w:szCs w:val="20"/>
              </w:rPr>
            </w:pPr>
            <w:r>
              <w:rPr>
                <w:sz w:val="20"/>
                <w:szCs w:val="20"/>
              </w:rPr>
              <w:t>Allan Dicks</w:t>
            </w:r>
          </w:p>
        </w:tc>
      </w:tr>
      <w:tr w:rsidR="00000000" w14:paraId="6F4FAA77" w14:textId="77777777">
        <w:trPr>
          <w:divId w:val="913784633"/>
        </w:trPr>
        <w:tc>
          <w:tcPr>
            <w:tcW w:w="2250" w:type="pct"/>
            <w:shd w:val="clear" w:color="auto" w:fill="FFFFFF"/>
            <w:tcMar>
              <w:top w:w="15" w:type="dxa"/>
              <w:left w:w="0" w:type="dxa"/>
              <w:bottom w:w="0" w:type="dxa"/>
              <w:right w:w="15" w:type="dxa"/>
            </w:tcMar>
            <w:vAlign w:val="bottom"/>
            <w:hideMark/>
          </w:tcPr>
          <w:p w14:paraId="2B363BAA" w14:textId="77777777" w:rsidR="00000000" w:rsidRDefault="00582324">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5A9BB482" w14:textId="77777777" w:rsidR="00000000" w:rsidRDefault="00582324">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vAlign w:val="bottom"/>
            <w:hideMark/>
          </w:tcPr>
          <w:p w14:paraId="2268D192" w14:textId="77777777" w:rsidR="00000000" w:rsidRDefault="00582324">
            <w:pPr>
              <w:pStyle w:val="a3"/>
              <w:spacing w:before="0" w:beforeAutospacing="0" w:after="0" w:afterAutospacing="0"/>
              <w:rPr>
                <w:b/>
                <w:bCs/>
                <w:sz w:val="20"/>
                <w:szCs w:val="20"/>
              </w:rPr>
            </w:pPr>
            <w:r>
              <w:rPr>
                <w:b/>
                <w:bCs/>
                <w:sz w:val="20"/>
                <w:szCs w:val="20"/>
              </w:rPr>
              <w:t> </w:t>
            </w:r>
          </w:p>
        </w:tc>
        <w:tc>
          <w:tcPr>
            <w:tcW w:w="2500" w:type="pct"/>
            <w:shd w:val="clear" w:color="auto" w:fill="FFFFFF"/>
            <w:tcMar>
              <w:top w:w="15" w:type="dxa"/>
              <w:left w:w="0" w:type="dxa"/>
              <w:bottom w:w="0" w:type="dxa"/>
              <w:right w:w="15" w:type="dxa"/>
            </w:tcMar>
            <w:vAlign w:val="bottom"/>
            <w:hideMark/>
          </w:tcPr>
          <w:p w14:paraId="2A3C888F" w14:textId="77777777" w:rsidR="00000000" w:rsidRDefault="00582324">
            <w:pPr>
              <w:pStyle w:val="a3"/>
              <w:spacing w:before="0" w:beforeAutospacing="0" w:after="0" w:afterAutospacing="0"/>
              <w:jc w:val="center"/>
              <w:rPr>
                <w:sz w:val="20"/>
                <w:szCs w:val="20"/>
              </w:rPr>
            </w:pPr>
            <w:r>
              <w:rPr>
                <w:sz w:val="20"/>
                <w:szCs w:val="20"/>
              </w:rPr>
              <w:t>Chief Financial Officer</w:t>
            </w:r>
          </w:p>
        </w:tc>
      </w:tr>
    </w:tbl>
    <w:p w14:paraId="5E4B933C" w14:textId="77777777" w:rsidR="00000000" w:rsidRDefault="00582324">
      <w:pPr>
        <w:pStyle w:val="a3"/>
        <w:spacing w:before="0" w:beforeAutospacing="0" w:after="0" w:afterAutospacing="0"/>
        <w:rPr>
          <w:sz w:val="20"/>
          <w:szCs w:val="20"/>
        </w:rPr>
      </w:pPr>
      <w:r>
        <w:rPr>
          <w:sz w:val="20"/>
          <w:szCs w:val="20"/>
        </w:rPr>
        <w:t> </w:t>
      </w:r>
    </w:p>
    <w:p w14:paraId="145C5651" w14:textId="77777777" w:rsidR="00000000" w:rsidRDefault="00582324">
      <w:pPr>
        <w:pStyle w:val="a3"/>
        <w:shd w:val="clear" w:color="auto" w:fill="FFFFFF"/>
        <w:spacing w:before="0" w:beforeAutospacing="0" w:after="0" w:afterAutospacing="0"/>
        <w:rPr>
          <w:sz w:val="20"/>
          <w:szCs w:val="20"/>
        </w:rPr>
      </w:pPr>
      <w:r>
        <w:rPr>
          <w:sz w:val="20"/>
          <w:szCs w:val="20"/>
        </w:rPr>
        <w:t> </w:t>
      </w:r>
    </w:p>
    <w:p w14:paraId="35681C05" w14:textId="77777777" w:rsidR="00000000" w:rsidRDefault="00582324">
      <w:pPr>
        <w:pStyle w:val="a3"/>
        <w:shd w:val="clear" w:color="auto" w:fill="FFFFFF"/>
        <w:spacing w:before="0" w:beforeAutospacing="0" w:after="0" w:afterAutospacing="0"/>
        <w:rPr>
          <w:sz w:val="20"/>
          <w:szCs w:val="20"/>
        </w:rPr>
      </w:pPr>
      <w:r>
        <w:rPr>
          <w:sz w:val="20"/>
          <w:szCs w:val="20"/>
        </w:rPr>
        <w:t> </w:t>
      </w:r>
    </w:p>
    <w:p w14:paraId="7607C74D" w14:textId="77777777" w:rsidR="00582324" w:rsidRDefault="00582324">
      <w:pPr>
        <w:pStyle w:val="a3"/>
        <w:spacing w:before="240" w:beforeAutospacing="0" w:after="0" w:afterAutospacing="0"/>
        <w:jc w:val="center"/>
        <w:rPr>
          <w:sz w:val="20"/>
          <w:szCs w:val="20"/>
        </w:rPr>
      </w:pPr>
      <w:r>
        <w:rPr>
          <w:sz w:val="20"/>
          <w:szCs w:val="20"/>
        </w:rPr>
        <w:t>54</w:t>
      </w:r>
    </w:p>
    <w:sectPr w:rsidR="0058232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2324"/>
    <w:rsid w:val="00582324"/>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montrose-env.com/20210630"/>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20-01-31"/>
  <w:attachedSchema w:val="http://xbrl.sec.gov/dei-ent-std/2020-01-31"/>
  <w:attachedSchema w:val="http://xbrl.sec.gov/dei/2020-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dtr/type/2020-01-21"/>
  <w:attachedSchema w:val="http://xbrl.org/2020/extensible-enumerations-2.0"/>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72A57"/>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284">
      <w:marLeft w:val="0"/>
      <w:marRight w:val="0"/>
      <w:marTop w:val="0"/>
      <w:marBottom w:val="0"/>
      <w:divBdr>
        <w:top w:val="none" w:sz="0" w:space="0" w:color="auto"/>
        <w:left w:val="none" w:sz="0" w:space="0" w:color="auto"/>
        <w:bottom w:val="none" w:sz="0" w:space="0" w:color="auto"/>
        <w:right w:val="none" w:sz="0" w:space="0" w:color="auto"/>
      </w:divBdr>
    </w:div>
    <w:div w:id="32656198">
      <w:marLeft w:val="0"/>
      <w:marRight w:val="0"/>
      <w:marTop w:val="0"/>
      <w:marBottom w:val="0"/>
      <w:divBdr>
        <w:top w:val="none" w:sz="0" w:space="0" w:color="auto"/>
        <w:left w:val="none" w:sz="0" w:space="0" w:color="auto"/>
        <w:bottom w:val="none" w:sz="0" w:space="0" w:color="auto"/>
        <w:right w:val="none" w:sz="0" w:space="0" w:color="auto"/>
      </w:divBdr>
    </w:div>
    <w:div w:id="44721473">
      <w:marLeft w:val="0"/>
      <w:marRight w:val="0"/>
      <w:marTop w:val="0"/>
      <w:marBottom w:val="0"/>
      <w:divBdr>
        <w:top w:val="none" w:sz="0" w:space="0" w:color="auto"/>
        <w:left w:val="none" w:sz="0" w:space="0" w:color="auto"/>
        <w:bottom w:val="none" w:sz="0" w:space="0" w:color="auto"/>
        <w:right w:val="none" w:sz="0" w:space="0" w:color="auto"/>
      </w:divBdr>
    </w:div>
    <w:div w:id="102114449">
      <w:marLeft w:val="0"/>
      <w:marRight w:val="0"/>
      <w:marTop w:val="0"/>
      <w:marBottom w:val="0"/>
      <w:divBdr>
        <w:top w:val="none" w:sz="0" w:space="0" w:color="auto"/>
        <w:left w:val="none" w:sz="0" w:space="0" w:color="auto"/>
        <w:bottom w:val="none" w:sz="0" w:space="0" w:color="auto"/>
        <w:right w:val="none" w:sz="0" w:space="0" w:color="auto"/>
      </w:divBdr>
    </w:div>
    <w:div w:id="125322531">
      <w:marLeft w:val="0"/>
      <w:marRight w:val="0"/>
      <w:marTop w:val="0"/>
      <w:marBottom w:val="0"/>
      <w:divBdr>
        <w:top w:val="none" w:sz="0" w:space="0" w:color="auto"/>
        <w:left w:val="none" w:sz="0" w:space="0" w:color="auto"/>
        <w:bottom w:val="none" w:sz="0" w:space="0" w:color="auto"/>
        <w:right w:val="none" w:sz="0" w:space="0" w:color="auto"/>
      </w:divBdr>
    </w:div>
    <w:div w:id="225261569">
      <w:marLeft w:val="0"/>
      <w:marRight w:val="0"/>
      <w:marTop w:val="0"/>
      <w:marBottom w:val="0"/>
      <w:divBdr>
        <w:top w:val="none" w:sz="0" w:space="0" w:color="auto"/>
        <w:left w:val="none" w:sz="0" w:space="0" w:color="auto"/>
        <w:bottom w:val="none" w:sz="0" w:space="0" w:color="auto"/>
        <w:right w:val="none" w:sz="0" w:space="0" w:color="auto"/>
      </w:divBdr>
    </w:div>
    <w:div w:id="234291652">
      <w:marLeft w:val="0"/>
      <w:marRight w:val="0"/>
      <w:marTop w:val="0"/>
      <w:marBottom w:val="0"/>
      <w:divBdr>
        <w:top w:val="none" w:sz="0" w:space="0" w:color="auto"/>
        <w:left w:val="none" w:sz="0" w:space="0" w:color="auto"/>
        <w:bottom w:val="none" w:sz="0" w:space="0" w:color="auto"/>
        <w:right w:val="none" w:sz="0" w:space="0" w:color="auto"/>
      </w:divBdr>
    </w:div>
    <w:div w:id="420491743">
      <w:marLeft w:val="0"/>
      <w:marRight w:val="0"/>
      <w:marTop w:val="0"/>
      <w:marBottom w:val="0"/>
      <w:divBdr>
        <w:top w:val="none" w:sz="0" w:space="0" w:color="auto"/>
        <w:left w:val="none" w:sz="0" w:space="0" w:color="auto"/>
        <w:bottom w:val="none" w:sz="0" w:space="0" w:color="auto"/>
        <w:right w:val="none" w:sz="0" w:space="0" w:color="auto"/>
      </w:divBdr>
    </w:div>
    <w:div w:id="422607128">
      <w:marLeft w:val="0"/>
      <w:marRight w:val="0"/>
      <w:marTop w:val="0"/>
      <w:marBottom w:val="0"/>
      <w:divBdr>
        <w:top w:val="none" w:sz="0" w:space="0" w:color="auto"/>
        <w:left w:val="none" w:sz="0" w:space="0" w:color="auto"/>
        <w:bottom w:val="none" w:sz="0" w:space="0" w:color="auto"/>
        <w:right w:val="none" w:sz="0" w:space="0" w:color="auto"/>
      </w:divBdr>
    </w:div>
    <w:div w:id="493762602">
      <w:marLeft w:val="0"/>
      <w:marRight w:val="0"/>
      <w:marTop w:val="0"/>
      <w:marBottom w:val="0"/>
      <w:divBdr>
        <w:top w:val="none" w:sz="0" w:space="0" w:color="auto"/>
        <w:left w:val="none" w:sz="0" w:space="0" w:color="auto"/>
        <w:bottom w:val="none" w:sz="0" w:space="0" w:color="auto"/>
        <w:right w:val="none" w:sz="0" w:space="0" w:color="auto"/>
      </w:divBdr>
    </w:div>
    <w:div w:id="500437287">
      <w:marLeft w:val="0"/>
      <w:marRight w:val="0"/>
      <w:marTop w:val="0"/>
      <w:marBottom w:val="0"/>
      <w:divBdr>
        <w:top w:val="none" w:sz="0" w:space="0" w:color="auto"/>
        <w:left w:val="none" w:sz="0" w:space="0" w:color="auto"/>
        <w:bottom w:val="none" w:sz="0" w:space="0" w:color="auto"/>
        <w:right w:val="none" w:sz="0" w:space="0" w:color="auto"/>
      </w:divBdr>
    </w:div>
    <w:div w:id="531305830">
      <w:marLeft w:val="0"/>
      <w:marRight w:val="0"/>
      <w:marTop w:val="0"/>
      <w:marBottom w:val="0"/>
      <w:divBdr>
        <w:top w:val="none" w:sz="0" w:space="0" w:color="auto"/>
        <w:left w:val="none" w:sz="0" w:space="0" w:color="auto"/>
        <w:bottom w:val="none" w:sz="0" w:space="0" w:color="auto"/>
        <w:right w:val="none" w:sz="0" w:space="0" w:color="auto"/>
      </w:divBdr>
    </w:div>
    <w:div w:id="534654970">
      <w:marLeft w:val="0"/>
      <w:marRight w:val="0"/>
      <w:marTop w:val="0"/>
      <w:marBottom w:val="0"/>
      <w:divBdr>
        <w:top w:val="none" w:sz="0" w:space="0" w:color="auto"/>
        <w:left w:val="none" w:sz="0" w:space="0" w:color="auto"/>
        <w:bottom w:val="none" w:sz="0" w:space="0" w:color="auto"/>
        <w:right w:val="none" w:sz="0" w:space="0" w:color="auto"/>
      </w:divBdr>
    </w:div>
    <w:div w:id="590041120">
      <w:marLeft w:val="0"/>
      <w:marRight w:val="0"/>
      <w:marTop w:val="0"/>
      <w:marBottom w:val="0"/>
      <w:divBdr>
        <w:top w:val="none" w:sz="0" w:space="0" w:color="auto"/>
        <w:left w:val="none" w:sz="0" w:space="0" w:color="auto"/>
        <w:bottom w:val="none" w:sz="0" w:space="0" w:color="auto"/>
        <w:right w:val="none" w:sz="0" w:space="0" w:color="auto"/>
      </w:divBdr>
    </w:div>
    <w:div w:id="594823437">
      <w:marLeft w:val="0"/>
      <w:marRight w:val="0"/>
      <w:marTop w:val="0"/>
      <w:marBottom w:val="0"/>
      <w:divBdr>
        <w:top w:val="none" w:sz="0" w:space="0" w:color="auto"/>
        <w:left w:val="none" w:sz="0" w:space="0" w:color="auto"/>
        <w:bottom w:val="none" w:sz="0" w:space="0" w:color="auto"/>
        <w:right w:val="none" w:sz="0" w:space="0" w:color="auto"/>
      </w:divBdr>
    </w:div>
    <w:div w:id="599146369">
      <w:marLeft w:val="0"/>
      <w:marRight w:val="0"/>
      <w:marTop w:val="0"/>
      <w:marBottom w:val="0"/>
      <w:divBdr>
        <w:top w:val="none" w:sz="0" w:space="0" w:color="auto"/>
        <w:left w:val="none" w:sz="0" w:space="0" w:color="auto"/>
        <w:bottom w:val="none" w:sz="0" w:space="0" w:color="auto"/>
        <w:right w:val="none" w:sz="0" w:space="0" w:color="auto"/>
      </w:divBdr>
    </w:div>
    <w:div w:id="602764912">
      <w:marLeft w:val="0"/>
      <w:marRight w:val="0"/>
      <w:marTop w:val="0"/>
      <w:marBottom w:val="0"/>
      <w:divBdr>
        <w:top w:val="none" w:sz="0" w:space="0" w:color="auto"/>
        <w:left w:val="none" w:sz="0" w:space="0" w:color="auto"/>
        <w:bottom w:val="none" w:sz="0" w:space="0" w:color="auto"/>
        <w:right w:val="none" w:sz="0" w:space="0" w:color="auto"/>
      </w:divBdr>
    </w:div>
    <w:div w:id="623660763">
      <w:marLeft w:val="0"/>
      <w:marRight w:val="0"/>
      <w:marTop w:val="0"/>
      <w:marBottom w:val="0"/>
      <w:divBdr>
        <w:top w:val="none" w:sz="0" w:space="0" w:color="auto"/>
        <w:left w:val="none" w:sz="0" w:space="0" w:color="auto"/>
        <w:bottom w:val="none" w:sz="0" w:space="0" w:color="auto"/>
        <w:right w:val="none" w:sz="0" w:space="0" w:color="auto"/>
      </w:divBdr>
    </w:div>
    <w:div w:id="658924506">
      <w:marLeft w:val="0"/>
      <w:marRight w:val="0"/>
      <w:marTop w:val="0"/>
      <w:marBottom w:val="0"/>
      <w:divBdr>
        <w:top w:val="none" w:sz="0" w:space="0" w:color="auto"/>
        <w:left w:val="none" w:sz="0" w:space="0" w:color="auto"/>
        <w:bottom w:val="none" w:sz="0" w:space="0" w:color="auto"/>
        <w:right w:val="none" w:sz="0" w:space="0" w:color="auto"/>
      </w:divBdr>
    </w:div>
    <w:div w:id="705568607">
      <w:marLeft w:val="0"/>
      <w:marRight w:val="0"/>
      <w:marTop w:val="0"/>
      <w:marBottom w:val="0"/>
      <w:divBdr>
        <w:top w:val="none" w:sz="0" w:space="0" w:color="auto"/>
        <w:left w:val="none" w:sz="0" w:space="0" w:color="auto"/>
        <w:bottom w:val="none" w:sz="0" w:space="0" w:color="auto"/>
        <w:right w:val="none" w:sz="0" w:space="0" w:color="auto"/>
      </w:divBdr>
    </w:div>
    <w:div w:id="723061525">
      <w:marLeft w:val="0"/>
      <w:marRight w:val="0"/>
      <w:marTop w:val="0"/>
      <w:marBottom w:val="0"/>
      <w:divBdr>
        <w:top w:val="none" w:sz="0" w:space="0" w:color="auto"/>
        <w:left w:val="none" w:sz="0" w:space="0" w:color="auto"/>
        <w:bottom w:val="none" w:sz="0" w:space="0" w:color="auto"/>
        <w:right w:val="none" w:sz="0" w:space="0" w:color="auto"/>
      </w:divBdr>
    </w:div>
    <w:div w:id="744762367">
      <w:marLeft w:val="0"/>
      <w:marRight w:val="0"/>
      <w:marTop w:val="0"/>
      <w:marBottom w:val="0"/>
      <w:divBdr>
        <w:top w:val="none" w:sz="0" w:space="0" w:color="auto"/>
        <w:left w:val="none" w:sz="0" w:space="0" w:color="auto"/>
        <w:bottom w:val="none" w:sz="0" w:space="0" w:color="auto"/>
        <w:right w:val="none" w:sz="0" w:space="0" w:color="auto"/>
      </w:divBdr>
    </w:div>
    <w:div w:id="766118375">
      <w:marLeft w:val="0"/>
      <w:marRight w:val="0"/>
      <w:marTop w:val="0"/>
      <w:marBottom w:val="0"/>
      <w:divBdr>
        <w:top w:val="none" w:sz="0" w:space="0" w:color="auto"/>
        <w:left w:val="none" w:sz="0" w:space="0" w:color="auto"/>
        <w:bottom w:val="none" w:sz="0" w:space="0" w:color="auto"/>
        <w:right w:val="none" w:sz="0" w:space="0" w:color="auto"/>
      </w:divBdr>
    </w:div>
    <w:div w:id="791898383">
      <w:marLeft w:val="0"/>
      <w:marRight w:val="0"/>
      <w:marTop w:val="0"/>
      <w:marBottom w:val="0"/>
      <w:divBdr>
        <w:top w:val="none" w:sz="0" w:space="0" w:color="auto"/>
        <w:left w:val="none" w:sz="0" w:space="0" w:color="auto"/>
        <w:bottom w:val="none" w:sz="0" w:space="0" w:color="auto"/>
        <w:right w:val="none" w:sz="0" w:space="0" w:color="auto"/>
      </w:divBdr>
    </w:div>
    <w:div w:id="792485657">
      <w:marLeft w:val="0"/>
      <w:marRight w:val="0"/>
      <w:marTop w:val="0"/>
      <w:marBottom w:val="0"/>
      <w:divBdr>
        <w:top w:val="none" w:sz="0" w:space="0" w:color="auto"/>
        <w:left w:val="none" w:sz="0" w:space="0" w:color="auto"/>
        <w:bottom w:val="none" w:sz="0" w:space="0" w:color="auto"/>
        <w:right w:val="none" w:sz="0" w:space="0" w:color="auto"/>
      </w:divBdr>
    </w:div>
    <w:div w:id="796949298">
      <w:marLeft w:val="0"/>
      <w:marRight w:val="0"/>
      <w:marTop w:val="0"/>
      <w:marBottom w:val="0"/>
      <w:divBdr>
        <w:top w:val="none" w:sz="0" w:space="0" w:color="auto"/>
        <w:left w:val="none" w:sz="0" w:space="0" w:color="auto"/>
        <w:bottom w:val="none" w:sz="0" w:space="0" w:color="auto"/>
        <w:right w:val="none" w:sz="0" w:space="0" w:color="auto"/>
      </w:divBdr>
    </w:div>
    <w:div w:id="824785691">
      <w:marLeft w:val="0"/>
      <w:marRight w:val="0"/>
      <w:marTop w:val="0"/>
      <w:marBottom w:val="0"/>
      <w:divBdr>
        <w:top w:val="none" w:sz="0" w:space="0" w:color="auto"/>
        <w:left w:val="none" w:sz="0" w:space="0" w:color="auto"/>
        <w:bottom w:val="none" w:sz="0" w:space="0" w:color="auto"/>
        <w:right w:val="none" w:sz="0" w:space="0" w:color="auto"/>
      </w:divBdr>
    </w:div>
    <w:div w:id="848637149">
      <w:marLeft w:val="0"/>
      <w:marRight w:val="0"/>
      <w:marTop w:val="0"/>
      <w:marBottom w:val="0"/>
      <w:divBdr>
        <w:top w:val="none" w:sz="0" w:space="0" w:color="auto"/>
        <w:left w:val="none" w:sz="0" w:space="0" w:color="auto"/>
        <w:bottom w:val="none" w:sz="0" w:space="0" w:color="auto"/>
        <w:right w:val="none" w:sz="0" w:space="0" w:color="auto"/>
      </w:divBdr>
    </w:div>
    <w:div w:id="884028164">
      <w:marLeft w:val="0"/>
      <w:marRight w:val="0"/>
      <w:marTop w:val="0"/>
      <w:marBottom w:val="0"/>
      <w:divBdr>
        <w:top w:val="none" w:sz="0" w:space="0" w:color="auto"/>
        <w:left w:val="none" w:sz="0" w:space="0" w:color="auto"/>
        <w:bottom w:val="none" w:sz="0" w:space="0" w:color="auto"/>
        <w:right w:val="none" w:sz="0" w:space="0" w:color="auto"/>
      </w:divBdr>
    </w:div>
    <w:div w:id="901330865">
      <w:marLeft w:val="0"/>
      <w:marRight w:val="0"/>
      <w:marTop w:val="0"/>
      <w:marBottom w:val="0"/>
      <w:divBdr>
        <w:top w:val="none" w:sz="0" w:space="0" w:color="auto"/>
        <w:left w:val="none" w:sz="0" w:space="0" w:color="auto"/>
        <w:bottom w:val="none" w:sz="0" w:space="0" w:color="auto"/>
        <w:right w:val="none" w:sz="0" w:space="0" w:color="auto"/>
      </w:divBdr>
    </w:div>
    <w:div w:id="913470251">
      <w:marLeft w:val="0"/>
      <w:marRight w:val="0"/>
      <w:marTop w:val="0"/>
      <w:marBottom w:val="0"/>
      <w:divBdr>
        <w:top w:val="none" w:sz="0" w:space="0" w:color="auto"/>
        <w:left w:val="none" w:sz="0" w:space="0" w:color="auto"/>
        <w:bottom w:val="none" w:sz="0" w:space="0" w:color="auto"/>
        <w:right w:val="none" w:sz="0" w:space="0" w:color="auto"/>
      </w:divBdr>
    </w:div>
    <w:div w:id="913784633">
      <w:marLeft w:val="0"/>
      <w:marRight w:val="0"/>
      <w:marTop w:val="0"/>
      <w:marBottom w:val="0"/>
      <w:divBdr>
        <w:top w:val="none" w:sz="0" w:space="0" w:color="auto"/>
        <w:left w:val="none" w:sz="0" w:space="0" w:color="auto"/>
        <w:bottom w:val="none" w:sz="0" w:space="0" w:color="auto"/>
        <w:right w:val="none" w:sz="0" w:space="0" w:color="auto"/>
      </w:divBdr>
    </w:div>
    <w:div w:id="950667589">
      <w:marLeft w:val="0"/>
      <w:marRight w:val="0"/>
      <w:marTop w:val="0"/>
      <w:marBottom w:val="0"/>
      <w:divBdr>
        <w:top w:val="none" w:sz="0" w:space="0" w:color="auto"/>
        <w:left w:val="none" w:sz="0" w:space="0" w:color="auto"/>
        <w:bottom w:val="none" w:sz="0" w:space="0" w:color="auto"/>
        <w:right w:val="none" w:sz="0" w:space="0" w:color="auto"/>
      </w:divBdr>
    </w:div>
    <w:div w:id="988248714">
      <w:marLeft w:val="0"/>
      <w:marRight w:val="0"/>
      <w:marTop w:val="0"/>
      <w:marBottom w:val="0"/>
      <w:divBdr>
        <w:top w:val="none" w:sz="0" w:space="0" w:color="auto"/>
        <w:left w:val="none" w:sz="0" w:space="0" w:color="auto"/>
        <w:bottom w:val="none" w:sz="0" w:space="0" w:color="auto"/>
        <w:right w:val="none" w:sz="0" w:space="0" w:color="auto"/>
      </w:divBdr>
    </w:div>
    <w:div w:id="1013796921">
      <w:marLeft w:val="0"/>
      <w:marRight w:val="0"/>
      <w:marTop w:val="0"/>
      <w:marBottom w:val="0"/>
      <w:divBdr>
        <w:top w:val="none" w:sz="0" w:space="0" w:color="auto"/>
        <w:left w:val="none" w:sz="0" w:space="0" w:color="auto"/>
        <w:bottom w:val="none" w:sz="0" w:space="0" w:color="auto"/>
        <w:right w:val="none" w:sz="0" w:space="0" w:color="auto"/>
      </w:divBdr>
    </w:div>
    <w:div w:id="1013922126">
      <w:marLeft w:val="0"/>
      <w:marRight w:val="0"/>
      <w:marTop w:val="0"/>
      <w:marBottom w:val="0"/>
      <w:divBdr>
        <w:top w:val="none" w:sz="0" w:space="0" w:color="auto"/>
        <w:left w:val="none" w:sz="0" w:space="0" w:color="auto"/>
        <w:bottom w:val="none" w:sz="0" w:space="0" w:color="auto"/>
        <w:right w:val="none" w:sz="0" w:space="0" w:color="auto"/>
      </w:divBdr>
    </w:div>
    <w:div w:id="1035471712">
      <w:marLeft w:val="0"/>
      <w:marRight w:val="0"/>
      <w:marTop w:val="0"/>
      <w:marBottom w:val="0"/>
      <w:divBdr>
        <w:top w:val="none" w:sz="0" w:space="0" w:color="auto"/>
        <w:left w:val="none" w:sz="0" w:space="0" w:color="auto"/>
        <w:bottom w:val="none" w:sz="0" w:space="0" w:color="auto"/>
        <w:right w:val="none" w:sz="0" w:space="0" w:color="auto"/>
      </w:divBdr>
    </w:div>
    <w:div w:id="1063482319">
      <w:marLeft w:val="0"/>
      <w:marRight w:val="0"/>
      <w:marTop w:val="0"/>
      <w:marBottom w:val="0"/>
      <w:divBdr>
        <w:top w:val="none" w:sz="0" w:space="0" w:color="auto"/>
        <w:left w:val="none" w:sz="0" w:space="0" w:color="auto"/>
        <w:bottom w:val="none" w:sz="0" w:space="0" w:color="auto"/>
        <w:right w:val="none" w:sz="0" w:space="0" w:color="auto"/>
      </w:divBdr>
    </w:div>
    <w:div w:id="1142429646">
      <w:marLeft w:val="0"/>
      <w:marRight w:val="0"/>
      <w:marTop w:val="0"/>
      <w:marBottom w:val="0"/>
      <w:divBdr>
        <w:top w:val="none" w:sz="0" w:space="0" w:color="auto"/>
        <w:left w:val="none" w:sz="0" w:space="0" w:color="auto"/>
        <w:bottom w:val="none" w:sz="0" w:space="0" w:color="auto"/>
        <w:right w:val="none" w:sz="0" w:space="0" w:color="auto"/>
      </w:divBdr>
    </w:div>
    <w:div w:id="1159922763">
      <w:marLeft w:val="0"/>
      <w:marRight w:val="0"/>
      <w:marTop w:val="0"/>
      <w:marBottom w:val="0"/>
      <w:divBdr>
        <w:top w:val="none" w:sz="0" w:space="0" w:color="auto"/>
        <w:left w:val="none" w:sz="0" w:space="0" w:color="auto"/>
        <w:bottom w:val="none" w:sz="0" w:space="0" w:color="auto"/>
        <w:right w:val="none" w:sz="0" w:space="0" w:color="auto"/>
      </w:divBdr>
    </w:div>
    <w:div w:id="1168982142">
      <w:marLeft w:val="0"/>
      <w:marRight w:val="0"/>
      <w:marTop w:val="0"/>
      <w:marBottom w:val="0"/>
      <w:divBdr>
        <w:top w:val="none" w:sz="0" w:space="0" w:color="auto"/>
        <w:left w:val="none" w:sz="0" w:space="0" w:color="auto"/>
        <w:bottom w:val="none" w:sz="0" w:space="0" w:color="auto"/>
        <w:right w:val="none" w:sz="0" w:space="0" w:color="auto"/>
      </w:divBdr>
    </w:div>
    <w:div w:id="1206521607">
      <w:marLeft w:val="0"/>
      <w:marRight w:val="0"/>
      <w:marTop w:val="0"/>
      <w:marBottom w:val="0"/>
      <w:divBdr>
        <w:top w:val="none" w:sz="0" w:space="0" w:color="auto"/>
        <w:left w:val="none" w:sz="0" w:space="0" w:color="auto"/>
        <w:bottom w:val="none" w:sz="0" w:space="0" w:color="auto"/>
        <w:right w:val="none" w:sz="0" w:space="0" w:color="auto"/>
      </w:divBdr>
    </w:div>
    <w:div w:id="1232157601">
      <w:marLeft w:val="0"/>
      <w:marRight w:val="0"/>
      <w:marTop w:val="0"/>
      <w:marBottom w:val="0"/>
      <w:divBdr>
        <w:top w:val="none" w:sz="0" w:space="0" w:color="auto"/>
        <w:left w:val="none" w:sz="0" w:space="0" w:color="auto"/>
        <w:bottom w:val="none" w:sz="0" w:space="0" w:color="auto"/>
        <w:right w:val="none" w:sz="0" w:space="0" w:color="auto"/>
      </w:divBdr>
    </w:div>
    <w:div w:id="1257324190">
      <w:marLeft w:val="0"/>
      <w:marRight w:val="0"/>
      <w:marTop w:val="0"/>
      <w:marBottom w:val="0"/>
      <w:divBdr>
        <w:top w:val="none" w:sz="0" w:space="0" w:color="auto"/>
        <w:left w:val="none" w:sz="0" w:space="0" w:color="auto"/>
        <w:bottom w:val="none" w:sz="0" w:space="0" w:color="auto"/>
        <w:right w:val="none" w:sz="0" w:space="0" w:color="auto"/>
      </w:divBdr>
    </w:div>
    <w:div w:id="1257443040">
      <w:marLeft w:val="0"/>
      <w:marRight w:val="0"/>
      <w:marTop w:val="0"/>
      <w:marBottom w:val="0"/>
      <w:divBdr>
        <w:top w:val="none" w:sz="0" w:space="0" w:color="auto"/>
        <w:left w:val="none" w:sz="0" w:space="0" w:color="auto"/>
        <w:bottom w:val="none" w:sz="0" w:space="0" w:color="auto"/>
        <w:right w:val="none" w:sz="0" w:space="0" w:color="auto"/>
      </w:divBdr>
    </w:div>
    <w:div w:id="1259633449">
      <w:marLeft w:val="0"/>
      <w:marRight w:val="0"/>
      <w:marTop w:val="0"/>
      <w:marBottom w:val="0"/>
      <w:divBdr>
        <w:top w:val="none" w:sz="0" w:space="0" w:color="auto"/>
        <w:left w:val="none" w:sz="0" w:space="0" w:color="auto"/>
        <w:bottom w:val="none" w:sz="0" w:space="0" w:color="auto"/>
        <w:right w:val="none" w:sz="0" w:space="0" w:color="auto"/>
      </w:divBdr>
    </w:div>
    <w:div w:id="1269238163">
      <w:marLeft w:val="0"/>
      <w:marRight w:val="0"/>
      <w:marTop w:val="0"/>
      <w:marBottom w:val="0"/>
      <w:divBdr>
        <w:top w:val="none" w:sz="0" w:space="0" w:color="auto"/>
        <w:left w:val="none" w:sz="0" w:space="0" w:color="auto"/>
        <w:bottom w:val="none" w:sz="0" w:space="0" w:color="auto"/>
        <w:right w:val="none" w:sz="0" w:space="0" w:color="auto"/>
      </w:divBdr>
    </w:div>
    <w:div w:id="1305234031">
      <w:marLeft w:val="0"/>
      <w:marRight w:val="0"/>
      <w:marTop w:val="0"/>
      <w:marBottom w:val="0"/>
      <w:divBdr>
        <w:top w:val="none" w:sz="0" w:space="0" w:color="auto"/>
        <w:left w:val="none" w:sz="0" w:space="0" w:color="auto"/>
        <w:bottom w:val="none" w:sz="0" w:space="0" w:color="auto"/>
        <w:right w:val="none" w:sz="0" w:space="0" w:color="auto"/>
      </w:divBdr>
    </w:div>
    <w:div w:id="1336570777">
      <w:marLeft w:val="0"/>
      <w:marRight w:val="0"/>
      <w:marTop w:val="0"/>
      <w:marBottom w:val="0"/>
      <w:divBdr>
        <w:top w:val="none" w:sz="0" w:space="0" w:color="auto"/>
        <w:left w:val="none" w:sz="0" w:space="0" w:color="auto"/>
        <w:bottom w:val="none" w:sz="0" w:space="0" w:color="auto"/>
        <w:right w:val="none" w:sz="0" w:space="0" w:color="auto"/>
      </w:divBdr>
    </w:div>
    <w:div w:id="1342243251">
      <w:marLeft w:val="0"/>
      <w:marRight w:val="0"/>
      <w:marTop w:val="0"/>
      <w:marBottom w:val="0"/>
      <w:divBdr>
        <w:top w:val="none" w:sz="0" w:space="0" w:color="auto"/>
        <w:left w:val="none" w:sz="0" w:space="0" w:color="auto"/>
        <w:bottom w:val="none" w:sz="0" w:space="0" w:color="auto"/>
        <w:right w:val="none" w:sz="0" w:space="0" w:color="auto"/>
      </w:divBdr>
    </w:div>
    <w:div w:id="1345206735">
      <w:marLeft w:val="0"/>
      <w:marRight w:val="0"/>
      <w:marTop w:val="0"/>
      <w:marBottom w:val="0"/>
      <w:divBdr>
        <w:top w:val="none" w:sz="0" w:space="0" w:color="auto"/>
        <w:left w:val="none" w:sz="0" w:space="0" w:color="auto"/>
        <w:bottom w:val="none" w:sz="0" w:space="0" w:color="auto"/>
        <w:right w:val="none" w:sz="0" w:space="0" w:color="auto"/>
      </w:divBdr>
    </w:div>
    <w:div w:id="1355764763">
      <w:marLeft w:val="0"/>
      <w:marRight w:val="0"/>
      <w:marTop w:val="0"/>
      <w:marBottom w:val="0"/>
      <w:divBdr>
        <w:top w:val="none" w:sz="0" w:space="0" w:color="auto"/>
        <w:left w:val="none" w:sz="0" w:space="0" w:color="auto"/>
        <w:bottom w:val="none" w:sz="0" w:space="0" w:color="auto"/>
        <w:right w:val="none" w:sz="0" w:space="0" w:color="auto"/>
      </w:divBdr>
    </w:div>
    <w:div w:id="1374959392">
      <w:marLeft w:val="0"/>
      <w:marRight w:val="0"/>
      <w:marTop w:val="0"/>
      <w:marBottom w:val="0"/>
      <w:divBdr>
        <w:top w:val="none" w:sz="0" w:space="0" w:color="auto"/>
        <w:left w:val="none" w:sz="0" w:space="0" w:color="auto"/>
        <w:bottom w:val="none" w:sz="0" w:space="0" w:color="auto"/>
        <w:right w:val="none" w:sz="0" w:space="0" w:color="auto"/>
      </w:divBdr>
    </w:div>
    <w:div w:id="1430277833">
      <w:marLeft w:val="0"/>
      <w:marRight w:val="0"/>
      <w:marTop w:val="0"/>
      <w:marBottom w:val="0"/>
      <w:divBdr>
        <w:top w:val="none" w:sz="0" w:space="0" w:color="auto"/>
        <w:left w:val="none" w:sz="0" w:space="0" w:color="auto"/>
        <w:bottom w:val="none" w:sz="0" w:space="0" w:color="auto"/>
        <w:right w:val="none" w:sz="0" w:space="0" w:color="auto"/>
      </w:divBdr>
    </w:div>
    <w:div w:id="1437141765">
      <w:marLeft w:val="0"/>
      <w:marRight w:val="0"/>
      <w:marTop w:val="0"/>
      <w:marBottom w:val="0"/>
      <w:divBdr>
        <w:top w:val="none" w:sz="0" w:space="0" w:color="auto"/>
        <w:left w:val="none" w:sz="0" w:space="0" w:color="auto"/>
        <w:bottom w:val="none" w:sz="0" w:space="0" w:color="auto"/>
        <w:right w:val="none" w:sz="0" w:space="0" w:color="auto"/>
      </w:divBdr>
    </w:div>
    <w:div w:id="1443497374">
      <w:marLeft w:val="0"/>
      <w:marRight w:val="0"/>
      <w:marTop w:val="0"/>
      <w:marBottom w:val="0"/>
      <w:divBdr>
        <w:top w:val="none" w:sz="0" w:space="0" w:color="auto"/>
        <w:left w:val="none" w:sz="0" w:space="0" w:color="auto"/>
        <w:bottom w:val="none" w:sz="0" w:space="0" w:color="auto"/>
        <w:right w:val="none" w:sz="0" w:space="0" w:color="auto"/>
      </w:divBdr>
    </w:div>
    <w:div w:id="1447655422">
      <w:marLeft w:val="0"/>
      <w:marRight w:val="0"/>
      <w:marTop w:val="0"/>
      <w:marBottom w:val="0"/>
      <w:divBdr>
        <w:top w:val="none" w:sz="0" w:space="0" w:color="auto"/>
        <w:left w:val="none" w:sz="0" w:space="0" w:color="auto"/>
        <w:bottom w:val="none" w:sz="0" w:space="0" w:color="auto"/>
        <w:right w:val="none" w:sz="0" w:space="0" w:color="auto"/>
      </w:divBdr>
    </w:div>
    <w:div w:id="1459565896">
      <w:marLeft w:val="0"/>
      <w:marRight w:val="0"/>
      <w:marTop w:val="0"/>
      <w:marBottom w:val="0"/>
      <w:divBdr>
        <w:top w:val="none" w:sz="0" w:space="0" w:color="auto"/>
        <w:left w:val="none" w:sz="0" w:space="0" w:color="auto"/>
        <w:bottom w:val="none" w:sz="0" w:space="0" w:color="auto"/>
        <w:right w:val="none" w:sz="0" w:space="0" w:color="auto"/>
      </w:divBdr>
    </w:div>
    <w:div w:id="1461652210">
      <w:marLeft w:val="0"/>
      <w:marRight w:val="0"/>
      <w:marTop w:val="0"/>
      <w:marBottom w:val="0"/>
      <w:divBdr>
        <w:top w:val="none" w:sz="0" w:space="0" w:color="auto"/>
        <w:left w:val="none" w:sz="0" w:space="0" w:color="auto"/>
        <w:bottom w:val="none" w:sz="0" w:space="0" w:color="auto"/>
        <w:right w:val="none" w:sz="0" w:space="0" w:color="auto"/>
      </w:divBdr>
    </w:div>
    <w:div w:id="1466773445">
      <w:marLeft w:val="0"/>
      <w:marRight w:val="0"/>
      <w:marTop w:val="0"/>
      <w:marBottom w:val="0"/>
      <w:divBdr>
        <w:top w:val="none" w:sz="0" w:space="0" w:color="auto"/>
        <w:left w:val="none" w:sz="0" w:space="0" w:color="auto"/>
        <w:bottom w:val="none" w:sz="0" w:space="0" w:color="auto"/>
        <w:right w:val="none" w:sz="0" w:space="0" w:color="auto"/>
      </w:divBdr>
    </w:div>
    <w:div w:id="1500971655">
      <w:marLeft w:val="0"/>
      <w:marRight w:val="0"/>
      <w:marTop w:val="0"/>
      <w:marBottom w:val="0"/>
      <w:divBdr>
        <w:top w:val="none" w:sz="0" w:space="0" w:color="auto"/>
        <w:left w:val="none" w:sz="0" w:space="0" w:color="auto"/>
        <w:bottom w:val="none" w:sz="0" w:space="0" w:color="auto"/>
        <w:right w:val="none" w:sz="0" w:space="0" w:color="auto"/>
      </w:divBdr>
    </w:div>
    <w:div w:id="1509557966">
      <w:marLeft w:val="0"/>
      <w:marRight w:val="0"/>
      <w:marTop w:val="0"/>
      <w:marBottom w:val="0"/>
      <w:divBdr>
        <w:top w:val="none" w:sz="0" w:space="0" w:color="auto"/>
        <w:left w:val="none" w:sz="0" w:space="0" w:color="auto"/>
        <w:bottom w:val="none" w:sz="0" w:space="0" w:color="auto"/>
        <w:right w:val="none" w:sz="0" w:space="0" w:color="auto"/>
      </w:divBdr>
    </w:div>
    <w:div w:id="1516572061">
      <w:marLeft w:val="0"/>
      <w:marRight w:val="0"/>
      <w:marTop w:val="0"/>
      <w:marBottom w:val="0"/>
      <w:divBdr>
        <w:top w:val="none" w:sz="0" w:space="0" w:color="auto"/>
        <w:left w:val="none" w:sz="0" w:space="0" w:color="auto"/>
        <w:bottom w:val="none" w:sz="0" w:space="0" w:color="auto"/>
        <w:right w:val="none" w:sz="0" w:space="0" w:color="auto"/>
      </w:divBdr>
    </w:div>
    <w:div w:id="1548759713">
      <w:marLeft w:val="0"/>
      <w:marRight w:val="0"/>
      <w:marTop w:val="0"/>
      <w:marBottom w:val="0"/>
      <w:divBdr>
        <w:top w:val="none" w:sz="0" w:space="0" w:color="auto"/>
        <w:left w:val="none" w:sz="0" w:space="0" w:color="auto"/>
        <w:bottom w:val="none" w:sz="0" w:space="0" w:color="auto"/>
        <w:right w:val="none" w:sz="0" w:space="0" w:color="auto"/>
      </w:divBdr>
    </w:div>
    <w:div w:id="1556356601">
      <w:marLeft w:val="0"/>
      <w:marRight w:val="0"/>
      <w:marTop w:val="0"/>
      <w:marBottom w:val="0"/>
      <w:divBdr>
        <w:top w:val="none" w:sz="0" w:space="0" w:color="auto"/>
        <w:left w:val="none" w:sz="0" w:space="0" w:color="auto"/>
        <w:bottom w:val="none" w:sz="0" w:space="0" w:color="auto"/>
        <w:right w:val="none" w:sz="0" w:space="0" w:color="auto"/>
      </w:divBdr>
    </w:div>
    <w:div w:id="1557547334">
      <w:marLeft w:val="0"/>
      <w:marRight w:val="0"/>
      <w:marTop w:val="0"/>
      <w:marBottom w:val="0"/>
      <w:divBdr>
        <w:top w:val="none" w:sz="0" w:space="0" w:color="auto"/>
        <w:left w:val="none" w:sz="0" w:space="0" w:color="auto"/>
        <w:bottom w:val="none" w:sz="0" w:space="0" w:color="auto"/>
        <w:right w:val="none" w:sz="0" w:space="0" w:color="auto"/>
      </w:divBdr>
    </w:div>
    <w:div w:id="1603803778">
      <w:marLeft w:val="0"/>
      <w:marRight w:val="0"/>
      <w:marTop w:val="0"/>
      <w:marBottom w:val="0"/>
      <w:divBdr>
        <w:top w:val="none" w:sz="0" w:space="0" w:color="auto"/>
        <w:left w:val="none" w:sz="0" w:space="0" w:color="auto"/>
        <w:bottom w:val="none" w:sz="0" w:space="0" w:color="auto"/>
        <w:right w:val="none" w:sz="0" w:space="0" w:color="auto"/>
      </w:divBdr>
    </w:div>
    <w:div w:id="1608804575">
      <w:marLeft w:val="0"/>
      <w:marRight w:val="0"/>
      <w:marTop w:val="0"/>
      <w:marBottom w:val="0"/>
      <w:divBdr>
        <w:top w:val="none" w:sz="0" w:space="0" w:color="auto"/>
        <w:left w:val="none" w:sz="0" w:space="0" w:color="auto"/>
        <w:bottom w:val="none" w:sz="0" w:space="0" w:color="auto"/>
        <w:right w:val="none" w:sz="0" w:space="0" w:color="auto"/>
      </w:divBdr>
    </w:div>
    <w:div w:id="1611013474">
      <w:marLeft w:val="0"/>
      <w:marRight w:val="0"/>
      <w:marTop w:val="0"/>
      <w:marBottom w:val="0"/>
      <w:divBdr>
        <w:top w:val="none" w:sz="0" w:space="0" w:color="auto"/>
        <w:left w:val="none" w:sz="0" w:space="0" w:color="auto"/>
        <w:bottom w:val="none" w:sz="0" w:space="0" w:color="auto"/>
        <w:right w:val="none" w:sz="0" w:space="0" w:color="auto"/>
      </w:divBdr>
    </w:div>
    <w:div w:id="1612668522">
      <w:marLeft w:val="0"/>
      <w:marRight w:val="0"/>
      <w:marTop w:val="0"/>
      <w:marBottom w:val="0"/>
      <w:divBdr>
        <w:top w:val="none" w:sz="0" w:space="0" w:color="auto"/>
        <w:left w:val="none" w:sz="0" w:space="0" w:color="auto"/>
        <w:bottom w:val="none" w:sz="0" w:space="0" w:color="auto"/>
        <w:right w:val="none" w:sz="0" w:space="0" w:color="auto"/>
      </w:divBdr>
    </w:div>
    <w:div w:id="1623196195">
      <w:marLeft w:val="0"/>
      <w:marRight w:val="0"/>
      <w:marTop w:val="0"/>
      <w:marBottom w:val="0"/>
      <w:divBdr>
        <w:top w:val="none" w:sz="0" w:space="0" w:color="auto"/>
        <w:left w:val="none" w:sz="0" w:space="0" w:color="auto"/>
        <w:bottom w:val="none" w:sz="0" w:space="0" w:color="auto"/>
        <w:right w:val="none" w:sz="0" w:space="0" w:color="auto"/>
      </w:divBdr>
    </w:div>
    <w:div w:id="1630670300">
      <w:marLeft w:val="0"/>
      <w:marRight w:val="0"/>
      <w:marTop w:val="0"/>
      <w:marBottom w:val="0"/>
      <w:divBdr>
        <w:top w:val="none" w:sz="0" w:space="0" w:color="auto"/>
        <w:left w:val="none" w:sz="0" w:space="0" w:color="auto"/>
        <w:bottom w:val="none" w:sz="0" w:space="0" w:color="auto"/>
        <w:right w:val="none" w:sz="0" w:space="0" w:color="auto"/>
      </w:divBdr>
    </w:div>
    <w:div w:id="1639383264">
      <w:marLeft w:val="0"/>
      <w:marRight w:val="0"/>
      <w:marTop w:val="0"/>
      <w:marBottom w:val="0"/>
      <w:divBdr>
        <w:top w:val="none" w:sz="0" w:space="0" w:color="auto"/>
        <w:left w:val="none" w:sz="0" w:space="0" w:color="auto"/>
        <w:bottom w:val="none" w:sz="0" w:space="0" w:color="auto"/>
        <w:right w:val="none" w:sz="0" w:space="0" w:color="auto"/>
      </w:divBdr>
    </w:div>
    <w:div w:id="1657997457">
      <w:marLeft w:val="0"/>
      <w:marRight w:val="0"/>
      <w:marTop w:val="0"/>
      <w:marBottom w:val="0"/>
      <w:divBdr>
        <w:top w:val="none" w:sz="0" w:space="0" w:color="auto"/>
        <w:left w:val="none" w:sz="0" w:space="0" w:color="auto"/>
        <w:bottom w:val="none" w:sz="0" w:space="0" w:color="auto"/>
        <w:right w:val="none" w:sz="0" w:space="0" w:color="auto"/>
      </w:divBdr>
    </w:div>
    <w:div w:id="1716268632">
      <w:marLeft w:val="0"/>
      <w:marRight w:val="0"/>
      <w:marTop w:val="0"/>
      <w:marBottom w:val="0"/>
      <w:divBdr>
        <w:top w:val="none" w:sz="0" w:space="0" w:color="auto"/>
        <w:left w:val="none" w:sz="0" w:space="0" w:color="auto"/>
        <w:bottom w:val="none" w:sz="0" w:space="0" w:color="auto"/>
        <w:right w:val="none" w:sz="0" w:space="0" w:color="auto"/>
      </w:divBdr>
    </w:div>
    <w:div w:id="1745252222">
      <w:marLeft w:val="0"/>
      <w:marRight w:val="0"/>
      <w:marTop w:val="0"/>
      <w:marBottom w:val="0"/>
      <w:divBdr>
        <w:top w:val="none" w:sz="0" w:space="0" w:color="auto"/>
        <w:left w:val="none" w:sz="0" w:space="0" w:color="auto"/>
        <w:bottom w:val="none" w:sz="0" w:space="0" w:color="auto"/>
        <w:right w:val="none" w:sz="0" w:space="0" w:color="auto"/>
      </w:divBdr>
    </w:div>
    <w:div w:id="1756316853">
      <w:marLeft w:val="0"/>
      <w:marRight w:val="0"/>
      <w:marTop w:val="0"/>
      <w:marBottom w:val="0"/>
      <w:divBdr>
        <w:top w:val="none" w:sz="0" w:space="0" w:color="auto"/>
        <w:left w:val="none" w:sz="0" w:space="0" w:color="auto"/>
        <w:bottom w:val="none" w:sz="0" w:space="0" w:color="auto"/>
        <w:right w:val="none" w:sz="0" w:space="0" w:color="auto"/>
      </w:divBdr>
    </w:div>
    <w:div w:id="1774744062">
      <w:marLeft w:val="0"/>
      <w:marRight w:val="0"/>
      <w:marTop w:val="0"/>
      <w:marBottom w:val="0"/>
      <w:divBdr>
        <w:top w:val="none" w:sz="0" w:space="0" w:color="auto"/>
        <w:left w:val="none" w:sz="0" w:space="0" w:color="auto"/>
        <w:bottom w:val="none" w:sz="0" w:space="0" w:color="auto"/>
        <w:right w:val="none" w:sz="0" w:space="0" w:color="auto"/>
      </w:divBdr>
    </w:div>
    <w:div w:id="1779135025">
      <w:marLeft w:val="0"/>
      <w:marRight w:val="0"/>
      <w:marTop w:val="0"/>
      <w:marBottom w:val="0"/>
      <w:divBdr>
        <w:top w:val="none" w:sz="0" w:space="0" w:color="auto"/>
        <w:left w:val="none" w:sz="0" w:space="0" w:color="auto"/>
        <w:bottom w:val="none" w:sz="0" w:space="0" w:color="auto"/>
        <w:right w:val="none" w:sz="0" w:space="0" w:color="auto"/>
      </w:divBdr>
    </w:div>
    <w:div w:id="1790664376">
      <w:marLeft w:val="0"/>
      <w:marRight w:val="0"/>
      <w:marTop w:val="0"/>
      <w:marBottom w:val="0"/>
      <w:divBdr>
        <w:top w:val="none" w:sz="0" w:space="0" w:color="auto"/>
        <w:left w:val="none" w:sz="0" w:space="0" w:color="auto"/>
        <w:bottom w:val="none" w:sz="0" w:space="0" w:color="auto"/>
        <w:right w:val="none" w:sz="0" w:space="0" w:color="auto"/>
      </w:divBdr>
    </w:div>
    <w:div w:id="1826240181">
      <w:marLeft w:val="0"/>
      <w:marRight w:val="0"/>
      <w:marTop w:val="0"/>
      <w:marBottom w:val="0"/>
      <w:divBdr>
        <w:top w:val="none" w:sz="0" w:space="0" w:color="auto"/>
        <w:left w:val="none" w:sz="0" w:space="0" w:color="auto"/>
        <w:bottom w:val="none" w:sz="0" w:space="0" w:color="auto"/>
        <w:right w:val="none" w:sz="0" w:space="0" w:color="auto"/>
      </w:divBdr>
    </w:div>
    <w:div w:id="1858274214">
      <w:marLeft w:val="0"/>
      <w:marRight w:val="0"/>
      <w:marTop w:val="0"/>
      <w:marBottom w:val="0"/>
      <w:divBdr>
        <w:top w:val="none" w:sz="0" w:space="0" w:color="auto"/>
        <w:left w:val="none" w:sz="0" w:space="0" w:color="auto"/>
        <w:bottom w:val="none" w:sz="0" w:space="0" w:color="auto"/>
        <w:right w:val="none" w:sz="0" w:space="0" w:color="auto"/>
      </w:divBdr>
    </w:div>
    <w:div w:id="1886025028">
      <w:marLeft w:val="0"/>
      <w:marRight w:val="0"/>
      <w:marTop w:val="0"/>
      <w:marBottom w:val="0"/>
      <w:divBdr>
        <w:top w:val="none" w:sz="0" w:space="0" w:color="auto"/>
        <w:left w:val="none" w:sz="0" w:space="0" w:color="auto"/>
        <w:bottom w:val="none" w:sz="0" w:space="0" w:color="auto"/>
        <w:right w:val="none" w:sz="0" w:space="0" w:color="auto"/>
      </w:divBdr>
    </w:div>
    <w:div w:id="1894392532">
      <w:marLeft w:val="0"/>
      <w:marRight w:val="0"/>
      <w:marTop w:val="0"/>
      <w:marBottom w:val="0"/>
      <w:divBdr>
        <w:top w:val="none" w:sz="0" w:space="0" w:color="auto"/>
        <w:left w:val="none" w:sz="0" w:space="0" w:color="auto"/>
        <w:bottom w:val="none" w:sz="0" w:space="0" w:color="auto"/>
        <w:right w:val="none" w:sz="0" w:space="0" w:color="auto"/>
      </w:divBdr>
    </w:div>
    <w:div w:id="1907907910">
      <w:marLeft w:val="0"/>
      <w:marRight w:val="0"/>
      <w:marTop w:val="0"/>
      <w:marBottom w:val="0"/>
      <w:divBdr>
        <w:top w:val="none" w:sz="0" w:space="0" w:color="auto"/>
        <w:left w:val="none" w:sz="0" w:space="0" w:color="auto"/>
        <w:bottom w:val="none" w:sz="0" w:space="0" w:color="auto"/>
        <w:right w:val="none" w:sz="0" w:space="0" w:color="auto"/>
      </w:divBdr>
    </w:div>
    <w:div w:id="1951204836">
      <w:marLeft w:val="0"/>
      <w:marRight w:val="0"/>
      <w:marTop w:val="0"/>
      <w:marBottom w:val="0"/>
      <w:divBdr>
        <w:top w:val="none" w:sz="0" w:space="0" w:color="auto"/>
        <w:left w:val="none" w:sz="0" w:space="0" w:color="auto"/>
        <w:bottom w:val="none" w:sz="0" w:space="0" w:color="auto"/>
        <w:right w:val="none" w:sz="0" w:space="0" w:color="auto"/>
      </w:divBdr>
    </w:div>
    <w:div w:id="1953317667">
      <w:marLeft w:val="0"/>
      <w:marRight w:val="0"/>
      <w:marTop w:val="0"/>
      <w:marBottom w:val="0"/>
      <w:divBdr>
        <w:top w:val="none" w:sz="0" w:space="0" w:color="auto"/>
        <w:left w:val="none" w:sz="0" w:space="0" w:color="auto"/>
        <w:bottom w:val="none" w:sz="0" w:space="0" w:color="auto"/>
        <w:right w:val="none" w:sz="0" w:space="0" w:color="auto"/>
      </w:divBdr>
    </w:div>
    <w:div w:id="1970285489">
      <w:marLeft w:val="0"/>
      <w:marRight w:val="0"/>
      <w:marTop w:val="0"/>
      <w:marBottom w:val="0"/>
      <w:divBdr>
        <w:top w:val="none" w:sz="0" w:space="0" w:color="auto"/>
        <w:left w:val="none" w:sz="0" w:space="0" w:color="auto"/>
        <w:bottom w:val="none" w:sz="0" w:space="0" w:color="auto"/>
        <w:right w:val="none" w:sz="0" w:space="0" w:color="auto"/>
      </w:divBdr>
    </w:div>
    <w:div w:id="1993483058">
      <w:marLeft w:val="0"/>
      <w:marRight w:val="0"/>
      <w:marTop w:val="0"/>
      <w:marBottom w:val="0"/>
      <w:divBdr>
        <w:top w:val="none" w:sz="0" w:space="0" w:color="auto"/>
        <w:left w:val="none" w:sz="0" w:space="0" w:color="auto"/>
        <w:bottom w:val="none" w:sz="0" w:space="0" w:color="auto"/>
        <w:right w:val="none" w:sz="0" w:space="0" w:color="auto"/>
      </w:divBdr>
    </w:div>
    <w:div w:id="1999765969">
      <w:marLeft w:val="0"/>
      <w:marRight w:val="0"/>
      <w:marTop w:val="0"/>
      <w:marBottom w:val="0"/>
      <w:divBdr>
        <w:top w:val="none" w:sz="0" w:space="0" w:color="auto"/>
        <w:left w:val="none" w:sz="0" w:space="0" w:color="auto"/>
        <w:bottom w:val="none" w:sz="0" w:space="0" w:color="auto"/>
        <w:right w:val="none" w:sz="0" w:space="0" w:color="auto"/>
      </w:divBdr>
    </w:div>
    <w:div w:id="2008483794">
      <w:marLeft w:val="0"/>
      <w:marRight w:val="0"/>
      <w:marTop w:val="0"/>
      <w:marBottom w:val="0"/>
      <w:divBdr>
        <w:top w:val="none" w:sz="0" w:space="0" w:color="auto"/>
        <w:left w:val="none" w:sz="0" w:space="0" w:color="auto"/>
        <w:bottom w:val="none" w:sz="0" w:space="0" w:color="auto"/>
        <w:right w:val="none" w:sz="0" w:space="0" w:color="auto"/>
      </w:divBdr>
    </w:div>
    <w:div w:id="2062171671">
      <w:marLeft w:val="0"/>
      <w:marRight w:val="0"/>
      <w:marTop w:val="0"/>
      <w:marBottom w:val="0"/>
      <w:divBdr>
        <w:top w:val="none" w:sz="0" w:space="0" w:color="auto"/>
        <w:left w:val="none" w:sz="0" w:space="0" w:color="auto"/>
        <w:bottom w:val="none" w:sz="0" w:space="0" w:color="auto"/>
        <w:right w:val="none" w:sz="0" w:space="0" w:color="auto"/>
      </w:divBdr>
    </w:div>
    <w:div w:id="2071415045">
      <w:marLeft w:val="0"/>
      <w:marRight w:val="0"/>
      <w:marTop w:val="0"/>
      <w:marBottom w:val="0"/>
      <w:divBdr>
        <w:top w:val="none" w:sz="0" w:space="0" w:color="auto"/>
        <w:left w:val="none" w:sz="0" w:space="0" w:color="auto"/>
        <w:bottom w:val="none" w:sz="0" w:space="0" w:color="auto"/>
        <w:right w:val="none" w:sz="0" w:space="0" w:color="auto"/>
      </w:divBdr>
    </w:div>
    <w:div w:id="2077436350">
      <w:marLeft w:val="0"/>
      <w:marRight w:val="0"/>
      <w:marTop w:val="0"/>
      <w:marBottom w:val="0"/>
      <w:divBdr>
        <w:top w:val="none" w:sz="0" w:space="0" w:color="auto"/>
        <w:left w:val="none" w:sz="0" w:space="0" w:color="auto"/>
        <w:bottom w:val="none" w:sz="0" w:space="0" w:color="auto"/>
        <w:right w:val="none" w:sz="0" w:space="0" w:color="auto"/>
      </w:divBdr>
    </w:div>
    <w:div w:id="2097747953">
      <w:marLeft w:val="0"/>
      <w:marRight w:val="0"/>
      <w:marTop w:val="0"/>
      <w:marBottom w:val="0"/>
      <w:divBdr>
        <w:top w:val="none" w:sz="0" w:space="0" w:color="auto"/>
        <w:left w:val="none" w:sz="0" w:space="0" w:color="auto"/>
        <w:bottom w:val="none" w:sz="0" w:space="0" w:color="auto"/>
        <w:right w:val="none" w:sz="0" w:space="0" w:color="auto"/>
      </w:divBdr>
    </w:div>
    <w:div w:id="213124171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eg-ex322_6.htm" TargetMode="External"/><Relationship Id="rId3" Type="http://schemas.openxmlformats.org/officeDocument/2006/relationships/webSettings" Target="webSettings.xml"/><Relationship Id="rId7" Type="http://schemas.openxmlformats.org/officeDocument/2006/relationships/hyperlink" Target="meg-ex321_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12_7.htm" TargetMode="External"/><Relationship Id="rId5" Type="http://schemas.openxmlformats.org/officeDocument/2006/relationships/hyperlink" Target="meg-ex311_8.htm" TargetMode="External"/><Relationship Id="rId10" Type="http://schemas.openxmlformats.org/officeDocument/2006/relationships/theme" Target="theme/theme1.xml"/><Relationship Id="rId4" Type="http://schemas.openxmlformats.org/officeDocument/2006/relationships/hyperlink" Target="http://www.sec.gov/Archives/edgar/data/1643615/000119312521140340/d75856d8k.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37787</Words>
  <Characters>215387</Characters>
  <Application>Microsoft Office Word</Application>
  <DocSecurity>0</DocSecurity>
  <Lines>1794</Lines>
  <Paragraphs>505</Paragraphs>
  <ScaleCrop>false</ScaleCrop>
  <Company/>
  <LinksUpToDate>false</LinksUpToDate>
  <CharactersWithSpaces>252669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meg-10q_20210630.htm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