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D33E3">
      <w:pPr>
        <w:divId w:val="1721323367"/>
        <w:rPr>
          <w:rFonts w:eastAsia="Times New Roman"/>
          <w:vanish/>
        </w:rPr>
      </w:pPr>
      <w:r>
        <w:rPr>
          <w:rFonts w:eastAsia="Times New Roman"/>
          <w:vanish/>
        </w:rPr>
        <w:t>0.33http://fasb.org/us-gaap/2021-01-31#OtherExpenseMember--12-310.3350P9Mfalse0.33000164361550Q10001643615us-gaap:AdditionalPaidInCapitalMember2022-03-310001643615us-gaap:AdditionalPaidInCapitalMember2021-12-310001643615</w:t>
      </w:r>
      <w:r>
        <w:rPr>
          <w:rFonts w:eastAsia="Times New Roman"/>
          <w:vanish/>
        </w:rPr>
        <w:t>meg:MontroseTwoThousandSeventeenStockIncentivePlanMember2022-01-012022-03-310001643615meg:MontroseTwoThousandSeventeenStockIncentivePlanMember2021-03-310001643615meg:ConvertibleAndRedeemableSeriesATwoPreferredStockMember2020-12-310001643615meg:TwoThousandT</w:t>
      </w:r>
      <w:r>
        <w:rPr>
          <w:rFonts w:eastAsia="Times New Roman"/>
          <w:vanish/>
        </w:rPr>
        <w:t>hirteenPlanMemberus-gaap:SellingGeneralAndAdministrativeExpensesMemberus-gaap:EmployeeStockOptionMember2021-01-012021-03-310001643615meg:EnvironmentalStandardsIncMember2022-03-310001643615us-gaap:NoncompeteAgreementsMember2022-03-310001643615meg:Remediatio</w:t>
      </w:r>
      <w:r>
        <w:rPr>
          <w:rFonts w:eastAsia="Times New Roman"/>
          <w:vanish/>
        </w:rPr>
        <w:t>nAndReuseSegmentMember2022-03-310001643615us-gaap:OperatingSegmentsMembermeg:AssessmentPermittingAndResponseMember2022-01-012022-03-310001643615us-gaap:CustomerRelationshipsMembersrt:MinimumMember2021-01-012021-12-310001643615us-gaap:RevenueFromContractWit</w:t>
      </w:r>
      <w:r>
        <w:rPr>
          <w:rFonts w:eastAsia="Times New Roman"/>
          <w:vanish/>
        </w:rPr>
        <w:t>hCustomerMembermeg:CustomerThreeMemberus-gaap:CustomerConcentrationRiskMember2021-01-012021-03-310001643615meg:TwentyTwentyCreditFacilityMember2021-09-302021-09-300001643615meg:ConversionOptionMemberus-gaap:FairValueInputsLevel3Memberus-gaap:FairValueMeasu</w:t>
      </w:r>
      <w:r>
        <w:rPr>
          <w:rFonts w:eastAsia="Times New Roman"/>
          <w:vanish/>
        </w:rPr>
        <w:t>rementsRecurringMember2020-12-310001643615meg:SarStockPricePerformanceHurdleOneMember2022-03-310001643615us-gaap:CustomerRelationshipsMembersrt:MaximumMember2021-01-012021-12-3100016436152022-04-012022-03-310001643615us-gaap:FairValueInputsLevel3Memberus-g</w:t>
      </w:r>
      <w:r>
        <w:rPr>
          <w:rFonts w:eastAsia="Times New Roman"/>
          <w:vanish/>
        </w:rPr>
        <w:t>aap:FairValueMeasurementsRecurringMember2021-03-310001643615us-gaap:AccumulatedOtherComprehensiveIncomeMember2020-12-310001643615meg:PricingTier5Membermeg:TwentyTwentyOneCreditFacilityMemberus-gaap:BaseRateMember2021-04-272021-04-270001643615us-gaap:Noncom</w:t>
      </w:r>
      <w:r>
        <w:rPr>
          <w:rFonts w:eastAsia="Times New Roman"/>
          <w:vanish/>
        </w:rPr>
        <w:t>peteAgreementsMembermeg:IndustrialAutomationGroupIncMember2022-01-012022-03-310001643615us-gaap:OtherNonoperatingIncomeExpenseMembermeg:ConvertibleAndRedeemableSeriesATwoPreferredStockMember2021-01-012021-03-310001643615us-gaap:StockAppreciationRightsSARSM</w:t>
      </w:r>
      <w:r>
        <w:rPr>
          <w:rFonts w:eastAsia="Times New Roman"/>
          <w:vanish/>
        </w:rPr>
        <w:t>ember2022-01-3100016436152023-01-012022-03-310001643615us-gaap:AccumulatedOtherComprehensiveIncomeMember2022-01-012022-03-310001643615meg:FloatingRateMemberus-gaap:InterestRateSwapMember2022-01-270001643615meg:MontroseTwoThousandSeventeenStockIncentivePlan</w:t>
      </w:r>
      <w:r>
        <w:rPr>
          <w:rFonts w:eastAsia="Times New Roman"/>
          <w:vanish/>
        </w:rPr>
        <w:t>Member2021-12-310001643615meg:LabAndTestEquipmentMember2022-01-012022-03-310001643615us-gaap:CommonStockMember2021-01-012021-03-310001643615us-gaap:CustomerRelationshipsMembersrt:MinimumMember2022-01-012022-03-310001643615meg:HorizonWaterAndEnvironmentLLCM</w:t>
      </w:r>
      <w:r>
        <w:rPr>
          <w:rFonts w:eastAsia="Times New Roman"/>
          <w:vanish/>
        </w:rPr>
        <w:t>ember2021-11-300001643615meg:TwoThousandSeventeenPlanMemberus-gaap:RestrictedStockMemberus-gaap:SellingGeneralAndAdministrativeExpensesMember2021-01-012021-03-310001643615us-gaap:CustomerRelationshipsMembermeg:EnvironmentalStandardsIncMember2022-01-012022-</w:t>
      </w:r>
      <w:r>
        <w:rPr>
          <w:rFonts w:eastAsia="Times New Roman"/>
          <w:vanish/>
        </w:rPr>
        <w:t>03-310001643615meg:EnvironmentalStandardsIncMemberus-gaap:TradeNamesMember2022-03-310001643615us-gaap:PatentsMember2022-01-012022-03-310001643615meg:TwoThousandSeventeenPlanMember2022-01-310001643615us-gaap:BuildingMember2022-01-012022-03-310001643615meg:B</w:t>
      </w:r>
      <w:r>
        <w:rPr>
          <w:rFonts w:eastAsia="Times New Roman"/>
          <w:vanish/>
        </w:rPr>
        <w:t>usinessAcquisitionsContingentConsiderationLongTermMemberus-gaap:FairValueInputsLevel3Memberus-gaap:FairValueMeasurementsRecurringMember2021-03-310001643615us-gaap:CustomerRelationshipsMember2022-03-310001643615meg:ConsolidatedProformaMember2021-01-012021-0</w:t>
      </w:r>
      <w:r>
        <w:rPr>
          <w:rFonts w:eastAsia="Times New Roman"/>
          <w:vanish/>
        </w:rPr>
        <w:t>3-310001643615us-gaap:EmployeeStockOptionMember2021-01-012021-03-310001643615meg:MontroseTwoThousandThirteenStockOptionPlanMember2021-01-012021-12-310001643615meg:BusinessAcquisitionsContingentConsiderationCurrentMemberus-gaap:FairValueInputsLevel3Memberus</w:t>
      </w:r>
      <w:r>
        <w:rPr>
          <w:rFonts w:eastAsia="Times New Roman"/>
          <w:vanish/>
        </w:rPr>
        <w:t>-gaap:FairValueMeasurementsRecurringMember2021-03-310001643615us-gaap:RetainedEarningsMember2021-03-310001643615meg:TwoThousandSeventeenPlanMember2022-03-310001643615meg:MeasurementAndAnalysisMember2022-03-310001643615us-gaap:ComputerSoftwareIntangibleAsse</w:t>
      </w:r>
      <w:r>
        <w:rPr>
          <w:rFonts w:eastAsia="Times New Roman"/>
          <w:vanish/>
        </w:rPr>
        <w:t>tMember2021-12-310001643615srt:MaximumMemberus-gaap:TradeNamesMember2022-01-012022-03-310001643615meg:PricingTier3Membermeg:TwentyTwentyOneCreditFacilityMember2021-04-272021-04-270001643615meg:MSEGroupLLCMemberus-gaap:NoncompeteAgreementsMember2022-01-0120</w:t>
      </w:r>
      <w:r>
        <w:rPr>
          <w:rFonts w:eastAsia="Times New Roman"/>
          <w:vanish/>
        </w:rPr>
        <w:t>22-03-310001643615us-gaap:RevolvingCreditFacilityMembermeg:TwentyTwentyCreditFacilityMember2020-04-132020-04-130001643615us-gaap:NoncompeteAgreementsMember2021-12-310001643615us-gaap:TradeNamesMember2021-12-310001643615meg:SensibleloTLLCMember2021-08-31000</w:t>
      </w:r>
      <w:r>
        <w:rPr>
          <w:rFonts w:eastAsia="Times New Roman"/>
          <w:vanish/>
        </w:rPr>
        <w:t>1643615meg:TwentyTwentyOneCreditFacilityMembermeg:PricingTier1Memberus-gaap:BaseRateMember2021-04-272021-04-270001643615us-gaap:AdditionalPaidInCapitalMember2022-01-012022-03-310001643615us-gaap:SellingGeneralAndAdministrativeExpensesMember2021-01-012021-0</w:t>
      </w:r>
      <w:r>
        <w:rPr>
          <w:rFonts w:eastAsia="Times New Roman"/>
          <w:vanish/>
        </w:rPr>
        <w:t>3-310001643615meg:VistaAnalyticalLaboratoryIncMember2021-06-012021-06-300001643615meg:OtherTwoThousandTwentyOneAcquisitionsMemberus-gaap:DevelopedTechnologyRightsMember2022-01-012022-03-310001643615meg:FloatingRateMemberus-gaap:InterestRateSwapMember2022-0</w:t>
      </w:r>
      <w:r>
        <w:rPr>
          <w:rFonts w:eastAsia="Times New Roman"/>
          <w:vanish/>
        </w:rPr>
        <w:t>1-272022-01-270001643615us-gaap:CustomerRelationshipsMembermeg:MSEGroupLLCMembersrt:MaximumMember2022-01-012022-03-310001643615meg:CustomerOneMemberus-gaap:CustomerConcentrationRiskMemberus-gaap:AccountsReceivableMember2021-01-012021-12-310001643615meg:Pri</w:t>
      </w:r>
      <w:r>
        <w:rPr>
          <w:rFonts w:eastAsia="Times New Roman"/>
          <w:vanish/>
        </w:rPr>
        <w:t>cingTier3Membermeg:TwentyTwentyOneCreditFacilityMemberus-gaap:BaseRateMember2021-04-272021-04-270001643615meg:YearSixMembermeg:ConvertibleAndRedeemableSeriesATwoPreferredStockMember2022-03-310001643615srt:MaximumMemberus-gaap:TradeNamesMember2021-01-012021</w:t>
      </w:r>
      <w:r>
        <w:rPr>
          <w:rFonts w:eastAsia="Times New Roman"/>
          <w:vanish/>
        </w:rPr>
        <w:t>-12-3100016436152020-01-012020-05-220001643615us-gaap:StockAppreciationRightsSARSMembermeg:TwoThousandSeventeenPlanMember2021-12-310001643615us-gaap:LondonInterbankOfferedRateLIBORMembermeg:TwentyTwentyOneCreditFacilityMembermeg:PricingTier4Member2021-04-2</w:t>
      </w:r>
      <w:r>
        <w:rPr>
          <w:rFonts w:eastAsia="Times New Roman"/>
          <w:vanish/>
        </w:rPr>
        <w:t>72021-04-270001643615meg:BusinessAcquisitionsContingentConsiderationLongTermMemberus-gaap:FairValueInputsLevel3Memberus-gaap:FairValueMeasurementsRecurringMember2021-01-012021-03-310001643615srt:MinimumMemberus-gaap:TradeNamesMember2022-01-012022-03-310001</w:t>
      </w:r>
      <w:r>
        <w:rPr>
          <w:rFonts w:eastAsia="Times New Roman"/>
          <w:vanish/>
        </w:rPr>
        <w:t>643615srt:MinimumMembermeg:TwentyTwentyOneCreditFacilityMembermeg:PricingTier2Member2021-04-272021-04-270001643615us-gaap:EquipmentMember2022-03-310001643615meg:OtherAcquisitionsMember2021-12-310001643615us-gaap:TechnologyBasedIntangibleAssetsMember2021-12</w:t>
      </w:r>
      <w:r>
        <w:rPr>
          <w:rFonts w:eastAsia="Times New Roman"/>
          <w:vanish/>
        </w:rPr>
        <w:t>-310001643615us-gaap:FairValueInputsLevel3Memberus-gaap:InterestRateSwapMemberus-gaap:FairValueMeasurementsRecurringMember2022-01-012022-03-310001643615us-gaap:OperatingSegmentsMembermeg:MeasurementAndAnalysisMember2022-01-012022-03-310001643615meg:Montros</w:t>
      </w:r>
      <w:r>
        <w:rPr>
          <w:rFonts w:eastAsia="Times New Roman"/>
          <w:vanish/>
        </w:rPr>
        <w:t>eTwoThousandThirteenStockOptionPlanMember2021-01-012021-03-310001643615us-gaap:AirTransportationEquipmentMember2022-01-012022-03-310001643615meg:CustomerOneMemberus-gaap:RevenueFromContractWithCustomerMemberus-gaap:CustomerConcentrationRiskMember2021-01-01</w:t>
      </w:r>
      <w:r>
        <w:rPr>
          <w:rFonts w:eastAsia="Times New Roman"/>
          <w:vanish/>
        </w:rPr>
        <w:t>2021-03-310001643615us-gaap:CorporateAndOtherMember2022-01-012022-03-310001643615meg:TwoThousandSeventeenPlanMemberus-gaap:EmployeeStockOptionMember2022-01-012022-03-310001643615meg:EnvironmentalStandardsIncAndIndustrialAutomationGroupIncMember2022-01-0120</w:t>
      </w:r>
      <w:r>
        <w:rPr>
          <w:rFonts w:eastAsia="Times New Roman"/>
          <w:vanish/>
        </w:rPr>
        <w:t>22-03-310001643615us-gaap:OperatingSegmentsMembermeg:RemediationAndReuseMember2022-01-012022-03-310001643615meg:MontroseTwoThousandThirteenStockOptionPlanMember2021-12-310001643615meg:EnvironmentalStandardsIncMember2022-01-310001643615us-gaap:CustomerRelat</w:t>
      </w:r>
      <w:r>
        <w:rPr>
          <w:rFonts w:eastAsia="Times New Roman"/>
          <w:vanish/>
        </w:rPr>
        <w:t>ionshipsMembermeg:OtherAcquisitionsMember2021-12-310001643615meg:BusinessAcquisitionsContingentConsiderationLongTermMemberus-gaap:FairValueInputsLevel3Memberus-gaap:FairValueMeasurementsRecurringMember2022-03-310001643615us-gaap:OperatingSegmentsMembermeg:</w:t>
      </w:r>
      <w:r>
        <w:rPr>
          <w:rFonts w:eastAsia="Times New Roman"/>
          <w:vanish/>
        </w:rPr>
        <w:t>RemediationAndReuseMember2021-01-012021-03-310001643615us-gaap:LeaseholdImprovementsMember2021-12-3100016436152021-01-012021-12-310001643615meg:MontroseTwoThousandSeventeenStockIncentivePlanMemberus-gaap:ShareBasedCompensationAwardTrancheTwoMemberus-gaap:E</w:t>
      </w:r>
      <w:r>
        <w:rPr>
          <w:rFonts w:eastAsia="Times New Roman"/>
          <w:vanish/>
        </w:rPr>
        <w:t>mployeeStockOptionMembersrt:DirectorMember2022-01-012022-03-310001643615meg:IndustrialAutomationGroupIncMember2022-03-310001643615us-gaap:PatentsMember2022-03-310001643615meg:EnvironmentalStandardsIncMemberus-gaap:TradeNamesMember2022-01-012022-03-31000164</w:t>
      </w:r>
      <w:r>
        <w:rPr>
          <w:rFonts w:eastAsia="Times New Roman"/>
          <w:vanish/>
        </w:rPr>
        <w:t>3615meg:EnvironmentalStandardsIncMember2022-01-012022-03-310001643615meg:MSEGroupLLCMember2021-12-310001643615meg:EquipmentLineOfCreditMember2022-01-012022-03-310001643615meg:TwoThousandSeventeenPlanMemberus-gaap:CostOfSalesMemberus-gaap:EmployeeStockOptio</w:t>
      </w:r>
      <w:r>
        <w:rPr>
          <w:rFonts w:eastAsia="Times New Roman"/>
          <w:vanish/>
        </w:rPr>
        <w:t>nMember2021-01-012021-03-310001643615us-gaap:CustomerRelationshipsMembermeg:EnvironmentalIntelligenceLLCMember2021-12-310001643615us-gaap:OperatingSegmentsMembermeg:MeasurementAndAnalysisMember2021-01-012021-03-310001643615meg:MontroseTwoThousandThirteenSt</w:t>
      </w:r>
      <w:r>
        <w:rPr>
          <w:rFonts w:eastAsia="Times New Roman"/>
          <w:vanish/>
        </w:rPr>
        <w:t>ockOptionPlanMember2020-01-012020-12-310001643615srt:MinimumMemberus-gaap:EquipmentMember2022-01-012022-03-310001643615us-gaap:StockAppreciationRightsSARSMembermeg:TwoThousandSeventeenPlanMember2021-01-012021-12-310001643615meg:MontroseTwoThousandSeventeen</w:t>
      </w:r>
      <w:r>
        <w:rPr>
          <w:rFonts w:eastAsia="Times New Roman"/>
          <w:vanish/>
        </w:rPr>
        <w:t>StockIncentivePlanMember2021-01-012021-12-310001643615meg:MontroseTwoThousandSeventeenStockIncentivePlanMember2021-01-012021-01-310001643615srt:MaximumMemberus-gaap:NoncompeteAgreementsMember2021-01-012021-12-310001643615meg:TwentyTwentyOneCreditFacilityMe</w:t>
      </w:r>
      <w:r>
        <w:rPr>
          <w:rFonts w:eastAsia="Times New Roman"/>
          <w:vanish/>
        </w:rPr>
        <w:t>mbermeg:PricingTier1Member2021-04-272021-04-270001643615meg:EnvironmentalIntelligenceLLCMemberus-gaap:TradeNamesMember2021-12-310001643615meg:MontroseTwoThousandSeventeenStockIncentivePlanMember2022-03-310001643615meg:MontroseTwoThousandSeventeenStockIncen</w:t>
      </w:r>
      <w:r>
        <w:rPr>
          <w:rFonts w:eastAsia="Times New Roman"/>
          <w:vanish/>
        </w:rPr>
        <w:t>tivePlanMembermeg:ShareBasedCompensationAwardTrancheFourMembersrt:DirectorMemberus-gaap:EmployeeStockOptionMember2022-01-012022-03-310001643615meg:MeasurementAndAnalysisMember2021-12-310001643615meg:ConvertibleAndRedeemableSeriesATwoPreferredStockMember202</w:t>
      </w:r>
      <w:r>
        <w:rPr>
          <w:rFonts w:eastAsia="Times New Roman"/>
          <w:vanish/>
        </w:rPr>
        <w:t>0-04-130001643615meg:TermLoanFacilityMember2021-12-310001643615srt:MinimumMember2020-01-012020-05-220001643615srt:MaximumMembermeg:PricingTier3Membermeg:TwentyTwentyOneCreditFacilityMember2021-04-272021-04-270001643615us-gaap:AirTransportationEquipmentMemb</w:t>
      </w:r>
      <w:r>
        <w:rPr>
          <w:rFonts w:eastAsia="Times New Roman"/>
          <w:vanish/>
        </w:rPr>
        <w:t>er2021-12-310001643615meg:MontroseTwoThousandSeventeenStockIncentivePlanMemberus-gaap:RestrictedStockUnitsRSUMember2021-01-012021-12-310001643615meg:SensibleloTLLCMember2021-08-012021-08-310001643615meg:TermLoanFacilityMember2022-03-310001643615meg:TwentyT</w:t>
      </w:r>
      <w:r>
        <w:rPr>
          <w:rFonts w:eastAsia="Times New Roman"/>
          <w:vanish/>
        </w:rPr>
        <w:t>wentyOneCreditFacilityMembermeg:PricingTier2Member2021-04-272021-04-270001643615meg:AssessmentPermittingAndResponseMember2022-03-310001643615us-gaap:InterestRateSwapMemberus-gaap:FairValueMeasurementsRecurringMember2022-01-012022-03-310001643615us-gaap:Lan</w:t>
      </w:r>
      <w:r>
        <w:rPr>
          <w:rFonts w:eastAsia="Times New Roman"/>
          <w:vanish/>
        </w:rPr>
        <w:t>dMember2021-12-310001643615meg:OtherAcquisitionsMemberus-gaap:TradeNamesMember2021-12-310001643615srt:MinimumMembermeg:TwentyTwentyOneCreditFacilityMembermeg:PricingTier1Member2021-04-272021-04-270001643615us-gaap:AccumulatedOtherComprehensiveIncomeMember2</w:t>
      </w:r>
      <w:r>
        <w:rPr>
          <w:rFonts w:eastAsia="Times New Roman"/>
          <w:vanish/>
        </w:rPr>
        <w:t>021-03-310001643615us-gaap:NoncompeteAgreementsMembermeg:EnvironmentalStandardsIncMember2022-03-310001643615us-gaap:NoncompeteAgreementsMembermeg:EnvironmentalIntelligenceLLCMember2021-12-310001643615us-gaap:FairValueInputsLevel3Memberus-gaap:FairValueMeas</w:t>
      </w:r>
      <w:r>
        <w:rPr>
          <w:rFonts w:eastAsia="Times New Roman"/>
          <w:vanish/>
        </w:rPr>
        <w:t>urementsRecurringMember2020-12-310001643615srt:MinimumMemberus-gaap:NoncompeteAgreementsMember2021-01-012021-12-310001643615meg:BusinessAcquisitionsContingentConsiderationLongTermMemberus-gaap:FairValueInputsLevel3Memberus-gaap:FairValueMeasurementsRecurri</w:t>
      </w:r>
      <w:r>
        <w:rPr>
          <w:rFonts w:eastAsia="Times New Roman"/>
          <w:vanish/>
        </w:rPr>
        <w:t>ngMember2022-01-012022-03-3100016436152022-05-050001643615meg:SarStockPricePerformanceHurdleTwoMember2022-03-310001643615us-gaap:LondonInterbankOfferedRateLIBORMembermeg:PricingTier2Membermeg:TwentyTwentyOneCreditFacilityMember2021-04-272021-04-27000164361</w:t>
      </w:r>
      <w:r>
        <w:rPr>
          <w:rFonts w:eastAsia="Times New Roman"/>
          <w:vanish/>
        </w:rPr>
        <w:t>5meg:TwentyTwentyCreditFacilityMember2020-04-132020-04-130001643615us-gaap:LondonInterbankOfferedRateLIBORMembermeg:TwentyTwentyOneCreditFacilityMembermeg:PricingTier1Member2021-04-272021-04-270001643615us-gaap:OperatingSegmentsMember2022-01-012022-03-3100</w:t>
      </w:r>
      <w:r>
        <w:rPr>
          <w:rFonts w:eastAsia="Times New Roman"/>
          <w:vanish/>
        </w:rPr>
        <w:t>01643615meg:AcquisitionProformaMember2021-01-012021-03-310001643615meg:ConvertibleAndRedeemableSeriesATwoPreferredStockMember2021-01-012021-03-310001643615meg:RemediationAndReuseSegmentMember2022-01-012022-03-310001643615meg:TermLoanFacilityMembermeg:Twent</w:t>
      </w:r>
      <w:r>
        <w:rPr>
          <w:rFonts w:eastAsia="Times New Roman"/>
          <w:vanish/>
        </w:rPr>
        <w:t>yTwentyCreditFacilityMembermeg:LondonInterbankOfferedRateLIBORFloorMember2020-04-132020-10-060001643615meg:EquipmentLineOfCreditMember2022-03-3100016436152021-03-310001643615meg:EnvironmentalStandardsIncAndIndustrialAutomationGroupIncMembermeg:TwoThousandA</w:t>
      </w:r>
      <w:r>
        <w:rPr>
          <w:rFonts w:eastAsia="Times New Roman"/>
          <w:vanish/>
        </w:rPr>
        <w:t>ndTwentyFiveEarnOutsMember2022-03-310001643615meg:TwentyTwentyOneCreditFacilityMember2021-04-272021-04-270001643615us-gaap:NoncompeteAgreementsMembermeg:IndustrialAutomationGroupIncMember2022-03-310001643615meg:TwoThousandSeventeenPlanMemberus-gaap:Selling</w:t>
      </w:r>
      <w:r>
        <w:rPr>
          <w:rFonts w:eastAsia="Times New Roman"/>
          <w:vanish/>
        </w:rPr>
        <w:t>GeneralAndAdministrativeExpensesMemberus-gaap:EmployeeStockOptionMember2022-01-012022-03-310001643615meg:LabAndTestEquipmentMember2022-03-310001643615us-gaap:FurnitureAndFixturesMember2021-12-310001643615us-gaap:LandMember2022-03-310001643615meg:SarStockPr</w:t>
      </w:r>
      <w:r>
        <w:rPr>
          <w:rFonts w:eastAsia="Times New Roman"/>
          <w:vanish/>
        </w:rPr>
        <w:t>icePerformanceHurdleOneMember2022-01-012022-03-310001643615srt:MaximumMembermeg:PricingTier5Membermeg:TwentyTwentyOneCreditFacilityMember2021-04-272021-04-270001643615meg:EnvironmentalIntelligenceLLCMember2021-07-012021-07-310001643615meg:MontroseTwoThousa</w:t>
      </w:r>
      <w:r>
        <w:rPr>
          <w:rFonts w:eastAsia="Times New Roman"/>
          <w:vanish/>
        </w:rPr>
        <w:t>ndThirteenStockOptionPlanMember2022-01-012022-03-310001643615us-gaap:LondonInterbankOfferedRateLIBORMembermeg:TermLoanFacilityMembermeg:TwentyTwentyCreditFacilityMember2020-10-062020-10-060001643615meg:ConversionOptionMemberus-gaap:FairValueInputsLevel3Mem</w:t>
      </w:r>
      <w:r>
        <w:rPr>
          <w:rFonts w:eastAsia="Times New Roman"/>
          <w:vanish/>
        </w:rPr>
        <w:t>berus-gaap:FairValueMeasurementsRecurringMember2021-12-310001643615us-gaap:OperatingSegmentsMembermeg:AssessmentPermittingAndResponseMember2021-01-012021-03-310001643615meg:BusinessAcquisitionsContingentConsiderationLongTermMemberus-gaap:FairValueInputsLev</w:t>
      </w:r>
      <w:r>
        <w:rPr>
          <w:rFonts w:eastAsia="Times New Roman"/>
          <w:vanish/>
        </w:rPr>
        <w:t>el3Memberus-gaap:FairValueMeasurementsRecurringMember2020-12-310001643615us-gaap:OtherNonoperatingIncomeExpenseMembermeg:ConvertibleAndRedeemableSeriesATwoPreferredStockMember2022-01-012022-03-310001643615us-gaap:NoncompeteAgreementsMembermeg:Environmental</w:t>
      </w:r>
      <w:r>
        <w:rPr>
          <w:rFonts w:eastAsia="Times New Roman"/>
          <w:vanish/>
        </w:rPr>
        <w:t>StandardsIncMember2022-01-012022-03-310001643615us-gaap:PatentsMember2021-12-310001643615meg:EnvironmentalIntelligenceLLCMember2021-01-012021-12-3100016436152020-12-310001643615us-gaap:AirTransportationEquipmentMember2022-03-310001643615meg:TwentyTwentyCre</w:t>
      </w:r>
      <w:r>
        <w:rPr>
          <w:rFonts w:eastAsia="Times New Roman"/>
          <w:vanish/>
        </w:rPr>
        <w:t>ditFacilityMember2020-09-302020-09-300001643615srt:MinimumMemberus-gaap:ComputerSoftwareIntangibleAssetMember2021-01-012021-12-310001643615meg:EnvironmentalChemistryIncMember2021-10-310001643615meg:MontroseTwoThousandSeventeenStockIncentivePlanMemberus-gaa</w:t>
      </w:r>
      <w:r>
        <w:rPr>
          <w:rFonts w:eastAsia="Times New Roman"/>
          <w:vanish/>
        </w:rPr>
        <w:t>p:RestrictedStockMember2021-01-012021-03-310001643615meg:MSEGroupLLCMemberus-gaap:NoncompeteAgreementsMember2021-12-310001643615us-gaap:LeaseholdImprovementsMember2022-01-012022-03-310001643615meg:AcquisitionProformaMember2022-01-012022-03-310001643615meg:</w:t>
      </w:r>
      <w:r>
        <w:rPr>
          <w:rFonts w:eastAsia="Times New Roman"/>
          <w:vanish/>
        </w:rPr>
        <w:t>ConsolidatedProformaMember2022-01-012022-03-310001643615meg:BusinessAcquisitionsContingentConsiderationCurrentMemberus-gaap:FairValueInputsLevel3Memberus-gaap:FairValueMeasurementsRecurringMember2021-12-310001643615meg:YearFiveMembermeg:ConvertibleAndRedee</w:t>
      </w:r>
      <w:r>
        <w:rPr>
          <w:rFonts w:eastAsia="Times New Roman"/>
          <w:vanish/>
        </w:rPr>
        <w:t>mableSeriesATwoPreferredStockMember2022-03-310001643615meg:SignificantCustomerMemberus-gaap:RevenueFromContractWithCustomerMemberus-gaap:CustomerConcentrationRiskMember2021-01-012021-03-310001643615meg:TwentyTwentyCreditFacilityMembersrt:ScenarioForecastMe</w:t>
      </w:r>
      <w:r>
        <w:rPr>
          <w:rFonts w:eastAsia="Times New Roman"/>
          <w:vanish/>
        </w:rPr>
        <w:t>mber2022-12-3100016436152021-12-310001643615meg:InterestExpenseNetMember2021-01-012021-03-310001643615meg:TermLoanFacilityMembermeg:TwentyTwentyCreditFacilityMembermeg:LondonInterbankOfferedRateLIBORFloorMember2020-10-062020-10-060001643615srt:MaximumMembe</w:t>
      </w:r>
      <w:r>
        <w:rPr>
          <w:rFonts w:eastAsia="Times New Roman"/>
          <w:vanish/>
        </w:rPr>
        <w:t>r2022-01-012022-03-310001643615srt:MinimumMemberus-gaap:ComputerSoftwareIntangibleAssetMember2022-01-012022-03-310001643615meg:MSEGroupLLCMemberus-gaap:TradeNamesMember2021-12-310001643615meg:TwentyTwentyCreditFacilityMember2021-03-310001643615us-gaap:Trad</w:t>
      </w:r>
      <w:r>
        <w:rPr>
          <w:rFonts w:eastAsia="Times New Roman"/>
          <w:vanish/>
        </w:rPr>
        <w:t>eNamesMember2022-03-310001643615us-gaap:AccountingStandardsUpdate202006Member2022-03-310001643615us-gaap:CustomerRelationshipsMembersrt:MaximumMember2022-01-012022-03-310001643615us-gaap:FurnitureAndFixturesMember2022-03-310001643615meg:TwentyTwentyCreditF</w:t>
      </w:r>
      <w:r>
        <w:rPr>
          <w:rFonts w:eastAsia="Times New Roman"/>
          <w:vanish/>
        </w:rPr>
        <w:t>acilityMember2021-01-012021-03-310001643615us-gaap:ComputerSoftwareIntangibleAssetMember2022-03-310001643615meg:RemediationAndReuseSegmentMember2021-12-310001643615meg:DepreciationAndAmortizationMember2022-01-012022-03-310001643615us-gaap:CommonStockMember</w:t>
      </w:r>
      <w:r>
        <w:rPr>
          <w:rFonts w:eastAsia="Times New Roman"/>
          <w:vanish/>
        </w:rPr>
        <w:t>2021-03-310001643615us-gaap:AdditionalPaidInCapitalMember2020-12-310001643615srt:MaximumMembermeg:TwentyTwentyOneCreditFacilityMembermeg:PricingTier2Member2021-04-272021-04-270001643615meg:IncrementalTermLoansMember2021-04-270001643615meg:TwoThousandSevent</w:t>
      </w:r>
      <w:r>
        <w:rPr>
          <w:rFonts w:eastAsia="Times New Roman"/>
          <w:vanish/>
        </w:rPr>
        <w:t>eenPlanMemberus-gaap:RestrictedStockMember2021-01-012021-03-3100016436152020-04-130001643615us-gaap:FairValueInputsLevel3Memberus-gaap:FairValueMeasurementsRecurringMember2021-01-012021-03-310001643615meg:ConversionOptionMemberus-gaap:FairValueInputsLevel3</w:t>
      </w:r>
      <w:r>
        <w:rPr>
          <w:rFonts w:eastAsia="Times New Roman"/>
          <w:vanish/>
        </w:rPr>
        <w:t>Memberus-gaap:FairValueMeasurementsRecurringMember2021-03-310001643615meg:TwoThousandThirteenPlanMemberus-gaap:CostOfSalesMemberus-gaap:EmployeeStockOptionMember2021-01-012021-03-310001643615us-gaap:AccumulatedOtherComprehensiveIncomeMember2022-03-31000164</w:t>
      </w:r>
      <w:r>
        <w:rPr>
          <w:rFonts w:eastAsia="Times New Roman"/>
          <w:vanish/>
        </w:rPr>
        <w:t>3615meg:MontroseTwoThousandSeventeenStockIncentivePlanMember2020-01-012020-12-310001643615meg:TwoThousandSeventeenPlanMemberus-gaap:RestrictedStockMemberus-gaap:SellingGeneralAndAdministrativeExpensesMember2022-01-012022-03-310001643615meg:MeasurementAndAn</w:t>
      </w:r>
      <w:r>
        <w:rPr>
          <w:rFonts w:eastAsia="Times New Roman"/>
          <w:vanish/>
        </w:rPr>
        <w:t>alysisMember2022-01-012022-03-310001643615us-gaap:CustomerRelationshipsMembermeg:EnvironmentalStandardsIncMember2022-03-310001643615meg:BusinessAcquisitionsContingentConsiderationLongTermMemberus-gaap:FairValueInputsLevel3Memberus-gaap:FairValueMeasurement</w:t>
      </w:r>
      <w:r>
        <w:rPr>
          <w:rFonts w:eastAsia="Times New Roman"/>
          <w:vanish/>
        </w:rPr>
        <w:t>sRecurringMember2021-12-310001643615meg:HorizonWaterAndEnvironmentLLCMember2021-11-012021-11-300001643615us-gaap:RevolvingCreditFacilityMembermeg:TwentyTwentyCreditFacilityMember2020-04-130001643615meg:MontroseTwoThousandSeventeenStockIncentivePlanMember20</w:t>
      </w:r>
      <w:r>
        <w:rPr>
          <w:rFonts w:eastAsia="Times New Roman"/>
          <w:vanish/>
        </w:rPr>
        <w:t>21-01-012021-03-310001643615us-gaap:AccumulatedOtherComprehensiveIncomeMember2021-12-310001643615meg:SignificantCustomerMemberus-gaap:CustomerConcentrationRiskMemberus-gaap:AccountsReceivableMember2021-01-012021-12-310001643615meg:MSEGroupMember2021-01-012</w:t>
      </w:r>
      <w:r>
        <w:rPr>
          <w:rFonts w:eastAsia="Times New Roman"/>
          <w:vanish/>
        </w:rPr>
        <w:t>021-12-310001643615us-gaap:RestrictedStockMember2022-01-012022-03-310001643615meg:InterestExpenseNetMember2022-01-012022-03-310001643615us-gaap:CostOfSalesMember2022-01-012022-03-310001643615meg:SignificantCustomerMemberus-gaap:CustomerConcentrationRiskMem</w:t>
      </w:r>
      <w:r>
        <w:rPr>
          <w:rFonts w:eastAsia="Times New Roman"/>
          <w:vanish/>
        </w:rPr>
        <w:t>berus-gaap:AccountsReceivableMember2022-01-012022-03-310001643615meg:TwoThousandSeventeenPlanMemberus-gaap:EmployeeStockOptionMember2021-01-012021-03-310001643615us-gaap:ConstructionInProgressMember2021-12-310001643615meg:PerformanceVestedRSUsMembermeg:Mon</w:t>
      </w:r>
      <w:r>
        <w:rPr>
          <w:rFonts w:eastAsia="Times New Roman"/>
          <w:vanish/>
        </w:rPr>
        <w:t>troseTwoThousandSeventeenStockIncentivePlanMember2021-01-012021-12-310001643615us-gaap:FurnitureAndFixturesMember2022-01-012022-03-310001643615srt:RevisionOfPriorPeriodAccountingStandardsUpdateAdjustmentMemberus-gaap:AccountingStandardsUpdate201602Member20</w:t>
      </w:r>
      <w:r>
        <w:rPr>
          <w:rFonts w:eastAsia="Times New Roman"/>
          <w:vanish/>
        </w:rPr>
        <w:t>21-01-012021-01-010001643615us-gaap:FairValueInputsLevel3Memberus-gaap:FairValueMeasurementsRecurringMember2022-03-310001643615meg:BusinessAcquisitionsContingentConsiderationCurrentMemberus-gaap:FairValueInputsLevel3Memberus-gaap:FairValueMeasurementsRecur</w:t>
      </w:r>
      <w:r>
        <w:rPr>
          <w:rFonts w:eastAsia="Times New Roman"/>
          <w:vanish/>
        </w:rPr>
        <w:t>ringMember2022-03-310001643615meg:TwoThousandThirteenPlanMember2021-03-310001643615meg:TwentyTwentyCreditFacilityMembersrt:ScenarioForecastMember2022-09-302022-09-300001643615us-gaap:OfficeEquipmentMember2022-01-012022-03-310001643615meg:SupplementalIncent</w:t>
      </w:r>
      <w:r>
        <w:rPr>
          <w:rFonts w:eastAsia="Times New Roman"/>
          <w:vanish/>
        </w:rPr>
        <w:t>ivePlansMember2022-01-012022-03-310001643615us-gaap:ConstructionInProgressMember2022-03-310001643615meg:TwentyTwentyOneCreditFacilityMembermeg:PricingTier2Memberus-gaap:BaseRateMember2021-04-272021-04-270001643615meg:EnvironmentalIntelligenceLLCMember2021-</w:t>
      </w:r>
      <w:r>
        <w:rPr>
          <w:rFonts w:eastAsia="Times New Roman"/>
          <w:vanish/>
        </w:rPr>
        <w:t>12-310001643615srt:MaximumMemberus-gaap:ComputerSoftwareIntangibleAssetMember2022-01-012022-03-310001643615meg:TwoThousandThirteenPlanMemberus-gaap:EmployeeStockOptionMember2021-01-012021-03-310001643615meg:ConversionOptionMember2022-03-310001643615srt:Min</w:t>
      </w:r>
      <w:r>
        <w:rPr>
          <w:rFonts w:eastAsia="Times New Roman"/>
          <w:vanish/>
        </w:rPr>
        <w:t>imumMemberus-gaap:NoncompeteAgreementsMember2022-01-012022-03-310001643615us-gaap:PatentsMember2021-01-012021-12-310001643615meg:TwentyTwentyOneCreditFacilityMember2022-01-012022-03-310001643615srt:MinimumMember2022-01-012022-03-310001643615us-gaap:CostOfS</w:t>
      </w:r>
      <w:r>
        <w:rPr>
          <w:rFonts w:eastAsia="Times New Roman"/>
          <w:vanish/>
        </w:rPr>
        <w:t>alesMember2021-01-012021-03-310001643615srt:MaximumMembermeg:TwentyTwentyOneCreditFacilityMembermeg:PricingTier4Member2021-04-272021-04-270001643615meg:ConversionOptionMemberus-gaap:FairValueInputsLevel3Memberus-gaap:FairValueMeasurementsRecurringMember202</w:t>
      </w:r>
      <w:r>
        <w:rPr>
          <w:rFonts w:eastAsia="Times New Roman"/>
          <w:vanish/>
        </w:rPr>
        <w:t>2-01-012022-03-310001643615us-gaap:BuildingMember2022-03-310001643615us-gaap:OperatingSegmentsMember2021-01-012021-03-310001643615meg:TwentyTwentyCreditFacilityMember2022-03-310001643615us-gaap:RevenueFromContractWithCustomerMemberus-gaap:CustomerConcentra</w:t>
      </w:r>
      <w:r>
        <w:rPr>
          <w:rFonts w:eastAsia="Times New Roman"/>
          <w:vanish/>
        </w:rPr>
        <w:t>tionRiskMembermeg:CustomerTwoMember2021-01-012021-03-310001643615us-gaap:StockAppreciationRightsSARSMembermeg:TwoThousandSeventeenPlanMember2022-01-012022-03-310001643615us-gaap:LondonInterbankOfferedRateLIBORMembermeg:TermLoanFacilityMembermeg:TwentyTwent</w:t>
      </w:r>
      <w:r>
        <w:rPr>
          <w:rFonts w:eastAsia="Times New Roman"/>
          <w:vanish/>
        </w:rPr>
        <w:t>yCreditFacilityMember2020-04-132020-10-060001643615us-gaap:CustomerRelationshipsMembermeg:MSEGroupLLCMembersrt:MinimumMember2022-01-012022-03-310001643615meg:MontroseTwoThousandSeventeenStockIncentivePlanMemberus-gaap:RestrictedStockMember2022-01-012022-03</w:t>
      </w:r>
      <w:r>
        <w:rPr>
          <w:rFonts w:eastAsia="Times New Roman"/>
          <w:vanish/>
        </w:rPr>
        <w:t>-3100016436152021-01-012021-03-310001643615meg:EnvironmentalIntelligenceLLCMember2021-07-3100016436152020-04-132020-04-130001643615us-gaap:EmployeeStockOptionMember2022-01-012022-03-310001643615us-gaap:InterestRateSwapMemberus-gaap:FairValueInputsLevel3Mem</w:t>
      </w:r>
      <w:r>
        <w:rPr>
          <w:rFonts w:eastAsia="Times New Roman"/>
          <w:vanish/>
        </w:rPr>
        <w:t>berus-gaap:FairValueMeasurementsRecurringMember2022-03-310001643615us-gaap:LondonInterbankOfferedRateLIBORMembermeg:PricingTier3Membermeg:TwentyTwentyOneCreditFacilityMember2021-04-272021-04-270001643615meg:IndustrialAutomationGroupIncMember2022-01-012022-</w:t>
      </w:r>
      <w:r>
        <w:rPr>
          <w:rFonts w:eastAsia="Times New Roman"/>
          <w:vanish/>
        </w:rPr>
        <w:t>03-310001643615meg:TwentyTwentyCreditFacilityMember2021-12-310001643615meg:MontroseTwoThousandThirteenStockOptionPlanMember2020-12-310001643615meg:MSEGroupVistaEISensibleECIHorizonMember2022-01-012022-03-310001643615us-gaap:CommonStockMember2022-03-3100016</w:t>
      </w:r>
      <w:r>
        <w:rPr>
          <w:rFonts w:eastAsia="Times New Roman"/>
          <w:vanish/>
        </w:rPr>
        <w:t>43615meg:OtherTwoThousandTwentyOneAcquisitionsMember2021-01-012021-12-310001643615meg:MSEGroupLLCMemberus-gaap:TradeNamesMember2022-01-012022-03-310001643615us-gaap:AdditionalPaidInCapitalMember2021-03-310001643615us-gaap:StockAppreciationRightsSARSMemberm</w:t>
      </w:r>
      <w:r>
        <w:rPr>
          <w:rFonts w:eastAsia="Times New Roman"/>
          <w:vanish/>
        </w:rPr>
        <w:t>eg:TwoThousandSeventeenPlanMemberus-gaap:SellingGeneralAndAdministrativeExpensesMember2022-01-012022-03-310001643615meg:ConvertibleAndRedeemableSeriesATwoPreferredStockMember2021-12-310001643615meg:TermLoanFacilityMembermeg:TwentyTwentyOneCreditFacilityMem</w:t>
      </w:r>
      <w:r>
        <w:rPr>
          <w:rFonts w:eastAsia="Times New Roman"/>
          <w:vanish/>
        </w:rPr>
        <w:t>ber2022-03-012022-03-310001643615us-gaap:RetainedEarningsMember2021-01-012021-03-310001643615meg:AssessmentPermittingAndResponseMember2021-12-310001643615us-gaap:RevolvingCreditFacilityMemberus-gaap:LetterOfCreditMembermeg:TwentyTwentyOneCreditFacilityMemb</w:t>
      </w:r>
      <w:r>
        <w:rPr>
          <w:rFonts w:eastAsia="Times New Roman"/>
          <w:vanish/>
        </w:rPr>
        <w:t>er2021-04-270001643615us-gaap:FairValueInputsLevel3Memberus-gaap:FairValueMeasurementsRecurringMember2022-01-012022-03-310001643615us-gaap:FairValueInputsLevel3Memberus-gaap:FairValueMeasurementsRecurringMember2021-12-310001643615meg:TwoThousandThirteenPla</w:t>
      </w:r>
      <w:r>
        <w:rPr>
          <w:rFonts w:eastAsia="Times New Roman"/>
          <w:vanish/>
        </w:rPr>
        <w:t>nMember2022-03-310001643615meg:TwoThousandSeventeenPlanMemberus-gaap:RestrictedStockMember2022-01-012022-03-310001643615meg:TwoThousandSeventeenPlanMember2021-03-3100016436152021-01-010001643615srt:MinimumMembermeg:TwentyTwentyOneCreditFacilityMembermeg:Pr</w:t>
      </w:r>
      <w:r>
        <w:rPr>
          <w:rFonts w:eastAsia="Times New Roman"/>
          <w:vanish/>
        </w:rPr>
        <w:t>icingTier4Member2021-04-272021-04-270001643615us-gaap:AdditionalPaidInCapitalMember2021-01-012021-03-310001643615meg:MontroseTwoThousandThirteenStockIncentivePlanMember2021-03-310001643615meg:MSEGroupLLCMember2021-01-012021-01-310001643615us-gaap:LondonInt</w:t>
      </w:r>
      <w:r>
        <w:rPr>
          <w:rFonts w:eastAsia="Times New Roman"/>
          <w:vanish/>
        </w:rPr>
        <w:t>erbankOfferedRateLIBORMembermeg:PricingTier5Membermeg:TwentyTwentyOneCreditFacilityMember2021-04-272021-04-270001643615meg:TwentyTwentyOneCreditFacilityMember2021-04-270001643615meg:MSEGroupLLCMember2021-01-310001643615meg:MontroseTwoThousandSeventeenStock</w:t>
      </w:r>
      <w:r>
        <w:rPr>
          <w:rFonts w:eastAsia="Times New Roman"/>
          <w:vanish/>
        </w:rPr>
        <w:t>IncentivePlanMembersrt:DirectorMemberus-gaap:EmployeeStockOptionMember2022-01-012022-03-310001643615meg:OtherTwoThousandTwentyOneAcquisitionsMemberus-gaap:TradeNamesMember2022-01-012022-03-310001643615us-gaap:RevolvingCreditFacilityMembermeg:TwentyTwentyCr</w:t>
      </w:r>
      <w:r>
        <w:rPr>
          <w:rFonts w:eastAsia="Times New Roman"/>
          <w:vanish/>
        </w:rPr>
        <w:t>editFacilityMembermeg:LondonInterbankOfferedRateLIBORFloorMember2020-04-132020-10-060001643615srt:MinimumMemberus-gaap:TradeNamesMember2021-01-012021-12-310001643615srt:MinimumMembermeg:PricingTier3Membermeg:TwentyTwentyOneCreditFacilityMember2021-04-27202</w:t>
      </w:r>
      <w:r>
        <w:rPr>
          <w:rFonts w:eastAsia="Times New Roman"/>
          <w:vanish/>
        </w:rPr>
        <w:t>1-04-270001643615us-gaap:NoncompeteAgreementsMembermeg:EnvironmentalIntelligenceLLCMember2022-01-012022-03-310001643615us-gaap:CommonStockMember2022-01-012022-03-310001643615meg:VistaAnalyticalLaboratoryIncMember2021-06-3000016436152022-03-310001643615us-g</w:t>
      </w:r>
      <w:r>
        <w:rPr>
          <w:rFonts w:eastAsia="Times New Roman"/>
          <w:vanish/>
        </w:rPr>
        <w:t>aap:RetainedEarningsMember2022-03-310001643615meg:MontroseTwoThousandThirteenStockIncentivePlanMember2022-01-310001643615us-gaap:CustomerRelationshipsMembermeg:EnvironmentalIntelligenceLLCMember2022-01-012022-03-310001643615meg:SignificantCustomerMemberus-</w:t>
      </w:r>
      <w:r>
        <w:rPr>
          <w:rFonts w:eastAsia="Times New Roman"/>
          <w:vanish/>
        </w:rPr>
        <w:t>gaap:RevenueFromContractWithCustomerMemberus-gaap:CustomerConcentrationRiskMember2022-01-012022-03-310001643615srt:MaximumMember2020-01-012020-05-220001643615us-gaap:TechnologyBasedIntangibleAssetsMembermeg:OtherAcquisitionsMember2021-12-310001643615us-gaa</w:t>
      </w:r>
      <w:r>
        <w:rPr>
          <w:rFonts w:eastAsia="Times New Roman"/>
          <w:vanish/>
        </w:rPr>
        <w:t>p:LondonInterbankOfferedRateLIBORMemberus-gaap:RevolvingCreditFacilityMembermeg:TwentyTwentyCreditFacilityMember2020-04-132020-10-060001643615meg:PricingTier4Membermeg:TwentyTwentyOneCreditFacilityMember2021-04-272021-04-270001643615us-gaap:CommonStockMemb</w:t>
      </w:r>
      <w:r>
        <w:rPr>
          <w:rFonts w:eastAsia="Times New Roman"/>
          <w:vanish/>
        </w:rPr>
        <w:t>er2021-12-310001643615us-gaap:CommonStockMember2020-12-310001643615srt:MaximumMemberus-gaap:EquipmentMember2022-01-012022-03-310001643615meg:LabAndTestEquipmentMember2021-12-310001643615us-gaap:NoncompeteAgreementsMembermeg:OtherAcquisitionsMember2021-12-3</w:t>
      </w:r>
      <w:r>
        <w:rPr>
          <w:rFonts w:eastAsia="Times New Roman"/>
          <w:vanish/>
        </w:rPr>
        <w:t>10001643615meg:PricingTier4Membermeg:TwentyTwentyOneCreditFacilityMemberus-gaap:BaseRateMember2021-04-272021-04-270001643615meg:TwentyTwentyCreditFacilityMember2020-04-130001643615us-gaap:PrivatePlacementMember2015-05-310001643615meg:ConvertibleAndRedeemab</w:t>
      </w:r>
      <w:r>
        <w:rPr>
          <w:rFonts w:eastAsia="Times New Roman"/>
          <w:vanish/>
        </w:rPr>
        <w:t>leSeriesATwoPreferredStockMember2022-01-012022-03-310001643615meg:MontroseTwoThousandSeventeenStockIncentivePlanMembersrt:ExecutiveOfficerMemberus-gaap:EmployeeStockOptionMember2022-01-012022-03-310001643615meg:TermLoanFacilityMembermeg:TwentyTwentyCreditF</w:t>
      </w:r>
      <w:r>
        <w:rPr>
          <w:rFonts w:eastAsia="Times New Roman"/>
          <w:vanish/>
        </w:rPr>
        <w:t>acilityMember2020-04-130001643615meg:TermLoanFacilityMembermeg:TwentyTwentyOneCreditFacilityMember2022-01-262022-01-260001643615meg:MontroseTwoThousandThirteenStockIncentivePlanMember2022-03-310001643615meg:StockAppreciationRightsUnitsGrantMember2022-01-31</w:t>
      </w:r>
      <w:r>
        <w:rPr>
          <w:rFonts w:eastAsia="Times New Roman"/>
          <w:vanish/>
        </w:rPr>
        <w:t>0001643615us-gaap:CorporateAndOtherMember2021-01-012021-03-310001643615meg:MseGroupEiVistaAndSensibleMember2021-01-012021-03-3100016436152022-01-012022-03-310001643615us-gaap:BuildingMember2021-12-310001643615meg:ConversionOptionMemberus-gaap:FairValueInpu</w:t>
      </w:r>
      <w:r>
        <w:rPr>
          <w:rFonts w:eastAsia="Times New Roman"/>
          <w:vanish/>
        </w:rPr>
        <w:t>tsLevel3Memberus-gaap:FairValueMeasurementsRecurringMember2022-03-310001643615us-gaap:LeaseholdImprovementsMember2022-03-310001643615us-gaap:NoncompeteAgreementsMembermeg:OtherTwoThousandTwentyOneAcquisitionsMember2022-01-012022-03-310001643615us-gaap:Reta</w:t>
      </w:r>
      <w:r>
        <w:rPr>
          <w:rFonts w:eastAsia="Times New Roman"/>
          <w:vanish/>
        </w:rPr>
        <w:t>inedEarningsMember2021-12-310001643615us-gaap:RetainedEarningsMember2022-01-012022-03-310001643615meg:SarStockPricePerformanceHurdleTwoMember2022-01-012022-03-310001643615meg:AssessmentPermittingAndResponseMember2022-01-012022-03-310001643615us-gaap:Restri</w:t>
      </w:r>
      <w:r>
        <w:rPr>
          <w:rFonts w:eastAsia="Times New Roman"/>
          <w:vanish/>
        </w:rPr>
        <w:t>ctedStockMember2021-01-012021-03-310001643615srt:MaximumMemberus-gaap:ComputerSoftwareIntangibleAssetMember2021-01-012021-12-310001643615meg:TwoThousandSeventeenPlanMemberus-gaap:SellingGeneralAndAdministrativeExpensesMemberus-gaap:EmployeeStockOptionMembe</w:t>
      </w:r>
      <w:r>
        <w:rPr>
          <w:rFonts w:eastAsia="Times New Roman"/>
          <w:vanish/>
        </w:rPr>
        <w:t>r2021-01-012021-03-310001643615us-gaap:StockAppreciationRightsSARSMember2022-01-012022-03-310001643615srt:MaximumMemberus-gaap:NoncompeteAgreementsMember2022-01-012022-03-310001643615meg:SixtyDayPeriodPriorToSeventhAnniversaryMembermeg:ConvertibleAndRedeem</w:t>
      </w:r>
      <w:r>
        <w:rPr>
          <w:rFonts w:eastAsia="Times New Roman"/>
          <w:vanish/>
        </w:rPr>
        <w:t>ableSeriesATwoPreferredStockMember2022-03-310001643615meg:PricingTier5Membermeg:TwentyTwentyOneCreditFacilityMember2021-04-272021-04-270001643615us-gaap:SellingGeneralAndAdministrativeExpensesMember2022-01-012022-03-310001643615us-gaap:VehiclesMember2022-0</w:t>
      </w:r>
      <w:r>
        <w:rPr>
          <w:rFonts w:eastAsia="Times New Roman"/>
          <w:vanish/>
        </w:rPr>
        <w:t>3-310001643615meg:ConversionOptionMember2021-12-310001643615meg:DepreciationAndAmortizationMember2021-01-012021-03-310001643615meg:TermLoanFacilityMembermeg:TwentyTwentyOneCreditFacilityMember2021-04-270001643615us-gaap:AccumulatedOtherComprehensiveIncomeM</w:t>
      </w:r>
      <w:r>
        <w:rPr>
          <w:rFonts w:eastAsia="Times New Roman"/>
          <w:vanish/>
        </w:rPr>
        <w:t>ember2021-01-012021-03-310001643615meg:TwentyTwentyOneCreditFacilityMember2022-03-310001643615us-gaap:RevolvingCreditFacilityMembermeg:TwentyTwentyOneCreditFacilityMember2021-04-270001643615us-gaap:CustomerRelationshipsMembermeg:OtherTwoThousandTwentyOneAc</w:t>
      </w:r>
      <w:r>
        <w:rPr>
          <w:rFonts w:eastAsia="Times New Roman"/>
          <w:vanish/>
        </w:rPr>
        <w:t>quisitionsMember2022-01-012022-03-310001643615meg:ConvertibleAndRedeemableSeriesATwoPreferredStockMember2020-04-132020-04-130001643615meg:MontroseTwoThousandThirteenStockOptionPlanMember2021-03-310001643615meg:SarStockPricePerformanceHurdleThreeMember2022-</w:t>
      </w:r>
      <w:r>
        <w:rPr>
          <w:rFonts w:eastAsia="Times New Roman"/>
          <w:vanish/>
        </w:rPr>
        <w:t>01-012022-03-310001643615meg:EnvironmentalIntelligenceLLCMemberus-gaap:TradeNamesMember2022-01-012022-03-310001643615us-gaap:EquipmentMember2021-12-310001643615meg:SarStockPricePerformanceHurdleThreeMember2022-03-310001643615meg:ConversionOptionMemberus-ga</w:t>
      </w:r>
      <w:r>
        <w:rPr>
          <w:rFonts w:eastAsia="Times New Roman"/>
          <w:vanish/>
        </w:rPr>
        <w:t>ap:FairValueInputsLevel3Memberus-gaap:FairValueMeasurementsRecurringMember2021-01-012021-03-310001643615meg:ConvertibleAndRedeemableSeriesATwoPreferredStockMember2022-03-310001643615meg:MontroseTwoThousandThirteenStockOptionPlanMember2022-03-310001643615me</w:t>
      </w:r>
      <w:r>
        <w:rPr>
          <w:rFonts w:eastAsia="Times New Roman"/>
          <w:vanish/>
        </w:rPr>
        <w:t>g:TwentyTwentyCreditFacilityMember2022-01-012022-03-310001643615us-gaap:RetainedEarningsMember2020-12-310001643615meg:BusinessAcquisitionsContingentConsiderationCurrentMemberus-gaap:FairValueInputsLevel3Memberus-gaap:FairValueMeasurementsRecurringMember202</w:t>
      </w:r>
      <w:r>
        <w:rPr>
          <w:rFonts w:eastAsia="Times New Roman"/>
          <w:vanish/>
        </w:rPr>
        <w:t>0-12-310001643615us-gaap:VehiclesMember2022-01-012022-03-310001643615meg:BusinessAcquisitionsContingentConsiderationCurrentMemberus-gaap:FairValueInputsLevel3Memberus-gaap:FairValueMeasurementsRecurringMember2021-01-012021-03-310001643615meg:CustomerOneMem</w:t>
      </w:r>
      <w:r>
        <w:rPr>
          <w:rFonts w:eastAsia="Times New Roman"/>
          <w:vanish/>
        </w:rPr>
        <w:t>berus-gaap:CustomerConcentrationRiskMemberus-gaap:AccountsReceivableMember2022-01-012022-03-310001643615meg:TwoThousandSeventeenPlanMemberus-gaap:CostOfSalesMemberus-gaap:EmployeeStockOptionMember2022-01-012022-03-310001643615meg:BusinessAcquisitionsContin</w:t>
      </w:r>
      <w:r>
        <w:rPr>
          <w:rFonts w:eastAsia="Times New Roman"/>
          <w:vanish/>
        </w:rPr>
        <w:t>gentConsiderationCurrentMemberus-gaap:FairValueInputsLevel3Memberus-gaap:FairValueMeasurementsRecurringMember2022-01-012022-03-310001643615meg:MontroseTwoThousandSeventeenStockIncentivePlanMember2020-12-310001643615meg:ConvertibleAndRedeemableSeriesATwoPre</w:t>
      </w:r>
      <w:r>
        <w:rPr>
          <w:rFonts w:eastAsia="Times New Roman"/>
          <w:vanish/>
        </w:rPr>
        <w:t>ferredStockMember2021-03-310001643615us-gaap:VehiclesMember2021-12-310001643615us-gaap:CustomerRelationshipsMembermeg:MSEGroupLLCMember2021-12-310001643615us-gaap:CustomerRelationshipsMember2021-12-31meg:Officeiso4217:USDxbrli:sharesmeg:Employeexbrli:purex</w:t>
      </w:r>
      <w:r>
        <w:rPr>
          <w:rFonts w:eastAsia="Times New Roman"/>
          <w:vanish/>
        </w:rPr>
        <w:t>brli:sharesmeg:Segmentmeg:Customeriso4217:USD</w: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pBdr>
          <w:top w:val="double" w:sz="6" w:space="1" w:color="auto"/>
        </w:pBdr>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2D33E3">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2D33E3">
      <w:pPr>
        <w:pStyle w:val="a3"/>
        <w:spacing w:before="0" w:beforeAutospacing="0" w:after="0" w:afterAutospacing="0"/>
        <w:jc w:val="center"/>
        <w:rPr>
          <w:sz w:val="20"/>
          <w:szCs w:val="20"/>
        </w:rPr>
      </w:pPr>
      <w:r>
        <w:rPr>
          <w:b/>
          <w:bCs/>
        </w:rPr>
        <w:t>WASHINGTON, DC 2054</w:t>
      </w:r>
      <w:r>
        <w:rPr>
          <w:b/>
          <w:bCs/>
        </w:rPr>
        <w:t>9</w:t>
      </w:r>
    </w:p>
    <w:p w:rsidR="00000000" w:rsidRDefault="002D33E3">
      <w:pPr>
        <w:pStyle w:val="a3"/>
        <w:pBdr>
          <w:bottom w:val="single" w:sz="4" w:space="1" w:color="auto"/>
        </w:pBdr>
        <w:spacing w:before="60" w:beforeAutospacing="0" w:after="120" w:afterAutospacing="0"/>
        <w:ind w:left="4762" w:right="4762"/>
        <w:jc w:val="center"/>
        <w:rPr>
          <w:sz w:val="20"/>
          <w:szCs w:val="20"/>
        </w:rPr>
      </w:pPr>
      <w:r>
        <w:rPr>
          <w:sz w:val="6"/>
          <w:szCs w:val="6"/>
        </w:rPr>
        <w:t> </w:t>
      </w:r>
    </w:p>
    <w:p w:rsidR="00000000" w:rsidRDefault="002D33E3">
      <w:pPr>
        <w:pStyle w:val="a3"/>
        <w:spacing w:before="12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2D33E3">
      <w:pPr>
        <w:pStyle w:val="a3"/>
        <w:pBdr>
          <w:bottom w:val="single" w:sz="4" w:space="1" w:color="auto"/>
        </w:pBdr>
        <w:spacing w:before="60" w:beforeAutospacing="0" w:after="120" w:afterAutospacing="0"/>
        <w:ind w:left="4762" w:right="4762"/>
        <w:jc w:val="center"/>
        <w:rPr>
          <w:sz w:val="20"/>
          <w:szCs w:val="20"/>
        </w:rPr>
      </w:pPr>
      <w:r>
        <w:rPr>
          <w:sz w:val="6"/>
          <w:szCs w:val="6"/>
        </w:rPr>
        <w:t> </w:t>
      </w:r>
    </w:p>
    <w:p w:rsidR="00000000" w:rsidRDefault="002D33E3">
      <w:pPr>
        <w:pStyle w:val="a3"/>
        <w:spacing w:before="90" w:beforeAutospacing="0" w:after="0" w:afterAutospacing="0"/>
        <w:rPr>
          <w:sz w:val="20"/>
          <w:szCs w:val="20"/>
        </w:rPr>
      </w:pPr>
      <w:r>
        <w:rPr>
          <w:b/>
          <w:bCs/>
          <w:sz w:val="16"/>
          <w:szCs w:val="16"/>
        </w:rPr>
        <w:t>(Mark One</w:t>
      </w:r>
      <w:r>
        <w:rPr>
          <w:b/>
          <w:bCs/>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2D33E3">
            <w:pPr>
              <w:rPr>
                <w:sz w:val="20"/>
                <w:szCs w:val="20"/>
              </w:rPr>
            </w:pPr>
          </w:p>
        </w:tc>
        <w:tc>
          <w:tcPr>
            <w:tcW w:w="4800" w:type="pct"/>
            <w:vAlign w:val="center"/>
            <w:hideMark/>
          </w:tcPr>
          <w:p w:rsidR="00000000" w:rsidRDefault="002D33E3">
            <w:pPr>
              <w:rPr>
                <w:rFonts w:eastAsia="Times New Roman"/>
                <w:sz w:val="20"/>
                <w:szCs w:val="20"/>
              </w:rPr>
            </w:pP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2D33E3">
            <w:pPr>
              <w:pStyle w:val="a3"/>
              <w:spacing w:before="0" w:beforeAutospacing="0" w:after="0" w:afterAutospacing="0"/>
              <w:rPr>
                <w:sz w:val="20"/>
                <w:szCs w:val="20"/>
              </w:rPr>
            </w:pPr>
            <w:r>
              <w:rPr>
                <w:b/>
                <w:bCs/>
                <w:sz w:val="20"/>
                <w:szCs w:val="20"/>
              </w:rPr>
              <w:t>QUARTERLY REPORT PURSUANT TO SECTION 13 OR 15(d) OF THE SECURITIES EXCHANGE ACT OF 193</w:t>
            </w:r>
            <w:r>
              <w:rPr>
                <w:b/>
                <w:bCs/>
                <w:sz w:val="20"/>
                <w:szCs w:val="20"/>
              </w:rPr>
              <w:t>4</w:t>
            </w:r>
          </w:p>
        </w:tc>
      </w:tr>
    </w:tbl>
    <w:p w:rsidR="00000000" w:rsidRDefault="002D33E3">
      <w:pPr>
        <w:pStyle w:val="a3"/>
        <w:spacing w:before="12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March 31,</w:t>
      </w:r>
      <w:r>
        <w:rPr>
          <w:b/>
          <w:bCs/>
          <w:sz w:val="20"/>
          <w:szCs w:val="20"/>
        </w:rPr>
        <w:t xml:space="preserve"> </w:t>
      </w:r>
      <w:r>
        <w:rPr>
          <w:b/>
          <w:bCs/>
          <w:sz w:val="20"/>
          <w:szCs w:val="20"/>
        </w:rPr>
        <w:t>202</w:t>
      </w:r>
      <w:r>
        <w:rPr>
          <w:b/>
          <w:bCs/>
          <w:sz w:val="20"/>
          <w:szCs w:val="20"/>
        </w:rPr>
        <w:t>2</w:t>
      </w:r>
    </w:p>
    <w:p w:rsidR="00000000" w:rsidRDefault="002D33E3">
      <w:pPr>
        <w:pStyle w:val="a3"/>
        <w:spacing w:before="120" w:beforeAutospacing="0" w:after="0" w:afterAutospacing="0"/>
        <w:jc w:val="center"/>
        <w:rPr>
          <w:sz w:val="20"/>
          <w:szCs w:val="20"/>
        </w:rPr>
      </w:pPr>
      <w:r>
        <w:rPr>
          <w:b/>
          <w:bCs/>
          <w:sz w:val="20"/>
          <w:szCs w:val="20"/>
        </w:rPr>
        <w:t>O</w:t>
      </w:r>
      <w:r>
        <w:rPr>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2D33E3">
            <w:pPr>
              <w:rPr>
                <w:sz w:val="20"/>
                <w:szCs w:val="20"/>
              </w:rPr>
            </w:pPr>
          </w:p>
        </w:tc>
        <w:tc>
          <w:tcPr>
            <w:tcW w:w="4800" w:type="pct"/>
            <w:vAlign w:val="center"/>
            <w:hideMark/>
          </w:tcPr>
          <w:p w:rsidR="00000000" w:rsidRDefault="002D33E3">
            <w:pPr>
              <w:rPr>
                <w:rFonts w:eastAsia="Times New Roman"/>
                <w:sz w:val="20"/>
                <w:szCs w:val="20"/>
              </w:rPr>
            </w:pPr>
          </w:p>
        </w:tc>
      </w:tr>
      <w:tr w:rsidR="00000000">
        <w:trPr>
          <w:trHeight w:val="200"/>
          <w:tblCellSpacing w:w="15" w:type="dxa"/>
        </w:trPr>
        <w:tc>
          <w:tcPr>
            <w:tcW w:w="0" w:type="auto"/>
            <w:hideMark/>
          </w:tcPr>
          <w:p w:rsidR="00000000" w:rsidRDefault="002D33E3">
            <w:pPr>
              <w:pStyle w:val="a3"/>
              <w:spacing w:before="120" w:beforeAutospacing="0" w:after="0" w:afterAutospacing="0"/>
              <w:rPr>
                <w:sz w:val="20"/>
                <w:szCs w:val="20"/>
              </w:rPr>
            </w:pPr>
            <w:r>
              <w:rPr>
                <w:rFonts w:ascii="Segoe UI Symbol" w:hAnsi="Segoe UI Symbol" w:cs="Segoe UI Symbol"/>
                <w:b/>
                <w:bCs/>
                <w:sz w:val="20"/>
                <w:szCs w:val="20"/>
              </w:rPr>
              <w:t>☐</w:t>
            </w:r>
          </w:p>
        </w:tc>
        <w:tc>
          <w:tcPr>
            <w:tcW w:w="0" w:type="auto"/>
            <w:vAlign w:val="bottom"/>
            <w:hideMark/>
          </w:tcPr>
          <w:p w:rsidR="00000000" w:rsidRDefault="002D33E3">
            <w:pPr>
              <w:pStyle w:val="a3"/>
              <w:spacing w:before="120" w:beforeAutospacing="0" w:after="0" w:afterAutospacing="0"/>
              <w:rPr>
                <w:sz w:val="20"/>
                <w:szCs w:val="20"/>
              </w:rPr>
            </w:pPr>
            <w:r>
              <w:rPr>
                <w:b/>
                <w:bCs/>
                <w:sz w:val="20"/>
                <w:szCs w:val="20"/>
              </w:rPr>
              <w:t>TRANSITION REPORT PURSUANT TO SECTION 13 OR 15(d) OF THE SECURITIES EXCHANGE ACT OF 193</w:t>
            </w:r>
            <w:r>
              <w:rPr>
                <w:b/>
                <w:bCs/>
                <w:sz w:val="20"/>
                <w:szCs w:val="20"/>
              </w:rPr>
              <w:t>4</w:t>
            </w:r>
          </w:p>
        </w:tc>
      </w:tr>
    </w:tbl>
    <w:p w:rsidR="00000000" w:rsidRDefault="002D33E3">
      <w:pPr>
        <w:pStyle w:val="a3"/>
        <w:spacing w:before="120" w:beforeAutospacing="0" w:after="0" w:afterAutospacing="0"/>
        <w:jc w:val="center"/>
        <w:rPr>
          <w:sz w:val="20"/>
          <w:szCs w:val="20"/>
        </w:rPr>
      </w:pPr>
      <w:r>
        <w:rPr>
          <w:b/>
          <w:bCs/>
          <w:sz w:val="20"/>
          <w:szCs w:val="20"/>
        </w:rPr>
        <w:t>For the transition peri</w:t>
      </w:r>
      <w:r>
        <w:rPr>
          <w:b/>
          <w:bCs/>
          <w:sz w:val="20"/>
          <w:szCs w:val="20"/>
        </w:rPr>
        <w:t>od from t</w:t>
      </w:r>
      <w:r>
        <w:rPr>
          <w:b/>
          <w:bCs/>
          <w:sz w:val="20"/>
          <w:szCs w:val="20"/>
        </w:rPr>
        <w:t>o</w:t>
      </w:r>
      <w:r>
        <w:rPr>
          <w:b/>
          <w:bCs/>
          <w:sz w:val="20"/>
          <w:szCs w:val="20"/>
        </w:rPr>
        <w:t xml:space="preserve"> </w:t>
      </w:r>
    </w:p>
    <w:p w:rsidR="00000000" w:rsidRDefault="002D33E3">
      <w:pPr>
        <w:pStyle w:val="a3"/>
        <w:spacing w:before="12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001-3939</w:t>
      </w:r>
      <w:r>
        <w:rPr>
          <w:b/>
          <w:bCs/>
          <w:sz w:val="20"/>
          <w:szCs w:val="20"/>
        </w:rPr>
        <w:t>4</w:t>
      </w:r>
    </w:p>
    <w:p w:rsidR="00000000" w:rsidRDefault="002D33E3">
      <w:pPr>
        <w:pStyle w:val="a3"/>
        <w:pBdr>
          <w:bottom w:val="single" w:sz="4" w:space="1" w:color="auto"/>
        </w:pBdr>
        <w:spacing w:before="60" w:beforeAutospacing="0" w:after="120" w:afterAutospacing="0"/>
        <w:ind w:left="4762" w:right="4762"/>
        <w:jc w:val="center"/>
        <w:rPr>
          <w:sz w:val="20"/>
          <w:szCs w:val="20"/>
        </w:rPr>
      </w:pPr>
      <w:r>
        <w:rPr>
          <w:sz w:val="6"/>
          <w:szCs w:val="6"/>
        </w:rPr>
        <w:t> </w:t>
      </w:r>
    </w:p>
    <w:p w:rsidR="00000000" w:rsidRDefault="002D33E3">
      <w:pPr>
        <w:pStyle w:val="a3"/>
        <w:spacing w:before="0" w:beforeAutospacing="0" w:after="0" w:afterAutospacing="0"/>
        <w:jc w:val="center"/>
        <w:rPr>
          <w:sz w:val="20"/>
          <w:szCs w:val="20"/>
        </w:rPr>
      </w:pPr>
      <w:r>
        <w:rPr>
          <w:b/>
          <w:bCs/>
          <w:sz w:val="48"/>
          <w:szCs w:val="48"/>
        </w:rPr>
        <w:t>Montrose Environmental Group, Inc</w:t>
      </w:r>
      <w:r>
        <w:rPr>
          <w:b/>
          <w:bCs/>
          <w:sz w:val="48"/>
          <w:szCs w:val="48"/>
        </w:rPr>
        <w:t>.</w:t>
      </w:r>
    </w:p>
    <w:p w:rsidR="00000000" w:rsidRDefault="002D33E3">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2D33E3">
      <w:pPr>
        <w:pStyle w:val="a3"/>
        <w:pBdr>
          <w:bottom w:val="single" w:sz="4" w:space="1" w:color="auto"/>
        </w:pBdr>
        <w:spacing w:before="60" w:beforeAutospacing="0" w:after="0" w:afterAutospacing="0"/>
        <w:ind w:left="4762" w:right="4762"/>
        <w:jc w:val="center"/>
        <w:rPr>
          <w:sz w:val="20"/>
          <w:szCs w:val="20"/>
        </w:rPr>
      </w:pPr>
      <w:r>
        <w:rPr>
          <w:sz w:val="6"/>
          <w:szCs w:val="6"/>
        </w:rPr>
        <w:t> </w:t>
      </w:r>
    </w:p>
    <w:p w:rsidR="00000000" w:rsidRDefault="002D33E3">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2D33E3">
            <w:pPr>
              <w:rPr>
                <w:sz w:val="20"/>
                <w:szCs w:val="20"/>
              </w:rPr>
            </w:pPr>
          </w:p>
        </w:tc>
        <w:tc>
          <w:tcPr>
            <w:tcW w:w="2500" w:type="pct"/>
            <w:vAlign w:val="center"/>
            <w:hideMark/>
          </w:tcPr>
          <w:p w:rsidR="00000000" w:rsidRDefault="002D33E3">
            <w:pPr>
              <w:rPr>
                <w:rFonts w:eastAsia="Times New Roman"/>
                <w:sz w:val="20"/>
                <w:szCs w:val="20"/>
              </w:rPr>
            </w:pPr>
          </w:p>
        </w:tc>
      </w:tr>
      <w:tr w:rsidR="00000000">
        <w:trPr>
          <w:trHeight w:val="200"/>
          <w:tblCellSpacing w:w="15" w:type="dxa"/>
        </w:trPr>
        <w:tc>
          <w:tcPr>
            <w:tcW w:w="0" w:type="auto"/>
            <w:vAlign w:val="bottom"/>
            <w:hideMark/>
          </w:tcPr>
          <w:p w:rsidR="00000000" w:rsidRDefault="002D33E3">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vAlign w:val="bottom"/>
            <w:hideMark/>
          </w:tcPr>
          <w:p w:rsidR="00000000" w:rsidRDefault="002D33E3">
            <w:pPr>
              <w:pStyle w:val="a3"/>
              <w:spacing w:before="0" w:beforeAutospacing="0" w:after="0" w:afterAutospacing="0"/>
              <w:jc w:val="center"/>
              <w:rPr>
                <w:sz w:val="20"/>
                <w:szCs w:val="20"/>
              </w:rPr>
            </w:pPr>
            <w:r>
              <w:rPr>
                <w:b/>
                <w:bCs/>
                <w:sz w:val="20"/>
                <w:szCs w:val="20"/>
              </w:rPr>
              <w:t>46-419504</w:t>
            </w:r>
            <w:r>
              <w:rPr>
                <w:b/>
                <w:bCs/>
                <w:sz w:val="20"/>
                <w:szCs w:val="20"/>
              </w:rPr>
              <w:t>4</w:t>
            </w:r>
          </w:p>
        </w:tc>
      </w:tr>
      <w:tr w:rsidR="00000000">
        <w:trPr>
          <w:trHeight w:val="140"/>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b/>
                <w:bCs/>
                <w:sz w:val="14"/>
                <w:szCs w:val="14"/>
              </w:rPr>
              <w:t>( State or other jurisdiction o</w:t>
            </w:r>
            <w:r>
              <w:rPr>
                <w:b/>
                <w:bCs/>
                <w:sz w:val="14"/>
                <w:szCs w:val="14"/>
              </w:rPr>
              <w:t>f</w:t>
            </w:r>
          </w:p>
          <w:p w:rsidR="00000000" w:rsidRDefault="002D33E3">
            <w:pPr>
              <w:pStyle w:val="a3"/>
              <w:spacing w:before="0" w:beforeAutospacing="0" w:after="15" w:afterAutospacing="0"/>
              <w:jc w:val="center"/>
              <w:rPr>
                <w:sz w:val="14"/>
                <w:szCs w:val="14"/>
              </w:rPr>
            </w:pPr>
            <w:r>
              <w:rPr>
                <w:b/>
                <w:bCs/>
                <w:sz w:val="14"/>
                <w:szCs w:val="14"/>
              </w:rPr>
              <w:t>incorporation or organization</w:t>
            </w:r>
            <w:r>
              <w:rPr>
                <w:b/>
                <w:bCs/>
                <w:sz w:val="14"/>
                <w:szCs w:val="14"/>
              </w:rPr>
              <w:t>)</w:t>
            </w:r>
          </w:p>
        </w:tc>
        <w:tc>
          <w:tcPr>
            <w:tcW w:w="0" w:type="auto"/>
            <w:vAlign w:val="bottom"/>
            <w:hideMark/>
          </w:tcPr>
          <w:p w:rsidR="00000000" w:rsidRDefault="002D33E3">
            <w:pPr>
              <w:pStyle w:val="a3"/>
              <w:spacing w:before="0" w:beforeAutospacing="0" w:after="0" w:afterAutospacing="0"/>
              <w:jc w:val="center"/>
              <w:rPr>
                <w:sz w:val="14"/>
                <w:szCs w:val="14"/>
              </w:rPr>
            </w:pPr>
            <w:r>
              <w:rPr>
                <w:b/>
                <w:bCs/>
                <w:sz w:val="14"/>
                <w:szCs w:val="14"/>
              </w:rPr>
              <w:t>(I.R.S. Employer</w:t>
            </w:r>
            <w:r>
              <w:rPr>
                <w:b/>
                <w:bCs/>
                <w:sz w:val="14"/>
                <w:szCs w:val="14"/>
              </w:rPr>
              <w:br/>
              <w:t>Identification No.</w:t>
            </w:r>
            <w:r>
              <w:rPr>
                <w:b/>
                <w:bCs/>
                <w:sz w:val="14"/>
                <w:szCs w:val="14"/>
              </w:rPr>
              <w:t>)</w:t>
            </w:r>
          </w:p>
        </w:tc>
      </w:tr>
      <w:tr w:rsidR="00000000">
        <w:trPr>
          <w:trHeight w:val="200"/>
          <w:tblCellSpacing w:w="15" w:type="dxa"/>
        </w:trPr>
        <w:tc>
          <w:tcPr>
            <w:tcW w:w="0" w:type="auto"/>
            <w:vAlign w:val="bottom"/>
            <w:hideMark/>
          </w:tcPr>
          <w:p w:rsidR="00000000" w:rsidRDefault="002D33E3">
            <w:pPr>
              <w:pStyle w:val="a3"/>
              <w:spacing w:before="0" w:beforeAutospacing="0" w:after="15" w:afterAutospacing="0"/>
              <w:jc w:val="center"/>
              <w:rPr>
                <w:sz w:val="20"/>
                <w:szCs w:val="20"/>
              </w:rPr>
            </w:pPr>
            <w:r>
              <w:rPr>
                <w:b/>
                <w:bCs/>
                <w:sz w:val="20"/>
                <w:szCs w:val="20"/>
              </w:rPr>
              <w:t>5120 Northshore Driv</w:t>
            </w:r>
            <w:r>
              <w:rPr>
                <w:b/>
                <w:bCs/>
                <w:sz w:val="20"/>
                <w:szCs w:val="20"/>
              </w:rPr>
              <w:t>e</w:t>
            </w:r>
            <w:r>
              <w:rPr>
                <w:b/>
                <w:bCs/>
                <w:sz w:val="20"/>
                <w:szCs w:val="20"/>
              </w:rPr>
              <w:t>,</w:t>
            </w:r>
            <w:r>
              <w:rPr>
                <w:b/>
                <w:bCs/>
                <w:sz w:val="20"/>
                <w:szCs w:val="20"/>
              </w:rPr>
              <w:t xml:space="preserve"> </w:t>
            </w:r>
          </w:p>
          <w:p w:rsidR="00000000" w:rsidRDefault="002D33E3">
            <w:pPr>
              <w:pStyle w:val="a3"/>
              <w:spacing w:before="0" w:beforeAutospacing="0" w:after="15" w:afterAutospacing="0"/>
              <w:jc w:val="center"/>
              <w:rPr>
                <w:sz w:val="20"/>
                <w:szCs w:val="20"/>
              </w:rPr>
            </w:pPr>
            <w:r>
              <w:rPr>
                <w:b/>
                <w:bCs/>
                <w:sz w:val="20"/>
                <w:szCs w:val="20"/>
              </w:rPr>
              <w:t>North Little Roc</w:t>
            </w:r>
            <w:r>
              <w:rPr>
                <w:b/>
                <w:bCs/>
                <w:sz w:val="20"/>
                <w:szCs w:val="20"/>
              </w:rPr>
              <w:t>k</w:t>
            </w:r>
            <w:r>
              <w:rPr>
                <w:b/>
                <w:bCs/>
                <w:sz w:val="20"/>
                <w:szCs w:val="20"/>
              </w:rPr>
              <w:t>,</w:t>
            </w:r>
            <w:r>
              <w:rPr>
                <w:b/>
                <w:bCs/>
                <w:sz w:val="20"/>
                <w:szCs w:val="20"/>
              </w:rPr>
              <w:t xml:space="preserve"> </w:t>
            </w:r>
            <w:r>
              <w:rPr>
                <w:b/>
                <w:bCs/>
                <w:sz w:val="20"/>
                <w:szCs w:val="20"/>
              </w:rPr>
              <w:t>Arkansa</w:t>
            </w:r>
            <w:r>
              <w:rPr>
                <w:b/>
                <w:bCs/>
                <w:sz w:val="20"/>
                <w:szCs w:val="20"/>
              </w:rPr>
              <w:t>s</w:t>
            </w:r>
          </w:p>
        </w:tc>
        <w:tc>
          <w:tcPr>
            <w:tcW w:w="0" w:type="auto"/>
            <w:vAlign w:val="bottom"/>
            <w:hideMark/>
          </w:tcPr>
          <w:p w:rsidR="00000000" w:rsidRDefault="002D33E3">
            <w:pPr>
              <w:pStyle w:val="a3"/>
              <w:spacing w:before="0" w:beforeAutospacing="0" w:after="0" w:afterAutospacing="0"/>
              <w:jc w:val="center"/>
              <w:rPr>
                <w:sz w:val="20"/>
                <w:szCs w:val="20"/>
              </w:rPr>
            </w:pPr>
            <w:r>
              <w:rPr>
                <w:b/>
                <w:bCs/>
                <w:sz w:val="20"/>
                <w:szCs w:val="20"/>
              </w:rPr>
              <w:t>7211</w:t>
            </w:r>
            <w:r>
              <w:rPr>
                <w:b/>
                <w:bCs/>
                <w:sz w:val="20"/>
                <w:szCs w:val="20"/>
              </w:rPr>
              <w:t>8</w:t>
            </w:r>
          </w:p>
        </w:tc>
      </w:tr>
      <w:tr w:rsidR="00000000">
        <w:trPr>
          <w:trHeight w:val="140"/>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vAlign w:val="bottom"/>
            <w:hideMark/>
          </w:tcPr>
          <w:p w:rsidR="00000000" w:rsidRDefault="002D33E3">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2D33E3">
      <w:pPr>
        <w:pStyle w:val="a3"/>
        <w:spacing w:before="0" w:beforeAutospacing="0" w:after="0" w:afterAutospacing="0"/>
        <w:jc w:val="center"/>
        <w:rPr>
          <w:sz w:val="20"/>
          <w:szCs w:val="20"/>
        </w:rPr>
      </w:pPr>
      <w:r>
        <w:rPr>
          <w:b/>
          <w:bCs/>
          <w:sz w:val="20"/>
          <w:szCs w:val="20"/>
        </w:rPr>
        <w:t>Registrant’</w:t>
      </w:r>
      <w:r>
        <w:rPr>
          <w:b/>
          <w:bCs/>
          <w:sz w:val="20"/>
          <w:szCs w:val="20"/>
        </w:rPr>
        <w:t xml:space="preserve">s telephone number, including area code: </w:t>
      </w:r>
      <w:r>
        <w:rPr>
          <w:b/>
          <w:bCs/>
          <w:sz w:val="20"/>
          <w:szCs w:val="20"/>
        </w:rPr>
        <w:t>(</w:t>
      </w:r>
      <w:r>
        <w:rPr>
          <w:b/>
          <w:bCs/>
          <w:sz w:val="20"/>
          <w:szCs w:val="20"/>
        </w:rPr>
        <w:t>50</w:t>
      </w:r>
      <w:r>
        <w:rPr>
          <w:b/>
          <w:bCs/>
          <w:sz w:val="20"/>
          <w:szCs w:val="20"/>
        </w:rPr>
        <w:t>1</w:t>
      </w:r>
      <w:r>
        <w:rPr>
          <w:b/>
          <w:bCs/>
          <w:sz w:val="20"/>
          <w:szCs w:val="20"/>
        </w:rPr>
        <w:t>)</w:t>
      </w:r>
      <w:r>
        <w:rPr>
          <w:b/>
          <w:bCs/>
          <w:sz w:val="20"/>
          <w:szCs w:val="20"/>
        </w:rPr>
        <w:t xml:space="preserve"> </w:t>
      </w:r>
      <w:r>
        <w:rPr>
          <w:b/>
          <w:bCs/>
          <w:sz w:val="20"/>
          <w:szCs w:val="20"/>
        </w:rPr>
        <w:t>900-640</w:t>
      </w:r>
      <w:r>
        <w:rPr>
          <w:b/>
          <w:bCs/>
          <w:sz w:val="20"/>
          <w:szCs w:val="20"/>
        </w:rPr>
        <w:t>0</w:t>
      </w:r>
    </w:p>
    <w:p w:rsidR="00000000" w:rsidRDefault="002D33E3">
      <w:pPr>
        <w:pStyle w:val="a3"/>
        <w:pBdr>
          <w:bottom w:val="single" w:sz="4" w:space="1" w:color="auto"/>
        </w:pBdr>
        <w:spacing w:before="60" w:beforeAutospacing="0" w:after="0" w:afterAutospacing="0"/>
        <w:ind w:left="4762" w:right="4762"/>
        <w:jc w:val="center"/>
        <w:rPr>
          <w:sz w:val="20"/>
          <w:szCs w:val="20"/>
        </w:rPr>
      </w:pPr>
      <w:r>
        <w:rPr>
          <w:sz w:val="6"/>
          <w:szCs w:val="6"/>
        </w:rPr>
        <w:t> </w:t>
      </w:r>
    </w:p>
    <w:p w:rsidR="00000000" w:rsidRDefault="002D33E3">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rsidR="00000000" w:rsidRDefault="002D33E3">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3"/>
        <w:gridCol w:w="111"/>
        <w:gridCol w:w="1249"/>
        <w:gridCol w:w="111"/>
        <w:gridCol w:w="3702"/>
      </w:tblGrid>
      <w:tr w:rsidR="00000000">
        <w:trPr>
          <w:tblCellSpacing w:w="15" w:type="dxa"/>
        </w:trPr>
        <w:tc>
          <w:tcPr>
            <w:tcW w:w="1900" w:type="pct"/>
            <w:vAlign w:val="center"/>
            <w:hideMark/>
          </w:tcPr>
          <w:p w:rsidR="00000000" w:rsidRDefault="002D33E3">
            <w:pPr>
              <w:rPr>
                <w:sz w:val="20"/>
                <w:szCs w:val="20"/>
              </w:rPr>
            </w:pPr>
          </w:p>
        </w:tc>
        <w:tc>
          <w:tcPr>
            <w:tcW w:w="50" w:type="pct"/>
            <w:vAlign w:val="center"/>
            <w:hideMark/>
          </w:tcPr>
          <w:p w:rsidR="00000000" w:rsidRDefault="002D33E3">
            <w:pPr>
              <w:rPr>
                <w:rFonts w:eastAsia="Times New Roman"/>
                <w:sz w:val="20"/>
                <w:szCs w:val="20"/>
              </w:rPr>
            </w:pPr>
          </w:p>
        </w:tc>
        <w:tc>
          <w:tcPr>
            <w:tcW w:w="750"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2250" w:type="pct"/>
            <w:vAlign w:val="center"/>
            <w:hideMark/>
          </w:tcPr>
          <w:p w:rsidR="00000000" w:rsidRDefault="002D33E3">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2D33E3">
            <w:pPr>
              <w:pStyle w:val="a3"/>
              <w:spacing w:before="0" w:beforeAutospacing="0" w:after="0" w:afterAutospacing="0"/>
              <w:jc w:val="center"/>
              <w:rPr>
                <w:sz w:val="16"/>
                <w:szCs w:val="16"/>
              </w:rPr>
            </w:pPr>
            <w:r>
              <w:rPr>
                <w:b/>
                <w:bCs/>
                <w:sz w:val="16"/>
                <w:szCs w:val="16"/>
              </w:rPr>
              <w:t>Title of each clas</w:t>
            </w:r>
            <w:r>
              <w:rPr>
                <w:b/>
                <w:bCs/>
                <w:sz w:val="16"/>
                <w:szCs w:val="16"/>
              </w:rPr>
              <w:t>s</w:t>
            </w:r>
          </w:p>
        </w:tc>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2D33E3">
            <w:pPr>
              <w:pStyle w:val="a3"/>
              <w:spacing w:before="0" w:beforeAutospacing="0" w:after="0" w:afterAutospacing="0"/>
              <w:jc w:val="center"/>
              <w:rPr>
                <w:sz w:val="16"/>
                <w:szCs w:val="16"/>
              </w:rPr>
            </w:pPr>
            <w:r>
              <w:rPr>
                <w:b/>
                <w:bCs/>
                <w:sz w:val="16"/>
                <w:szCs w:val="16"/>
              </w:rPr>
              <w:t>Tradin</w:t>
            </w:r>
            <w:r>
              <w:rPr>
                <w:b/>
                <w:bCs/>
                <w:sz w:val="16"/>
                <w:szCs w:val="16"/>
              </w:rPr>
              <w:t>g</w:t>
            </w:r>
          </w:p>
          <w:p w:rsidR="00000000" w:rsidRDefault="002D33E3">
            <w:pPr>
              <w:pStyle w:val="a3"/>
              <w:spacing w:before="0" w:beforeAutospacing="0" w:after="0" w:afterAutospacing="0"/>
              <w:jc w:val="center"/>
              <w:rPr>
                <w:sz w:val="16"/>
                <w:szCs w:val="16"/>
              </w:rPr>
            </w:pPr>
            <w:r>
              <w:rPr>
                <w:b/>
                <w:bCs/>
                <w:sz w:val="16"/>
                <w:szCs w:val="16"/>
              </w:rPr>
              <w:t>Symbol(s</w:t>
            </w:r>
            <w:r>
              <w:rPr>
                <w:b/>
                <w:bCs/>
                <w:sz w:val="16"/>
                <w:szCs w:val="16"/>
              </w:rPr>
              <w:t>)</w:t>
            </w:r>
          </w:p>
        </w:tc>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2D33E3">
            <w:pPr>
              <w:pStyle w:val="a3"/>
              <w:spacing w:before="0" w:beforeAutospacing="0" w:after="0" w:afterAutospacing="0"/>
              <w:jc w:val="center"/>
              <w:rPr>
                <w:sz w:val="16"/>
                <w:szCs w:val="16"/>
              </w:rPr>
            </w:pPr>
            <w:r>
              <w:rPr>
                <w:b/>
                <w:bCs/>
                <w:sz w:val="16"/>
                <w:szCs w:val="16"/>
              </w:rPr>
              <w:t>Name of each exchange on which registere</w:t>
            </w:r>
            <w:r>
              <w:rPr>
                <w:b/>
                <w:bCs/>
                <w:sz w:val="16"/>
                <w:szCs w:val="16"/>
              </w:rPr>
              <w:t>d</w:t>
            </w:r>
          </w:p>
        </w:tc>
      </w:tr>
      <w:tr w:rsidR="00000000">
        <w:trPr>
          <w:trHeight w:val="259"/>
          <w:tblCellSpacing w:w="15" w:type="dxa"/>
        </w:trPr>
        <w:tc>
          <w:tcPr>
            <w:tcW w:w="0" w:type="auto"/>
            <w:hideMark/>
          </w:tcPr>
          <w:p w:rsidR="00000000" w:rsidRDefault="002D33E3">
            <w:pPr>
              <w:pStyle w:val="a3"/>
              <w:spacing w:before="0" w:beforeAutospacing="0" w:after="0" w:afterAutospacing="0"/>
              <w:jc w:val="center"/>
              <w:rPr>
                <w:sz w:val="20"/>
                <w:szCs w:val="20"/>
              </w:rPr>
            </w:pPr>
            <w:r>
              <w:rPr>
                <w:sz w:val="18"/>
                <w:szCs w:val="18"/>
              </w:rPr>
              <w:t>Common Stock, par value $0.000004 per shar</w:t>
            </w:r>
            <w:r>
              <w:rPr>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ME</w:t>
            </w:r>
            <w:r>
              <w:rPr>
                <w:sz w:val="18"/>
                <w:szCs w:val="18"/>
              </w:rPr>
              <w:t>G</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The New York Stock Exchang</w:t>
            </w:r>
            <w:r>
              <w:rPr>
                <w:sz w:val="18"/>
                <w:szCs w:val="18"/>
              </w:rPr>
              <w:t>e</w:t>
            </w:r>
          </w:p>
        </w:tc>
      </w:tr>
    </w:tbl>
    <w:p w:rsidR="00000000" w:rsidRDefault="002D33E3">
      <w:pPr>
        <w:pStyle w:val="a3"/>
        <w:spacing w:before="12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w:t>
      </w:r>
      <w:r>
        <w:rPr>
          <w:sz w:val="18"/>
          <w:szCs w:val="18"/>
        </w:rPr>
        <w:t xml:space="preserve"> 12 months (or for such shorter period that the registrant was required to file such reports), and (2) has been subject to such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2D33E3">
      <w:pPr>
        <w:pStyle w:val="a3"/>
        <w:spacing w:before="80" w:beforeAutospacing="0" w:after="0" w:afterAutospacing="0"/>
        <w:ind w:firstLine="555"/>
        <w:rPr>
          <w:sz w:val="20"/>
          <w:szCs w:val="20"/>
        </w:rPr>
      </w:pPr>
      <w:r>
        <w:rPr>
          <w:sz w:val="18"/>
          <w:szCs w:val="18"/>
        </w:rPr>
        <w:t xml:space="preserve">Indicate by check mark whether the registrant has submitted electronically </w:t>
      </w:r>
      <w:r>
        <w:rPr>
          <w:sz w:val="18"/>
          <w:szCs w:val="18"/>
        </w:rPr>
        <w:t>every Interactive Data File required to be submitted pursuant to Rule 405 of Regulation S-T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2D33E3">
      <w:pPr>
        <w:pStyle w:val="a3"/>
        <w:spacing w:before="80" w:beforeAutospacing="0" w:after="0" w:afterAutospacing="0"/>
        <w:ind w:firstLine="555"/>
        <w:rPr>
          <w:sz w:val="20"/>
          <w:szCs w:val="20"/>
        </w:rPr>
      </w:pPr>
      <w:r>
        <w:rPr>
          <w:sz w:val="18"/>
          <w:szCs w:val="18"/>
        </w:rPr>
        <w:t>Indicate by check mark whether the registrant is a large accelerated filer, an accelerated filer, a non-accelerated filer, smaller reporting company, or an emerging growth company. See the definitions of “large accelerated filer,” “accelerated filer,” “sma</w:t>
      </w:r>
      <w:r>
        <w:rPr>
          <w:sz w:val="18"/>
          <w:szCs w:val="18"/>
        </w:rPr>
        <w:t>ller reporting company,” and “emerging growth company” in Rule 12b-2 of the Exchange Act</w:t>
      </w:r>
      <w:r>
        <w:rPr>
          <w:sz w:val="18"/>
          <w:szCs w:val="18"/>
        </w:rPr>
        <w:t>.</w:t>
      </w:r>
    </w:p>
    <w:p w:rsidR="00000000" w:rsidRDefault="002D33E3">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3"/>
        <w:gridCol w:w="104"/>
        <w:gridCol w:w="4519"/>
        <w:gridCol w:w="104"/>
        <w:gridCol w:w="1662"/>
        <w:gridCol w:w="104"/>
        <w:gridCol w:w="230"/>
      </w:tblGrid>
      <w:tr w:rsidR="00000000">
        <w:trPr>
          <w:tblCellSpacing w:w="15" w:type="dxa"/>
        </w:trPr>
        <w:tc>
          <w:tcPr>
            <w:tcW w:w="964" w:type="pct"/>
            <w:vAlign w:val="center"/>
            <w:hideMark/>
          </w:tcPr>
          <w:p w:rsidR="00000000" w:rsidRDefault="002D33E3">
            <w:pPr>
              <w:rPr>
                <w:sz w:val="20"/>
                <w:szCs w:val="20"/>
              </w:rPr>
            </w:pPr>
          </w:p>
        </w:tc>
        <w:tc>
          <w:tcPr>
            <w:tcW w:w="30" w:type="pct"/>
            <w:vAlign w:val="center"/>
            <w:hideMark/>
          </w:tcPr>
          <w:p w:rsidR="00000000" w:rsidRDefault="002D33E3">
            <w:pPr>
              <w:rPr>
                <w:rFonts w:eastAsia="Times New Roman"/>
                <w:sz w:val="20"/>
                <w:szCs w:val="20"/>
              </w:rPr>
            </w:pPr>
          </w:p>
        </w:tc>
        <w:tc>
          <w:tcPr>
            <w:tcW w:w="2792" w:type="pct"/>
            <w:vAlign w:val="center"/>
            <w:hideMark/>
          </w:tcPr>
          <w:p w:rsidR="00000000" w:rsidRDefault="002D33E3">
            <w:pPr>
              <w:rPr>
                <w:rFonts w:eastAsia="Times New Roman"/>
                <w:sz w:val="20"/>
                <w:szCs w:val="20"/>
              </w:rPr>
            </w:pPr>
          </w:p>
        </w:tc>
        <w:tc>
          <w:tcPr>
            <w:tcW w:w="52" w:type="pct"/>
            <w:vAlign w:val="center"/>
            <w:hideMark/>
          </w:tcPr>
          <w:p w:rsidR="00000000" w:rsidRDefault="002D33E3">
            <w:pPr>
              <w:rPr>
                <w:rFonts w:eastAsia="Times New Roman"/>
                <w:sz w:val="20"/>
                <w:szCs w:val="20"/>
              </w:rPr>
            </w:pPr>
          </w:p>
        </w:tc>
        <w:tc>
          <w:tcPr>
            <w:tcW w:w="1025" w:type="pct"/>
            <w:vAlign w:val="center"/>
            <w:hideMark/>
          </w:tcPr>
          <w:p w:rsidR="00000000" w:rsidRDefault="002D33E3">
            <w:pPr>
              <w:rPr>
                <w:rFonts w:eastAsia="Times New Roman"/>
                <w:sz w:val="20"/>
                <w:szCs w:val="20"/>
              </w:rPr>
            </w:pPr>
          </w:p>
        </w:tc>
        <w:tc>
          <w:tcPr>
            <w:tcW w:w="30" w:type="pct"/>
            <w:vAlign w:val="center"/>
            <w:hideMark/>
          </w:tcPr>
          <w:p w:rsidR="00000000" w:rsidRDefault="002D33E3">
            <w:pPr>
              <w:rPr>
                <w:rFonts w:eastAsia="Times New Roman"/>
                <w:sz w:val="20"/>
                <w:szCs w:val="20"/>
              </w:rPr>
            </w:pPr>
          </w:p>
        </w:tc>
        <w:tc>
          <w:tcPr>
            <w:tcW w:w="105" w:type="pct"/>
            <w:vAlign w:val="center"/>
            <w:hideMark/>
          </w:tcPr>
          <w:p w:rsidR="00000000" w:rsidRDefault="002D33E3">
            <w:pPr>
              <w:rPr>
                <w:rFonts w:eastAsia="Times New Roman"/>
                <w:sz w:val="20"/>
                <w:szCs w:val="20"/>
              </w:rPr>
            </w:pPr>
          </w:p>
        </w:tc>
      </w:tr>
      <w:tr w:rsidR="00000000">
        <w:trPr>
          <w:trHeight w:val="216"/>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18"/>
                <w:szCs w:val="18"/>
              </w:rPr>
              <w:t>Large accelerated file</w:t>
            </w:r>
            <w:r>
              <w:rPr>
                <w:sz w:val="18"/>
                <w:szCs w:val="18"/>
              </w:rPr>
              <w:t>r</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72"/>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lastRenderedPageBreak/>
              <w:t>Non-accelerated file</w:t>
            </w:r>
            <w:r>
              <w:rPr>
                <w:sz w:val="18"/>
                <w:szCs w:val="18"/>
              </w:rPr>
              <w:t>r</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Smaller reporting compan</w:t>
            </w:r>
            <w:r>
              <w:rPr>
                <w:sz w:val="18"/>
                <w:szCs w:val="18"/>
              </w:rPr>
              <w:t>y</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rFonts w:ascii="Segoe UI Symbol" w:hAnsi="Segoe UI Symbol" w:cs="Segoe UI Symbol"/>
                <w:sz w:val="18"/>
                <w:szCs w:val="18"/>
              </w:rPr>
              <w:t>☐</w:t>
            </w:r>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rPr>
          <w:sz w:val="20"/>
          <w:szCs w:val="20"/>
        </w:rPr>
      </w:pPr>
      <w:r>
        <w:rPr>
          <w:sz w:val="8"/>
          <w:szCs w:val="8"/>
        </w:rPr>
        <w:t> </w:t>
      </w:r>
    </w:p>
    <w:p w:rsidR="00000000" w:rsidRDefault="002D33E3">
      <w:pPr>
        <w:pStyle w:val="a3"/>
        <w:spacing w:before="0" w:beforeAutospacing="0" w:after="0" w:afterAutospacing="0"/>
        <w:ind w:firstLine="55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w:t>
      </w:r>
      <w:r>
        <w:rPr>
          <w:sz w:val="18"/>
          <w:szCs w:val="18"/>
        </w:rPr>
        <w:t xml:space="preserve">Section 13(a) of the Exchange Act. </w:t>
      </w:r>
      <w:r>
        <w:rPr>
          <w:rFonts w:ascii="Segoe UI Symbol" w:hAnsi="Segoe UI Symbol" w:cs="Segoe UI Symbol"/>
          <w:sz w:val="18"/>
          <w:szCs w:val="18"/>
        </w:rPr>
        <w:t>☐</w:t>
      </w:r>
    </w:p>
    <w:p w:rsidR="00000000" w:rsidRDefault="002D33E3">
      <w:pPr>
        <w:pStyle w:val="a3"/>
        <w:spacing w:before="80" w:beforeAutospacing="0" w:after="0" w:afterAutospacing="0"/>
        <w:ind w:firstLine="555"/>
        <w:rPr>
          <w:sz w:val="20"/>
          <w:szCs w:val="20"/>
        </w:rPr>
      </w:pPr>
      <w:r>
        <w:rPr>
          <w:sz w:val="18"/>
          <w:szCs w:val="18"/>
        </w:rPr>
        <w:t>Indicate by check mark whether the registrant is a shell company (as defined in Rule 12b-2 of the Exchange Act). Yes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2D33E3">
      <w:pPr>
        <w:pStyle w:val="a3"/>
        <w:spacing w:before="80" w:beforeAutospacing="0" w:after="0" w:afterAutospacing="0"/>
        <w:ind w:firstLine="555"/>
        <w:rPr>
          <w:sz w:val="20"/>
          <w:szCs w:val="20"/>
        </w:rPr>
      </w:pPr>
      <w:r>
        <w:rPr>
          <w:sz w:val="18"/>
          <w:szCs w:val="18"/>
        </w:rPr>
        <w:t>As of May 5, 2022, the registrant had</w:t>
      </w:r>
      <w:r>
        <w:rPr>
          <w:sz w:val="18"/>
          <w:szCs w:val="18"/>
        </w:rPr>
        <w:t xml:space="preserve"> </w:t>
      </w:r>
      <w:r>
        <w:rPr>
          <w:sz w:val="18"/>
          <w:szCs w:val="18"/>
        </w:rPr>
        <w:t>29,678,69</w:t>
      </w:r>
      <w:r>
        <w:rPr>
          <w:sz w:val="18"/>
          <w:szCs w:val="18"/>
        </w:rPr>
        <w:t>7</w:t>
      </w:r>
      <w:r>
        <w:rPr>
          <w:sz w:val="18"/>
          <w:szCs w:val="18"/>
        </w:rPr>
        <w:t xml:space="preserve"> shares of common stock, $0.000004 par value pe</w:t>
      </w:r>
      <w:r>
        <w:rPr>
          <w:sz w:val="18"/>
          <w:szCs w:val="18"/>
        </w:rPr>
        <w:t>r share, outstanding</w:t>
      </w:r>
      <w:r>
        <w:rPr>
          <w:sz w:val="18"/>
          <w:szCs w:val="18"/>
        </w:rPr>
        <w:t>.</w:t>
      </w:r>
    </w:p>
    <w:p w:rsidR="00000000" w:rsidRDefault="002D33E3">
      <w:pPr>
        <w:pStyle w:val="a3"/>
        <w:pBdr>
          <w:bottom w:val="double" w:sz="6" w:space="1" w:color="auto"/>
        </w:pBdr>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rPr>
          <w:sz w:val="20"/>
          <w:szCs w:val="20"/>
        </w:rPr>
      </w:pPr>
      <w:r>
        <w:rPr>
          <w:sz w:val="20"/>
          <w:szCs w:val="20"/>
        </w:rPr>
        <w:t> </w:t>
      </w:r>
    </w:p>
    <w:p w:rsidR="00000000" w:rsidRDefault="002D33E3">
      <w:pPr>
        <w:rPr>
          <w:rFonts w:eastAsia="Times New Roman"/>
        </w:rPr>
      </w:pPr>
      <w:r>
        <w:rPr>
          <w:rFonts w:eastAsia="Times New Roman"/>
        </w:rPr>
        <w:pict>
          <v:rect id="_x0000_i1025"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2D33E3">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
        <w:gridCol w:w="6826"/>
        <w:gridCol w:w="608"/>
      </w:tblGrid>
      <w:tr w:rsidR="00000000">
        <w:trPr>
          <w:tblCellSpacing w:w="15" w:type="dxa"/>
        </w:trPr>
        <w:tc>
          <w:tcPr>
            <w:tcW w:w="505" w:type="pct"/>
            <w:vAlign w:val="center"/>
            <w:hideMark/>
          </w:tcPr>
          <w:p w:rsidR="00000000" w:rsidRDefault="002D33E3">
            <w:pPr>
              <w:rPr>
                <w:sz w:val="20"/>
                <w:szCs w:val="20"/>
              </w:rPr>
            </w:pPr>
          </w:p>
        </w:tc>
        <w:tc>
          <w:tcPr>
            <w:tcW w:w="4150" w:type="pct"/>
            <w:vAlign w:val="center"/>
            <w:hideMark/>
          </w:tcPr>
          <w:p w:rsidR="00000000" w:rsidRDefault="002D33E3">
            <w:pPr>
              <w:rPr>
                <w:rFonts w:eastAsia="Times New Roman"/>
                <w:sz w:val="20"/>
                <w:szCs w:val="20"/>
              </w:rPr>
            </w:pPr>
          </w:p>
        </w:tc>
        <w:tc>
          <w:tcPr>
            <w:tcW w:w="344" w:type="pct"/>
            <w:vAlign w:val="center"/>
            <w:hideMark/>
          </w:tcPr>
          <w:p w:rsidR="00000000" w:rsidRDefault="002D33E3">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ind w:left="137"/>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b/>
                <w:bCs/>
                <w:sz w:val="20"/>
                <w:szCs w:val="20"/>
              </w:rPr>
              <w:t>PART I</w:t>
            </w:r>
            <w:r>
              <w:rPr>
                <w:b/>
                <w:bCs/>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part_ifinancial_information" w:history="1">
              <w:r>
                <w:rPr>
                  <w:rStyle w:val="a4"/>
                  <w:sz w:val="20"/>
                  <w:szCs w:val="20"/>
                </w:rPr>
                <w:t>FINANCIAL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item_1_financial_statements" w:history="1">
              <w:r>
                <w:rPr>
                  <w:rStyle w:val="a4"/>
                  <w:sz w:val="20"/>
                  <w:szCs w:val="20"/>
                </w:rPr>
                <w:t>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1</w:t>
            </w:r>
          </w:p>
        </w:tc>
      </w:tr>
      <w:tr w:rsidR="00000000">
        <w:trPr>
          <w:trHeight w:val="144"/>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unaudited_condensed_consolidated_bs" w:history="1">
              <w:r>
                <w:rPr>
                  <w:rStyle w:val="a4"/>
                  <w:sz w:val="20"/>
                  <w:szCs w:val="20"/>
                </w:rPr>
                <w:t>Unaudited Condensed Consolidated Statements of Financial Positio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unaudited_condensed_consolidated_state" w:history="1">
              <w:r>
                <w:rPr>
                  <w:rStyle w:val="a4"/>
                  <w:sz w:val="20"/>
                  <w:szCs w:val="20"/>
                </w:rPr>
                <w:t>Unaudited Condensed Consolidated Statements of Operations and Comp</w:t>
              </w:r>
              <w:r>
                <w:rPr>
                  <w:rStyle w:val="a4"/>
                  <w:sz w:val="20"/>
                  <w:szCs w:val="20"/>
                </w:rPr>
                <w:t>rehensive Los</w:t>
              </w:r>
              <w:r>
                <w:rPr>
                  <w:rStyle w:val="a4"/>
                  <w:sz w:val="20"/>
                  <w:szCs w:val="20"/>
                </w:rPr>
                <w:t>s</w:t>
              </w:r>
              <w:r>
                <w:rPr>
                  <w:rStyle w:val="a4"/>
                  <w:sz w:val="20"/>
                  <w:szCs w:val="20"/>
                </w:rPr>
                <w:t xml:space="preserve"> </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redeemable_series_a1_preferred_stock" w:history="1">
              <w:r>
                <w:rPr>
                  <w:rStyle w:val="a4"/>
                  <w:sz w:val="20"/>
                  <w:szCs w:val="20"/>
                </w:rPr>
                <w:t>Unaudited Condensed Consolidated Statements of Convertible and Redeemable Series A-2 Preferred Stock and Stockholders’ Equit</w:t>
              </w:r>
              <w:r>
                <w:rPr>
                  <w:rStyle w:val="a4"/>
                  <w:sz w:val="20"/>
                  <w:szCs w:val="20"/>
                </w:rPr>
                <w:t>y</w:t>
              </w:r>
              <w:r>
                <w:rPr>
                  <w:rStyle w:val="a4"/>
                  <w:sz w:val="20"/>
                  <w:szCs w:val="20"/>
                </w:rPr>
                <w:t xml:space="preserve"> </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cf_2" w:history="1">
              <w:r>
                <w:rPr>
                  <w:rStyle w:val="a4"/>
                  <w:sz w:val="20"/>
                  <w:szCs w:val="20"/>
                </w:rPr>
                <w:t>Unaudited Condens</w:t>
              </w:r>
              <w:r>
                <w:rPr>
                  <w:rStyle w:val="a4"/>
                  <w:sz w:val="20"/>
                  <w:szCs w:val="20"/>
                </w:rPr>
                <w:t>ed Consolidated Statements of Cash Flow</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notes_to_unaudited_condensed_consolidat" w:history="1">
              <w:r>
                <w:rPr>
                  <w:rStyle w:val="a4"/>
                  <w:sz w:val="20"/>
                  <w:szCs w:val="20"/>
                </w:rPr>
                <w:t>Notes to Unaudited Condensed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w:t>
              </w:r>
              <w:r>
                <w:rPr>
                  <w:rStyle w:val="a4"/>
                  <w:sz w:val="20"/>
                  <w:szCs w:val="20"/>
                </w:rPr>
                <w:t>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r>
              <w:rPr>
                <w:sz w:val="20"/>
                <w:szCs w:val="20"/>
              </w:rPr>
              <w:t>1</w:t>
            </w:r>
          </w:p>
        </w:tc>
      </w:tr>
      <w:tr w:rsidR="00000000">
        <w:trPr>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b/>
                <w:bCs/>
                <w:sz w:val="20"/>
                <w:szCs w:val="20"/>
              </w:rPr>
              <w:t>PART II</w:t>
            </w:r>
            <w:r>
              <w:rPr>
                <w:b/>
                <w:bCs/>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part_iio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item_2_unregistered_sales_equity_securi" w:history="1">
              <w:r>
                <w:rPr>
                  <w:rStyle w:val="a4"/>
                  <w:sz w:val="20"/>
                  <w:szCs w:val="20"/>
                </w:rPr>
                <w:t xml:space="preserve">Unregistered Sales of Equity Securities and Use </w:t>
              </w:r>
              <w:r>
                <w:rPr>
                  <w:rStyle w:val="a4"/>
                  <w:sz w:val="20"/>
                  <w:szCs w:val="20"/>
                </w:rPr>
                <w:t>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item_3_defaults_upon_senior_securities" w:history="1">
              <w:r>
                <w:rPr>
                  <w:rStyle w:val="a4"/>
                  <w:sz w:val="20"/>
                  <w:szCs w:val="20"/>
                </w:rPr>
                <w:t>Defaults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r>
              <w:rPr>
                <w:sz w:val="20"/>
                <w:szCs w:val="20"/>
              </w:rPr>
              <w:t>3</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right"/>
              <w:rPr>
                <w:sz w:val="20"/>
                <w:szCs w:val="20"/>
              </w:rPr>
            </w:pPr>
            <w:r>
              <w:rPr>
                <w:sz w:val="20"/>
                <w:szCs w:val="20"/>
              </w:rPr>
              <w:t>4</w:t>
            </w:r>
            <w:r>
              <w:rPr>
                <w:sz w:val="20"/>
                <w:szCs w:val="20"/>
              </w:rPr>
              <w:t>4</w:t>
            </w:r>
          </w:p>
        </w:tc>
      </w:tr>
    </w:tbl>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jc w:val="center"/>
        <w:rPr>
          <w:sz w:val="20"/>
          <w:szCs w:val="20"/>
        </w:rPr>
      </w:pPr>
      <w:r>
        <w:rPr>
          <w:sz w:val="20"/>
          <w:szCs w:val="20"/>
        </w:rPr>
        <w:t>i</w:t>
      </w:r>
    </w:p>
    <w:p w:rsidR="00000000" w:rsidRDefault="002D33E3">
      <w:pPr>
        <w:rPr>
          <w:rFonts w:eastAsia="Times New Roman"/>
        </w:rPr>
      </w:pPr>
      <w:r>
        <w:rPr>
          <w:rFonts w:eastAsia="Times New Roman"/>
        </w:rPr>
        <w:pict>
          <v:rect id="_x0000_i1026"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jc w:val="center"/>
        <w:rPr>
          <w:sz w:val="20"/>
          <w:szCs w:val="20"/>
        </w:rPr>
      </w:pPr>
      <w:r>
        <w:rPr>
          <w:b/>
          <w:bCs/>
          <w:sz w:val="20"/>
          <w:szCs w:val="20"/>
        </w:rPr>
        <w:t>PART I—FINANC</w:t>
      </w:r>
      <w:r>
        <w:rPr>
          <w:b/>
          <w:bCs/>
          <w:sz w:val="20"/>
          <w:szCs w:val="20"/>
        </w:rPr>
        <w:t>I</w:t>
      </w:r>
      <w:r>
        <w:rPr>
          <w:b/>
          <w:bCs/>
          <w:sz w:val="20"/>
          <w:szCs w:val="20"/>
        </w:rPr>
        <w:t>AL INFORMATIO</w:t>
      </w:r>
      <w:r>
        <w:rPr>
          <w:b/>
          <w:bCs/>
          <w:sz w:val="20"/>
          <w:szCs w:val="20"/>
        </w:rPr>
        <w:t>N</w:t>
      </w:r>
    </w:p>
    <w:p w:rsidR="00000000" w:rsidRDefault="002D33E3">
      <w:pPr>
        <w:pStyle w:val="a3"/>
        <w:spacing w:before="120" w:beforeAutospacing="0" w:after="0" w:afterAutospacing="0"/>
        <w:rPr>
          <w:sz w:val="20"/>
          <w:szCs w:val="20"/>
        </w:rPr>
      </w:pPr>
      <w:r>
        <w:rPr>
          <w:b/>
          <w:bCs/>
          <w:sz w:val="20"/>
          <w:szCs w:val="20"/>
        </w:rPr>
        <w:t>Item 1. Financ</w:t>
      </w:r>
      <w:r>
        <w:rPr>
          <w:b/>
          <w:bCs/>
          <w:sz w:val="20"/>
          <w:szCs w:val="20"/>
        </w:rPr>
        <w:t>i</w:t>
      </w:r>
      <w:r>
        <w:rPr>
          <w:b/>
          <w:bCs/>
          <w:sz w:val="20"/>
          <w:szCs w:val="20"/>
        </w:rPr>
        <w:t>al Statements</w:t>
      </w:r>
      <w:r>
        <w:rPr>
          <w:b/>
          <w:bCs/>
          <w:sz w:val="20"/>
          <w:szCs w:val="20"/>
        </w:rPr>
        <w:t>.</w:t>
      </w:r>
    </w:p>
    <w:p w:rsidR="00000000" w:rsidRDefault="002D33E3">
      <w:pPr>
        <w:pStyle w:val="a3"/>
        <w:spacing w:before="12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2D33E3">
      <w:pPr>
        <w:pStyle w:val="a3"/>
        <w:spacing w:before="0" w:beforeAutospacing="0" w:after="0" w:afterAutospacing="0"/>
        <w:jc w:val="center"/>
        <w:rPr>
          <w:sz w:val="20"/>
          <w:szCs w:val="20"/>
        </w:rPr>
      </w:pPr>
      <w:r>
        <w:rPr>
          <w:b/>
          <w:bCs/>
          <w:sz w:val="20"/>
          <w:szCs w:val="20"/>
        </w:rPr>
        <w:t>UNAUDITED CONDENSED CONSOLIDATED</w:t>
      </w:r>
      <w:r>
        <w:rPr>
          <w:b/>
          <w:bCs/>
          <w:sz w:val="20"/>
          <w:szCs w:val="20"/>
        </w:rPr>
        <w:t xml:space="preserve"> </w:t>
      </w:r>
      <w:r>
        <w:rPr>
          <w:b/>
          <w:bCs/>
          <w:sz w:val="20"/>
          <w:szCs w:val="20"/>
        </w:rPr>
        <w:t>STATEMENTS OF FINANCIAL POSITIO</w:t>
      </w:r>
      <w:r>
        <w:rPr>
          <w:b/>
          <w:bCs/>
          <w:sz w:val="20"/>
          <w:szCs w:val="20"/>
        </w:rPr>
        <w:t>N</w:t>
      </w:r>
    </w:p>
    <w:p w:rsidR="00000000" w:rsidRDefault="002D33E3">
      <w:pPr>
        <w:pStyle w:val="a3"/>
        <w:spacing w:before="0" w:beforeAutospacing="0" w:after="0" w:afterAutospacing="0"/>
        <w:jc w:val="center"/>
        <w:rPr>
          <w:sz w:val="20"/>
          <w:szCs w:val="20"/>
        </w:rPr>
      </w:pPr>
      <w:r>
        <w:rPr>
          <w:b/>
          <w:bCs/>
          <w:sz w:val="20"/>
          <w:szCs w:val="20"/>
        </w:rPr>
        <w:lastRenderedPageBreak/>
        <w:t>(In thousands, except share data</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6"/>
        <w:gridCol w:w="126"/>
        <w:gridCol w:w="140"/>
        <w:gridCol w:w="1077"/>
        <w:gridCol w:w="114"/>
        <w:gridCol w:w="127"/>
        <w:gridCol w:w="140"/>
        <w:gridCol w:w="1077"/>
        <w:gridCol w:w="129"/>
      </w:tblGrid>
      <w:tr w:rsidR="00000000">
        <w:trPr>
          <w:tblCellSpacing w:w="15" w:type="dxa"/>
        </w:trPr>
        <w:tc>
          <w:tcPr>
            <w:tcW w:w="3345" w:type="pct"/>
            <w:vAlign w:val="center"/>
            <w:hideMark/>
          </w:tcPr>
          <w:p w:rsidR="00000000" w:rsidRDefault="002D33E3">
            <w:pPr>
              <w:rPr>
                <w:sz w:val="20"/>
                <w:szCs w:val="20"/>
              </w:rPr>
            </w:pPr>
          </w:p>
        </w:tc>
        <w:tc>
          <w:tcPr>
            <w:tcW w:w="77"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670" w:type="pct"/>
            <w:vAlign w:val="center"/>
            <w:hideMark/>
          </w:tcPr>
          <w:p w:rsidR="00000000" w:rsidRDefault="002D33E3">
            <w:pPr>
              <w:rPr>
                <w:rFonts w:eastAsia="Times New Roman"/>
                <w:sz w:val="20"/>
                <w:szCs w:val="20"/>
              </w:rPr>
            </w:pPr>
          </w:p>
        </w:tc>
        <w:tc>
          <w:tcPr>
            <w:tcW w:w="32" w:type="pct"/>
            <w:vAlign w:val="center"/>
            <w:hideMark/>
          </w:tcPr>
          <w:p w:rsidR="00000000" w:rsidRDefault="002D33E3">
            <w:pPr>
              <w:rPr>
                <w:rFonts w:eastAsia="Times New Roman"/>
                <w:sz w:val="20"/>
                <w:szCs w:val="20"/>
              </w:rPr>
            </w:pPr>
          </w:p>
        </w:tc>
        <w:tc>
          <w:tcPr>
            <w:tcW w:w="77"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670" w:type="pct"/>
            <w:vAlign w:val="center"/>
            <w:hideMark/>
          </w:tcPr>
          <w:p w:rsidR="00000000" w:rsidRDefault="002D33E3">
            <w:pPr>
              <w:rPr>
                <w:rFonts w:eastAsia="Times New Roman"/>
                <w:sz w:val="20"/>
                <w:szCs w:val="20"/>
              </w:rPr>
            </w:pPr>
          </w:p>
        </w:tc>
        <w:tc>
          <w:tcPr>
            <w:tcW w:w="32" w:type="pct"/>
            <w:vAlign w:val="center"/>
            <w:hideMark/>
          </w:tcPr>
          <w:p w:rsidR="00000000" w:rsidRDefault="002D33E3">
            <w:pPr>
              <w:rPr>
                <w:rFonts w:eastAsia="Times New Roman"/>
                <w:sz w:val="20"/>
                <w:szCs w:val="20"/>
              </w:rPr>
            </w:pPr>
          </w:p>
        </w:tc>
      </w:tr>
      <w:tr w:rsidR="00000000">
        <w:trPr>
          <w:trHeight w:val="160"/>
          <w:tblCellSpacing w:w="15" w:type="dxa"/>
        </w:trPr>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center"/>
              <w:rPr>
                <w:sz w:val="16"/>
                <w:szCs w:val="16"/>
              </w:rPr>
            </w:pPr>
            <w:r>
              <w:rPr>
                <w:b/>
                <w:bCs/>
                <w:sz w:val="16"/>
                <w:szCs w:val="16"/>
              </w:rPr>
              <w:t>March 31</w:t>
            </w:r>
            <w:r>
              <w:rPr>
                <w:b/>
                <w:bCs/>
                <w:sz w:val="16"/>
                <w:szCs w:val="16"/>
              </w:rPr>
              <w:t>,</w:t>
            </w:r>
          </w:p>
        </w:tc>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16"/>
                <w:szCs w:val="16"/>
              </w:rPr>
            </w:pPr>
            <w:r>
              <w:rPr>
                <w:b/>
                <w:bCs/>
                <w:sz w:val="16"/>
                <w:szCs w:val="16"/>
              </w:rPr>
              <w:t>ASSET</w:t>
            </w:r>
            <w:r>
              <w:rPr>
                <w:b/>
                <w:bCs/>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16"/>
                <w:szCs w:val="16"/>
              </w:rPr>
            </w:pPr>
            <w:r>
              <w:rPr>
                <w:sz w:val="16"/>
                <w:szCs w:val="16"/>
              </w:rPr>
              <w:t>CURRENT ASSETS</w:t>
            </w:r>
            <w:r>
              <w:rPr>
                <w:sz w:val="16"/>
                <w:szCs w:val="16"/>
              </w:rPr>
              <w: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Cash and restricted cas</w:t>
            </w:r>
            <w:r>
              <w:rPr>
                <w:sz w:val="16"/>
                <w:szCs w:val="16"/>
              </w:rPr>
              <w:t>h</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93,79</w:t>
            </w:r>
            <w:r>
              <w:rPr>
                <w:sz w:val="16"/>
                <w:szCs w:val="16"/>
              </w:rPr>
              <w:t>1</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146,74</w:t>
            </w:r>
            <w:r>
              <w:rPr>
                <w:sz w:val="16"/>
                <w:szCs w:val="16"/>
              </w:rPr>
              <w:t>1</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Accounts receivable—ne</w:t>
            </w:r>
            <w:r>
              <w:rPr>
                <w:sz w:val="16"/>
                <w:szCs w:val="16"/>
              </w:rPr>
              <w:t>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81,65</w:t>
            </w:r>
            <w:r>
              <w:rPr>
                <w:sz w:val="16"/>
                <w:szCs w:val="16"/>
              </w:rPr>
              <w:t>0</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98,51</w:t>
            </w:r>
            <w:r>
              <w:rPr>
                <w:sz w:val="16"/>
                <w:szCs w:val="16"/>
              </w:rPr>
              <w:t>3</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Contract asset</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51,71</w:t>
            </w:r>
            <w:r>
              <w:rPr>
                <w:sz w:val="16"/>
                <w:szCs w:val="16"/>
              </w:rPr>
              <w:t>6</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40,13</w:t>
            </w:r>
            <w:r>
              <w:rPr>
                <w:sz w:val="16"/>
                <w:szCs w:val="16"/>
              </w:rPr>
              <w:t>9</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Prepaid and other current asset</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11,70</w:t>
            </w:r>
            <w:r>
              <w:rPr>
                <w:sz w:val="16"/>
                <w:szCs w:val="16"/>
              </w:rPr>
              <w:t>1</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8,46</w:t>
            </w:r>
            <w:r>
              <w:rPr>
                <w:sz w:val="16"/>
                <w:szCs w:val="16"/>
              </w:rPr>
              <w:t>5</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400"/>
              <w:rPr>
                <w:sz w:val="16"/>
                <w:szCs w:val="16"/>
              </w:rPr>
            </w:pPr>
            <w:r>
              <w:rPr>
                <w:sz w:val="16"/>
                <w:szCs w:val="16"/>
              </w:rPr>
              <w:t>Total current asset</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238,85</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293,85</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16"/>
                <w:szCs w:val="16"/>
              </w:rPr>
            </w:pPr>
            <w:r>
              <w:rPr>
                <w:sz w:val="16"/>
                <w:szCs w:val="16"/>
              </w:rPr>
              <w:t>NON-CURRENT ASSETS</w:t>
            </w:r>
            <w:r>
              <w:rPr>
                <w:sz w:val="16"/>
                <w:szCs w:val="16"/>
              </w:rPr>
              <w: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Property and equipment—ne</w:t>
            </w:r>
            <w:r>
              <w:rPr>
                <w:sz w:val="16"/>
                <w:szCs w:val="16"/>
              </w:rPr>
              <w:t>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32,48</w:t>
            </w:r>
            <w:r>
              <w:rPr>
                <w:sz w:val="16"/>
                <w:szCs w:val="16"/>
              </w:rPr>
              <w:t>2</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31,52</w:t>
            </w:r>
            <w:r>
              <w:rPr>
                <w:sz w:val="16"/>
                <w:szCs w:val="16"/>
              </w:rPr>
              <w:t>1</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Operating lease right-of-use asset—ne</w:t>
            </w:r>
            <w:r>
              <w:rPr>
                <w:sz w:val="16"/>
                <w:szCs w:val="16"/>
              </w:rPr>
              <w:t>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30,12</w:t>
            </w:r>
            <w:r>
              <w:rPr>
                <w:sz w:val="16"/>
                <w:szCs w:val="16"/>
              </w:rPr>
              <w:t>9</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23,53</w:t>
            </w:r>
            <w:r>
              <w:rPr>
                <w:sz w:val="16"/>
                <w:szCs w:val="16"/>
              </w:rPr>
              <w:t>2</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Finance lease right-of-use asset—ne</w:t>
            </w:r>
            <w:r>
              <w:rPr>
                <w:sz w:val="16"/>
                <w:szCs w:val="16"/>
              </w:rPr>
              <w:t>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8,49</w:t>
            </w:r>
            <w:r>
              <w:rPr>
                <w:sz w:val="16"/>
                <w:szCs w:val="16"/>
              </w:rPr>
              <w:t>3</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8,94</w:t>
            </w:r>
            <w:r>
              <w:rPr>
                <w:sz w:val="16"/>
                <w:szCs w:val="16"/>
              </w:rPr>
              <w:t>4</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Goodwil</w:t>
            </w:r>
            <w:r>
              <w:rPr>
                <w:sz w:val="16"/>
                <w:szCs w:val="16"/>
              </w:rPr>
              <w:t>l</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316,17</w:t>
            </w:r>
            <w:r>
              <w:rPr>
                <w:sz w:val="16"/>
                <w:szCs w:val="16"/>
              </w:rPr>
              <w:t>3</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311,94</w:t>
            </w:r>
            <w:r>
              <w:rPr>
                <w:sz w:val="16"/>
                <w:szCs w:val="16"/>
              </w:rPr>
              <w:t>4</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Other intangible assets—ne</w:t>
            </w:r>
            <w:r>
              <w:rPr>
                <w:sz w:val="16"/>
                <w:szCs w:val="16"/>
              </w:rPr>
              <w:t>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159,42</w:t>
            </w:r>
            <w:r>
              <w:rPr>
                <w:sz w:val="16"/>
                <w:szCs w:val="16"/>
              </w:rPr>
              <w:t>5</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160,99</w:t>
            </w:r>
            <w:r>
              <w:rPr>
                <w:sz w:val="16"/>
                <w:szCs w:val="16"/>
              </w:rPr>
              <w:t>7</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Other asset</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4,68</w:t>
            </w:r>
            <w:r>
              <w:rPr>
                <w:sz w:val="16"/>
                <w:szCs w:val="16"/>
              </w:rPr>
              <w:t>5</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2,29</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16"/>
                <w:szCs w:val="16"/>
              </w:rPr>
            </w:pPr>
            <w:r>
              <w:rPr>
                <w:sz w:val="16"/>
                <w:szCs w:val="16"/>
              </w:rPr>
              <w:t>TOTAL ASSET</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790,24</w:t>
            </w:r>
            <w:r>
              <w:rPr>
                <w:sz w:val="16"/>
                <w:szCs w:val="16"/>
              </w:rPr>
              <w:t>5</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833,09</w:t>
            </w:r>
            <w:r>
              <w:rPr>
                <w:sz w:val="16"/>
                <w:szCs w:val="16"/>
              </w:rPr>
              <w:t>4</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16"/>
                <w:szCs w:val="16"/>
              </w:rPr>
            </w:pPr>
            <w:r>
              <w:rPr>
                <w:b/>
                <w:bCs/>
                <w:sz w:val="16"/>
                <w:szCs w:val="16"/>
              </w:rPr>
              <w:t>LIABILITIES, CONVERTIBLE AND REDEEMABLE SERIES A-2 PREFERRED STOCK AND</w:t>
            </w:r>
            <w:r>
              <w:rPr>
                <w:b/>
                <w:bCs/>
                <w:sz w:val="16"/>
                <w:szCs w:val="16"/>
              </w:rPr>
              <w:br/>
              <w:t>   STOCKHOLDERS’ EQUIT</w:t>
            </w:r>
            <w:r>
              <w:rPr>
                <w:b/>
                <w:bCs/>
                <w:sz w:val="16"/>
                <w:szCs w:val="16"/>
              </w:rPr>
              <w:t>Y</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16"/>
                <w:szCs w:val="16"/>
              </w:rPr>
            </w:pPr>
            <w:r>
              <w:rPr>
                <w:sz w:val="16"/>
                <w:szCs w:val="16"/>
              </w:rPr>
              <w:t>CURRENT LIABILITIES</w:t>
            </w:r>
            <w:r>
              <w:rPr>
                <w:sz w:val="16"/>
                <w:szCs w:val="16"/>
              </w:rPr>
              <w: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Accounts payable and other accrued liabilitie</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58,99</w:t>
            </w:r>
            <w:r>
              <w:rPr>
                <w:sz w:val="16"/>
                <w:szCs w:val="16"/>
              </w:rPr>
              <w:t>2</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68,93</w:t>
            </w:r>
            <w:r>
              <w:rPr>
                <w:sz w:val="16"/>
                <w:szCs w:val="16"/>
              </w:rPr>
              <w:t>6</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Accrued payroll and benefit</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18,67</w:t>
            </w:r>
            <w:r>
              <w:rPr>
                <w:sz w:val="16"/>
                <w:szCs w:val="16"/>
              </w:rPr>
              <w:t>9</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25,97</w:t>
            </w:r>
            <w:r>
              <w:rPr>
                <w:sz w:val="16"/>
                <w:szCs w:val="16"/>
              </w:rPr>
              <w:t>1</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Business acquisitions contingent consideration, curren</w:t>
            </w:r>
            <w:r>
              <w:rPr>
                <w:sz w:val="16"/>
                <w:szCs w:val="16"/>
              </w:rPr>
              <w:t>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1,42</w:t>
            </w:r>
            <w:r>
              <w:rPr>
                <w:sz w:val="16"/>
                <w:szCs w:val="16"/>
              </w:rPr>
              <w:t>9</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31,45</w:t>
            </w:r>
            <w:r>
              <w:rPr>
                <w:sz w:val="16"/>
                <w:szCs w:val="16"/>
              </w:rPr>
              <w:t>0</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Current portion of operating lease liabilitie</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8,36</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6,88</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Current portion of finance lease liabilitie</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3,47</w:t>
            </w:r>
            <w:r>
              <w:rPr>
                <w:sz w:val="16"/>
                <w:szCs w:val="16"/>
              </w:rPr>
              <w:t>7</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3,51</w:t>
            </w:r>
            <w:r>
              <w:rPr>
                <w:sz w:val="16"/>
                <w:szCs w:val="16"/>
              </w:rPr>
              <w:t>2</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Current portion of long-term deb</w:t>
            </w:r>
            <w:r>
              <w:rPr>
                <w:sz w:val="16"/>
                <w:szCs w:val="16"/>
              </w:rPr>
              <w:t>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8,75</w:t>
            </w:r>
            <w:r>
              <w:rPr>
                <w:sz w:val="16"/>
                <w:szCs w:val="16"/>
              </w:rPr>
              <w:t>0</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10,93</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400"/>
              <w:rPr>
                <w:sz w:val="16"/>
                <w:szCs w:val="16"/>
              </w:rPr>
            </w:pPr>
            <w:r>
              <w:rPr>
                <w:sz w:val="16"/>
                <w:szCs w:val="16"/>
              </w:rPr>
              <w:t>Total current liabilitie</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99,69</w:t>
            </w:r>
            <w:r>
              <w:rPr>
                <w:sz w:val="16"/>
                <w:szCs w:val="16"/>
              </w:rPr>
              <w:t>5</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147,69</w:t>
            </w:r>
            <w:r>
              <w:rPr>
                <w:sz w:val="16"/>
                <w:szCs w:val="16"/>
              </w:rPr>
              <w:t>5</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16"/>
                <w:szCs w:val="16"/>
              </w:rPr>
            </w:pPr>
            <w:r>
              <w:rPr>
                <w:sz w:val="16"/>
                <w:szCs w:val="16"/>
              </w:rPr>
              <w:t>NON-CURRENT LIABILITIES</w:t>
            </w:r>
            <w:r>
              <w:rPr>
                <w:sz w:val="16"/>
                <w:szCs w:val="16"/>
              </w:rPr>
              <w: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Business acquisitions contingent consideration, long-ter</w:t>
            </w:r>
            <w:r>
              <w:rPr>
                <w:sz w:val="16"/>
                <w:szCs w:val="16"/>
              </w:rPr>
              <w:t>m</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5,56</w:t>
            </w:r>
            <w:r>
              <w:rPr>
                <w:sz w:val="16"/>
                <w:szCs w:val="16"/>
              </w:rPr>
              <w:t>6</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4,35</w:t>
            </w:r>
            <w:r>
              <w:rPr>
                <w:sz w:val="16"/>
                <w:szCs w:val="16"/>
              </w:rPr>
              <w:t>0</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Other non-current liabilitie</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9</w:t>
            </w:r>
            <w:r>
              <w:rPr>
                <w:sz w:val="16"/>
                <w:szCs w:val="16"/>
              </w:rPr>
              <w:t>0</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10</w:t>
            </w:r>
            <w:r>
              <w:rPr>
                <w:sz w:val="16"/>
                <w:szCs w:val="16"/>
              </w:rPr>
              <w:t>0</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Deferred tax liabilities—ne</w:t>
            </w:r>
            <w:r>
              <w:rPr>
                <w:sz w:val="16"/>
                <w:szCs w:val="16"/>
              </w:rPr>
              <w:t>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5,30</w:t>
            </w:r>
            <w:r>
              <w:rPr>
                <w:sz w:val="16"/>
                <w:szCs w:val="16"/>
              </w:rPr>
              <w:t>4</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4,00</w:t>
            </w:r>
            <w:r>
              <w:rPr>
                <w:sz w:val="16"/>
                <w:szCs w:val="16"/>
              </w:rPr>
              <w:t>6</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Conversion optio</w:t>
            </w:r>
            <w:r>
              <w:rPr>
                <w:sz w:val="16"/>
                <w:szCs w:val="16"/>
              </w:rPr>
              <w:t>n</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23,63</w:t>
            </w:r>
            <w:r>
              <w:rPr>
                <w:sz w:val="16"/>
                <w:szCs w:val="16"/>
              </w:rPr>
              <w:t>7</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23,08</w:t>
            </w:r>
            <w:r>
              <w:rPr>
                <w:sz w:val="16"/>
                <w:szCs w:val="16"/>
              </w:rPr>
              <w:t>1</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Operating lease liability—net of current portio</w:t>
            </w:r>
            <w:r>
              <w:rPr>
                <w:sz w:val="16"/>
                <w:szCs w:val="16"/>
              </w:rPr>
              <w:t>n</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22,12</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16,85</w:t>
            </w:r>
            <w:r>
              <w:rPr>
                <w:sz w:val="16"/>
                <w:szCs w:val="16"/>
              </w:rPr>
              <w:t>9</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Finance lease liability—net of current portio</w:t>
            </w:r>
            <w:r>
              <w:rPr>
                <w:sz w:val="16"/>
                <w:szCs w:val="16"/>
              </w:rPr>
              <w:t>n</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5,37</w:t>
            </w:r>
            <w:r>
              <w:rPr>
                <w:sz w:val="16"/>
                <w:szCs w:val="16"/>
              </w:rPr>
              <w:t>2</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5,75</w:t>
            </w:r>
            <w:r>
              <w:rPr>
                <w:sz w:val="16"/>
                <w:szCs w:val="16"/>
              </w:rPr>
              <w:t>6</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Long-term debt—</w:t>
            </w:r>
            <w:r>
              <w:rPr>
                <w:sz w:val="16"/>
                <w:szCs w:val="16"/>
              </w:rPr>
              <w:t>net of deferred financing fee</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159,76</w:t>
            </w:r>
            <w:r>
              <w:rPr>
                <w:sz w:val="16"/>
                <w:szCs w:val="16"/>
              </w:rPr>
              <w:t>1</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161,81</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400"/>
              <w:rPr>
                <w:sz w:val="16"/>
                <w:szCs w:val="16"/>
              </w:rPr>
            </w:pPr>
            <w:r>
              <w:rPr>
                <w:sz w:val="16"/>
                <w:szCs w:val="16"/>
              </w:rPr>
              <w:t>Total liabilitie</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321,55</w:t>
            </w:r>
            <w:r>
              <w:rPr>
                <w:sz w:val="16"/>
                <w:szCs w:val="16"/>
              </w:rPr>
              <w:t>3</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363,66</w:t>
            </w:r>
            <w:r>
              <w:rPr>
                <w:sz w:val="16"/>
                <w:szCs w:val="16"/>
              </w:rPr>
              <w:t>5</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20"/>
                <w:szCs w:val="20"/>
              </w:rPr>
            </w:pPr>
            <w:r>
              <w:rPr>
                <w:sz w:val="16"/>
                <w:szCs w:val="16"/>
              </w:rPr>
              <w:t>COMMITMENTS AND CONTINGENCIE</w:t>
            </w:r>
            <w:r>
              <w:rPr>
                <w:sz w:val="16"/>
                <w:szCs w:val="16"/>
              </w:rPr>
              <w:t>S</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20"/>
                <w:szCs w:val="20"/>
              </w:rPr>
            </w:pPr>
            <w:r>
              <w:rPr>
                <w:sz w:val="16"/>
                <w:szCs w:val="16"/>
              </w:rPr>
              <w:t xml:space="preserve">CONVERTIBLE AND REDEEMABLE SERIES A-2 PREFERRED STOCK </w:t>
            </w:r>
            <w:r>
              <w:rPr>
                <w:sz w:val="16"/>
                <w:szCs w:val="16"/>
              </w:rPr>
              <w:t>$</w:t>
            </w:r>
            <w:r>
              <w:rPr>
                <w:sz w:val="16"/>
                <w:szCs w:val="16"/>
              </w:rPr>
              <w:t>0.000</w:t>
            </w:r>
            <w:r>
              <w:rPr>
                <w:sz w:val="16"/>
                <w:szCs w:val="16"/>
              </w:rPr>
              <w:t>1</w:t>
            </w:r>
            <w:r>
              <w:rPr>
                <w:sz w:val="16"/>
                <w:szCs w:val="16"/>
              </w:rPr>
              <w:br/>
              <w:t>   PAR VALUE</w:t>
            </w:r>
            <w:r>
              <w:rPr>
                <w:sz w:val="16"/>
                <w:szCs w:val="16"/>
              </w:rPr>
              <w: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20"/>
                <w:szCs w:val="20"/>
              </w:rPr>
            </w:pPr>
            <w:r>
              <w:rPr>
                <w:sz w:val="16"/>
                <w:szCs w:val="16"/>
              </w:rPr>
              <w:t>Authorized, issued and outstanding shares:</w:t>
            </w:r>
            <w:r>
              <w:rPr>
                <w:sz w:val="16"/>
                <w:szCs w:val="16"/>
              </w:rPr>
              <w:t xml:space="preserve"> </w:t>
            </w:r>
            <w:r>
              <w:rPr>
                <w:sz w:val="16"/>
                <w:szCs w:val="16"/>
              </w:rPr>
              <w:t>17,50</w:t>
            </w:r>
            <w:r>
              <w:rPr>
                <w:sz w:val="16"/>
                <w:szCs w:val="16"/>
              </w:rPr>
              <w:t>0</w:t>
            </w:r>
            <w:r>
              <w:rPr>
                <w:sz w:val="16"/>
                <w:szCs w:val="16"/>
              </w:rPr>
              <w:t xml:space="preserve"> at March 31, 2022 and </w:t>
            </w:r>
            <w:r>
              <w:rPr>
                <w:sz w:val="16"/>
                <w:szCs w:val="16"/>
              </w:rPr>
              <w:br/>
              <w:t xml:space="preserve">   December 31, 2021; aggregate liquidation preference of </w:t>
            </w:r>
            <w:r>
              <w:rPr>
                <w:sz w:val="16"/>
                <w:szCs w:val="16"/>
              </w:rPr>
              <w:t>$</w:t>
            </w:r>
            <w:r>
              <w:rPr>
                <w:sz w:val="16"/>
                <w:szCs w:val="16"/>
              </w:rPr>
              <w:t>182.</w:t>
            </w:r>
            <w:r>
              <w:rPr>
                <w:sz w:val="16"/>
                <w:szCs w:val="16"/>
              </w:rPr>
              <w:t>2</w:t>
            </w:r>
            <w:r>
              <w:rPr>
                <w:sz w:val="16"/>
                <w:szCs w:val="16"/>
              </w:rPr>
              <w:t> million at March 31, 2022 a</w:t>
            </w:r>
            <w:r>
              <w:rPr>
                <w:sz w:val="16"/>
                <w:szCs w:val="16"/>
              </w:rPr>
              <w:t xml:space="preserve">nd </w:t>
            </w:r>
            <w:r>
              <w:rPr>
                <w:sz w:val="16"/>
                <w:szCs w:val="16"/>
              </w:rPr>
              <w:br/>
              <w:t>   December 31, 202</w:t>
            </w:r>
            <w:r>
              <w:rPr>
                <w:sz w:val="16"/>
                <w:szCs w:val="16"/>
              </w:rPr>
              <w:t>1</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152,92</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152,92</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16"/>
                <w:szCs w:val="16"/>
              </w:rPr>
            </w:pPr>
            <w:r>
              <w:rPr>
                <w:sz w:val="16"/>
                <w:szCs w:val="16"/>
              </w:rPr>
              <w:t>STOCKHOLDERS’ EQUITY</w:t>
            </w:r>
            <w:r>
              <w:rPr>
                <w:sz w:val="16"/>
                <w:szCs w:val="16"/>
              </w:rPr>
              <w: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20"/>
                <w:szCs w:val="20"/>
              </w:rPr>
            </w:pPr>
            <w:r>
              <w:rPr>
                <w:sz w:val="16"/>
                <w:szCs w:val="16"/>
              </w:rPr>
              <w:t xml:space="preserve">Common stock, </w:t>
            </w:r>
            <w:r>
              <w:rPr>
                <w:sz w:val="16"/>
                <w:szCs w:val="16"/>
              </w:rPr>
              <w:t>$</w:t>
            </w:r>
            <w:r>
              <w:rPr>
                <w:sz w:val="16"/>
                <w:szCs w:val="16"/>
              </w:rPr>
              <w:t>0.00000</w:t>
            </w:r>
            <w:r>
              <w:rPr>
                <w:sz w:val="16"/>
                <w:szCs w:val="16"/>
              </w:rPr>
              <w:t>4</w:t>
            </w:r>
            <w:r>
              <w:rPr>
                <w:sz w:val="16"/>
                <w:szCs w:val="16"/>
              </w:rPr>
              <w:t> par value; authorized shares:</w:t>
            </w:r>
            <w:r>
              <w:rPr>
                <w:sz w:val="16"/>
                <w:szCs w:val="16"/>
              </w:rPr>
              <w:t xml:space="preserve"> </w:t>
            </w:r>
            <w:r>
              <w:rPr>
                <w:sz w:val="16"/>
                <w:szCs w:val="16"/>
              </w:rPr>
              <w:t>190,000,00</w:t>
            </w:r>
            <w:r>
              <w:rPr>
                <w:sz w:val="16"/>
                <w:szCs w:val="16"/>
              </w:rPr>
              <w:t>0</w:t>
            </w:r>
            <w:r>
              <w:rPr>
                <w:sz w:val="16"/>
                <w:szCs w:val="16"/>
              </w:rPr>
              <w:t xml:space="preserve"> at </w:t>
            </w:r>
            <w:r>
              <w:rPr>
                <w:sz w:val="16"/>
                <w:szCs w:val="16"/>
              </w:rPr>
              <w:br/>
              <w:t>   </w:t>
            </w:r>
            <w:r>
              <w:rPr>
                <w:sz w:val="16"/>
                <w:szCs w:val="16"/>
              </w:rPr>
              <w:t>March 31, 2022 and December 31, 2021; issued and outstanding shares:</w:t>
            </w:r>
            <w:r>
              <w:rPr>
                <w:sz w:val="16"/>
                <w:szCs w:val="16"/>
              </w:rPr>
              <w:t xml:space="preserve"> </w:t>
            </w:r>
            <w:r>
              <w:rPr>
                <w:sz w:val="16"/>
                <w:szCs w:val="16"/>
              </w:rPr>
              <w:t>29,675,81</w:t>
            </w:r>
            <w:r>
              <w:rPr>
                <w:sz w:val="16"/>
                <w:szCs w:val="16"/>
              </w:rPr>
              <w:t>7</w:t>
            </w:r>
            <w:r>
              <w:rPr>
                <w:sz w:val="16"/>
                <w:szCs w:val="16"/>
              </w:rPr>
              <w:t> and</w:t>
            </w:r>
            <w:r>
              <w:rPr>
                <w:sz w:val="16"/>
                <w:szCs w:val="16"/>
              </w:rPr>
              <w:br/>
              <w:t>  </w:t>
            </w:r>
            <w:r>
              <w:rPr>
                <w:sz w:val="16"/>
                <w:szCs w:val="16"/>
              </w:rPr>
              <w:t> </w:t>
            </w:r>
            <w:r>
              <w:rPr>
                <w:sz w:val="16"/>
                <w:szCs w:val="16"/>
              </w:rPr>
              <w:t>29,619,92</w:t>
            </w:r>
            <w:r>
              <w:rPr>
                <w:sz w:val="16"/>
                <w:szCs w:val="16"/>
              </w:rPr>
              <w:t>1</w:t>
            </w:r>
            <w:r>
              <w:rPr>
                <w:sz w:val="16"/>
                <w:szCs w:val="16"/>
              </w:rPr>
              <w:t> at March 31, 2022 and December 31, 2021, respectivel</w:t>
            </w:r>
            <w:r>
              <w:rPr>
                <w:sz w:val="16"/>
                <w:szCs w:val="16"/>
              </w:rPr>
              <w:t>y</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Additional paid-in-capita</w:t>
            </w:r>
            <w:r>
              <w:rPr>
                <w:sz w:val="16"/>
                <w:szCs w:val="16"/>
              </w:rPr>
              <w:t>l</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470,89</w:t>
            </w:r>
            <w:r>
              <w:rPr>
                <w:sz w:val="16"/>
                <w:szCs w:val="16"/>
              </w:rPr>
              <w:t>7</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464,14</w:t>
            </w:r>
            <w:r>
              <w:rPr>
                <w:sz w:val="16"/>
                <w:szCs w:val="16"/>
              </w:rPr>
              <w:t>3</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Accumulated defici</w:t>
            </w:r>
            <w:r>
              <w:rPr>
                <w:sz w:val="16"/>
                <w:szCs w:val="16"/>
              </w:rPr>
              <w:t>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w:t>
            </w:r>
            <w:r>
              <w:rPr>
                <w:sz w:val="16"/>
                <w:szCs w:val="16"/>
              </w:rPr>
              <w:t>155,21</w:t>
            </w:r>
            <w:r>
              <w:rPr>
                <w:sz w:val="16"/>
                <w:szCs w:val="16"/>
              </w:rPr>
              <w:t>4</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w:t>
            </w:r>
            <w:r>
              <w:rPr>
                <w:sz w:val="16"/>
                <w:szCs w:val="16"/>
              </w:rPr>
              <w:t>147,67</w:t>
            </w:r>
            <w:r>
              <w:rPr>
                <w:sz w:val="16"/>
                <w:szCs w:val="16"/>
              </w:rPr>
              <w:t>8</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2D33E3">
            <w:pPr>
              <w:pStyle w:val="a3"/>
              <w:spacing w:before="0" w:beforeAutospacing="0" w:after="0" w:afterAutospacing="0"/>
              <w:ind w:left="200"/>
              <w:rPr>
                <w:sz w:val="16"/>
                <w:szCs w:val="16"/>
              </w:rPr>
            </w:pPr>
            <w:r>
              <w:rPr>
                <w:sz w:val="16"/>
                <w:szCs w:val="16"/>
              </w:rPr>
              <w:t>Accumulated other comprehensive incom</w:t>
            </w:r>
            <w:r>
              <w:rPr>
                <w:sz w:val="16"/>
                <w:szCs w:val="16"/>
              </w:rPr>
              <w:t>e</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8</w:t>
            </w:r>
            <w:r>
              <w:rPr>
                <w:sz w:val="16"/>
                <w:szCs w:val="16"/>
              </w:rPr>
              <w:t>1</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w:t>
            </w:r>
            <w:r>
              <w:rPr>
                <w:sz w:val="16"/>
                <w:szCs w:val="16"/>
              </w:rPr>
              <w:t>6</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ind w:left="400"/>
              <w:rPr>
                <w:sz w:val="16"/>
                <w:szCs w:val="16"/>
              </w:rPr>
            </w:pPr>
            <w:r>
              <w:rPr>
                <w:sz w:val="16"/>
                <w:szCs w:val="16"/>
              </w:rPr>
              <w:t>Total stockholders’ equit</w:t>
            </w:r>
            <w:r>
              <w:rPr>
                <w:sz w:val="16"/>
                <w:szCs w:val="16"/>
              </w:rPr>
              <w:t>y</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315,76</w:t>
            </w:r>
            <w:r>
              <w:rPr>
                <w:sz w:val="16"/>
                <w:szCs w:val="16"/>
              </w:rPr>
              <w:t>4</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316,50</w:t>
            </w:r>
            <w:r>
              <w:rPr>
                <w:sz w:val="16"/>
                <w:szCs w:val="16"/>
              </w:rPr>
              <w:t>1</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D33E3">
            <w:pPr>
              <w:pStyle w:val="a3"/>
              <w:spacing w:before="0" w:beforeAutospacing="0" w:after="0" w:afterAutospacing="0"/>
              <w:rPr>
                <w:sz w:val="16"/>
                <w:szCs w:val="16"/>
              </w:rPr>
            </w:pPr>
            <w:r>
              <w:rPr>
                <w:sz w:val="16"/>
                <w:szCs w:val="16"/>
              </w:rPr>
              <w:t xml:space="preserve">TOTAL LIABILITIES, CONVERTIBLE AND REDEEMABLE SERIES A-2 PREFERRED STOCK </w:t>
            </w:r>
            <w:r>
              <w:rPr>
                <w:sz w:val="16"/>
                <w:szCs w:val="16"/>
              </w:rPr>
              <w:br/>
              <w:t>   AND STOCKHOLDERS’ EQUIT</w:t>
            </w:r>
            <w:r>
              <w:rPr>
                <w:sz w:val="16"/>
                <w:szCs w:val="16"/>
              </w:rPr>
              <w:t>Y</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790,24</w:t>
            </w:r>
            <w:r>
              <w:rPr>
                <w:sz w:val="16"/>
                <w:szCs w:val="16"/>
              </w:rPr>
              <w:t>5</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6"/>
                <w:szCs w:val="16"/>
              </w:rPr>
              <w:t>833,09</w:t>
            </w:r>
            <w:r>
              <w:rPr>
                <w:sz w:val="16"/>
                <w:szCs w:val="16"/>
              </w:rPr>
              <w:t>4</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r>
    </w:tbl>
    <w:p w:rsidR="00000000" w:rsidRDefault="002D33E3">
      <w:pPr>
        <w:pStyle w:val="a3"/>
        <w:spacing w:before="0" w:beforeAutospacing="0" w:after="0" w:afterAutospacing="0"/>
        <w:jc w:val="center"/>
        <w:rPr>
          <w:sz w:val="20"/>
          <w:szCs w:val="20"/>
        </w:rPr>
      </w:pPr>
      <w:r>
        <w:rPr>
          <w:sz w:val="20"/>
          <w:szCs w:val="20"/>
        </w:rPr>
        <w:t> </w:t>
      </w:r>
    </w:p>
    <w:p w:rsidR="00000000" w:rsidRDefault="002D33E3">
      <w:pPr>
        <w:pStyle w:val="a3"/>
        <w:spacing w:before="0" w:beforeAutospacing="0" w:after="0" w:afterAutospacing="0"/>
        <w:jc w:val="center"/>
        <w:rPr>
          <w:sz w:val="20"/>
          <w:szCs w:val="20"/>
        </w:rPr>
      </w:pPr>
      <w:r>
        <w:rPr>
          <w:sz w:val="20"/>
          <w:szCs w:val="20"/>
        </w:rPr>
        <w:lastRenderedPageBreak/>
        <w:t>The accompanying notes are an integral part of these unaudited condensed consolidated financial statements</w:t>
      </w:r>
      <w:r>
        <w:rPr>
          <w:sz w:val="20"/>
          <w:szCs w:val="20"/>
        </w:rPr>
        <w:t>.</w:t>
      </w:r>
    </w:p>
    <w:p w:rsidR="00000000" w:rsidRDefault="002D33E3">
      <w:pPr>
        <w:pStyle w:val="a3"/>
        <w:spacing w:before="0" w:beforeAutospacing="0" w:after="0" w:afterAutospacing="0"/>
        <w:jc w:val="center"/>
        <w:rPr>
          <w:sz w:val="20"/>
          <w:szCs w:val="20"/>
        </w:rPr>
      </w:pPr>
      <w:r>
        <w:rPr>
          <w:sz w:val="20"/>
          <w:szCs w:val="20"/>
        </w:rPr>
        <w:t>1</w:t>
      </w:r>
    </w:p>
    <w:p w:rsidR="00000000" w:rsidRDefault="002D33E3">
      <w:pPr>
        <w:rPr>
          <w:rFonts w:eastAsia="Times New Roman"/>
        </w:rPr>
      </w:pPr>
      <w:r>
        <w:rPr>
          <w:rFonts w:eastAsia="Times New Roman"/>
        </w:rPr>
        <w:pict>
          <v:rect id="_x0000_i1027"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2D33E3">
      <w:pPr>
        <w:pStyle w:val="a3"/>
        <w:spacing w:before="0" w:beforeAutospacing="0" w:after="0" w:afterAutospacing="0"/>
        <w:jc w:val="center"/>
        <w:rPr>
          <w:sz w:val="20"/>
          <w:szCs w:val="20"/>
        </w:rPr>
      </w:pPr>
      <w:r>
        <w:rPr>
          <w:b/>
          <w:bCs/>
          <w:sz w:val="20"/>
          <w:szCs w:val="20"/>
        </w:rPr>
        <w:t>UNAUDITED CONDENSED CONSOLIDAT</w:t>
      </w:r>
      <w:r>
        <w:rPr>
          <w:b/>
          <w:bCs/>
          <w:sz w:val="20"/>
          <w:szCs w:val="20"/>
        </w:rPr>
        <w:t>E</w:t>
      </w:r>
      <w:r>
        <w:rPr>
          <w:b/>
          <w:bCs/>
          <w:sz w:val="20"/>
          <w:szCs w:val="20"/>
        </w:rPr>
        <w:t>D STATEMENTS OF OPERATIONS AN</w:t>
      </w:r>
      <w:r>
        <w:rPr>
          <w:b/>
          <w:bCs/>
          <w:sz w:val="20"/>
          <w:szCs w:val="20"/>
        </w:rPr>
        <w:t>D</w:t>
      </w:r>
    </w:p>
    <w:p w:rsidR="00000000" w:rsidRDefault="002D33E3">
      <w:pPr>
        <w:pStyle w:val="a3"/>
        <w:spacing w:before="0" w:beforeAutospacing="0" w:after="0" w:afterAutospacing="0"/>
        <w:jc w:val="center"/>
        <w:rPr>
          <w:sz w:val="20"/>
          <w:szCs w:val="20"/>
        </w:rPr>
      </w:pPr>
      <w:r>
        <w:rPr>
          <w:b/>
          <w:bCs/>
          <w:sz w:val="20"/>
          <w:szCs w:val="20"/>
        </w:rPr>
        <w:t>COMPREHENSIVE LOS</w:t>
      </w:r>
      <w:r>
        <w:rPr>
          <w:b/>
          <w:bCs/>
          <w:sz w:val="20"/>
          <w:szCs w:val="20"/>
        </w:rPr>
        <w:t>S</w:t>
      </w:r>
    </w:p>
    <w:p w:rsidR="00000000" w:rsidRDefault="002D33E3">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rsidR="00000000" w:rsidRDefault="002D33E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5"/>
        <w:gridCol w:w="131"/>
        <w:gridCol w:w="160"/>
        <w:gridCol w:w="1050"/>
        <w:gridCol w:w="127"/>
        <w:gridCol w:w="131"/>
        <w:gridCol w:w="160"/>
        <w:gridCol w:w="1050"/>
        <w:gridCol w:w="142"/>
      </w:tblGrid>
      <w:tr w:rsidR="00000000">
        <w:trPr>
          <w:tblCellSpacing w:w="15" w:type="dxa"/>
        </w:trPr>
        <w:tc>
          <w:tcPr>
            <w:tcW w:w="3331" w:type="pct"/>
            <w:vAlign w:val="center"/>
            <w:hideMark/>
          </w:tcPr>
          <w:p w:rsidR="00000000" w:rsidRDefault="002D33E3">
            <w:pPr>
              <w:rPr>
                <w:sz w:val="20"/>
                <w:szCs w:val="20"/>
              </w:rPr>
            </w:pPr>
          </w:p>
        </w:tc>
        <w:tc>
          <w:tcPr>
            <w:tcW w:w="80" w:type="pct"/>
            <w:vAlign w:val="center"/>
            <w:hideMark/>
          </w:tcPr>
          <w:p w:rsidR="00000000" w:rsidRDefault="002D33E3">
            <w:pPr>
              <w:rPr>
                <w:rFonts w:eastAsia="Times New Roman"/>
                <w:sz w:val="20"/>
                <w:szCs w:val="20"/>
              </w:rPr>
            </w:pPr>
          </w:p>
        </w:tc>
        <w:tc>
          <w:tcPr>
            <w:tcW w:w="60" w:type="pct"/>
            <w:vAlign w:val="center"/>
            <w:hideMark/>
          </w:tcPr>
          <w:p w:rsidR="00000000" w:rsidRDefault="002D33E3">
            <w:pPr>
              <w:rPr>
                <w:rFonts w:eastAsia="Times New Roman"/>
                <w:sz w:val="20"/>
                <w:szCs w:val="20"/>
              </w:rPr>
            </w:pPr>
          </w:p>
        </w:tc>
        <w:tc>
          <w:tcPr>
            <w:tcW w:w="653" w:type="pct"/>
            <w:vAlign w:val="center"/>
            <w:hideMark/>
          </w:tcPr>
          <w:p w:rsidR="00000000" w:rsidRDefault="002D33E3">
            <w:pPr>
              <w:rPr>
                <w:rFonts w:eastAsia="Times New Roman"/>
                <w:sz w:val="20"/>
                <w:szCs w:val="20"/>
              </w:rPr>
            </w:pPr>
          </w:p>
        </w:tc>
        <w:tc>
          <w:tcPr>
            <w:tcW w:w="39" w:type="pct"/>
            <w:vAlign w:val="center"/>
            <w:hideMark/>
          </w:tcPr>
          <w:p w:rsidR="00000000" w:rsidRDefault="002D33E3">
            <w:pPr>
              <w:rPr>
                <w:rFonts w:eastAsia="Times New Roman"/>
                <w:sz w:val="20"/>
                <w:szCs w:val="20"/>
              </w:rPr>
            </w:pPr>
          </w:p>
        </w:tc>
        <w:tc>
          <w:tcPr>
            <w:tcW w:w="80" w:type="pct"/>
            <w:vAlign w:val="center"/>
            <w:hideMark/>
          </w:tcPr>
          <w:p w:rsidR="00000000" w:rsidRDefault="002D33E3">
            <w:pPr>
              <w:rPr>
                <w:rFonts w:eastAsia="Times New Roman"/>
                <w:sz w:val="20"/>
                <w:szCs w:val="20"/>
              </w:rPr>
            </w:pPr>
          </w:p>
        </w:tc>
        <w:tc>
          <w:tcPr>
            <w:tcW w:w="60" w:type="pct"/>
            <w:vAlign w:val="center"/>
            <w:hideMark/>
          </w:tcPr>
          <w:p w:rsidR="00000000" w:rsidRDefault="002D33E3">
            <w:pPr>
              <w:rPr>
                <w:rFonts w:eastAsia="Times New Roman"/>
                <w:sz w:val="20"/>
                <w:szCs w:val="20"/>
              </w:rPr>
            </w:pPr>
          </w:p>
        </w:tc>
        <w:tc>
          <w:tcPr>
            <w:tcW w:w="653" w:type="pct"/>
            <w:vAlign w:val="center"/>
            <w:hideMark/>
          </w:tcPr>
          <w:p w:rsidR="00000000" w:rsidRDefault="002D33E3">
            <w:pPr>
              <w:rPr>
                <w:rFonts w:eastAsia="Times New Roman"/>
                <w:sz w:val="20"/>
                <w:szCs w:val="20"/>
              </w:rPr>
            </w:pPr>
          </w:p>
        </w:tc>
        <w:tc>
          <w:tcPr>
            <w:tcW w:w="39" w:type="pct"/>
            <w:vAlign w:val="center"/>
            <w:hideMark/>
          </w:tcPr>
          <w:p w:rsidR="00000000" w:rsidRDefault="002D33E3">
            <w:pPr>
              <w:rPr>
                <w:rFonts w:eastAsia="Times New Roman"/>
                <w:sz w:val="20"/>
                <w:szCs w:val="20"/>
              </w:rPr>
            </w:pPr>
          </w:p>
        </w:tc>
      </w:tr>
      <w:tr w:rsidR="00000000">
        <w:trPr>
          <w:trHeight w:val="160"/>
          <w:tblCellSpacing w:w="15" w:type="dxa"/>
        </w:trPr>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D33E3">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D33E3">
            <w:pPr>
              <w:pStyle w:val="a3"/>
              <w:spacing w:before="0" w:beforeAutospacing="0" w:after="0" w:afterAutospacing="0"/>
              <w:jc w:val="center"/>
              <w:rPr>
                <w:sz w:val="16"/>
                <w:szCs w:val="16"/>
              </w:rPr>
            </w:pPr>
            <w:r>
              <w:rPr>
                <w:b/>
                <w:bCs/>
                <w:sz w:val="16"/>
                <w:szCs w:val="16"/>
              </w:rPr>
              <w:t>March 31</w:t>
            </w:r>
            <w:r>
              <w:rPr>
                <w:b/>
                <w:bCs/>
                <w:sz w:val="16"/>
                <w:szCs w:val="16"/>
              </w:rPr>
              <w:t>,</w:t>
            </w:r>
          </w:p>
        </w:tc>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2D33E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2D33E3">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D33E3">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D33E3">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134,68</w:t>
            </w:r>
            <w:r>
              <w:rPr>
                <w:sz w:val="20"/>
                <w:szCs w:val="20"/>
              </w:rPr>
              <w:t>0</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133,81</w:t>
            </w:r>
            <w:r>
              <w:rPr>
                <w:sz w:val="20"/>
                <w:szCs w:val="20"/>
              </w:rPr>
              <w:t>7</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COST OF REVENUES (exclusive of depreciation and</w:t>
            </w:r>
            <w:r>
              <w:rPr>
                <w:sz w:val="20"/>
                <w:szCs w:val="20"/>
              </w:rPr>
              <w:br/>
              <w:t>   amortization shown below</w:t>
            </w:r>
            <w:r>
              <w:rPr>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88,38</w:t>
            </w:r>
            <w:r>
              <w:rPr>
                <w:sz w:val="20"/>
                <w:szCs w:val="20"/>
              </w:rPr>
              <w:t>6</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95,31</w:t>
            </w:r>
            <w:r>
              <w:rPr>
                <w:sz w:val="20"/>
                <w:szCs w:val="20"/>
              </w:rPr>
              <w:t>6</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SELLING, GENERAL AND ADMINISTRATIVE EXPENS</w:t>
            </w:r>
            <w:r>
              <w:rPr>
                <w:sz w:val="20"/>
                <w:szCs w:val="20"/>
              </w:rPr>
              <w:t>E</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41,80</w:t>
            </w:r>
            <w:r>
              <w:rPr>
                <w:sz w:val="20"/>
                <w:szCs w:val="20"/>
              </w:rPr>
              <w:t>7</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25,00</w:t>
            </w:r>
            <w:r>
              <w:rPr>
                <w:sz w:val="20"/>
                <w:szCs w:val="20"/>
              </w:rPr>
              <w:t>0</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 xml:space="preserve">FAIR VALUE CHANGES IN BUSINESS ACQUISITIONS </w:t>
            </w:r>
            <w:r>
              <w:rPr>
                <w:sz w:val="20"/>
                <w:szCs w:val="20"/>
              </w:rPr>
              <w:br/>
              <w:t>   CONTINGENT CONSIDERATIO</w:t>
            </w:r>
            <w:r>
              <w:rPr>
                <w:sz w:val="20"/>
                <w:szCs w:val="20"/>
              </w:rPr>
              <w:t>N</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2</w:t>
            </w:r>
            <w:r>
              <w:rPr>
                <w:sz w:val="20"/>
                <w:szCs w:val="20"/>
              </w:rPr>
              <w:t>1</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11,06</w:t>
            </w:r>
            <w:r>
              <w:rPr>
                <w:sz w:val="20"/>
                <w:szCs w:val="20"/>
              </w:rPr>
              <w:t>4</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12,14</w:t>
            </w:r>
            <w:r>
              <w:rPr>
                <w:sz w:val="20"/>
                <w:szCs w:val="20"/>
              </w:rPr>
              <w:t>4</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11,79</w:t>
            </w:r>
            <w:r>
              <w:rPr>
                <w:sz w:val="20"/>
                <w:szCs w:val="20"/>
              </w:rPr>
              <w:t>6</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7,63</w:t>
            </w:r>
            <w:r>
              <w:rPr>
                <w:sz w:val="20"/>
                <w:szCs w:val="20"/>
              </w:rPr>
              <w:t>6</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9,35</w:t>
            </w:r>
            <w:r>
              <w:rPr>
                <w:sz w:val="20"/>
                <w:szCs w:val="20"/>
              </w:rPr>
              <w:t>9</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OTHER INCOME (EXPENSE</w:t>
            </w:r>
            <w:r>
              <w:rPr>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D33E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D33E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2D33E3">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2,46</w:t>
            </w:r>
            <w:r>
              <w:rPr>
                <w:sz w:val="20"/>
                <w:szCs w:val="20"/>
              </w:rPr>
              <w:t>1</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88</w:t>
            </w:r>
            <w:r>
              <w:rPr>
                <w:sz w:val="20"/>
                <w:szCs w:val="20"/>
              </w:rPr>
              <w:t>2</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D33E3">
            <w:pPr>
              <w:pStyle w:val="a3"/>
              <w:spacing w:before="0" w:beforeAutospacing="0" w:after="0" w:afterAutospacing="0"/>
              <w:ind w:left="200"/>
              <w:rPr>
                <w:sz w:val="20"/>
                <w:szCs w:val="20"/>
              </w:rPr>
            </w:pPr>
            <w:r>
              <w:rPr>
                <w:sz w:val="20"/>
                <w:szCs w:val="20"/>
              </w:rPr>
              <w:t>Interest expense—ne</w:t>
            </w:r>
            <w:r>
              <w:rPr>
                <w:sz w:val="20"/>
                <w:szCs w:val="20"/>
              </w:rPr>
              <w:t>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1,09</w:t>
            </w:r>
            <w:r>
              <w:rPr>
                <w:sz w:val="20"/>
                <w:szCs w:val="20"/>
              </w:rPr>
              <w:t>2</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2,68</w:t>
            </w:r>
            <w:r>
              <w:rPr>
                <w:sz w:val="20"/>
                <w:szCs w:val="20"/>
              </w:rPr>
              <w:t>8</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D33E3">
            <w:pPr>
              <w:pStyle w:val="a3"/>
              <w:spacing w:before="0" w:beforeAutospacing="0" w:after="0" w:afterAutospacing="0"/>
              <w:ind w:left="400"/>
              <w:rPr>
                <w:sz w:val="20"/>
                <w:szCs w:val="20"/>
              </w:rPr>
            </w:pPr>
            <w:r>
              <w:rPr>
                <w:sz w:val="20"/>
                <w:szCs w:val="20"/>
              </w:rPr>
              <w:t>Total other income (expense)—ne</w:t>
            </w:r>
            <w:r>
              <w:rPr>
                <w:sz w:val="20"/>
                <w:szCs w:val="20"/>
              </w:rPr>
              <w:t>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1,36</w:t>
            </w:r>
            <w:r>
              <w:rPr>
                <w:sz w:val="20"/>
                <w:szCs w:val="20"/>
              </w:rPr>
              <w:t>9</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3,57</w:t>
            </w:r>
            <w:r>
              <w:rPr>
                <w:sz w:val="20"/>
                <w:szCs w:val="20"/>
              </w:rPr>
              <w:t>0</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LOSS BEFORE EXPENSE FROM</w:t>
            </w:r>
            <w:r>
              <w:rPr>
                <w:sz w:val="20"/>
                <w:szCs w:val="20"/>
              </w:rPr>
              <w:br/>
              <w:t>   INCOME TAXE</w:t>
            </w:r>
            <w:r>
              <w:rPr>
                <w:sz w:val="20"/>
                <w:szCs w:val="20"/>
              </w:rPr>
              <w:t>S</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6,26</w:t>
            </w:r>
            <w:r>
              <w:rPr>
                <w:sz w:val="20"/>
                <w:szCs w:val="20"/>
              </w:rPr>
              <w:t>7</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12,92</w:t>
            </w:r>
            <w:r>
              <w:rPr>
                <w:sz w:val="20"/>
                <w:szCs w:val="20"/>
              </w:rPr>
              <w:t>9</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INCOME TAX EXPENS</w:t>
            </w:r>
            <w:r>
              <w:rPr>
                <w:sz w:val="20"/>
                <w:szCs w:val="20"/>
              </w:rPr>
              <w:t>E</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1,26</w:t>
            </w:r>
            <w:r>
              <w:rPr>
                <w:sz w:val="20"/>
                <w:szCs w:val="20"/>
              </w:rPr>
              <w:t>9</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2</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b/>
                <w:bCs/>
                <w:sz w:val="20"/>
                <w:szCs w:val="20"/>
              </w:rPr>
              <w:t>NET LOS</w:t>
            </w:r>
            <w:r>
              <w:rPr>
                <w:b/>
                <w:bCs/>
                <w:sz w:val="20"/>
                <w:szCs w:val="20"/>
              </w:rPr>
              <w:t>S</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20"/>
                <w:szCs w:val="20"/>
              </w:rPr>
              <w:t>(</w:t>
            </w:r>
            <w:r>
              <w:rPr>
                <w:b/>
                <w:bCs/>
                <w:sz w:val="20"/>
                <w:szCs w:val="20"/>
              </w:rPr>
              <w:t>7,53</w:t>
            </w:r>
            <w:r>
              <w:rPr>
                <w:b/>
                <w:bCs/>
                <w:sz w:val="20"/>
                <w:szCs w:val="20"/>
              </w:rPr>
              <w:t>6</w:t>
            </w:r>
          </w:p>
        </w:tc>
        <w:tc>
          <w:tcPr>
            <w:tcW w:w="0" w:type="auto"/>
            <w:vAlign w:val="bottom"/>
            <w:hideMark/>
          </w:tcPr>
          <w:p w:rsidR="00000000" w:rsidRDefault="002D33E3">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20"/>
                <w:szCs w:val="20"/>
              </w:rPr>
              <w:t>(</w:t>
            </w:r>
            <w:r>
              <w:rPr>
                <w:b/>
                <w:bCs/>
                <w:sz w:val="20"/>
                <w:szCs w:val="20"/>
              </w:rPr>
              <w:t>12,93</w:t>
            </w:r>
            <w:r>
              <w:rPr>
                <w:b/>
                <w:bCs/>
                <w:sz w:val="20"/>
                <w:szCs w:val="20"/>
              </w:rPr>
              <w:t>1</w:t>
            </w:r>
          </w:p>
        </w:tc>
        <w:tc>
          <w:tcPr>
            <w:tcW w:w="0" w:type="auto"/>
            <w:vAlign w:val="bottom"/>
            <w:hideMark/>
          </w:tcPr>
          <w:p w:rsidR="00000000" w:rsidRDefault="002D33E3">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D33E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D33E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 xml:space="preserve">EQUITY ADJUSTMENT FROM FOREIGN </w:t>
            </w:r>
            <w:r>
              <w:rPr>
                <w:sz w:val="20"/>
                <w:szCs w:val="20"/>
              </w:rPr>
              <w:br/>
              <w:t>   CURRENCY TRANSLATIO</w:t>
            </w:r>
            <w:r>
              <w:rPr>
                <w:sz w:val="20"/>
                <w:szCs w:val="20"/>
              </w:rPr>
              <w:t>N</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2</w:t>
            </w:r>
            <w:r>
              <w:rPr>
                <w:sz w:val="20"/>
                <w:szCs w:val="20"/>
              </w:rPr>
              <w:t>9</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COMPREHENSIVE LOS</w:t>
            </w:r>
            <w:r>
              <w:rPr>
                <w:sz w:val="20"/>
                <w:szCs w:val="20"/>
              </w:rPr>
              <w:t>S</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7,45</w:t>
            </w:r>
            <w:r>
              <w:rPr>
                <w:sz w:val="20"/>
                <w:szCs w:val="20"/>
              </w:rPr>
              <w:t>5</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12,90</w:t>
            </w:r>
            <w:r>
              <w:rPr>
                <w:sz w:val="20"/>
                <w:szCs w:val="20"/>
              </w:rPr>
              <w:t>2</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 xml:space="preserve">CONVERTIBLE AND REDEEMABLE SERIES A-2 </w:t>
            </w:r>
            <w:r>
              <w:rPr>
                <w:sz w:val="20"/>
                <w:szCs w:val="20"/>
              </w:rPr>
              <w:br/>
              <w:t>   PREFERRED STOCK DIVIDEN</w:t>
            </w:r>
            <w:r>
              <w:rPr>
                <w:sz w:val="20"/>
                <w:szCs w:val="20"/>
              </w:rPr>
              <w:t>D</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4,10</w:t>
            </w:r>
            <w:r>
              <w:rPr>
                <w:sz w:val="20"/>
                <w:szCs w:val="20"/>
              </w:rPr>
              <w:t>0</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w:t>
            </w:r>
            <w:r>
              <w:rPr>
                <w:sz w:val="20"/>
                <w:szCs w:val="20"/>
              </w:rPr>
              <w:t>4,10</w:t>
            </w:r>
            <w:r>
              <w:rPr>
                <w:sz w:val="20"/>
                <w:szCs w:val="20"/>
              </w:rPr>
              <w:t>0</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b/>
                <w:bCs/>
                <w:sz w:val="20"/>
                <w:szCs w:val="20"/>
              </w:rPr>
              <w:t xml:space="preserve">NET LOSS ATTRIBUTABLE TO </w:t>
            </w:r>
            <w:r>
              <w:rPr>
                <w:b/>
                <w:bCs/>
                <w:sz w:val="20"/>
                <w:szCs w:val="20"/>
              </w:rPr>
              <w:br/>
              <w:t>   COMMON STOCKHOLDER</w:t>
            </w:r>
            <w:r>
              <w:rPr>
                <w:b/>
                <w:bCs/>
                <w:sz w:val="20"/>
                <w:szCs w:val="20"/>
              </w:rPr>
              <w:t>S</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b/>
                <w:bCs/>
                <w:sz w:val="20"/>
                <w:szCs w:val="20"/>
              </w:rPr>
              <w:t>(</w:t>
            </w:r>
            <w:r>
              <w:rPr>
                <w:b/>
                <w:bCs/>
                <w:sz w:val="20"/>
                <w:szCs w:val="20"/>
              </w:rPr>
              <w:t>11,63</w:t>
            </w:r>
            <w:r>
              <w:rPr>
                <w:b/>
                <w:bCs/>
                <w:sz w:val="20"/>
                <w:szCs w:val="20"/>
              </w:rPr>
              <w:t>6</w:t>
            </w:r>
          </w:p>
        </w:tc>
        <w:tc>
          <w:tcPr>
            <w:tcW w:w="0" w:type="auto"/>
            <w:vAlign w:val="bottom"/>
            <w:hideMark/>
          </w:tcPr>
          <w:p w:rsidR="00000000" w:rsidRDefault="002D33E3">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b/>
                <w:bCs/>
                <w:sz w:val="20"/>
                <w:szCs w:val="20"/>
              </w:rPr>
              <w:t>(</w:t>
            </w:r>
            <w:r>
              <w:rPr>
                <w:b/>
                <w:bCs/>
                <w:sz w:val="20"/>
                <w:szCs w:val="20"/>
              </w:rPr>
              <w:t>17,03</w:t>
            </w:r>
            <w:r>
              <w:rPr>
                <w:b/>
                <w:bCs/>
                <w:sz w:val="20"/>
                <w:szCs w:val="20"/>
              </w:rPr>
              <w:t>1</w:t>
            </w:r>
          </w:p>
        </w:tc>
        <w:tc>
          <w:tcPr>
            <w:tcW w:w="0" w:type="auto"/>
            <w:vAlign w:val="bottom"/>
            <w:hideMark/>
          </w:tcPr>
          <w:p w:rsidR="00000000" w:rsidRDefault="002D33E3">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sz w:val="20"/>
                <w:szCs w:val="20"/>
              </w:rPr>
              <w:t>WEIGHTED AVERAGE COMMON SHARES</w:t>
            </w:r>
            <w:r>
              <w:rPr>
                <w:sz w:val="20"/>
                <w:szCs w:val="20"/>
              </w:rPr>
              <w:br/>
              <w:t>   OUTSTANDING— BASIC AND DILUTE</w:t>
            </w:r>
            <w:r>
              <w:rPr>
                <w:sz w:val="20"/>
                <w:szCs w:val="20"/>
              </w:rPr>
              <w:t>D</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29,66</w:t>
            </w:r>
            <w:r>
              <w:rPr>
                <w:sz w:val="20"/>
                <w:szCs w:val="20"/>
              </w:rPr>
              <w:t>2</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20"/>
                <w:szCs w:val="20"/>
              </w:rPr>
              <w:t>25,11</w:t>
            </w:r>
            <w:r>
              <w:rPr>
                <w:sz w:val="20"/>
                <w:szCs w:val="20"/>
              </w:rPr>
              <w:t>7</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D33E3">
            <w:pPr>
              <w:pStyle w:val="a3"/>
              <w:spacing w:before="0" w:beforeAutospacing="0" w:after="0" w:afterAutospacing="0"/>
              <w:rPr>
                <w:sz w:val="20"/>
                <w:szCs w:val="20"/>
              </w:rPr>
            </w:pPr>
            <w:r>
              <w:rPr>
                <w:b/>
                <w:bCs/>
                <w:sz w:val="20"/>
                <w:szCs w:val="20"/>
              </w:rPr>
              <w:t xml:space="preserve">NET LOSS PER SHARE ATTRIBUTABLE TO </w:t>
            </w:r>
            <w:r>
              <w:rPr>
                <w:b/>
                <w:bCs/>
                <w:sz w:val="20"/>
                <w:szCs w:val="20"/>
              </w:rPr>
              <w:br/>
              <w:t>   COMMON STOCKHOLDERS— BASIC AND DILUTE</w:t>
            </w:r>
            <w:r>
              <w:rPr>
                <w:b/>
                <w:bCs/>
                <w:sz w:val="20"/>
                <w:szCs w:val="20"/>
              </w:rPr>
              <w:t>D</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20"/>
                <w:szCs w:val="20"/>
              </w:rPr>
              <w:t>(</w:t>
            </w:r>
            <w:r>
              <w:rPr>
                <w:b/>
                <w:bCs/>
                <w:sz w:val="20"/>
                <w:szCs w:val="20"/>
              </w:rPr>
              <w:t>0.3</w:t>
            </w:r>
            <w:r>
              <w:rPr>
                <w:b/>
                <w:bCs/>
                <w:sz w:val="20"/>
                <w:szCs w:val="20"/>
              </w:rPr>
              <w:t>9</w:t>
            </w:r>
          </w:p>
        </w:tc>
        <w:tc>
          <w:tcPr>
            <w:tcW w:w="0" w:type="auto"/>
            <w:vAlign w:val="bottom"/>
            <w:hideMark/>
          </w:tcPr>
          <w:p w:rsidR="00000000" w:rsidRDefault="002D33E3">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vAlign w:val="bottom"/>
            <w:hideMark/>
          </w:tcPr>
          <w:p w:rsidR="00000000" w:rsidRDefault="002D33E3">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20"/>
                <w:szCs w:val="20"/>
              </w:rPr>
              <w:t>(</w:t>
            </w:r>
            <w:r>
              <w:rPr>
                <w:b/>
                <w:bCs/>
                <w:sz w:val="20"/>
                <w:szCs w:val="20"/>
              </w:rPr>
              <w:t>0.6</w:t>
            </w:r>
            <w:r>
              <w:rPr>
                <w:b/>
                <w:bCs/>
                <w:sz w:val="20"/>
                <w:szCs w:val="20"/>
              </w:rPr>
              <w:t>8</w:t>
            </w:r>
          </w:p>
        </w:tc>
        <w:tc>
          <w:tcPr>
            <w:tcW w:w="0" w:type="auto"/>
            <w:vAlign w:val="bottom"/>
            <w:hideMark/>
          </w:tcPr>
          <w:p w:rsidR="00000000" w:rsidRDefault="002D33E3">
            <w:pPr>
              <w:pStyle w:val="a3"/>
              <w:spacing w:before="0" w:beforeAutospacing="0" w:after="0" w:afterAutospacing="0"/>
              <w:rPr>
                <w:sz w:val="20"/>
                <w:szCs w:val="20"/>
              </w:rPr>
            </w:pPr>
            <w:r>
              <w:rPr>
                <w:b/>
                <w:bCs/>
                <w:sz w:val="20"/>
                <w:szCs w:val="20"/>
              </w:rPr>
              <w:t>)</w:t>
            </w:r>
          </w:p>
        </w:tc>
      </w:tr>
    </w:tbl>
    <w:p w:rsidR="00000000" w:rsidRDefault="002D33E3">
      <w:pPr>
        <w:pStyle w:val="a3"/>
        <w:spacing w:before="0" w:beforeAutospacing="0" w:after="0" w:afterAutospacing="0"/>
        <w:jc w:val="center"/>
        <w:rPr>
          <w:sz w:val="20"/>
          <w:szCs w:val="20"/>
        </w:rPr>
      </w:pPr>
      <w:r>
        <w:rPr>
          <w:sz w:val="20"/>
          <w:szCs w:val="20"/>
        </w:rPr>
        <w:t> </w: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2D33E3">
      <w:pPr>
        <w:pStyle w:val="a3"/>
        <w:spacing w:before="240" w:beforeAutospacing="0" w:after="0" w:afterAutospacing="0"/>
        <w:jc w:val="center"/>
        <w:rPr>
          <w:sz w:val="20"/>
          <w:szCs w:val="20"/>
        </w:rPr>
      </w:pPr>
      <w:r>
        <w:rPr>
          <w:sz w:val="20"/>
          <w:szCs w:val="20"/>
        </w:rPr>
        <w:t>2</w:t>
      </w:r>
    </w:p>
    <w:p w:rsidR="00000000" w:rsidRDefault="002D33E3">
      <w:pPr>
        <w:rPr>
          <w:rFonts w:eastAsia="Times New Roman"/>
        </w:rPr>
      </w:pPr>
      <w:r>
        <w:rPr>
          <w:rFonts w:eastAsia="Times New Roman"/>
        </w:rPr>
        <w:pict>
          <v:rect id="_x0000_i1028"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jc w:val="center"/>
        <w:rPr>
          <w:sz w:val="20"/>
          <w:szCs w:val="20"/>
        </w:rPr>
      </w:pPr>
      <w:r>
        <w:rPr>
          <w:b/>
          <w:bCs/>
          <w:sz w:val="20"/>
          <w:szCs w:val="20"/>
        </w:rPr>
        <w:t>MONTROSE ENVIRONMENTAL GROUP, INC</w:t>
      </w:r>
      <w:r>
        <w:rPr>
          <w:b/>
          <w:bCs/>
          <w:sz w:val="20"/>
          <w:szCs w:val="20"/>
        </w:rPr>
        <w:t>.</w:t>
      </w:r>
    </w:p>
    <w:p w:rsidR="00000000" w:rsidRDefault="002D33E3">
      <w:pPr>
        <w:pStyle w:val="a3"/>
        <w:spacing w:before="0" w:beforeAutospacing="0" w:after="0" w:afterAutospacing="0"/>
        <w:jc w:val="center"/>
        <w:rPr>
          <w:sz w:val="20"/>
          <w:szCs w:val="20"/>
        </w:rPr>
      </w:pPr>
      <w:r>
        <w:rPr>
          <w:b/>
          <w:bCs/>
          <w:sz w:val="20"/>
          <w:szCs w:val="20"/>
        </w:rPr>
        <w:t>UNAUDITED CON</w:t>
      </w:r>
      <w:r>
        <w:rPr>
          <w:b/>
          <w:bCs/>
          <w:sz w:val="20"/>
          <w:szCs w:val="20"/>
        </w:rPr>
        <w:t>D</w:t>
      </w:r>
      <w:r>
        <w:rPr>
          <w:b/>
          <w:bCs/>
          <w:sz w:val="20"/>
          <w:szCs w:val="20"/>
        </w:rPr>
        <w:t>ENSED CONSOLIDATED STATEMENTS OF CONVERTIBLE AND REDEEMABLE</w:t>
      </w:r>
      <w:r>
        <w:rPr>
          <w:b/>
          <w:bCs/>
          <w:sz w:val="20"/>
          <w:szCs w:val="20"/>
        </w:rPr>
        <w:t xml:space="preserve"> SERIES A-2 PREFERRED STOCK AND STOCKHOLDERS’ EQUIT</w:t>
      </w:r>
      <w:r>
        <w:rPr>
          <w:b/>
          <w:bCs/>
          <w:sz w:val="20"/>
          <w:szCs w:val="20"/>
        </w:rPr>
        <w:t>Y</w:t>
      </w:r>
    </w:p>
    <w:p w:rsidR="00000000" w:rsidRDefault="002D33E3">
      <w:pPr>
        <w:pStyle w:val="a3"/>
        <w:spacing w:before="40" w:beforeAutospacing="0" w:after="0" w:afterAutospacing="0"/>
        <w:jc w:val="center"/>
        <w:rPr>
          <w:sz w:val="20"/>
          <w:szCs w:val="20"/>
        </w:rPr>
      </w:pPr>
      <w:r>
        <w:rPr>
          <w:b/>
          <w:bCs/>
          <w:sz w:val="20"/>
          <w:szCs w:val="20"/>
        </w:rPr>
        <w:t>(In thousands, except share data</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3"/>
        <w:gridCol w:w="95"/>
        <w:gridCol w:w="95"/>
        <w:gridCol w:w="445"/>
        <w:gridCol w:w="95"/>
        <w:gridCol w:w="95"/>
        <w:gridCol w:w="130"/>
        <w:gridCol w:w="515"/>
        <w:gridCol w:w="95"/>
        <w:gridCol w:w="95"/>
        <w:gridCol w:w="95"/>
        <w:gridCol w:w="95"/>
        <w:gridCol w:w="690"/>
        <w:gridCol w:w="95"/>
        <w:gridCol w:w="95"/>
        <w:gridCol w:w="131"/>
        <w:gridCol w:w="485"/>
        <w:gridCol w:w="95"/>
        <w:gridCol w:w="131"/>
        <w:gridCol w:w="621"/>
        <w:gridCol w:w="107"/>
        <w:gridCol w:w="131"/>
        <w:gridCol w:w="765"/>
        <w:gridCol w:w="107"/>
        <w:gridCol w:w="132"/>
        <w:gridCol w:w="896"/>
        <w:gridCol w:w="95"/>
        <w:gridCol w:w="131"/>
        <w:gridCol w:w="787"/>
        <w:gridCol w:w="122"/>
      </w:tblGrid>
      <w:tr w:rsidR="00000000">
        <w:trPr>
          <w:tblCellSpacing w:w="15" w:type="dxa"/>
        </w:trPr>
        <w:tc>
          <w:tcPr>
            <w:tcW w:w="975" w:type="pct"/>
            <w:vAlign w:val="center"/>
            <w:hideMark/>
          </w:tcPr>
          <w:p w:rsidR="00000000" w:rsidRDefault="002D33E3">
            <w:pPr>
              <w:rPr>
                <w:sz w:val="20"/>
                <w:szCs w:val="20"/>
              </w:rPr>
            </w:pPr>
          </w:p>
        </w:tc>
        <w:tc>
          <w:tcPr>
            <w:tcW w:w="50" w:type="pct"/>
            <w:vAlign w:val="center"/>
            <w:hideMark/>
          </w:tcPr>
          <w:p w:rsidR="00000000" w:rsidRDefault="002D33E3">
            <w:pPr>
              <w:rPr>
                <w:rFonts w:eastAsia="Times New Roman"/>
                <w:sz w:val="20"/>
                <w:szCs w:val="20"/>
              </w:rPr>
            </w:pPr>
          </w:p>
        </w:tc>
        <w:tc>
          <w:tcPr>
            <w:tcW w:w="16" w:type="pct"/>
            <w:vAlign w:val="center"/>
            <w:hideMark/>
          </w:tcPr>
          <w:p w:rsidR="00000000" w:rsidRDefault="002D33E3">
            <w:pPr>
              <w:rPr>
                <w:rFonts w:eastAsia="Times New Roman"/>
                <w:sz w:val="20"/>
                <w:szCs w:val="20"/>
              </w:rPr>
            </w:pPr>
          </w:p>
        </w:tc>
        <w:tc>
          <w:tcPr>
            <w:tcW w:w="442" w:type="pct"/>
            <w:vAlign w:val="center"/>
            <w:hideMark/>
          </w:tcPr>
          <w:p w:rsidR="00000000" w:rsidRDefault="002D33E3">
            <w:pPr>
              <w:rPr>
                <w:rFonts w:eastAsia="Times New Roman"/>
                <w:sz w:val="20"/>
                <w:szCs w:val="20"/>
              </w:rPr>
            </w:pPr>
          </w:p>
        </w:tc>
        <w:tc>
          <w:tcPr>
            <w:tcW w:w="16"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424" w:type="pct"/>
            <w:vAlign w:val="center"/>
            <w:hideMark/>
          </w:tcPr>
          <w:p w:rsidR="00000000" w:rsidRDefault="002D33E3">
            <w:pPr>
              <w:rPr>
                <w:rFonts w:eastAsia="Times New Roman"/>
                <w:sz w:val="20"/>
                <w:szCs w:val="20"/>
              </w:rPr>
            </w:pPr>
          </w:p>
        </w:tc>
        <w:tc>
          <w:tcPr>
            <w:tcW w:w="16" w:type="pct"/>
            <w:vAlign w:val="center"/>
            <w:hideMark/>
          </w:tcPr>
          <w:p w:rsidR="00000000" w:rsidRDefault="002D33E3">
            <w:pPr>
              <w:rPr>
                <w:rFonts w:eastAsia="Times New Roman"/>
                <w:sz w:val="20"/>
                <w:szCs w:val="20"/>
              </w:rPr>
            </w:pPr>
          </w:p>
        </w:tc>
        <w:tc>
          <w:tcPr>
            <w:tcW w:w="45" w:type="pct"/>
            <w:vAlign w:val="center"/>
            <w:hideMark/>
          </w:tcPr>
          <w:p w:rsidR="00000000" w:rsidRDefault="002D33E3">
            <w:pPr>
              <w:rPr>
                <w:rFonts w:eastAsia="Times New Roman"/>
                <w:sz w:val="20"/>
                <w:szCs w:val="20"/>
              </w:rPr>
            </w:pPr>
          </w:p>
        </w:tc>
        <w:tc>
          <w:tcPr>
            <w:tcW w:w="45" w:type="pct"/>
            <w:vAlign w:val="center"/>
            <w:hideMark/>
          </w:tcPr>
          <w:p w:rsidR="00000000" w:rsidRDefault="002D33E3">
            <w:pPr>
              <w:rPr>
                <w:rFonts w:eastAsia="Times New Roman"/>
                <w:sz w:val="20"/>
                <w:szCs w:val="20"/>
              </w:rPr>
            </w:pPr>
          </w:p>
        </w:tc>
        <w:tc>
          <w:tcPr>
            <w:tcW w:w="21" w:type="pct"/>
            <w:vAlign w:val="center"/>
            <w:hideMark/>
          </w:tcPr>
          <w:p w:rsidR="00000000" w:rsidRDefault="002D33E3">
            <w:pPr>
              <w:rPr>
                <w:rFonts w:eastAsia="Times New Roman"/>
                <w:sz w:val="20"/>
                <w:szCs w:val="20"/>
              </w:rPr>
            </w:pPr>
          </w:p>
        </w:tc>
        <w:tc>
          <w:tcPr>
            <w:tcW w:w="426" w:type="pct"/>
            <w:vAlign w:val="center"/>
            <w:hideMark/>
          </w:tcPr>
          <w:p w:rsidR="00000000" w:rsidRDefault="002D33E3">
            <w:pPr>
              <w:rPr>
                <w:rFonts w:eastAsia="Times New Roman"/>
                <w:sz w:val="20"/>
                <w:szCs w:val="20"/>
              </w:rPr>
            </w:pPr>
          </w:p>
        </w:tc>
        <w:tc>
          <w:tcPr>
            <w:tcW w:w="21"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424" w:type="pct"/>
            <w:vAlign w:val="center"/>
            <w:hideMark/>
          </w:tcPr>
          <w:p w:rsidR="00000000" w:rsidRDefault="002D33E3">
            <w:pPr>
              <w:rPr>
                <w:rFonts w:eastAsia="Times New Roman"/>
                <w:sz w:val="20"/>
                <w:szCs w:val="20"/>
              </w:rPr>
            </w:pPr>
          </w:p>
        </w:tc>
        <w:tc>
          <w:tcPr>
            <w:tcW w:w="16"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416" w:type="pct"/>
            <w:vAlign w:val="center"/>
            <w:hideMark/>
          </w:tcPr>
          <w:p w:rsidR="00000000" w:rsidRDefault="002D33E3">
            <w:pPr>
              <w:rPr>
                <w:rFonts w:eastAsia="Times New Roman"/>
                <w:sz w:val="20"/>
                <w:szCs w:val="20"/>
              </w:rPr>
            </w:pPr>
          </w:p>
        </w:tc>
        <w:tc>
          <w:tcPr>
            <w:tcW w:w="21"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418" w:type="pct"/>
            <w:vAlign w:val="center"/>
            <w:hideMark/>
          </w:tcPr>
          <w:p w:rsidR="00000000" w:rsidRDefault="002D33E3">
            <w:pPr>
              <w:rPr>
                <w:rFonts w:eastAsia="Times New Roman"/>
                <w:sz w:val="20"/>
                <w:szCs w:val="20"/>
              </w:rPr>
            </w:pPr>
          </w:p>
        </w:tc>
        <w:tc>
          <w:tcPr>
            <w:tcW w:w="20"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424" w:type="pct"/>
            <w:vAlign w:val="center"/>
            <w:hideMark/>
          </w:tcPr>
          <w:p w:rsidR="00000000" w:rsidRDefault="002D33E3">
            <w:pPr>
              <w:rPr>
                <w:rFonts w:eastAsia="Times New Roman"/>
                <w:sz w:val="20"/>
                <w:szCs w:val="20"/>
              </w:rPr>
            </w:pPr>
          </w:p>
        </w:tc>
        <w:tc>
          <w:tcPr>
            <w:tcW w:w="16"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418" w:type="pct"/>
            <w:vAlign w:val="center"/>
            <w:hideMark/>
          </w:tcPr>
          <w:p w:rsidR="00000000" w:rsidRDefault="002D33E3">
            <w:pPr>
              <w:rPr>
                <w:rFonts w:eastAsia="Times New Roman"/>
                <w:sz w:val="20"/>
                <w:szCs w:val="20"/>
              </w:rPr>
            </w:pPr>
          </w:p>
        </w:tc>
        <w:tc>
          <w:tcPr>
            <w:tcW w:w="20" w:type="pct"/>
            <w:vAlign w:val="center"/>
            <w:hideMark/>
          </w:tcPr>
          <w:p w:rsidR="00000000" w:rsidRDefault="002D33E3">
            <w:pPr>
              <w:rPr>
                <w:rFonts w:eastAsia="Times New Roman"/>
                <w:sz w:val="20"/>
                <w:szCs w:val="20"/>
              </w:rPr>
            </w:pPr>
          </w:p>
        </w:tc>
      </w:tr>
      <w:tr w:rsidR="00000000">
        <w:trPr>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lastRenderedPageBreak/>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2D33E3">
            <w:pPr>
              <w:pStyle w:val="a3"/>
              <w:spacing w:before="0" w:beforeAutospacing="0" w:after="0" w:afterAutospacing="0"/>
              <w:jc w:val="center"/>
              <w:rPr>
                <w:sz w:val="14"/>
                <w:szCs w:val="14"/>
              </w:rPr>
            </w:pPr>
            <w:r>
              <w:rPr>
                <w:b/>
                <w:bCs/>
                <w:sz w:val="14"/>
                <w:szCs w:val="14"/>
              </w:rPr>
              <w:t>Convertible and Redeemabl</w:t>
            </w:r>
            <w:r>
              <w:rPr>
                <w:b/>
                <w:bCs/>
                <w:sz w:val="14"/>
                <w:szCs w:val="14"/>
              </w:rPr>
              <w:t>e</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Othe</w:t>
            </w:r>
            <w:r>
              <w:rPr>
                <w:b/>
                <w:bCs/>
                <w:sz w:val="14"/>
                <w:szCs w:val="14"/>
              </w:rPr>
              <w:t>r</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2D33E3">
            <w:pPr>
              <w:pStyle w:val="a3"/>
              <w:spacing w:before="0" w:beforeAutospacing="0" w:after="0" w:afterAutospacing="0"/>
              <w:jc w:val="center"/>
              <w:rPr>
                <w:sz w:val="14"/>
                <w:szCs w:val="14"/>
              </w:rPr>
            </w:pPr>
            <w:r>
              <w:rPr>
                <w:b/>
                <w:bCs/>
                <w:sz w:val="14"/>
                <w:szCs w:val="14"/>
              </w:rPr>
              <w:t>Series A-2 Preferred Stoc</w:t>
            </w:r>
            <w:r>
              <w:rPr>
                <w:b/>
                <w:bCs/>
                <w:sz w:val="14"/>
                <w:szCs w:val="14"/>
              </w:rPr>
              <w:t>k</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2D33E3">
            <w:pPr>
              <w:pStyle w:val="a3"/>
              <w:spacing w:before="0" w:beforeAutospacing="0" w:after="0" w:afterAutospacing="0"/>
              <w:jc w:val="center"/>
              <w:rPr>
                <w:sz w:val="14"/>
                <w:szCs w:val="14"/>
              </w:rPr>
            </w:pPr>
            <w:r>
              <w:rPr>
                <w:b/>
                <w:bCs/>
                <w:sz w:val="14"/>
                <w:szCs w:val="14"/>
              </w:rPr>
              <w:t>Common Stoc</w:t>
            </w:r>
            <w:r>
              <w:rPr>
                <w:b/>
                <w:bCs/>
                <w:sz w:val="14"/>
                <w:szCs w:val="14"/>
              </w:rPr>
              <w:t>k</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Additiona</w:t>
            </w:r>
            <w:r>
              <w:rPr>
                <w:b/>
                <w:bCs/>
                <w:sz w:val="14"/>
                <w:szCs w:val="14"/>
              </w:rPr>
              <w:t>l</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Comprehensiv</w:t>
            </w:r>
            <w:r>
              <w:rPr>
                <w:b/>
                <w:bCs/>
                <w:sz w:val="14"/>
                <w:szCs w:val="14"/>
              </w:rPr>
              <w:t>e</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Stockholders</w:t>
            </w:r>
            <w:r>
              <w:rPr>
                <w:b/>
                <w:bCs/>
                <w:sz w:val="14"/>
                <w:szCs w:val="14"/>
              </w:rPr>
              <w:t>'</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Paid-In Capita</w:t>
            </w:r>
            <w:r>
              <w:rPr>
                <w:b/>
                <w:bCs/>
                <w:sz w:val="14"/>
                <w:szCs w:val="14"/>
              </w:rPr>
              <w:t>l</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Incom</w:t>
            </w:r>
            <w:r>
              <w:rPr>
                <w:b/>
                <w:bCs/>
                <w:sz w:val="14"/>
                <w:szCs w:val="14"/>
              </w:rPr>
              <w:t>e</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Equit</w:t>
            </w:r>
            <w:r>
              <w:rPr>
                <w:b/>
                <w:bCs/>
                <w:sz w:val="14"/>
                <w:szCs w:val="14"/>
              </w:rPr>
              <w:t>y</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BALANCE—December 31, 202</w:t>
            </w:r>
            <w:r>
              <w:rPr>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17,50</w:t>
            </w:r>
            <w:r>
              <w:rPr>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152,92</w:t>
            </w:r>
            <w:r>
              <w:rPr>
                <w:sz w:val="14"/>
                <w:szCs w:val="14"/>
              </w:rPr>
              <w:t>8</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24,932,52</w:t>
            </w:r>
            <w:r>
              <w:rPr>
                <w:sz w:val="14"/>
                <w:szCs w:val="14"/>
              </w:rPr>
              <w:t>7</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259,42</w:t>
            </w:r>
            <w:r>
              <w:rPr>
                <w:sz w:val="14"/>
                <w:szCs w:val="14"/>
              </w:rPr>
              <w:t>7</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w:t>
            </w:r>
            <w:r>
              <w:rPr>
                <w:sz w:val="14"/>
                <w:szCs w:val="14"/>
              </w:rPr>
              <w:t>122,35</w:t>
            </w:r>
            <w:r>
              <w:rPr>
                <w:sz w:val="14"/>
                <w:szCs w:val="14"/>
              </w:rPr>
              <w:t>3</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7</w:t>
            </w:r>
            <w:r>
              <w:rPr>
                <w:sz w:val="14"/>
                <w:szCs w:val="14"/>
              </w:rPr>
              <w:t>1</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137,14</w:t>
            </w:r>
            <w:r>
              <w:rPr>
                <w:sz w:val="14"/>
                <w:szCs w:val="14"/>
              </w:rPr>
              <w:t>5</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w:t>
            </w:r>
            <w:r>
              <w:rPr>
                <w:sz w:val="14"/>
                <w:szCs w:val="14"/>
              </w:rPr>
              <w:t>12,93</w:t>
            </w:r>
            <w:r>
              <w:rPr>
                <w:sz w:val="14"/>
                <w:szCs w:val="14"/>
              </w:rPr>
              <w:t>1</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w:t>
            </w:r>
            <w:r>
              <w:rPr>
                <w:sz w:val="14"/>
                <w:szCs w:val="14"/>
              </w:rPr>
              <w:t>12,93</w:t>
            </w:r>
            <w:r>
              <w:rPr>
                <w:sz w:val="14"/>
                <w:szCs w:val="14"/>
              </w:rPr>
              <w:t>1</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1,80</w:t>
            </w:r>
            <w:r>
              <w:rPr>
                <w:sz w:val="14"/>
                <w:szCs w:val="14"/>
              </w:rPr>
              <w:t>5</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1,80</w:t>
            </w:r>
            <w:r>
              <w:rPr>
                <w:sz w:val="14"/>
                <w:szCs w:val="14"/>
              </w:rPr>
              <w:t>5</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506,33</w:t>
            </w:r>
            <w:r>
              <w:rPr>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4,45</w:t>
            </w:r>
            <w:r>
              <w:rPr>
                <w:sz w:val="14"/>
                <w:szCs w:val="14"/>
              </w:rPr>
              <w:t>6</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4,45</w:t>
            </w:r>
            <w:r>
              <w:rPr>
                <w:sz w:val="14"/>
                <w:szCs w:val="14"/>
              </w:rPr>
              <w:t>6</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Accumulated other comprehensive</w:t>
            </w:r>
            <w:r>
              <w:rPr>
                <w:sz w:val="14"/>
                <w:szCs w:val="14"/>
              </w:rPr>
              <w:br/>
              <w:t>   incom</w:t>
            </w:r>
            <w:r>
              <w:rPr>
                <w:sz w:val="14"/>
                <w:szCs w:val="14"/>
              </w:rPr>
              <w:t>e</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2</w:t>
            </w:r>
            <w:r>
              <w:rPr>
                <w:sz w:val="14"/>
                <w:szCs w:val="14"/>
              </w:rPr>
              <w:t>9</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2</w:t>
            </w:r>
            <w:r>
              <w:rPr>
                <w:sz w:val="14"/>
                <w:szCs w:val="14"/>
              </w:rPr>
              <w:t>9</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b/>
                <w:bCs/>
                <w:sz w:val="14"/>
                <w:szCs w:val="14"/>
              </w:rPr>
              <w:t>BALANCE—March 31, 202</w:t>
            </w:r>
            <w:r>
              <w:rPr>
                <w:b/>
                <w:bCs/>
                <w:sz w:val="14"/>
                <w:szCs w:val="14"/>
              </w:rPr>
              <w:t>1</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25,438,85</w:t>
            </w:r>
            <w:r>
              <w:rPr>
                <w:b/>
                <w:bCs/>
                <w:sz w:val="14"/>
                <w:szCs w:val="14"/>
              </w:rPr>
              <w:t>7</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261,58</w:t>
            </w:r>
            <w:r>
              <w:rPr>
                <w:b/>
                <w:bCs/>
                <w:sz w:val="14"/>
                <w:szCs w:val="14"/>
              </w:rPr>
              <w:t>8</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w:t>
            </w:r>
            <w:r>
              <w:rPr>
                <w:b/>
                <w:bCs/>
                <w:sz w:val="14"/>
                <w:szCs w:val="14"/>
              </w:rPr>
              <w:t>135,28</w:t>
            </w:r>
            <w:r>
              <w:rPr>
                <w:b/>
                <w:bCs/>
                <w:sz w:val="14"/>
                <w:szCs w:val="14"/>
              </w:rPr>
              <w:t>4</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10</w:t>
            </w:r>
            <w:r>
              <w:rPr>
                <w:b/>
                <w:bCs/>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126,40</w:t>
            </w:r>
            <w:r>
              <w:rPr>
                <w:b/>
                <w:bCs/>
                <w:sz w:val="14"/>
                <w:szCs w:val="14"/>
              </w:rPr>
              <w:t>4</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r>
      <w:tr w:rsidR="00000000">
        <w:trPr>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r>
      <w:tr w:rsidR="00000000">
        <w:trPr>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2D33E3">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2D33E3">
            <w:pPr>
              <w:pStyle w:val="a3"/>
              <w:spacing w:before="0" w:beforeAutospacing="0" w:after="0" w:afterAutospacing="0"/>
              <w:jc w:val="center"/>
              <w:rPr>
                <w:sz w:val="14"/>
                <w:szCs w:val="14"/>
              </w:rPr>
            </w:pPr>
            <w:r>
              <w:rPr>
                <w:b/>
                <w:bCs/>
                <w:sz w:val="14"/>
                <w:szCs w:val="14"/>
              </w:rPr>
              <w:t>Convertible and Redeemabl</w:t>
            </w:r>
            <w:r>
              <w:rPr>
                <w:b/>
                <w:bCs/>
                <w:sz w:val="14"/>
                <w:szCs w:val="14"/>
              </w:rPr>
              <w:t>e</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Othe</w:t>
            </w:r>
            <w:r>
              <w:rPr>
                <w:b/>
                <w:bCs/>
                <w:sz w:val="14"/>
                <w:szCs w:val="14"/>
              </w:rPr>
              <w:t>r</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2D33E3">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center"/>
            <w:hideMark/>
          </w:tcPr>
          <w:p w:rsidR="00000000" w:rsidRDefault="002D33E3">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2D33E3">
            <w:pPr>
              <w:pStyle w:val="a3"/>
              <w:spacing w:before="0" w:beforeAutospacing="0" w:after="0" w:afterAutospacing="0"/>
              <w:jc w:val="center"/>
              <w:rPr>
                <w:sz w:val="14"/>
                <w:szCs w:val="14"/>
              </w:rPr>
            </w:pPr>
            <w:r>
              <w:rPr>
                <w:b/>
                <w:bCs/>
                <w:sz w:val="14"/>
                <w:szCs w:val="14"/>
              </w:rPr>
              <w:t>Series A-2 Preferred Stoc</w:t>
            </w:r>
            <w:r>
              <w:rPr>
                <w:b/>
                <w:bCs/>
                <w:sz w:val="14"/>
                <w:szCs w:val="14"/>
              </w:rPr>
              <w:t>k</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2D33E3">
            <w:pPr>
              <w:pStyle w:val="a3"/>
              <w:spacing w:before="0" w:beforeAutospacing="0" w:after="0" w:afterAutospacing="0"/>
              <w:jc w:val="center"/>
              <w:rPr>
                <w:sz w:val="14"/>
                <w:szCs w:val="14"/>
              </w:rPr>
            </w:pPr>
            <w:r>
              <w:rPr>
                <w:b/>
                <w:bCs/>
                <w:sz w:val="14"/>
                <w:szCs w:val="14"/>
              </w:rPr>
              <w:t>Common Stoc</w:t>
            </w:r>
            <w:r>
              <w:rPr>
                <w:b/>
                <w:bCs/>
                <w:sz w:val="14"/>
                <w:szCs w:val="14"/>
              </w:rPr>
              <w:t>k</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Additiona</w:t>
            </w:r>
            <w:r>
              <w:rPr>
                <w:b/>
                <w:bCs/>
                <w:sz w:val="14"/>
                <w:szCs w:val="14"/>
              </w:rPr>
              <w:t>l</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Comprehensiv</w:t>
            </w:r>
            <w:r>
              <w:rPr>
                <w:b/>
                <w:bCs/>
                <w:sz w:val="14"/>
                <w:szCs w:val="14"/>
              </w:rPr>
              <w:t>e</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Stockholders</w:t>
            </w:r>
            <w:r>
              <w:rPr>
                <w:b/>
                <w:bCs/>
                <w:sz w:val="14"/>
                <w:szCs w:val="14"/>
              </w:rPr>
              <w:t>'</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Paid-In Capita</w:t>
            </w:r>
            <w:r>
              <w:rPr>
                <w:b/>
                <w:bCs/>
                <w:sz w:val="14"/>
                <w:szCs w:val="14"/>
              </w:rPr>
              <w:t>l</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Incom</w:t>
            </w:r>
            <w:r>
              <w:rPr>
                <w:b/>
                <w:bCs/>
                <w:sz w:val="14"/>
                <w:szCs w:val="14"/>
              </w:rPr>
              <w:t>e</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center"/>
              <w:rPr>
                <w:sz w:val="14"/>
                <w:szCs w:val="14"/>
              </w:rPr>
            </w:pPr>
            <w:r>
              <w:rPr>
                <w:b/>
                <w:bCs/>
                <w:sz w:val="14"/>
                <w:szCs w:val="14"/>
              </w:rPr>
              <w:t>Equit</w:t>
            </w:r>
            <w:r>
              <w:rPr>
                <w:b/>
                <w:bCs/>
                <w:sz w:val="14"/>
                <w:szCs w:val="14"/>
              </w:rPr>
              <w:t>y</w:t>
            </w:r>
          </w:p>
        </w:tc>
        <w:tc>
          <w:tcPr>
            <w:tcW w:w="0" w:type="auto"/>
            <w:vAlign w:val="bottom"/>
            <w:hideMark/>
          </w:tcPr>
          <w:p w:rsidR="00000000" w:rsidRDefault="002D33E3">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BALANCE—December 31, 202</w:t>
            </w:r>
            <w:r>
              <w:rPr>
                <w:sz w:val="14"/>
                <w:szCs w:val="14"/>
              </w:rPr>
              <w:t>1</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17,50</w:t>
            </w:r>
            <w:r>
              <w:rPr>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152,92</w:t>
            </w:r>
            <w:r>
              <w:rPr>
                <w:sz w:val="14"/>
                <w:szCs w:val="14"/>
              </w:rPr>
              <w:t>8</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29,619,92</w:t>
            </w:r>
            <w:r>
              <w:rPr>
                <w:sz w:val="14"/>
                <w:szCs w:val="14"/>
              </w:rPr>
              <w:t>1</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464,14</w:t>
            </w:r>
            <w:r>
              <w:rPr>
                <w:sz w:val="14"/>
                <w:szCs w:val="14"/>
              </w:rPr>
              <w:t>3</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w:t>
            </w:r>
            <w:r>
              <w:rPr>
                <w:sz w:val="14"/>
                <w:szCs w:val="14"/>
              </w:rPr>
              <w:t>147,67</w:t>
            </w:r>
            <w:r>
              <w:rPr>
                <w:sz w:val="14"/>
                <w:szCs w:val="14"/>
              </w:rPr>
              <w:t>8</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3</w:t>
            </w:r>
            <w:r>
              <w:rPr>
                <w:sz w:val="14"/>
                <w:szCs w:val="14"/>
              </w:rPr>
              <w:t>6</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316,50</w:t>
            </w:r>
            <w:r>
              <w:rPr>
                <w:sz w:val="14"/>
                <w:szCs w:val="14"/>
              </w:rPr>
              <w:t>1</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w:t>
            </w:r>
            <w:r>
              <w:rPr>
                <w:sz w:val="14"/>
                <w:szCs w:val="14"/>
              </w:rPr>
              <w:t>7,53</w:t>
            </w:r>
            <w:r>
              <w:rPr>
                <w:sz w:val="14"/>
                <w:szCs w:val="14"/>
              </w:rPr>
              <w:t>6</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w:t>
            </w:r>
            <w:r>
              <w:rPr>
                <w:sz w:val="14"/>
                <w:szCs w:val="14"/>
              </w:rPr>
              <w:t>7,53</w:t>
            </w:r>
            <w:r>
              <w:rPr>
                <w:sz w:val="14"/>
                <w:szCs w:val="14"/>
              </w:rPr>
              <w:t>6</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10,42</w:t>
            </w:r>
            <w:r>
              <w:rPr>
                <w:sz w:val="14"/>
                <w:szCs w:val="14"/>
              </w:rPr>
              <w:t>5</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10,42</w:t>
            </w:r>
            <w:r>
              <w:rPr>
                <w:sz w:val="14"/>
                <w:szCs w:val="14"/>
              </w:rPr>
              <w:t>5</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55,89</w:t>
            </w:r>
            <w:r>
              <w:rPr>
                <w:sz w:val="14"/>
                <w:szCs w:val="14"/>
              </w:rPr>
              <w:t>6</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42</w:t>
            </w:r>
            <w:r>
              <w:rPr>
                <w:sz w:val="14"/>
                <w:szCs w:val="14"/>
              </w:rPr>
              <w:t>9</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42</w:t>
            </w:r>
            <w:r>
              <w:rPr>
                <w:sz w:val="14"/>
                <w:szCs w:val="14"/>
              </w:rPr>
              <w:t>9</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Accumulated other comprehensive</w:t>
            </w:r>
            <w:r>
              <w:rPr>
                <w:sz w:val="14"/>
                <w:szCs w:val="14"/>
              </w:rPr>
              <w:br/>
              <w:t>   incom</w:t>
            </w:r>
            <w:r>
              <w:rPr>
                <w:sz w:val="14"/>
                <w:szCs w:val="14"/>
              </w:rPr>
              <w:t>e</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4</w:t>
            </w:r>
            <w:r>
              <w:rPr>
                <w:sz w:val="14"/>
                <w:szCs w:val="14"/>
              </w:rPr>
              <w:t>5</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4"/>
                <w:szCs w:val="14"/>
              </w:rPr>
              <w:t>4</w:t>
            </w:r>
            <w:r>
              <w:rPr>
                <w:sz w:val="14"/>
                <w:szCs w:val="14"/>
              </w:rPr>
              <w:t>5</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2D33E3">
            <w:pPr>
              <w:pStyle w:val="a3"/>
              <w:spacing w:before="0" w:beforeAutospacing="0" w:after="0" w:afterAutospacing="0"/>
              <w:rPr>
                <w:sz w:val="14"/>
                <w:szCs w:val="14"/>
              </w:rPr>
            </w:pPr>
            <w:r>
              <w:rPr>
                <w:b/>
                <w:bCs/>
                <w:sz w:val="14"/>
                <w:szCs w:val="14"/>
              </w:rPr>
              <w:t>BALANCE—March 31, 202</w:t>
            </w:r>
            <w:r>
              <w:rPr>
                <w:b/>
                <w:bCs/>
                <w:sz w:val="14"/>
                <w:szCs w:val="14"/>
              </w:rPr>
              <w:t>2</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29,675,81</w:t>
            </w:r>
            <w:r>
              <w:rPr>
                <w:b/>
                <w:bCs/>
                <w:sz w:val="14"/>
                <w:szCs w:val="14"/>
              </w:rPr>
              <w:t>7</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470,89</w:t>
            </w:r>
            <w:r>
              <w:rPr>
                <w:b/>
                <w:bCs/>
                <w:sz w:val="14"/>
                <w:szCs w:val="14"/>
              </w:rPr>
              <w:t>7</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w:t>
            </w:r>
            <w:r>
              <w:rPr>
                <w:b/>
                <w:bCs/>
                <w:sz w:val="14"/>
                <w:szCs w:val="14"/>
              </w:rPr>
              <w:t>155,21</w:t>
            </w:r>
            <w:r>
              <w:rPr>
                <w:b/>
                <w:bCs/>
                <w:sz w:val="14"/>
                <w:szCs w:val="14"/>
              </w:rPr>
              <w:t>4</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8</w:t>
            </w:r>
            <w:r>
              <w:rPr>
                <w:b/>
                <w:bCs/>
                <w:sz w:val="14"/>
                <w:szCs w:val="14"/>
              </w:rPr>
              <w:t>1</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4"/>
                <w:szCs w:val="14"/>
              </w:rPr>
              <w:t>315,76</w:t>
            </w:r>
            <w:r>
              <w:rPr>
                <w:b/>
                <w:bCs/>
                <w:sz w:val="14"/>
                <w:szCs w:val="14"/>
              </w:rPr>
              <w:t>4</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r>
      <w:tr w:rsidR="00000000">
        <w:trPr>
          <w:tblCellSpacing w:w="15" w:type="dxa"/>
        </w:trPr>
        <w:tc>
          <w:tcPr>
            <w:tcW w:w="0" w:type="auto"/>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r>
    </w:tbl>
    <w:p w:rsidR="00000000" w:rsidRDefault="002D33E3">
      <w:pPr>
        <w:pStyle w:val="a3"/>
        <w:spacing w:before="40" w:beforeAutospacing="0" w:after="0" w:afterAutospacing="0"/>
        <w:jc w:val="center"/>
        <w:rPr>
          <w:sz w:val="20"/>
          <w:szCs w:val="20"/>
        </w:rPr>
      </w:pPr>
      <w:r>
        <w:rPr>
          <w:sz w:val="20"/>
          <w:szCs w:val="20"/>
        </w:rPr>
        <w:t> </w:t>
      </w:r>
    </w:p>
    <w:p w:rsidR="00000000" w:rsidRDefault="002D33E3">
      <w:pPr>
        <w:pStyle w:val="a3"/>
        <w:spacing w:before="40" w:beforeAutospacing="0" w:after="0" w:afterAutospacing="0"/>
        <w:jc w:val="center"/>
        <w:rPr>
          <w:sz w:val="20"/>
          <w:szCs w:val="20"/>
        </w:rPr>
      </w:pPr>
      <w:r>
        <w:rPr>
          <w:sz w:val="20"/>
          <w:szCs w:val="20"/>
        </w:rPr>
        <w:t> </w:t>
      </w:r>
    </w:p>
    <w:p w:rsidR="00000000" w:rsidRDefault="002D33E3">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2D33E3">
      <w:pPr>
        <w:pStyle w:val="a3"/>
        <w:spacing w:before="240" w:beforeAutospacing="0" w:after="0" w:afterAutospacing="0"/>
        <w:jc w:val="center"/>
        <w:rPr>
          <w:sz w:val="20"/>
          <w:szCs w:val="20"/>
        </w:rPr>
      </w:pPr>
      <w:r>
        <w:rPr>
          <w:sz w:val="20"/>
          <w:szCs w:val="20"/>
        </w:rPr>
        <w:t>3</w:t>
      </w:r>
    </w:p>
    <w:p w:rsidR="00000000" w:rsidRDefault="002D33E3">
      <w:pPr>
        <w:rPr>
          <w:rFonts w:eastAsia="Times New Roman"/>
        </w:rPr>
      </w:pPr>
      <w:r>
        <w:rPr>
          <w:rFonts w:eastAsia="Times New Roman"/>
        </w:rPr>
        <w:pict>
          <v:rect id="_x0000_i1029"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2D33E3">
      <w:pPr>
        <w:pStyle w:val="a3"/>
        <w:spacing w:before="0" w:beforeAutospacing="0" w:after="0" w:afterAutospacing="0"/>
        <w:jc w:val="center"/>
        <w:rPr>
          <w:sz w:val="20"/>
          <w:szCs w:val="20"/>
        </w:rPr>
      </w:pPr>
      <w:r>
        <w:rPr>
          <w:b/>
          <w:bCs/>
          <w:sz w:val="20"/>
          <w:szCs w:val="20"/>
        </w:rPr>
        <w:t>UNAU</w:t>
      </w:r>
      <w:r>
        <w:rPr>
          <w:b/>
          <w:bCs/>
          <w:sz w:val="20"/>
          <w:szCs w:val="20"/>
        </w:rPr>
        <w:t>D</w:t>
      </w:r>
      <w:r>
        <w:rPr>
          <w:b/>
          <w:bCs/>
          <w:sz w:val="20"/>
          <w:szCs w:val="20"/>
        </w:rPr>
        <w:t>ITED CONDENSED CONSOLID</w:t>
      </w:r>
      <w:r>
        <w:rPr>
          <w:b/>
          <w:bCs/>
          <w:sz w:val="20"/>
          <w:szCs w:val="20"/>
        </w:rPr>
        <w:t>A</w:t>
      </w:r>
      <w:r>
        <w:rPr>
          <w:b/>
          <w:bCs/>
          <w:sz w:val="20"/>
          <w:szCs w:val="20"/>
        </w:rPr>
        <w:t>TED STATEMENTS OF CASH FLOW</w:t>
      </w:r>
      <w:r>
        <w:rPr>
          <w:b/>
          <w:bCs/>
          <w:sz w:val="20"/>
          <w:szCs w:val="20"/>
        </w:rPr>
        <w:t>S</w:t>
      </w:r>
    </w:p>
    <w:p w:rsidR="00000000" w:rsidRDefault="002D33E3">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2D33E3">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131"/>
        <w:gridCol w:w="150"/>
        <w:gridCol w:w="1065"/>
        <w:gridCol w:w="120"/>
        <w:gridCol w:w="131"/>
        <w:gridCol w:w="150"/>
        <w:gridCol w:w="1066"/>
        <w:gridCol w:w="135"/>
      </w:tblGrid>
      <w:tr w:rsidR="00000000">
        <w:trPr>
          <w:tblCellSpacing w:w="15" w:type="dxa"/>
        </w:trPr>
        <w:tc>
          <w:tcPr>
            <w:tcW w:w="3332" w:type="pct"/>
            <w:vAlign w:val="center"/>
            <w:hideMark/>
          </w:tcPr>
          <w:p w:rsidR="00000000" w:rsidRDefault="002D33E3">
            <w:pPr>
              <w:rPr>
                <w:sz w:val="20"/>
                <w:szCs w:val="20"/>
              </w:rPr>
            </w:pPr>
          </w:p>
        </w:tc>
        <w:tc>
          <w:tcPr>
            <w:tcW w:w="80"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662" w:type="pct"/>
            <w:vAlign w:val="center"/>
            <w:hideMark/>
          </w:tcPr>
          <w:p w:rsidR="00000000" w:rsidRDefault="002D33E3">
            <w:pPr>
              <w:rPr>
                <w:rFonts w:eastAsia="Times New Roman"/>
                <w:sz w:val="20"/>
                <w:szCs w:val="20"/>
              </w:rPr>
            </w:pPr>
          </w:p>
        </w:tc>
        <w:tc>
          <w:tcPr>
            <w:tcW w:w="36" w:type="pct"/>
            <w:vAlign w:val="center"/>
            <w:hideMark/>
          </w:tcPr>
          <w:p w:rsidR="00000000" w:rsidRDefault="002D33E3">
            <w:pPr>
              <w:rPr>
                <w:rFonts w:eastAsia="Times New Roman"/>
                <w:sz w:val="20"/>
                <w:szCs w:val="20"/>
              </w:rPr>
            </w:pPr>
          </w:p>
        </w:tc>
        <w:tc>
          <w:tcPr>
            <w:tcW w:w="80"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662" w:type="pct"/>
            <w:vAlign w:val="center"/>
            <w:hideMark/>
          </w:tcPr>
          <w:p w:rsidR="00000000" w:rsidRDefault="002D33E3">
            <w:pPr>
              <w:rPr>
                <w:rFonts w:eastAsia="Times New Roman"/>
                <w:sz w:val="20"/>
                <w:szCs w:val="20"/>
              </w:rPr>
            </w:pPr>
          </w:p>
        </w:tc>
        <w:tc>
          <w:tcPr>
            <w:tcW w:w="36" w:type="pct"/>
            <w:vAlign w:val="center"/>
            <w:hideMark/>
          </w:tcPr>
          <w:p w:rsidR="00000000" w:rsidRDefault="002D33E3">
            <w:pPr>
              <w:rPr>
                <w:rFonts w:eastAsia="Times New Roman"/>
                <w:sz w:val="20"/>
                <w:szCs w:val="20"/>
              </w:rPr>
            </w:pP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lastRenderedPageBreak/>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OPERATING ACTIVITIES</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Net los</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7,53</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12,93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Adjustments to reconcile net loss to net cash used in operating activities</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Provision for bad deb</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52</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50</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Depreciation and amortizatio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12,14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11,79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Amortization of right-of-use asse</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2,27</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Stock-based compensation expens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10,42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Fair value changes in financial instrument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2,44</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60</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Fair value changes in business acquisitions contingent consideratio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11,06</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Deferred income taxe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Othe</w:t>
            </w:r>
            <w:r>
              <w:rPr>
                <w:sz w:val="18"/>
                <w:szCs w:val="18"/>
              </w:rPr>
              <w:t>r</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35</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Changes in operating assets and liabilities—net of acquisitions</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600"/>
              <w:rPr>
                <w:sz w:val="18"/>
                <w:szCs w:val="18"/>
              </w:rPr>
            </w:pPr>
            <w:r>
              <w:rPr>
                <w:sz w:val="18"/>
                <w:szCs w:val="18"/>
              </w:rPr>
              <w:t>Accounts receivable and contract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10,03</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29,02</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600"/>
              <w:rPr>
                <w:sz w:val="18"/>
                <w:szCs w:val="18"/>
              </w:rPr>
            </w:pPr>
            <w:r>
              <w:rPr>
                <w:sz w:val="18"/>
                <w:szCs w:val="18"/>
              </w:rPr>
              <w:t>Prepaid expenses and other current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1,77</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78</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600"/>
              <w:rPr>
                <w:sz w:val="18"/>
                <w:szCs w:val="18"/>
              </w:rPr>
            </w:pPr>
            <w:r>
              <w:rPr>
                <w:sz w:val="18"/>
                <w:szCs w:val="18"/>
              </w:rPr>
              <w:t>Accounts payable and other accrued liabilitie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12,85</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3,18</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600"/>
              <w:rPr>
                <w:sz w:val="18"/>
                <w:szCs w:val="18"/>
              </w:rPr>
            </w:pPr>
            <w:r>
              <w:rPr>
                <w:sz w:val="18"/>
                <w:szCs w:val="18"/>
              </w:rPr>
              <w:t>Accrued payroll and benefit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7,87</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2,05</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600"/>
              <w:rPr>
                <w:sz w:val="18"/>
                <w:szCs w:val="18"/>
              </w:rPr>
            </w:pPr>
            <w:r>
              <w:rPr>
                <w:sz w:val="18"/>
                <w:szCs w:val="18"/>
              </w:rPr>
              <w:t>Payment of contingent consideratio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19,45</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600"/>
              <w:rPr>
                <w:sz w:val="18"/>
                <w:szCs w:val="18"/>
              </w:rPr>
            </w:pPr>
            <w:r>
              <w:rPr>
                <w:sz w:val="18"/>
                <w:szCs w:val="18"/>
              </w:rPr>
              <w:t>Change in operating lease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2,12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1,87</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800"/>
              <w:rPr>
                <w:sz w:val="18"/>
                <w:szCs w:val="18"/>
              </w:rPr>
            </w:pPr>
            <w:r>
              <w:rPr>
                <w:sz w:val="18"/>
                <w:szCs w:val="18"/>
              </w:rPr>
              <w:t>Net cash used in operating activitie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18,32</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13,91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INVESTING ACTIVITIES</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Purchases of property and equipmen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26</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92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Proceeds received from corporate owned insuranc</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26</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Proprietary software development and other software cost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20</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Purchase price true up</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63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Cash paid for acquisitions—net of cash acquire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14,32</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6,27</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800"/>
              <w:rPr>
                <w:sz w:val="18"/>
                <w:szCs w:val="18"/>
              </w:rPr>
            </w:pPr>
            <w:r>
              <w:rPr>
                <w:sz w:val="18"/>
                <w:szCs w:val="18"/>
              </w:rPr>
              <w:t>Net cash used in investing activitie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15,00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7,39</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FINANCING ACTIVITIES</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Repayment of term loa</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4,37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54</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Payment of contingent consideratio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10,54</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Repayment of finance lease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94</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62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Proceeds from issuance of common stock for exercised stock option</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42</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2,18</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Dividend payment to the Series A-2 shareholder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4,10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4,10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Payments of deferred offering cost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18</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800"/>
              <w:rPr>
                <w:sz w:val="18"/>
                <w:szCs w:val="18"/>
              </w:rPr>
            </w:pPr>
            <w:r>
              <w:rPr>
                <w:sz w:val="18"/>
                <w:szCs w:val="18"/>
              </w:rPr>
              <w:t>Net cash used in financing activitie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19,71</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3,08</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CHANGE IN CASH, CASH EQUIVALENTS AND RESTRICTED CAS</w:t>
            </w:r>
            <w:r>
              <w:rPr>
                <w:sz w:val="18"/>
                <w:szCs w:val="18"/>
              </w:rPr>
              <w:t>H</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53,04</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24,39</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Foreign exchange impact on cash balanc</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CASH, CASH EQUIVALENTS AND RESTRICTED CASH</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Beginning of yea</w:t>
            </w:r>
            <w:r>
              <w:rPr>
                <w:sz w:val="18"/>
                <w:szCs w:val="18"/>
              </w:rPr>
              <w:t>r</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146,74</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34,88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End of perio</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93,79</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10,64</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SUPPLEMENTAL DISCLOSURES OF CASH FLOWS INFORMATION</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Cash paid for interes</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Cash paid for income ta</w:t>
            </w:r>
            <w:r>
              <w:rPr>
                <w:sz w:val="18"/>
                <w:szCs w:val="18"/>
              </w:rPr>
              <w:t>x</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SUPPLEMENTAL DISCLOSURES OF NON-CASH INVESTING AND FINANCING ACTIVITIES</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Accrued purchases of property and equipmen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59</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Property and equipment purchased under finance lease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51</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67</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Common stock issued to acquire new businesse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2,27</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ind w:left="400"/>
              <w:rPr>
                <w:sz w:val="18"/>
                <w:szCs w:val="18"/>
              </w:rPr>
            </w:pPr>
            <w:r>
              <w:rPr>
                <w:sz w:val="18"/>
                <w:szCs w:val="18"/>
              </w:rPr>
              <w:t>Acquisitions unpaid contingent consideratio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6,99</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67,33</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blCellSpacing w:w="15" w:type="dxa"/>
        </w:trPr>
        <w:tc>
          <w:tcPr>
            <w:tcW w:w="0" w:type="auto"/>
            <w:hideMark/>
          </w:tcPr>
          <w:p w:rsidR="00000000" w:rsidRDefault="002D33E3">
            <w:pPr>
              <w:pStyle w:val="a3"/>
              <w:spacing w:before="0" w:beforeAutospacing="0" w:after="0" w:afterAutospacing="0"/>
              <w:ind w:left="320"/>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D33E3">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2D33E3">
            <w:pPr>
              <w:pStyle w:val="a3"/>
              <w:spacing w:before="0" w:beforeAutospacing="0" w:after="0" w:afterAutospacing="0"/>
              <w:jc w:val="right"/>
              <w:rPr>
                <w:sz w:val="14"/>
                <w:szCs w:val="14"/>
              </w:rPr>
            </w:pPr>
            <w:r>
              <w:rPr>
                <w:sz w:val="14"/>
                <w:szCs w:val="14"/>
              </w:rPr>
              <w:t> </w:t>
            </w:r>
          </w:p>
        </w:tc>
      </w:tr>
      <w:tr w:rsidR="00000000">
        <w:trPr>
          <w:tblCellSpacing w:w="15" w:type="dxa"/>
        </w:trPr>
        <w:tc>
          <w:tcPr>
            <w:tcW w:w="0" w:type="auto"/>
            <w:vAlign w:val="bottom"/>
            <w:hideMark/>
          </w:tcPr>
          <w:p w:rsidR="00000000" w:rsidRDefault="002D33E3">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rFonts w:ascii="Calibri" w:hAnsi="Calibri" w:cs="Calibri"/>
                <w:sz w:val="14"/>
                <w:szCs w:val="14"/>
              </w:rPr>
              <w:t> </w:t>
            </w:r>
          </w:p>
        </w:tc>
        <w:tc>
          <w:tcPr>
            <w:tcW w:w="0" w:type="auto"/>
            <w:gridSpan w:val="2"/>
            <w:vAlign w:val="bottom"/>
            <w:hideMark/>
          </w:tcPr>
          <w:p w:rsidR="00000000" w:rsidRDefault="002D33E3">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rFonts w:ascii="Calibri" w:hAnsi="Calibri" w:cs="Calibri"/>
                <w:sz w:val="14"/>
                <w:szCs w:val="14"/>
              </w:rPr>
              <w:t> </w:t>
            </w:r>
          </w:p>
        </w:tc>
        <w:tc>
          <w:tcPr>
            <w:tcW w:w="0" w:type="auto"/>
            <w:gridSpan w:val="2"/>
            <w:vAlign w:val="bottom"/>
            <w:hideMark/>
          </w:tcPr>
          <w:p w:rsidR="00000000" w:rsidRDefault="002D33E3">
            <w:pPr>
              <w:pStyle w:val="a3"/>
              <w:spacing w:before="0" w:beforeAutospacing="0" w:after="0" w:afterAutospacing="0"/>
              <w:rPr>
                <w:sz w:val="14"/>
                <w:szCs w:val="14"/>
              </w:rPr>
            </w:pPr>
            <w:r>
              <w:rPr>
                <w:rFonts w:ascii="Calibri" w:hAnsi="Calibri" w:cs="Calibri"/>
                <w:sz w:val="14"/>
                <w:szCs w:val="14"/>
              </w:rPr>
              <w:t> </w:t>
            </w:r>
          </w:p>
        </w:tc>
        <w:tc>
          <w:tcPr>
            <w:tcW w:w="0" w:type="auto"/>
            <w:vAlign w:val="bottom"/>
            <w:hideMark/>
          </w:tcPr>
          <w:p w:rsidR="00000000" w:rsidRDefault="002D33E3">
            <w:pPr>
              <w:pStyle w:val="a3"/>
              <w:spacing w:before="0" w:beforeAutospacing="0" w:after="0" w:afterAutospacing="0"/>
              <w:rPr>
                <w:sz w:val="14"/>
                <w:szCs w:val="14"/>
              </w:rPr>
            </w:pPr>
            <w:r>
              <w:rPr>
                <w:rFonts w:ascii="Calibri" w:hAnsi="Calibri" w:cs="Calibri"/>
                <w:sz w:val="14"/>
                <w:szCs w:val="14"/>
              </w:rPr>
              <w:t> </w:t>
            </w:r>
          </w:p>
        </w:tc>
      </w:tr>
    </w:tbl>
    <w:p w:rsidR="00000000" w:rsidRDefault="002D33E3">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2D33E3">
      <w:pPr>
        <w:pStyle w:val="a3"/>
        <w:spacing w:before="240" w:beforeAutospacing="0" w:after="0" w:afterAutospacing="0"/>
        <w:jc w:val="center"/>
        <w:rPr>
          <w:sz w:val="20"/>
          <w:szCs w:val="20"/>
        </w:rPr>
      </w:pPr>
      <w:r>
        <w:rPr>
          <w:sz w:val="20"/>
          <w:szCs w:val="20"/>
        </w:rPr>
        <w:t>4</w:t>
      </w:r>
    </w:p>
    <w:p w:rsidR="00000000" w:rsidRDefault="002D33E3">
      <w:pPr>
        <w:rPr>
          <w:rFonts w:eastAsia="Times New Roman"/>
        </w:rPr>
      </w:pPr>
      <w:r>
        <w:rPr>
          <w:rFonts w:eastAsia="Times New Roman"/>
        </w:rPr>
        <w:pict>
          <v:rect id="_x0000_i1030"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2D33E3">
      <w:pPr>
        <w:pStyle w:val="a3"/>
        <w:spacing w:before="0" w:beforeAutospacing="0" w:after="0" w:afterAutospacing="0"/>
        <w:jc w:val="center"/>
        <w:rPr>
          <w:sz w:val="20"/>
          <w:szCs w:val="20"/>
        </w:rPr>
      </w:pPr>
      <w:r>
        <w:rPr>
          <w:b/>
          <w:bCs/>
          <w:sz w:val="20"/>
          <w:szCs w:val="20"/>
        </w:rPr>
        <w:t>NOTES TO UNAUDITED CONDENSED CONSOLIDATED FINANCIAL STATEMENT</w:t>
      </w:r>
      <w:r>
        <w:rPr>
          <w:b/>
          <w:bCs/>
          <w:sz w:val="20"/>
          <w:szCs w:val="20"/>
        </w:rPr>
        <w:t>S</w:t>
      </w:r>
    </w:p>
    <w:p w:rsidR="00000000" w:rsidRDefault="002D33E3">
      <w:pPr>
        <w:pStyle w:val="a3"/>
        <w:spacing w:before="0" w:beforeAutospacing="0" w:after="0" w:afterAutospacing="0"/>
        <w:jc w:val="center"/>
        <w:rPr>
          <w:sz w:val="20"/>
          <w:szCs w:val="20"/>
        </w:rPr>
      </w:pPr>
      <w:r>
        <w:rPr>
          <w:b/>
          <w:bCs/>
          <w:sz w:val="20"/>
          <w:szCs w:val="20"/>
        </w:rPr>
        <w:t>(In thousands, except where otherwise indicated</w:t>
      </w:r>
      <w:r>
        <w:rPr>
          <w:b/>
          <w:bCs/>
          <w:sz w:val="20"/>
          <w:szCs w:val="20"/>
        </w:rPr>
        <w:t>)</w:t>
      </w:r>
    </w:p>
    <w:p w:rsidR="00000000" w:rsidRDefault="002D33E3">
      <w:pPr>
        <w:pStyle w:val="a3"/>
        <w:spacing w:before="240" w:beforeAutospacing="0" w:after="0" w:afterAutospacing="0"/>
        <w:divId w:val="1056047316"/>
        <w:rPr>
          <w:sz w:val="20"/>
          <w:szCs w:val="20"/>
        </w:rPr>
      </w:pPr>
      <w:r>
        <w:rPr>
          <w:b/>
          <w:bCs/>
          <w:sz w:val="20"/>
          <w:szCs w:val="20"/>
        </w:rPr>
        <w:t>1. DESCRIPTION OF THE BUSINESS AND BASIS OF PRESENTATIO</w:t>
      </w:r>
      <w:r>
        <w:rPr>
          <w:b/>
          <w:bCs/>
          <w:sz w:val="20"/>
          <w:szCs w:val="20"/>
        </w:rPr>
        <w:t>N</w:t>
      </w:r>
    </w:p>
    <w:p w:rsidR="00000000" w:rsidRDefault="002D33E3">
      <w:pPr>
        <w:pStyle w:val="a3"/>
        <w:spacing w:before="240" w:beforeAutospacing="0" w:after="0" w:afterAutospacing="0"/>
        <w:ind w:firstLine="555"/>
        <w:divId w:val="1056047316"/>
        <w:rPr>
          <w:sz w:val="20"/>
          <w:szCs w:val="20"/>
        </w:rPr>
      </w:pPr>
      <w:r>
        <w:rPr>
          <w:b/>
          <w:bCs/>
          <w:sz w:val="20"/>
          <w:szCs w:val="20"/>
        </w:rPr>
        <w:t>Description of the Busines</w:t>
      </w:r>
      <w:r>
        <w:rPr>
          <w:b/>
          <w:bCs/>
          <w:sz w:val="20"/>
          <w:szCs w:val="20"/>
        </w:rPr>
        <w:t>s</w:t>
      </w:r>
      <w:r>
        <w:rPr>
          <w:sz w:val="20"/>
          <w:szCs w:val="20"/>
        </w:rPr>
        <w:t>—Montrose Environmental Group, Inc. (“Montrose” or the “Company”) is a corporation formed on</w:t>
      </w:r>
      <w:r>
        <w:rPr>
          <w:sz w:val="20"/>
          <w:szCs w:val="20"/>
        </w:rPr>
        <w:t xml:space="preserve"> </w:t>
      </w:r>
      <w:r>
        <w:rPr>
          <w:sz w:val="20"/>
          <w:szCs w:val="20"/>
        </w:rPr>
        <w:t>November 201</w:t>
      </w:r>
      <w:r>
        <w:rPr>
          <w:sz w:val="20"/>
          <w:szCs w:val="20"/>
        </w:rPr>
        <w:t>3</w:t>
      </w:r>
      <w:r>
        <w:rPr>
          <w:sz w:val="20"/>
          <w:szCs w:val="20"/>
        </w:rPr>
        <w:t>, under the laws of the State of Delaware. The Company has approximately</w:t>
      </w:r>
      <w:r>
        <w:rPr>
          <w:sz w:val="20"/>
          <w:szCs w:val="20"/>
        </w:rPr>
        <w:t xml:space="preserve"> </w:t>
      </w:r>
      <w:r>
        <w:rPr>
          <w:sz w:val="20"/>
          <w:szCs w:val="20"/>
        </w:rPr>
        <w:t>8</w:t>
      </w:r>
      <w:r>
        <w:rPr>
          <w:sz w:val="20"/>
          <w:szCs w:val="20"/>
        </w:rPr>
        <w:t>0</w:t>
      </w:r>
      <w:r>
        <w:rPr>
          <w:sz w:val="20"/>
          <w:szCs w:val="20"/>
        </w:rPr>
        <w:t xml:space="preserve"> offices across the United States, Canada and Au</w:t>
      </w:r>
      <w:r>
        <w:rPr>
          <w:sz w:val="20"/>
          <w:szCs w:val="20"/>
        </w:rPr>
        <w:t>stralia and over</w:t>
      </w:r>
      <w:r>
        <w:rPr>
          <w:sz w:val="20"/>
          <w:szCs w:val="20"/>
        </w:rPr>
        <w:t xml:space="preserve"> </w:t>
      </w:r>
      <w:r>
        <w:rPr>
          <w:sz w:val="20"/>
          <w:szCs w:val="20"/>
        </w:rPr>
        <w:t>2,70</w:t>
      </w:r>
      <w:r>
        <w:rPr>
          <w:sz w:val="20"/>
          <w:szCs w:val="20"/>
        </w:rPr>
        <w:t>0</w:t>
      </w:r>
      <w:r>
        <w:rPr>
          <w:sz w:val="20"/>
          <w:szCs w:val="20"/>
        </w:rPr>
        <w:t xml:space="preserve"> employees as of</w:t>
      </w:r>
      <w:r>
        <w:rPr>
          <w:sz w:val="20"/>
          <w:szCs w:val="20"/>
        </w:rPr>
        <w:t xml:space="preserve"> </w:t>
      </w:r>
      <w:r>
        <w:rPr>
          <w:sz w:val="20"/>
          <w:szCs w:val="20"/>
        </w:rPr>
        <w:t>March 31, 2022</w:t>
      </w:r>
      <w:r>
        <w:rPr>
          <w:sz w:val="20"/>
          <w:szCs w:val="20"/>
        </w:rPr>
        <w:t>.</w:t>
      </w:r>
      <w:r>
        <w:rPr>
          <w:sz w:val="20"/>
          <w:szCs w:val="20"/>
        </w:rPr>
        <w:t xml:space="preserve"> </w:t>
      </w:r>
    </w:p>
    <w:p w:rsidR="00000000" w:rsidRDefault="002D33E3">
      <w:pPr>
        <w:pStyle w:val="a3"/>
        <w:spacing w:before="240" w:beforeAutospacing="0" w:after="0" w:afterAutospacing="0"/>
        <w:ind w:firstLine="555"/>
        <w:divId w:val="1056047316"/>
        <w:rPr>
          <w:sz w:val="20"/>
          <w:szCs w:val="20"/>
        </w:rPr>
      </w:pPr>
      <w:r>
        <w:rPr>
          <w:sz w:val="20"/>
          <w:szCs w:val="20"/>
        </w:rPr>
        <w:t>Montrose is an environmental services company serving the recurring environmental needs of a diverse client base, including Fortune 500 companies and federal, state and local governments through the f</w:t>
      </w:r>
      <w:r>
        <w:rPr>
          <w:sz w:val="20"/>
          <w:szCs w:val="20"/>
        </w:rPr>
        <w:t>ollowing</w:t>
      </w:r>
      <w:r>
        <w:rPr>
          <w:sz w:val="20"/>
          <w:szCs w:val="20"/>
        </w:rPr>
        <w:t xml:space="preserve"> </w:t>
      </w:r>
      <w:r>
        <w:rPr>
          <w:sz w:val="20"/>
          <w:szCs w:val="20"/>
        </w:rPr>
        <w:t>thre</w:t>
      </w:r>
      <w:r>
        <w:rPr>
          <w:sz w:val="20"/>
          <w:szCs w:val="20"/>
        </w:rPr>
        <w:t>e</w:t>
      </w:r>
      <w:r>
        <w:rPr>
          <w:sz w:val="20"/>
          <w:szCs w:val="20"/>
        </w:rPr>
        <w:t xml:space="preserve"> segments</w:t>
      </w:r>
      <w:r>
        <w:rPr>
          <w:sz w:val="20"/>
          <w:szCs w:val="20"/>
        </w:rPr>
        <w:t>:</w:t>
      </w:r>
    </w:p>
    <w:p w:rsidR="00000000" w:rsidRDefault="002D33E3">
      <w:pPr>
        <w:pStyle w:val="a3"/>
        <w:spacing w:before="240" w:beforeAutospacing="0" w:after="0" w:afterAutospacing="0"/>
        <w:ind w:firstLine="555"/>
        <w:divId w:val="1056047316"/>
        <w:rPr>
          <w:sz w:val="20"/>
          <w:szCs w:val="20"/>
        </w:rPr>
      </w:pPr>
      <w:r>
        <w:rPr>
          <w:b/>
          <w:bCs/>
          <w:i/>
          <w:iCs/>
          <w:sz w:val="20"/>
          <w:szCs w:val="20"/>
        </w:rPr>
        <w:t>Assessment, Permitting and Respons</w:t>
      </w:r>
      <w:r>
        <w:rPr>
          <w:b/>
          <w:bCs/>
          <w:i/>
          <w:iCs/>
          <w:sz w:val="20"/>
          <w:szCs w:val="20"/>
        </w:rPr>
        <w:t>e</w:t>
      </w:r>
      <w:r>
        <w:rPr>
          <w:sz w:val="20"/>
          <w:szCs w:val="20"/>
        </w:rPr>
        <w:t xml:space="preserve">—Through its Assessment, Permitting and Response segment, Montrose provides scientific advisory and consulting services to support environmental assessments, environmental emergency response, and </w:t>
      </w:r>
      <w:r>
        <w:rPr>
          <w:sz w:val="20"/>
          <w:szCs w:val="20"/>
        </w:rPr>
        <w:t>environmental audits and permits for current operations, facility upgrades, new projects, decommissioning projects and development projects. The Company’s technical advisory and consulting offerings include regulatory compliance support and planning, envir</w:t>
      </w:r>
      <w:r>
        <w:rPr>
          <w:sz w:val="20"/>
          <w:szCs w:val="20"/>
        </w:rPr>
        <w:t>onmental, ecosystem and toxicological assessments and support during responses to environmental disruption. Montrose helps clients navigate regulations at the local, state, provincial and federal levels</w:t>
      </w:r>
      <w:r>
        <w:rPr>
          <w:sz w:val="20"/>
          <w:szCs w:val="20"/>
        </w:rPr>
        <w:t>.</w:t>
      </w:r>
    </w:p>
    <w:p w:rsidR="00000000" w:rsidRDefault="002D33E3">
      <w:pPr>
        <w:pStyle w:val="a3"/>
        <w:spacing w:before="240" w:beforeAutospacing="0" w:after="0" w:afterAutospacing="0"/>
        <w:ind w:firstLine="555"/>
        <w:divId w:val="1056047316"/>
        <w:rPr>
          <w:sz w:val="20"/>
          <w:szCs w:val="20"/>
        </w:rPr>
      </w:pPr>
      <w:r>
        <w:rPr>
          <w:b/>
          <w:bCs/>
          <w:i/>
          <w:iCs/>
          <w:sz w:val="20"/>
          <w:szCs w:val="20"/>
        </w:rPr>
        <w:t>Measurement and Analysi</w:t>
      </w:r>
      <w:r>
        <w:rPr>
          <w:b/>
          <w:bCs/>
          <w:i/>
          <w:iCs/>
          <w:sz w:val="20"/>
          <w:szCs w:val="20"/>
        </w:rPr>
        <w:t>s</w:t>
      </w:r>
      <w:r>
        <w:rPr>
          <w:sz w:val="20"/>
          <w:szCs w:val="20"/>
        </w:rPr>
        <w:t>—Through its Measurement and</w:t>
      </w:r>
      <w:r>
        <w:rPr>
          <w:sz w:val="20"/>
          <w:szCs w:val="20"/>
        </w:rPr>
        <w:t xml:space="preserve"> Analysis segment, Montrose’s teams test and analyze air, water and soil to determine concentrations of contaminants, as well as the toxicological impact of contaminants on flora, fauna and human health. Montrose’s offerings include source and ambient air </w:t>
      </w:r>
      <w:r>
        <w:rPr>
          <w:sz w:val="20"/>
          <w:szCs w:val="20"/>
        </w:rPr>
        <w:t>testing and monitoring, leak detection and repair (“LDAR”) and advanced analytical laboratory services such as air, storm water, wastewater and drinking water analysis</w:t>
      </w:r>
      <w:r>
        <w:rPr>
          <w:sz w:val="20"/>
          <w:szCs w:val="20"/>
        </w:rPr>
        <w:t>.</w:t>
      </w:r>
    </w:p>
    <w:p w:rsidR="00000000" w:rsidRDefault="002D33E3">
      <w:pPr>
        <w:pStyle w:val="a3"/>
        <w:spacing w:before="240" w:beforeAutospacing="0" w:after="0" w:afterAutospacing="0"/>
        <w:ind w:firstLine="555"/>
        <w:divId w:val="1056047316"/>
        <w:rPr>
          <w:sz w:val="20"/>
          <w:szCs w:val="20"/>
        </w:rPr>
      </w:pPr>
      <w:r>
        <w:rPr>
          <w:b/>
          <w:bCs/>
          <w:i/>
          <w:iCs/>
          <w:sz w:val="20"/>
          <w:szCs w:val="20"/>
        </w:rPr>
        <w:t>Remediation and Reus</w:t>
      </w:r>
      <w:r>
        <w:rPr>
          <w:b/>
          <w:bCs/>
          <w:i/>
          <w:iCs/>
          <w:sz w:val="20"/>
          <w:szCs w:val="20"/>
        </w:rPr>
        <w:t>e</w:t>
      </w:r>
      <w:r>
        <w:rPr>
          <w:sz w:val="20"/>
          <w:szCs w:val="20"/>
        </w:rPr>
        <w:t>—Through its Remediation and Reuse segment, Montrose provides clie</w:t>
      </w:r>
      <w:r>
        <w:rPr>
          <w:sz w:val="20"/>
          <w:szCs w:val="20"/>
        </w:rPr>
        <w:t>nts with engineering, design, implementation and operations and maintenance services, primarily to treat contaminated water, remove contaminants from soil or create biogas from waste. The Company does not own the properties or facilities at which it implem</w:t>
      </w:r>
      <w:r>
        <w:rPr>
          <w:sz w:val="20"/>
          <w:szCs w:val="20"/>
        </w:rPr>
        <w:t>ents these projects or the underlying liabilities, nor does it own material amounts of the equipment used in projects; instead, the Company assists clients in designing solutions, managing projects and mitigating their environmental risks and liabilities a</w:t>
      </w:r>
      <w:r>
        <w:rPr>
          <w:sz w:val="20"/>
          <w:szCs w:val="20"/>
        </w:rPr>
        <w:t>t their locations</w:t>
      </w:r>
      <w:r>
        <w:rPr>
          <w:sz w:val="20"/>
          <w:szCs w:val="20"/>
        </w:rPr>
        <w:t>.</w:t>
      </w:r>
    </w:p>
    <w:p w:rsidR="00000000" w:rsidRDefault="002D33E3">
      <w:pPr>
        <w:pStyle w:val="a3"/>
        <w:spacing w:before="240" w:beforeAutospacing="0" w:after="0" w:afterAutospacing="0"/>
        <w:ind w:firstLine="555"/>
        <w:divId w:val="360010466"/>
        <w:rPr>
          <w:sz w:val="20"/>
          <w:szCs w:val="20"/>
        </w:rPr>
      </w:pPr>
      <w:r>
        <w:rPr>
          <w:b/>
          <w:bCs/>
          <w:sz w:val="20"/>
          <w:szCs w:val="20"/>
        </w:rPr>
        <w:t>Basis of Presentatio</w:t>
      </w:r>
      <w:r>
        <w:rPr>
          <w:b/>
          <w:bCs/>
          <w:sz w:val="20"/>
          <w:szCs w:val="20"/>
        </w:rPr>
        <w:t>n</w:t>
      </w:r>
      <w:r>
        <w:rPr>
          <w:sz w:val="20"/>
          <w:szCs w:val="20"/>
        </w:rPr>
        <w:t>—The unaudited condensed consolidated financial statements include the operations of the Company and its wholly-owned subsidiaries. These unaudited condensed consolidated financial statements are presented in conform</w:t>
      </w:r>
      <w:r>
        <w:rPr>
          <w:sz w:val="20"/>
          <w:szCs w:val="20"/>
        </w:rPr>
        <w:t>ity with accounting principles generally accepted in the United States (“U.S. GAAP”) and have been prepared pursuant to the rules and regulations of the U.S. Securities and Exchange Commission (“SEC”) that permit reduced disclosure for interim periods. The</w:t>
      </w:r>
      <w:r>
        <w:rPr>
          <w:sz w:val="20"/>
          <w:szCs w:val="20"/>
        </w:rPr>
        <w:t xml:space="preserve"> unaudited condensed consolidated financial statements include all accounts of the Company and, in the opinion of management, include all recurring adjustments and normal accruals necessary for a fair statement of the Company’s financial position, results </w:t>
      </w:r>
      <w:r>
        <w:rPr>
          <w:sz w:val="20"/>
          <w:szCs w:val="20"/>
        </w:rPr>
        <w:t>of operations and cash flows for the dates and periods presented. These unaudited condensed consolidated financial statements should be read in conjunction with the Company’s audited financial statements as of and for the year ended December 31, 2021. Resu</w:t>
      </w:r>
      <w:r>
        <w:rPr>
          <w:sz w:val="20"/>
          <w:szCs w:val="20"/>
        </w:rPr>
        <w:t>lts for interim periods are not necessarily indicative of the results to be expected during the remainder of the current year or for any future period. All intercompany transactions, accounts and profits, have been eliminated in the unaudited condensed con</w:t>
      </w:r>
      <w:r>
        <w:rPr>
          <w:sz w:val="20"/>
          <w:szCs w:val="20"/>
        </w:rPr>
        <w:t>solidated financial statements</w:t>
      </w:r>
      <w:r>
        <w:rPr>
          <w:sz w:val="20"/>
          <w:szCs w:val="20"/>
        </w:rPr>
        <w:t>.</w:t>
      </w:r>
    </w:p>
    <w:p w:rsidR="00000000" w:rsidRDefault="002D33E3">
      <w:pPr>
        <w:pStyle w:val="a3"/>
        <w:spacing w:before="240" w:beforeAutospacing="0" w:after="0" w:afterAutospacing="0"/>
        <w:ind w:firstLine="555"/>
        <w:divId w:val="360010466"/>
        <w:rPr>
          <w:sz w:val="20"/>
          <w:szCs w:val="20"/>
        </w:rPr>
      </w:pPr>
      <w:r>
        <w:rPr>
          <w:sz w:val="20"/>
          <w:szCs w:val="20"/>
        </w:rPr>
        <w:t>As disclosed in the Company's 2021 Annual Report on Form 10-K, in June 2021, with an effective adoption date of January 1, 2021, the Company</w:t>
      </w:r>
      <w:r>
        <w:rPr>
          <w:sz w:val="20"/>
          <w:szCs w:val="20"/>
        </w:rPr>
        <w:t xml:space="preserve"> </w:t>
      </w:r>
      <w:r>
        <w:rPr>
          <w:sz w:val="20"/>
          <w:szCs w:val="20"/>
        </w:rPr>
        <w:t>adopted Accounting Standard Codification ("ASC") 842, Leases. As a result, the Comp</w:t>
      </w:r>
      <w:r>
        <w:rPr>
          <w:sz w:val="20"/>
          <w:szCs w:val="20"/>
        </w:rPr>
        <w:t>any has adjusted the previously reported unaudited condensed consolidated financial statements effective January 1, 2021. The retroactive adoption of ASC 842 resulted in adjustments to depreciation and amortization expense and other income (expense) financ</w:t>
      </w:r>
      <w:r>
        <w:rPr>
          <w:sz w:val="20"/>
          <w:szCs w:val="20"/>
        </w:rPr>
        <w:t xml:space="preserve">ial statement line items amounting to </w:t>
      </w:r>
      <w:r>
        <w:rPr>
          <w:sz w:val="20"/>
          <w:szCs w:val="20"/>
        </w:rPr>
        <w:t>$</w:t>
      </w:r>
      <w:r>
        <w:rPr>
          <w:sz w:val="20"/>
          <w:szCs w:val="20"/>
        </w:rPr>
        <w:t>1.</w:t>
      </w:r>
      <w:r>
        <w:rPr>
          <w:sz w:val="20"/>
          <w:szCs w:val="20"/>
        </w:rPr>
        <w:t>0</w:t>
      </w:r>
      <w:r>
        <w:rPr>
          <w:sz w:val="20"/>
          <w:szCs w:val="20"/>
        </w:rPr>
        <w:t xml:space="preserve"> million and </w:t>
      </w:r>
      <w:r>
        <w:rPr>
          <w:sz w:val="20"/>
          <w:szCs w:val="20"/>
        </w:rPr>
        <w:t>$</w:t>
      </w:r>
      <w:r>
        <w:rPr>
          <w:sz w:val="20"/>
          <w:szCs w:val="20"/>
        </w:rPr>
        <w:t>0.</w:t>
      </w:r>
      <w:r>
        <w:rPr>
          <w:sz w:val="20"/>
          <w:szCs w:val="20"/>
        </w:rPr>
        <w:t>3</w:t>
      </w:r>
      <w:r>
        <w:rPr>
          <w:sz w:val="20"/>
          <w:szCs w:val="20"/>
        </w:rPr>
        <w:t xml:space="preserve"> million, respectively. The total impact to net loss was an increase of </w:t>
      </w:r>
      <w:r>
        <w:rPr>
          <w:sz w:val="20"/>
          <w:szCs w:val="20"/>
        </w:rPr>
        <w:t>$</w:t>
      </w:r>
      <w:r>
        <w:rPr>
          <w:sz w:val="20"/>
          <w:szCs w:val="20"/>
        </w:rPr>
        <w:t>1.</w:t>
      </w:r>
      <w:r>
        <w:rPr>
          <w:sz w:val="20"/>
          <w:szCs w:val="20"/>
        </w:rPr>
        <w:t>3</w:t>
      </w:r>
      <w:r>
        <w:rPr>
          <w:sz w:val="20"/>
          <w:szCs w:val="20"/>
        </w:rPr>
        <w:t xml:space="preserve"> million. Though net cash provided by operating, investing, and financing activities were unchanged, the standard did aff</w:t>
      </w:r>
      <w:r>
        <w:rPr>
          <w:sz w:val="20"/>
          <w:szCs w:val="20"/>
        </w:rPr>
        <w:t>ect certain operating cash flow line items within the Company’s unaudited condensed consolidated statements of cash flows for the three months ended March 31, 2021. See Note 6</w:t>
      </w:r>
      <w:r>
        <w:rPr>
          <w:sz w:val="20"/>
          <w:szCs w:val="20"/>
        </w:rPr>
        <w:t>.</w:t>
      </w:r>
    </w:p>
    <w:p w:rsidR="00000000" w:rsidRDefault="002D33E3">
      <w:pPr>
        <w:pStyle w:val="a3"/>
        <w:spacing w:before="360" w:beforeAutospacing="0" w:after="0" w:afterAutospacing="0"/>
        <w:divId w:val="108670261"/>
        <w:rPr>
          <w:sz w:val="20"/>
          <w:szCs w:val="20"/>
        </w:rPr>
      </w:pPr>
      <w:r>
        <w:rPr>
          <w:b/>
          <w:bCs/>
          <w:sz w:val="20"/>
          <w:szCs w:val="20"/>
        </w:rPr>
        <w:t>2. SUMMARY OF NEW ACCOUNTING PRONOUNCEMENT</w:t>
      </w:r>
      <w:r>
        <w:rPr>
          <w:b/>
          <w:bCs/>
          <w:sz w:val="20"/>
          <w:szCs w:val="20"/>
        </w:rPr>
        <w:t>S</w:t>
      </w:r>
    </w:p>
    <w:p w:rsidR="00000000" w:rsidRDefault="002D33E3">
      <w:pPr>
        <w:pStyle w:val="a3"/>
        <w:spacing w:before="240" w:beforeAutospacing="0" w:after="0" w:afterAutospacing="0"/>
        <w:ind w:firstLine="555"/>
        <w:divId w:val="1133060112"/>
        <w:rPr>
          <w:sz w:val="20"/>
          <w:szCs w:val="20"/>
        </w:rPr>
      </w:pPr>
      <w:r>
        <w:rPr>
          <w:b/>
          <w:bCs/>
          <w:sz w:val="20"/>
          <w:szCs w:val="20"/>
        </w:rPr>
        <w:t>Recently Adopted Accounting Pronoun</w:t>
      </w:r>
      <w:r>
        <w:rPr>
          <w:b/>
          <w:bCs/>
          <w:sz w:val="20"/>
          <w:szCs w:val="20"/>
        </w:rPr>
        <w:t>cement</w:t>
      </w:r>
      <w:r>
        <w:rPr>
          <w:b/>
          <w:bCs/>
          <w:sz w:val="20"/>
          <w:szCs w:val="20"/>
        </w:rPr>
        <w:t>s</w:t>
      </w:r>
      <w:r>
        <w:rPr>
          <w:sz w:val="20"/>
          <w:szCs w:val="20"/>
        </w:rPr>
        <w:t>—Through the end of the year ended December 31, 2021, the Company qualified as an emerging growth company as defined in the Jumpstart Our Business Startups Act of 2012 (“JOBS Act”) and therefore has historically taken advantage of certain exemptions</w:t>
      </w:r>
      <w:r>
        <w:rPr>
          <w:sz w:val="20"/>
          <w:szCs w:val="20"/>
        </w:rPr>
        <w:t xml:space="preserve"> from various public company reporting requirements, including delaying adoption of new or revised accounting standards until those standards apply to private companies. The Company elected to use thi</w:t>
      </w:r>
      <w:r>
        <w:rPr>
          <w:sz w:val="20"/>
          <w:szCs w:val="20"/>
        </w:rPr>
        <w:t>s</w:t>
      </w:r>
      <w:r>
        <w:rPr>
          <w:sz w:val="20"/>
          <w:szCs w:val="20"/>
        </w:rPr>
        <w:t xml:space="preserve"> </w:t>
      </w:r>
    </w:p>
    <w:p w:rsidR="00000000" w:rsidRDefault="002D33E3">
      <w:pPr>
        <w:pStyle w:val="a3"/>
        <w:spacing w:before="240" w:beforeAutospacing="0" w:after="0" w:afterAutospacing="0"/>
        <w:jc w:val="center"/>
        <w:divId w:val="1133060112"/>
        <w:rPr>
          <w:sz w:val="20"/>
          <w:szCs w:val="20"/>
        </w:rPr>
      </w:pPr>
      <w:r>
        <w:rPr>
          <w:sz w:val="20"/>
          <w:szCs w:val="20"/>
        </w:rPr>
        <w:t>5</w:t>
      </w:r>
    </w:p>
    <w:p w:rsidR="00000000" w:rsidRDefault="002D33E3">
      <w:pPr>
        <w:divId w:val="1133060112"/>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2D33E3">
      <w:pPr>
        <w:pStyle w:val="a3"/>
        <w:spacing w:before="0" w:beforeAutospacing="0" w:after="0" w:afterAutospacing="0"/>
        <w:divId w:val="1133060112"/>
        <w:rPr>
          <w:sz w:val="20"/>
          <w:szCs w:val="20"/>
        </w:rPr>
      </w:pPr>
      <w:r>
        <w:rPr>
          <w:sz w:val="20"/>
          <w:szCs w:val="20"/>
        </w:rPr>
        <w:t> </w:t>
      </w:r>
    </w:p>
    <w:p w:rsidR="00000000" w:rsidRDefault="002D33E3">
      <w:pPr>
        <w:pStyle w:val="a3"/>
        <w:spacing w:before="240" w:beforeAutospacing="0" w:after="0" w:afterAutospacing="0"/>
        <w:divId w:val="1133060112"/>
        <w:rPr>
          <w:sz w:val="20"/>
          <w:szCs w:val="20"/>
        </w:rPr>
      </w:pPr>
      <w:r>
        <w:rPr>
          <w:sz w:val="20"/>
          <w:szCs w:val="20"/>
        </w:rPr>
        <w:t>extended tra</w:t>
      </w:r>
      <w:r>
        <w:rPr>
          <w:sz w:val="20"/>
          <w:szCs w:val="20"/>
        </w:rPr>
        <w:t>nsition period under the JOBS Act. The adoption dates discussed below are based on the Company no longer qualifying as an emerging growth company</w:t>
      </w:r>
      <w:r>
        <w:rPr>
          <w:sz w:val="20"/>
          <w:szCs w:val="20"/>
        </w:rPr>
        <w:t>.</w:t>
      </w:r>
    </w:p>
    <w:p w:rsidR="00000000" w:rsidRDefault="002D33E3">
      <w:pPr>
        <w:pStyle w:val="a3"/>
        <w:spacing w:before="240" w:beforeAutospacing="0" w:after="0" w:afterAutospacing="0"/>
        <w:ind w:firstLine="555"/>
        <w:divId w:val="1133060112"/>
        <w:rPr>
          <w:sz w:val="20"/>
          <w:szCs w:val="20"/>
        </w:rPr>
      </w:pPr>
      <w:r>
        <w:rPr>
          <w:sz w:val="20"/>
          <w:szCs w:val="20"/>
        </w:rPr>
        <w:t>In August 2020, the Financial Accounting Standards Board ("FASB") issued Accounting Standard Update ("ASU") 2</w:t>
      </w:r>
      <w:r>
        <w:rPr>
          <w:sz w:val="20"/>
          <w:szCs w:val="20"/>
        </w:rPr>
        <w:t>020-06, Debt—Debt with Conversion and Other Options (Subtopic 470-20) and Derivatives and Hedging—Contracts in Entity’s Own Equity (Subtopic 815-40)—Accounting for Convertible Instruments and Contracts in an Entity’s Own Equity. The ASU simplifies accounti</w:t>
      </w:r>
      <w:r>
        <w:rPr>
          <w:sz w:val="20"/>
          <w:szCs w:val="20"/>
        </w:rPr>
        <w:t>ng for convertible instruments by removing major separation models required under current U.S. GAAP. Consequently, more convertible debt instruments will be reported as a single liability instrument with no separate accounting for embedded conversion featu</w:t>
      </w:r>
      <w:r>
        <w:rPr>
          <w:sz w:val="20"/>
          <w:szCs w:val="20"/>
        </w:rPr>
        <w:t>res. The ASU removes certain settlement conditions that are required for equity contracts to qualify for the derivative scope exception, which will permit more equity contracts to qualify for the exception. The ASU also simplifies the diluted net income pe</w:t>
      </w:r>
      <w:r>
        <w:rPr>
          <w:sz w:val="20"/>
          <w:szCs w:val="20"/>
        </w:rPr>
        <w:t>r share calculation in certain areas. The new guidance is effective for fiscal years beginning after December 15, 2021, including interim periods within those fiscal years, and early adoption is permitted. The new guidance was</w:t>
      </w:r>
      <w:r>
        <w:rPr>
          <w:sz w:val="20"/>
          <w:szCs w:val="20"/>
        </w:rPr>
        <w:t xml:space="preserve"> </w:t>
      </w:r>
      <w:r>
        <w:rPr>
          <w:sz w:val="20"/>
          <w:szCs w:val="20"/>
        </w:rPr>
        <w:t>adopte</w:t>
      </w:r>
      <w:r>
        <w:rPr>
          <w:sz w:val="20"/>
          <w:szCs w:val="20"/>
        </w:rPr>
        <w:t>d</w:t>
      </w:r>
      <w:r>
        <w:rPr>
          <w:sz w:val="20"/>
          <w:szCs w:val="20"/>
        </w:rPr>
        <w:t xml:space="preserve"> as of</w:t>
      </w:r>
      <w:r>
        <w:rPr>
          <w:sz w:val="20"/>
          <w:szCs w:val="20"/>
        </w:rPr>
        <w:t xml:space="preserve"> </w:t>
      </w:r>
      <w:r>
        <w:rPr>
          <w:sz w:val="20"/>
          <w:szCs w:val="20"/>
        </w:rPr>
        <w:t>January 1, 202</w:t>
      </w:r>
      <w:r>
        <w:rPr>
          <w:sz w:val="20"/>
          <w:szCs w:val="20"/>
        </w:rPr>
        <w:t>2</w:t>
      </w:r>
      <w:r>
        <w:rPr>
          <w:sz w:val="20"/>
          <w:szCs w:val="20"/>
        </w:rPr>
        <w:t xml:space="preserve"> and did</w:t>
      </w:r>
      <w:r>
        <w:rPr>
          <w:sz w:val="20"/>
          <w:szCs w:val="20"/>
        </w:rPr>
        <w:t xml:space="preserve"> </w:t>
      </w:r>
      <w:r>
        <w:rPr>
          <w:sz w:val="20"/>
          <w:szCs w:val="20"/>
        </w:rPr>
        <w:t>no</w:t>
      </w:r>
      <w:r>
        <w:rPr>
          <w:sz w:val="20"/>
          <w:szCs w:val="20"/>
        </w:rPr>
        <w:t>t</w:t>
      </w:r>
      <w:r>
        <w:rPr>
          <w:sz w:val="20"/>
          <w:szCs w:val="20"/>
        </w:rPr>
        <w:t xml:space="preserve"> have a material impact on the Company’s consolidated financial statements</w:t>
      </w:r>
      <w:r>
        <w:rPr>
          <w:sz w:val="20"/>
          <w:szCs w:val="20"/>
        </w:rPr>
        <w:t>.</w:t>
      </w:r>
    </w:p>
    <w:p w:rsidR="00000000" w:rsidRDefault="002D33E3">
      <w:pPr>
        <w:pStyle w:val="a3"/>
        <w:spacing w:before="240" w:beforeAutospacing="0" w:after="0" w:afterAutospacing="0"/>
        <w:ind w:firstLine="555"/>
        <w:divId w:val="1133060112"/>
        <w:rPr>
          <w:sz w:val="20"/>
          <w:szCs w:val="20"/>
        </w:rPr>
      </w:pPr>
      <w:r>
        <w:rPr>
          <w:b/>
          <w:bCs/>
          <w:sz w:val="20"/>
          <w:szCs w:val="20"/>
        </w:rPr>
        <w:t>Recently Issued Accounting Pronouncements Not Yet Adopte</w:t>
      </w:r>
      <w:r>
        <w:rPr>
          <w:b/>
          <w:bCs/>
          <w:sz w:val="20"/>
          <w:szCs w:val="20"/>
        </w:rPr>
        <w:t>d</w:t>
      </w:r>
      <w:r>
        <w:rPr>
          <w:sz w:val="20"/>
          <w:szCs w:val="20"/>
        </w:rPr>
        <w:t>—In October 2021, the FASB issued ASU No. 2021-08, Business Combinations (Topic 805):Accounting for Contract As</w:t>
      </w:r>
      <w:r>
        <w:rPr>
          <w:sz w:val="20"/>
          <w:szCs w:val="20"/>
        </w:rPr>
        <w:t>sets and Contract Liabilities from Contracts with Customers. Under the new guidance (ASC 805-20-30-28), the acquirer should determine what contract assets and/or contract liabilities it would have recorded under ASC 606 (the revenue guidance) as of the acq</w:t>
      </w:r>
      <w:r>
        <w:rPr>
          <w:sz w:val="20"/>
          <w:szCs w:val="20"/>
        </w:rPr>
        <w:t>uisition date, as if the acquirer had entered into the original contract at the same date and on the same terms as the acquiree. The new guidance is effective for fiscal years beginning after December 15, 2022, including interim periods within those fiscal</w:t>
      </w:r>
      <w:r>
        <w:rPr>
          <w:sz w:val="20"/>
          <w:szCs w:val="20"/>
        </w:rPr>
        <w:t xml:space="preserve"> years. The Company is currently evaluating the impact of the adoption of the standard on the consolidated financial statements</w:t>
      </w:r>
      <w:r>
        <w:rPr>
          <w:sz w:val="20"/>
          <w:szCs w:val="20"/>
        </w:rPr>
        <w:t>.</w:t>
      </w:r>
    </w:p>
    <w:p w:rsidR="00000000" w:rsidRDefault="002D33E3">
      <w:pPr>
        <w:pStyle w:val="a3"/>
        <w:spacing w:before="360" w:beforeAutospacing="0" w:after="0" w:afterAutospacing="0"/>
        <w:divId w:val="889220081"/>
        <w:rPr>
          <w:sz w:val="20"/>
          <w:szCs w:val="20"/>
        </w:rPr>
      </w:pPr>
      <w:r>
        <w:rPr>
          <w:b/>
          <w:bCs/>
          <w:sz w:val="20"/>
          <w:szCs w:val="20"/>
        </w:rPr>
        <w:t>3. REVENUES AND ACCOUNTS RECEIVABL</w:t>
      </w:r>
      <w:r>
        <w:rPr>
          <w:b/>
          <w:bCs/>
          <w:sz w:val="20"/>
          <w:szCs w:val="20"/>
        </w:rPr>
        <w:t>E</w:t>
      </w:r>
    </w:p>
    <w:p w:rsidR="00000000" w:rsidRDefault="002D33E3">
      <w:pPr>
        <w:pStyle w:val="a3"/>
        <w:spacing w:before="240" w:beforeAutospacing="0" w:after="0" w:afterAutospacing="0"/>
        <w:ind w:firstLine="555"/>
        <w:divId w:val="889220081"/>
        <w:rPr>
          <w:sz w:val="20"/>
          <w:szCs w:val="20"/>
        </w:rPr>
      </w:pPr>
      <w:r>
        <w:rPr>
          <w:sz w:val="20"/>
          <w:szCs w:val="20"/>
        </w:rPr>
        <w:t>The Company’s main revenue sources derive from the following revenue streams</w:t>
      </w:r>
      <w:r>
        <w:rPr>
          <w:sz w:val="20"/>
          <w:szCs w:val="20"/>
        </w:rPr>
        <w:t>:</w:t>
      </w:r>
    </w:p>
    <w:p w:rsidR="00000000" w:rsidRDefault="002D33E3">
      <w:pPr>
        <w:pStyle w:val="a3"/>
        <w:spacing w:before="240" w:beforeAutospacing="0" w:after="0" w:afterAutospacing="0"/>
        <w:ind w:firstLine="555"/>
        <w:divId w:val="889220081"/>
        <w:rPr>
          <w:sz w:val="20"/>
          <w:szCs w:val="20"/>
        </w:rPr>
      </w:pPr>
      <w:r>
        <w:rPr>
          <w:b/>
          <w:bCs/>
          <w:sz w:val="20"/>
          <w:szCs w:val="20"/>
        </w:rPr>
        <w:t>Assessment, P</w:t>
      </w:r>
      <w:r>
        <w:rPr>
          <w:b/>
          <w:bCs/>
          <w:sz w:val="20"/>
          <w:szCs w:val="20"/>
        </w:rPr>
        <w:t>ermitting and Response Revenue</w:t>
      </w:r>
      <w:r>
        <w:rPr>
          <w:b/>
          <w:bCs/>
          <w:sz w:val="20"/>
          <w:szCs w:val="20"/>
        </w:rPr>
        <w:t>s</w:t>
      </w:r>
      <w:r>
        <w:rPr>
          <w:sz w:val="20"/>
          <w:szCs w:val="20"/>
        </w:rPr>
        <w:t>—Assessment, Permitting and Response revenues are generated from multidisciplinary environmental consulting services. The majority of the contracts are fixed-price or time and material based</w:t>
      </w:r>
      <w:r>
        <w:rPr>
          <w:sz w:val="20"/>
          <w:szCs w:val="20"/>
        </w:rPr>
        <w:t>.</w:t>
      </w:r>
    </w:p>
    <w:p w:rsidR="00000000" w:rsidRDefault="002D33E3">
      <w:pPr>
        <w:pStyle w:val="a3"/>
        <w:spacing w:before="240" w:beforeAutospacing="0" w:after="0" w:afterAutospacing="0"/>
        <w:ind w:firstLine="555"/>
        <w:divId w:val="889220081"/>
        <w:rPr>
          <w:sz w:val="20"/>
          <w:szCs w:val="20"/>
        </w:rPr>
      </w:pPr>
      <w:r>
        <w:rPr>
          <w:b/>
          <w:bCs/>
          <w:sz w:val="20"/>
          <w:szCs w:val="20"/>
        </w:rPr>
        <w:t>Measurement and Analysis Revenue</w:t>
      </w:r>
      <w:r>
        <w:rPr>
          <w:b/>
          <w:bCs/>
          <w:sz w:val="20"/>
          <w:szCs w:val="20"/>
        </w:rPr>
        <w:t>s</w:t>
      </w:r>
      <w:r>
        <w:rPr>
          <w:sz w:val="20"/>
          <w:szCs w:val="20"/>
        </w:rPr>
        <w:t>—Measurement and Analysis revenues are generated from emissions sampling, testing and reporting services, leak detection services, ambient air monitoring services and laboratory testing services. The majority of the contracts are fixed-price or time-and-ma</w:t>
      </w:r>
      <w:r>
        <w:rPr>
          <w:sz w:val="20"/>
          <w:szCs w:val="20"/>
        </w:rPr>
        <w:t>terials based</w:t>
      </w:r>
      <w:r>
        <w:rPr>
          <w:sz w:val="20"/>
          <w:szCs w:val="20"/>
        </w:rPr>
        <w:t>.</w:t>
      </w:r>
    </w:p>
    <w:p w:rsidR="00000000" w:rsidRDefault="002D33E3">
      <w:pPr>
        <w:pStyle w:val="a3"/>
        <w:spacing w:before="240" w:beforeAutospacing="0" w:after="0" w:afterAutospacing="0"/>
        <w:ind w:firstLine="555"/>
        <w:divId w:val="889220081"/>
        <w:rPr>
          <w:sz w:val="20"/>
          <w:szCs w:val="20"/>
        </w:rPr>
      </w:pPr>
      <w:r>
        <w:rPr>
          <w:b/>
          <w:bCs/>
          <w:sz w:val="20"/>
          <w:szCs w:val="20"/>
        </w:rPr>
        <w:t>Remediation and Reuse Revenue</w:t>
      </w:r>
      <w:r>
        <w:rPr>
          <w:b/>
          <w:bCs/>
          <w:sz w:val="20"/>
          <w:szCs w:val="20"/>
        </w:rPr>
        <w:t>s</w:t>
      </w:r>
      <w:r>
        <w:rPr>
          <w:sz w:val="20"/>
          <w:szCs w:val="20"/>
        </w:rPr>
        <w:t>—Remediation and Reuse revenues are generated from operating and maintenance (“O&amp;M”) services (on biogas and waste water treatment facilities), as well as remediation, monitoring and environmental compliance ser</w:t>
      </w:r>
      <w:r>
        <w:rPr>
          <w:sz w:val="20"/>
          <w:szCs w:val="20"/>
        </w:rPr>
        <w:t>vices. Services on the majority of O&amp;M contracts are provided under long-term fixed-fee contracts. Remediation, monitoring and environmental compliance contracts are predominantly fixed-fee and time-and-materials based</w:t>
      </w:r>
      <w:r>
        <w:rPr>
          <w:sz w:val="20"/>
          <w:szCs w:val="20"/>
        </w:rPr>
        <w:t>.</w:t>
      </w:r>
    </w:p>
    <w:p w:rsidR="00000000" w:rsidRDefault="002D33E3">
      <w:pPr>
        <w:pStyle w:val="a3"/>
        <w:spacing w:before="240" w:beforeAutospacing="0" w:after="0" w:afterAutospacing="0"/>
        <w:ind w:firstLine="555"/>
        <w:divId w:val="889220081"/>
        <w:rPr>
          <w:sz w:val="20"/>
          <w:szCs w:val="20"/>
        </w:rPr>
      </w:pPr>
      <w:r>
        <w:rPr>
          <w:b/>
          <w:bCs/>
          <w:sz w:val="20"/>
          <w:szCs w:val="20"/>
        </w:rPr>
        <w:t>Disaggregation of Revenu</w:t>
      </w:r>
      <w:r>
        <w:rPr>
          <w:b/>
          <w:bCs/>
          <w:sz w:val="20"/>
          <w:szCs w:val="20"/>
        </w:rPr>
        <w:t>e</w:t>
      </w:r>
      <w:r>
        <w:rPr>
          <w:sz w:val="20"/>
          <w:szCs w:val="20"/>
        </w:rPr>
        <w:t>—The Compan</w:t>
      </w:r>
      <w:r>
        <w:rPr>
          <w:sz w:val="20"/>
          <w:szCs w:val="20"/>
        </w:rPr>
        <w:t>y disaggregates revenue by its operating segment</w:t>
      </w:r>
      <w:r>
        <w:rPr>
          <w:sz w:val="20"/>
          <w:szCs w:val="20"/>
        </w:rPr>
        <w:t>s</w:t>
      </w:r>
      <w:r>
        <w:rPr>
          <w:b/>
          <w:bCs/>
          <w:sz w:val="20"/>
          <w:szCs w:val="20"/>
        </w:rPr>
        <w:t>.</w:t>
      </w:r>
      <w:r>
        <w:rPr>
          <w:sz w:val="20"/>
          <w:szCs w:val="20"/>
        </w:rPr>
        <w:t xml:space="preserve"> The Company believes disaggregating revenue into these categories achieves the disclosure objectives to depict how the nature, amount, and uncertainty of revenue and cash flows are affected by economic fac</w:t>
      </w:r>
      <w:r>
        <w:rPr>
          <w:sz w:val="20"/>
          <w:szCs w:val="20"/>
        </w:rPr>
        <w:t>tors. Disaggregated revenue disclosures are provided in Note 18</w:t>
      </w:r>
      <w:r>
        <w:rPr>
          <w:sz w:val="20"/>
          <w:szCs w:val="20"/>
        </w:rPr>
        <w:t>.</w:t>
      </w:r>
    </w:p>
    <w:p w:rsidR="00000000" w:rsidRDefault="002D33E3">
      <w:pPr>
        <w:pStyle w:val="a3"/>
        <w:spacing w:before="240" w:beforeAutospacing="0" w:after="0" w:afterAutospacing="0"/>
        <w:ind w:firstLine="555"/>
        <w:divId w:val="889220081"/>
        <w:rPr>
          <w:sz w:val="20"/>
          <w:szCs w:val="20"/>
        </w:rPr>
      </w:pPr>
      <w:r>
        <w:rPr>
          <w:b/>
          <w:bCs/>
          <w:sz w:val="20"/>
          <w:szCs w:val="20"/>
        </w:rPr>
        <w:t>Contract Balance</w:t>
      </w:r>
      <w:r>
        <w:rPr>
          <w:b/>
          <w:bCs/>
          <w:sz w:val="20"/>
          <w:szCs w:val="20"/>
        </w:rPr>
        <w:t>s</w:t>
      </w:r>
      <w:r>
        <w:rPr>
          <w:sz w:val="20"/>
          <w:szCs w:val="20"/>
        </w:rPr>
        <w:t xml:space="preserve">—The Company presents contract balances for unbilled receivables (contract assets), as well as customer advances, deposits and deferred revenue (contract liabilities) within </w:t>
      </w:r>
      <w:r>
        <w:rPr>
          <w:sz w:val="20"/>
          <w:szCs w:val="20"/>
        </w:rPr>
        <w:t xml:space="preserve">contract assets and accounts payable and accrued expenses, respectively, on the unaudited condensed consolidated statements of financial position. Amounts are generally billed at periodic intervals (e.g. weekly, bi-weekly or monthly) as work progresses in </w:t>
      </w:r>
      <w:r>
        <w:rPr>
          <w:sz w:val="20"/>
          <w:szCs w:val="20"/>
        </w:rPr>
        <w:t>accordance with agreed-upon contractual terms. The Company utilizes the practical expedient to not adjust the promised amount of consideration for the effects of a significant financing component as the period between when the Company transfers services to</w:t>
      </w:r>
      <w:r>
        <w:rPr>
          <w:sz w:val="20"/>
          <w:szCs w:val="20"/>
        </w:rPr>
        <w:t xml:space="preserve"> a customer and when the customer pays for those services is one year or less. Amounts recorded as unbilled receivables are generally for services the Company is not entitled to bill based on the passage of time. Under certain contracts, billing occurs sub</w:t>
      </w:r>
      <w:r>
        <w:rPr>
          <w:sz w:val="20"/>
          <w:szCs w:val="20"/>
        </w:rPr>
        <w:t>sequent to revenue recognition, resulting in contract assets. The Company sometimes receives advances or deposits from customers before revenue is recognized, resulting in contract liabilities</w:t>
      </w:r>
      <w:r>
        <w:rPr>
          <w:sz w:val="20"/>
          <w:szCs w:val="20"/>
        </w:rPr>
        <w:t>.</w:t>
      </w:r>
    </w:p>
    <w:p w:rsidR="00000000" w:rsidRDefault="002D33E3">
      <w:pPr>
        <w:pStyle w:val="a3"/>
        <w:spacing w:before="240" w:beforeAutospacing="0" w:after="0" w:afterAutospacing="0"/>
        <w:ind w:firstLine="555"/>
        <w:divId w:val="1221134032"/>
        <w:rPr>
          <w:sz w:val="20"/>
          <w:szCs w:val="20"/>
        </w:rPr>
      </w:pPr>
      <w:r>
        <w:rPr>
          <w:sz w:val="20"/>
          <w:szCs w:val="20"/>
        </w:rPr>
        <w:t>The following table presents the Company’s contract balances</w:t>
      </w:r>
      <w:r>
        <w:rPr>
          <w:sz w:val="20"/>
          <w:szCs w:val="20"/>
        </w:rPr>
        <w:t>:</w:t>
      </w:r>
    </w:p>
    <w:p w:rsidR="00000000" w:rsidRDefault="002D33E3">
      <w:pPr>
        <w:pStyle w:val="a3"/>
        <w:spacing w:before="0" w:beforeAutospacing="0" w:after="0" w:afterAutospacing="0"/>
        <w:divId w:val="1221134032"/>
        <w:rPr>
          <w:sz w:val="20"/>
          <w:szCs w:val="20"/>
        </w:rPr>
      </w:pPr>
      <w: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92"/>
        <w:gridCol w:w="105"/>
        <w:gridCol w:w="150"/>
        <w:gridCol w:w="815"/>
        <w:gridCol w:w="105"/>
        <w:gridCol w:w="105"/>
        <w:gridCol w:w="151"/>
        <w:gridCol w:w="871"/>
        <w:gridCol w:w="120"/>
      </w:tblGrid>
      <w:tr w:rsidR="00000000">
        <w:trPr>
          <w:divId w:val="1221134032"/>
          <w:tblCellSpacing w:w="15" w:type="dxa"/>
        </w:trPr>
        <w:tc>
          <w:tcPr>
            <w:tcW w:w="3053" w:type="pct"/>
            <w:vAlign w:val="center"/>
            <w:hideMark/>
          </w:tcPr>
          <w:p w:rsidR="00000000" w:rsidRDefault="002D33E3">
            <w:pPr>
              <w:rPr>
                <w:sz w:val="20"/>
                <w:szCs w:val="20"/>
              </w:rPr>
            </w:pPr>
          </w:p>
        </w:tc>
        <w:tc>
          <w:tcPr>
            <w:tcW w:w="74"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745"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c>
          <w:tcPr>
            <w:tcW w:w="74"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795"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r>
      <w:tr w:rsidR="00000000">
        <w:trPr>
          <w:divId w:val="1221134032"/>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221134032"/>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221134032"/>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Contract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51,71</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40,13</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221134032"/>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Contract liabilitie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24,76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27,90</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divId w:val="1221134032"/>
        <w:rPr>
          <w:sz w:val="20"/>
          <w:szCs w:val="20"/>
        </w:rPr>
      </w:pPr>
      <w:r>
        <w:rPr>
          <w:sz w:val="20"/>
          <w:szCs w:val="20"/>
        </w:rPr>
        <w:t> </w:t>
      </w:r>
    </w:p>
    <w:p w:rsidR="00000000" w:rsidRDefault="002D33E3">
      <w:pPr>
        <w:pStyle w:val="a3"/>
        <w:spacing w:before="240" w:beforeAutospacing="0" w:after="0" w:afterAutospacing="0"/>
        <w:jc w:val="center"/>
        <w:divId w:val="1221134032"/>
        <w:rPr>
          <w:sz w:val="20"/>
          <w:szCs w:val="20"/>
        </w:rPr>
      </w:pPr>
      <w:r>
        <w:rPr>
          <w:sz w:val="20"/>
          <w:szCs w:val="20"/>
        </w:rPr>
        <w:t>6</w:t>
      </w:r>
    </w:p>
    <w:p w:rsidR="00000000" w:rsidRDefault="002D33E3">
      <w:pPr>
        <w:divId w:val="1221134032"/>
        <w:rPr>
          <w:rFonts w:eastAsia="Times New Roman"/>
        </w:rPr>
      </w:pPr>
      <w:r>
        <w:rPr>
          <w:rFonts w:eastAsia="Times New Roman"/>
        </w:rPr>
        <w:pict>
          <v:rect id="_x0000_i1032" style="width:0;height:1.5pt" o:hralign="center" o:hrstd="t" o:hr="t" fillcolor="#a0a0a0" stroked="f"/>
        </w:pict>
      </w:r>
    </w:p>
    <w:p w:rsidR="00000000" w:rsidRDefault="002D33E3">
      <w:pPr>
        <w:pStyle w:val="a3"/>
        <w:spacing w:before="0" w:beforeAutospacing="0" w:after="0" w:afterAutospacing="0"/>
        <w:divId w:val="1221134032"/>
        <w:rPr>
          <w:sz w:val="20"/>
          <w:szCs w:val="20"/>
        </w:rPr>
      </w:pPr>
      <w:r>
        <w:rPr>
          <w:sz w:val="20"/>
          <w:szCs w:val="20"/>
        </w:rPr>
        <w:t> </w:t>
      </w:r>
    </w:p>
    <w:p w:rsidR="00000000" w:rsidRDefault="002D33E3">
      <w:pPr>
        <w:pStyle w:val="a3"/>
        <w:spacing w:before="240" w:beforeAutospacing="0" w:after="0" w:afterAutospacing="0"/>
        <w:ind w:firstLine="555"/>
        <w:divId w:val="889220081"/>
        <w:rPr>
          <w:sz w:val="20"/>
          <w:szCs w:val="20"/>
        </w:rPr>
      </w:pPr>
      <w:r>
        <w:rPr>
          <w:sz w:val="20"/>
          <w:szCs w:val="20"/>
        </w:rPr>
        <w:t xml:space="preserve">Contract assets acquired through business acquisitions amounted to </w:t>
      </w:r>
      <w:r>
        <w:rPr>
          <w:sz w:val="20"/>
          <w:szCs w:val="20"/>
        </w:rPr>
        <w:t>$</w:t>
      </w:r>
      <w:r>
        <w:rPr>
          <w:sz w:val="20"/>
          <w:szCs w:val="20"/>
        </w:rPr>
        <w:t>1.</w:t>
      </w:r>
      <w:r>
        <w:rPr>
          <w:sz w:val="20"/>
          <w:szCs w:val="20"/>
        </w:rPr>
        <w:t>0</w:t>
      </w:r>
      <w:r>
        <w:rPr>
          <w:sz w:val="20"/>
          <w:szCs w:val="20"/>
        </w:rPr>
        <w:t xml:space="preserve"> million a</w:t>
      </w:r>
      <w:r>
        <w:rPr>
          <w:sz w:val="20"/>
          <w:szCs w:val="20"/>
        </w:rPr>
        <w:t>n</w:t>
      </w:r>
      <w:r>
        <w:rPr>
          <w:sz w:val="20"/>
          <w:szCs w:val="20"/>
        </w:rPr>
        <w:t xml:space="preserve">d </w:t>
      </w:r>
      <w:r>
        <w:rPr>
          <w:sz w:val="20"/>
          <w:szCs w:val="20"/>
        </w:rPr>
        <w:t>$</w:t>
      </w:r>
      <w:r>
        <w:rPr>
          <w:sz w:val="20"/>
          <w:szCs w:val="20"/>
        </w:rPr>
        <w:t>0.</w:t>
      </w:r>
      <w:r>
        <w:rPr>
          <w:sz w:val="20"/>
          <w:szCs w:val="20"/>
        </w:rPr>
        <w:t>5</w:t>
      </w:r>
      <w:r>
        <w:rPr>
          <w:sz w:val="20"/>
          <w:szCs w:val="20"/>
        </w:rPr>
        <w:t xml:space="preserve"> million</w:t>
      </w:r>
      <w:r>
        <w:rPr>
          <w:sz w:val="20"/>
          <w:szCs w:val="20"/>
        </w:rPr>
        <w:t xml:space="preserve"> </w:t>
      </w:r>
      <w:r>
        <w:rPr>
          <w:sz w:val="20"/>
          <w:szCs w:val="20"/>
        </w:rPr>
        <w:t>as of March 31, 2022 and December 31, 202</w:t>
      </w:r>
      <w:r>
        <w:rPr>
          <w:sz w:val="20"/>
          <w:szCs w:val="20"/>
        </w:rPr>
        <w:t>1</w:t>
      </w:r>
      <w:r>
        <w:rPr>
          <w:sz w:val="20"/>
          <w:szCs w:val="20"/>
        </w:rPr>
        <w:t>, respectively. Contract liabilities acquired through business acquisitions amounted to</w:t>
      </w:r>
      <w:r>
        <w:rPr>
          <w:sz w:val="20"/>
          <w:szCs w:val="20"/>
        </w:rPr>
        <w:t xml:space="preserve"> </w:t>
      </w:r>
      <w:r>
        <w:rPr>
          <w:sz w:val="20"/>
          <w:szCs w:val="20"/>
        </w:rPr>
        <w:t>zer</w:t>
      </w:r>
      <w:r>
        <w:rPr>
          <w:sz w:val="20"/>
          <w:szCs w:val="20"/>
        </w:rPr>
        <w:t>o</w:t>
      </w:r>
      <w:r>
        <w:rPr>
          <w:sz w:val="20"/>
          <w:szCs w:val="20"/>
        </w:rPr>
        <w:t xml:space="preserve"> an</w:t>
      </w:r>
      <w:r>
        <w:rPr>
          <w:sz w:val="20"/>
          <w:szCs w:val="20"/>
        </w:rPr>
        <w:t>d</w:t>
      </w:r>
      <w:r>
        <w:rPr>
          <w:sz w:val="20"/>
          <w:szCs w:val="20"/>
        </w:rPr>
        <w:t xml:space="preserve"> </w:t>
      </w:r>
      <w:r>
        <w:rPr>
          <w:sz w:val="20"/>
          <w:szCs w:val="20"/>
        </w:rPr>
        <w:t>$</w:t>
      </w:r>
      <w:r>
        <w:rPr>
          <w:sz w:val="20"/>
          <w:szCs w:val="20"/>
        </w:rPr>
        <w:t>0.</w:t>
      </w:r>
      <w:r>
        <w:rPr>
          <w:sz w:val="20"/>
          <w:szCs w:val="20"/>
        </w:rPr>
        <w:t>5</w:t>
      </w:r>
      <w:r>
        <w:rPr>
          <w:sz w:val="20"/>
          <w:szCs w:val="20"/>
        </w:rPr>
        <w:t xml:space="preserve"> millio</w:t>
      </w:r>
      <w:r>
        <w:rPr>
          <w:sz w:val="20"/>
          <w:szCs w:val="20"/>
        </w:rPr>
        <w:t>n</w:t>
      </w:r>
      <w:r>
        <w:rPr>
          <w:sz w:val="20"/>
          <w:szCs w:val="20"/>
        </w:rPr>
        <w:t xml:space="preserve"> as of March 31, 2022 and December 31, 2021, respectively. Revenue recognized during the three months ended March 31, 2022, included in the contrac</w:t>
      </w:r>
      <w:r>
        <w:rPr>
          <w:sz w:val="20"/>
          <w:szCs w:val="20"/>
        </w:rPr>
        <w:t xml:space="preserve">t liabilities balance at the beginning of the year was </w:t>
      </w:r>
      <w:r>
        <w:rPr>
          <w:sz w:val="20"/>
          <w:szCs w:val="20"/>
        </w:rPr>
        <w:t>$</w:t>
      </w:r>
      <w:r>
        <w:rPr>
          <w:sz w:val="20"/>
          <w:szCs w:val="20"/>
        </w:rPr>
        <w:t>8.</w:t>
      </w:r>
      <w:r>
        <w:rPr>
          <w:sz w:val="20"/>
          <w:szCs w:val="20"/>
        </w:rPr>
        <w:t>3</w:t>
      </w:r>
      <w:r>
        <w:rPr>
          <w:sz w:val="20"/>
          <w:szCs w:val="20"/>
        </w:rPr>
        <w:t xml:space="preserve"> </w:t>
      </w:r>
      <w:r>
        <w:rPr>
          <w:sz w:val="20"/>
          <w:szCs w:val="20"/>
        </w:rPr>
        <w:t>mill</w:t>
      </w:r>
      <w:r>
        <w:rPr>
          <w:sz w:val="20"/>
          <w:szCs w:val="20"/>
        </w:rPr>
        <w:t>i</w:t>
      </w:r>
      <w:r>
        <w:rPr>
          <w:sz w:val="20"/>
          <w:szCs w:val="20"/>
        </w:rPr>
        <w:t>on. The revenue recognized from the contract liabilities consisted of the Company satisfying performance obligations during the normal course of business</w:t>
      </w:r>
      <w:r>
        <w:rPr>
          <w:sz w:val="20"/>
          <w:szCs w:val="20"/>
        </w:rPr>
        <w:t>.</w:t>
      </w:r>
    </w:p>
    <w:p w:rsidR="00000000" w:rsidRDefault="002D33E3">
      <w:pPr>
        <w:pStyle w:val="a3"/>
        <w:spacing w:before="240" w:beforeAutospacing="0" w:after="0" w:afterAutospacing="0"/>
        <w:ind w:firstLine="555"/>
        <w:divId w:val="889220081"/>
        <w:rPr>
          <w:sz w:val="20"/>
          <w:szCs w:val="20"/>
        </w:rPr>
      </w:pPr>
      <w:r>
        <w:rPr>
          <w:sz w:val="20"/>
          <w:szCs w:val="20"/>
        </w:rPr>
        <w:t>The amount of revenue recognized fro</w:t>
      </w:r>
      <w:r>
        <w:rPr>
          <w:sz w:val="20"/>
          <w:szCs w:val="20"/>
        </w:rPr>
        <w:t>m changes in the transaction price associated with performance obligations satisfied in prior periods during the three months ended March 31, 2022 was not material</w:t>
      </w:r>
      <w:r>
        <w:rPr>
          <w:sz w:val="20"/>
          <w:szCs w:val="20"/>
        </w:rPr>
        <w:t>.</w:t>
      </w:r>
    </w:p>
    <w:p w:rsidR="00000000" w:rsidRDefault="002D33E3">
      <w:pPr>
        <w:pStyle w:val="a3"/>
        <w:spacing w:before="240" w:beforeAutospacing="0" w:after="0" w:afterAutospacing="0"/>
        <w:ind w:firstLine="555"/>
        <w:divId w:val="889220081"/>
        <w:rPr>
          <w:sz w:val="20"/>
          <w:szCs w:val="20"/>
        </w:rPr>
      </w:pPr>
      <w:r>
        <w:rPr>
          <w:b/>
          <w:bCs/>
          <w:sz w:val="20"/>
          <w:szCs w:val="20"/>
        </w:rPr>
        <w:t>Remaining Unsatisfied Performance Obligation</w:t>
      </w:r>
      <w:r>
        <w:rPr>
          <w:b/>
          <w:bCs/>
          <w:sz w:val="20"/>
          <w:szCs w:val="20"/>
        </w:rPr>
        <w:t>s</w:t>
      </w:r>
      <w:r>
        <w:rPr>
          <w:sz w:val="20"/>
          <w:szCs w:val="20"/>
        </w:rPr>
        <w:t>—Remaining unsatisfied performance obligations</w:t>
      </w:r>
      <w:r>
        <w:rPr>
          <w:sz w:val="20"/>
          <w:szCs w:val="20"/>
        </w:rPr>
        <w:t xml:space="preserve"> represent the total dollar value of work to be performed on contracts awarded and in progress. The amount of remaining unsatisfied performance obligations increases with new contracts or additions to existing contracts and decreases as revenue is recogniz</w:t>
      </w:r>
      <w:r>
        <w:rPr>
          <w:sz w:val="20"/>
          <w:szCs w:val="20"/>
        </w:rPr>
        <w:t>ed on existing contracts. Contracts are included in the amount of remaining unsatisfied performance obligations when an enforceable agreement has been reached. As of March 31, 2022 and December 31, 2021, the estimated revenue expected to be recognized in t</w:t>
      </w:r>
      <w:r>
        <w:rPr>
          <w:sz w:val="20"/>
          <w:szCs w:val="20"/>
        </w:rPr>
        <w:t xml:space="preserve">he future related to performance obligations that are unsatisfied was approximately </w:t>
      </w:r>
      <w:r>
        <w:rPr>
          <w:sz w:val="20"/>
          <w:szCs w:val="20"/>
        </w:rPr>
        <w:t>$</w:t>
      </w:r>
      <w:r>
        <w:rPr>
          <w:sz w:val="20"/>
          <w:szCs w:val="20"/>
        </w:rPr>
        <w:t>100.</w:t>
      </w:r>
      <w:r>
        <w:rPr>
          <w:sz w:val="20"/>
          <w:szCs w:val="20"/>
        </w:rPr>
        <w:t>4</w:t>
      </w:r>
      <w:r>
        <w:rPr>
          <w:sz w:val="20"/>
          <w:szCs w:val="20"/>
        </w:rPr>
        <w:t xml:space="preserve"> million and </w:t>
      </w:r>
      <w:r>
        <w:rPr>
          <w:sz w:val="20"/>
          <w:szCs w:val="20"/>
        </w:rPr>
        <w:t>$</w:t>
      </w:r>
      <w:r>
        <w:rPr>
          <w:sz w:val="20"/>
          <w:szCs w:val="20"/>
        </w:rPr>
        <w:t>108.</w:t>
      </w:r>
      <w:r>
        <w:rPr>
          <w:sz w:val="20"/>
          <w:szCs w:val="20"/>
        </w:rPr>
        <w:t>7</w:t>
      </w:r>
      <w:r>
        <w:rPr>
          <w:sz w:val="20"/>
          <w:szCs w:val="20"/>
        </w:rPr>
        <w:t xml:space="preserve"> million, respectively. As of March 31, 2022, the Company expected to recognize approximately </w:t>
      </w:r>
      <w:r>
        <w:rPr>
          <w:sz w:val="20"/>
          <w:szCs w:val="20"/>
        </w:rPr>
        <w:t>$</w:t>
      </w:r>
      <w:r>
        <w:rPr>
          <w:sz w:val="20"/>
          <w:szCs w:val="20"/>
        </w:rPr>
        <w:t>86.</w:t>
      </w:r>
      <w:r>
        <w:rPr>
          <w:sz w:val="20"/>
          <w:szCs w:val="20"/>
        </w:rPr>
        <w:t>4</w:t>
      </w:r>
      <w:r>
        <w:rPr>
          <w:sz w:val="20"/>
          <w:szCs w:val="20"/>
        </w:rPr>
        <w:t xml:space="preserve"> </w:t>
      </w:r>
      <w:r>
        <w:rPr>
          <w:sz w:val="20"/>
          <w:szCs w:val="20"/>
        </w:rPr>
        <w:t>million of this amount as revenue in</w:t>
      </w:r>
      <w:r>
        <w:rPr>
          <w:sz w:val="20"/>
          <w:szCs w:val="20"/>
        </w:rPr>
        <w:t xml:space="preserve"> </w:t>
      </w:r>
      <w:r>
        <w:rPr>
          <w:sz w:val="20"/>
          <w:szCs w:val="20"/>
        </w:rPr>
        <w:t>202</w:t>
      </w:r>
      <w:r>
        <w:rPr>
          <w:sz w:val="20"/>
          <w:szCs w:val="20"/>
        </w:rPr>
        <w:t>2</w:t>
      </w:r>
      <w:r>
        <w:rPr>
          <w:sz w:val="20"/>
          <w:szCs w:val="20"/>
        </w:rPr>
        <w:t xml:space="preserve"> and </w:t>
      </w:r>
      <w:r>
        <w:rPr>
          <w:sz w:val="20"/>
          <w:szCs w:val="20"/>
        </w:rPr>
        <w:t>$</w:t>
      </w:r>
      <w:r>
        <w:rPr>
          <w:sz w:val="20"/>
          <w:szCs w:val="20"/>
        </w:rPr>
        <w:t>14.</w:t>
      </w:r>
      <w:r>
        <w:rPr>
          <w:sz w:val="20"/>
          <w:szCs w:val="20"/>
        </w:rPr>
        <w:t>0</w:t>
      </w:r>
      <w:r>
        <w:rPr>
          <w:sz w:val="20"/>
          <w:szCs w:val="20"/>
        </w:rPr>
        <w:t xml:space="preserve"> million the</w:t>
      </w:r>
      <w:r>
        <w:rPr>
          <w:sz w:val="20"/>
          <w:szCs w:val="20"/>
        </w:rPr>
        <w:t xml:space="preserve"> </w:t>
      </w:r>
      <w:r>
        <w:rPr>
          <w:sz w:val="20"/>
          <w:szCs w:val="20"/>
        </w:rPr>
        <w:t>year afte</w:t>
      </w:r>
      <w:r>
        <w:rPr>
          <w:sz w:val="20"/>
          <w:szCs w:val="20"/>
        </w:rPr>
        <w:t>r</w:t>
      </w:r>
      <w:r>
        <w:rPr>
          <w:sz w:val="20"/>
          <w:szCs w:val="20"/>
        </w:rPr>
        <w:t>.</w:t>
      </w:r>
    </w:p>
    <w:p w:rsidR="00000000" w:rsidRDefault="002D33E3">
      <w:pPr>
        <w:pStyle w:val="a3"/>
        <w:spacing w:before="240" w:beforeAutospacing="0" w:after="0" w:afterAutospacing="0"/>
        <w:ind w:firstLine="555"/>
        <w:divId w:val="1294140684"/>
        <w:rPr>
          <w:sz w:val="20"/>
          <w:szCs w:val="20"/>
        </w:rPr>
      </w:pPr>
      <w:r>
        <w:rPr>
          <w:b/>
          <w:bCs/>
          <w:sz w:val="20"/>
          <w:szCs w:val="20"/>
        </w:rPr>
        <w:t>Accounts Receivable, Ne</w:t>
      </w:r>
      <w:r>
        <w:rPr>
          <w:b/>
          <w:bCs/>
          <w:sz w:val="20"/>
          <w:szCs w:val="20"/>
        </w:rPr>
        <w:t>t</w:t>
      </w:r>
      <w:r>
        <w:rPr>
          <w:sz w:val="20"/>
          <w:szCs w:val="20"/>
        </w:rPr>
        <w:t>—Accounts receivable, net consisted of the following</w:t>
      </w:r>
      <w:r>
        <w:rPr>
          <w:sz w:val="20"/>
          <w:szCs w:val="20"/>
        </w:rPr>
        <w:t>:</w:t>
      </w:r>
    </w:p>
    <w:p w:rsidR="00000000" w:rsidRDefault="002D33E3">
      <w:pPr>
        <w:pStyle w:val="a3"/>
        <w:spacing w:before="0" w:beforeAutospacing="0" w:after="0" w:afterAutospacing="0"/>
        <w:divId w:val="1294140684"/>
        <w:rPr>
          <w:sz w:val="20"/>
          <w:szCs w:val="20"/>
        </w:rPr>
      </w:pPr>
      <w: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44"/>
        <w:gridCol w:w="105"/>
        <w:gridCol w:w="150"/>
        <w:gridCol w:w="773"/>
        <w:gridCol w:w="120"/>
        <w:gridCol w:w="105"/>
        <w:gridCol w:w="151"/>
        <w:gridCol w:w="831"/>
        <w:gridCol w:w="135"/>
      </w:tblGrid>
      <w:tr w:rsidR="00000000">
        <w:trPr>
          <w:divId w:val="1294140684"/>
          <w:tblCellSpacing w:w="15" w:type="dxa"/>
        </w:trPr>
        <w:tc>
          <w:tcPr>
            <w:tcW w:w="3110" w:type="pct"/>
            <w:vAlign w:val="center"/>
            <w:hideMark/>
          </w:tcPr>
          <w:p w:rsidR="00000000" w:rsidRDefault="002D33E3">
            <w:pPr>
              <w:rPr>
                <w:sz w:val="20"/>
                <w:szCs w:val="20"/>
              </w:rPr>
            </w:pPr>
          </w:p>
        </w:tc>
        <w:tc>
          <w:tcPr>
            <w:tcW w:w="65"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703" w:type="pct"/>
            <w:vAlign w:val="center"/>
            <w:hideMark/>
          </w:tcPr>
          <w:p w:rsidR="00000000" w:rsidRDefault="002D33E3">
            <w:pPr>
              <w:rPr>
                <w:rFonts w:eastAsia="Times New Roman"/>
                <w:sz w:val="20"/>
                <w:szCs w:val="20"/>
              </w:rPr>
            </w:pPr>
          </w:p>
        </w:tc>
        <w:tc>
          <w:tcPr>
            <w:tcW w:w="60" w:type="pct"/>
            <w:vAlign w:val="center"/>
            <w:hideMark/>
          </w:tcPr>
          <w:p w:rsidR="00000000" w:rsidRDefault="002D33E3">
            <w:pPr>
              <w:rPr>
                <w:rFonts w:eastAsia="Times New Roman"/>
                <w:sz w:val="20"/>
                <w:szCs w:val="20"/>
              </w:rPr>
            </w:pPr>
          </w:p>
        </w:tc>
        <w:tc>
          <w:tcPr>
            <w:tcW w:w="65"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755" w:type="pct"/>
            <w:vAlign w:val="center"/>
            <w:hideMark/>
          </w:tcPr>
          <w:p w:rsidR="00000000" w:rsidRDefault="002D33E3">
            <w:pPr>
              <w:rPr>
                <w:rFonts w:eastAsia="Times New Roman"/>
                <w:sz w:val="20"/>
                <w:szCs w:val="20"/>
              </w:rPr>
            </w:pPr>
          </w:p>
        </w:tc>
        <w:tc>
          <w:tcPr>
            <w:tcW w:w="60" w:type="pct"/>
            <w:vAlign w:val="center"/>
            <w:hideMark/>
          </w:tcPr>
          <w:p w:rsidR="00000000" w:rsidRDefault="002D33E3">
            <w:pPr>
              <w:rPr>
                <w:rFonts w:eastAsia="Times New Roman"/>
                <w:sz w:val="20"/>
                <w:szCs w:val="20"/>
              </w:rPr>
            </w:pPr>
          </w:p>
        </w:tc>
      </w:tr>
      <w:tr w:rsidR="00000000">
        <w:trPr>
          <w:divId w:val="129414068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29414068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29414068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Accounts receivable, invoice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84,50</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101,70</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29414068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Accounts receivable, othe</w:t>
            </w:r>
            <w:r>
              <w:rPr>
                <w:sz w:val="18"/>
                <w:szCs w:val="18"/>
              </w:rPr>
              <w:t>r</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79</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1,38</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29414068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Allowance for doubtful account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3,65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4,58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129414068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Accounts receivable—ne</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81,65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98,51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889220081"/>
        <w:rPr>
          <w:sz w:val="20"/>
          <w:szCs w:val="20"/>
        </w:rPr>
      </w:pPr>
      <w:r>
        <w:rPr>
          <w:sz w:val="20"/>
          <w:szCs w:val="20"/>
        </w:rPr>
        <w:t>As of March 31, 202</w:t>
      </w:r>
      <w:r>
        <w:rPr>
          <w:sz w:val="20"/>
          <w:szCs w:val="20"/>
        </w:rPr>
        <w:t>2</w:t>
      </w:r>
      <w:r>
        <w:rPr>
          <w:sz w:val="20"/>
          <w:szCs w:val="20"/>
        </w:rPr>
        <w:t>, the Company did</w:t>
      </w:r>
      <w:r>
        <w:rPr>
          <w:sz w:val="20"/>
          <w:szCs w:val="20"/>
        </w:rPr>
        <w:t xml:space="preserve"> </w:t>
      </w:r>
      <w:r>
        <w:rPr>
          <w:sz w:val="20"/>
          <w:szCs w:val="20"/>
        </w:rPr>
        <w:t>n</w:t>
      </w:r>
      <w:r>
        <w:rPr>
          <w:sz w:val="20"/>
          <w:szCs w:val="20"/>
        </w:rPr>
        <w:t>o</w:t>
      </w:r>
      <w:r>
        <w:rPr>
          <w:sz w:val="20"/>
          <w:szCs w:val="20"/>
        </w:rPr>
        <w:t>t have any customers who accounted</w:t>
      </w:r>
      <w:r>
        <w:rPr>
          <w:sz w:val="20"/>
          <w:szCs w:val="20"/>
        </w:rPr>
        <w:t xml:space="preserve"> </w:t>
      </w:r>
      <w:r>
        <w:rPr>
          <w:sz w:val="20"/>
          <w:szCs w:val="20"/>
        </w:rPr>
        <w:t>for more than</w:t>
      </w:r>
      <w:r>
        <w:rPr>
          <w:sz w:val="20"/>
          <w:szCs w:val="20"/>
        </w:rPr>
        <w:t xml:space="preserve"> </w:t>
      </w:r>
      <w:r>
        <w:rPr>
          <w:sz w:val="20"/>
          <w:szCs w:val="20"/>
        </w:rPr>
        <w:t>10.</w:t>
      </w:r>
      <w:r>
        <w:rPr>
          <w:sz w:val="20"/>
          <w:szCs w:val="20"/>
        </w:rPr>
        <w:t>0</w:t>
      </w:r>
      <w:r>
        <w:rPr>
          <w:sz w:val="20"/>
          <w:szCs w:val="20"/>
        </w:rPr>
        <w:t>% of our gross accounts receivable. As of</w:t>
      </w:r>
      <w:r>
        <w:rPr>
          <w:sz w:val="20"/>
          <w:szCs w:val="20"/>
        </w:rPr>
        <w:t xml:space="preserve"> </w:t>
      </w:r>
      <w:r>
        <w:rPr>
          <w:sz w:val="20"/>
          <w:szCs w:val="20"/>
        </w:rPr>
        <w:t>December 31, 202</w:t>
      </w:r>
      <w:r>
        <w:rPr>
          <w:sz w:val="20"/>
          <w:szCs w:val="20"/>
        </w:rPr>
        <w:t>1</w:t>
      </w:r>
      <w:r>
        <w:rPr>
          <w:sz w:val="20"/>
          <w:szCs w:val="20"/>
        </w:rPr>
        <w:t>, the Company had</w:t>
      </w:r>
      <w:r>
        <w:rPr>
          <w:sz w:val="20"/>
          <w:szCs w:val="20"/>
        </w:rPr>
        <w:t xml:space="preserve"> </w:t>
      </w:r>
      <w:r>
        <w:rPr>
          <w:sz w:val="20"/>
          <w:szCs w:val="20"/>
        </w:rPr>
        <w:t>on</w:t>
      </w:r>
      <w:r>
        <w:rPr>
          <w:sz w:val="20"/>
          <w:szCs w:val="20"/>
        </w:rPr>
        <w:t>e</w:t>
      </w:r>
      <w:r>
        <w:rPr>
          <w:sz w:val="20"/>
          <w:szCs w:val="20"/>
        </w:rPr>
        <w:t xml:space="preserve"> customer who accounted for</w:t>
      </w:r>
      <w:r>
        <w:rPr>
          <w:sz w:val="20"/>
          <w:szCs w:val="20"/>
        </w:rPr>
        <w:t xml:space="preserve"> </w:t>
      </w:r>
      <w:r>
        <w:rPr>
          <w:sz w:val="20"/>
          <w:szCs w:val="20"/>
        </w:rPr>
        <w:t>23.</w:t>
      </w:r>
      <w:r>
        <w:rPr>
          <w:sz w:val="20"/>
          <w:szCs w:val="20"/>
        </w:rPr>
        <w:t>1</w:t>
      </w:r>
      <w:r>
        <w:rPr>
          <w:sz w:val="20"/>
          <w:szCs w:val="20"/>
        </w:rPr>
        <w:t>%</w:t>
      </w:r>
      <w:r>
        <w:rPr>
          <w:sz w:val="20"/>
          <w:szCs w:val="20"/>
        </w:rPr>
        <w:t xml:space="preserve"> of our gross accounts receivable.</w:t>
      </w:r>
      <w:r>
        <w:rPr>
          <w:sz w:val="20"/>
          <w:szCs w:val="20"/>
        </w:rPr>
        <w:t xml:space="preserve"> </w:t>
      </w:r>
      <w:r>
        <w:rPr>
          <w:sz w:val="20"/>
          <w:szCs w:val="20"/>
        </w:rPr>
        <w:t xml:space="preserve">For the three months ended March 31, 2022, the Company </w:t>
      </w:r>
      <w:r>
        <w:rPr>
          <w:sz w:val="20"/>
          <w:szCs w:val="20"/>
        </w:rPr>
        <w:t>had</w:t>
      </w:r>
      <w:r>
        <w:rPr>
          <w:sz w:val="20"/>
          <w:szCs w:val="20"/>
        </w:rPr>
        <w:t xml:space="preserve"> </w:t>
      </w:r>
      <w:r>
        <w:rPr>
          <w:sz w:val="20"/>
          <w:szCs w:val="20"/>
        </w:rPr>
        <w:t>on</w:t>
      </w:r>
      <w:r>
        <w:rPr>
          <w:sz w:val="20"/>
          <w:szCs w:val="20"/>
        </w:rPr>
        <w:t>e</w:t>
      </w:r>
      <w:r>
        <w:rPr>
          <w:sz w:val="20"/>
          <w:szCs w:val="20"/>
        </w:rPr>
        <w:t xml:space="preserve"> customer that accounted for</w:t>
      </w:r>
      <w:r>
        <w:rPr>
          <w:sz w:val="20"/>
          <w:szCs w:val="20"/>
        </w:rPr>
        <w:t xml:space="preserve"> </w:t>
      </w:r>
      <w:r>
        <w:rPr>
          <w:sz w:val="20"/>
          <w:szCs w:val="20"/>
        </w:rPr>
        <w:t>17.</w:t>
      </w:r>
      <w:r>
        <w:rPr>
          <w:sz w:val="20"/>
          <w:szCs w:val="20"/>
        </w:rPr>
        <w:t>3</w:t>
      </w:r>
      <w:r>
        <w:rPr>
          <w:sz w:val="20"/>
          <w:szCs w:val="20"/>
        </w:rPr>
        <w:t>%</w:t>
      </w:r>
      <w:r>
        <w:rPr>
          <w:sz w:val="20"/>
          <w:szCs w:val="20"/>
        </w:rPr>
        <w:t xml:space="preserve"> of revenue. Durin</w:t>
      </w:r>
      <w:r>
        <w:rPr>
          <w:sz w:val="20"/>
          <w:szCs w:val="20"/>
        </w:rPr>
        <w:t>g</w:t>
      </w:r>
      <w:r>
        <w:rPr>
          <w:sz w:val="20"/>
          <w:szCs w:val="20"/>
        </w:rPr>
        <w:t xml:space="preserve"> the three months ended March 31, 202</w:t>
      </w:r>
      <w:r>
        <w:rPr>
          <w:sz w:val="20"/>
          <w:szCs w:val="20"/>
        </w:rPr>
        <w:t>1</w:t>
      </w:r>
      <w:r>
        <w:rPr>
          <w:sz w:val="20"/>
          <w:szCs w:val="20"/>
        </w:rPr>
        <w:t>, the Company had</w:t>
      </w:r>
      <w:r>
        <w:rPr>
          <w:sz w:val="20"/>
          <w:szCs w:val="20"/>
        </w:rPr>
        <w:t xml:space="preserve"> </w:t>
      </w:r>
      <w:r>
        <w:rPr>
          <w:sz w:val="20"/>
          <w:szCs w:val="20"/>
        </w:rPr>
        <w:t>thre</w:t>
      </w:r>
      <w:r>
        <w:rPr>
          <w:sz w:val="20"/>
          <w:szCs w:val="20"/>
        </w:rPr>
        <w:t>e</w:t>
      </w:r>
      <w:r>
        <w:rPr>
          <w:sz w:val="20"/>
          <w:szCs w:val="20"/>
        </w:rPr>
        <w:t xml:space="preserve"> customers who accounted for</w:t>
      </w:r>
      <w:r>
        <w:rPr>
          <w:sz w:val="20"/>
          <w:szCs w:val="20"/>
        </w:rPr>
        <w:t xml:space="preserve"> </w:t>
      </w:r>
      <w:r>
        <w:rPr>
          <w:sz w:val="20"/>
          <w:szCs w:val="20"/>
        </w:rPr>
        <w:t>16.</w:t>
      </w:r>
      <w:r>
        <w:rPr>
          <w:sz w:val="20"/>
          <w:szCs w:val="20"/>
        </w:rPr>
        <w:t>3</w:t>
      </w:r>
      <w:r>
        <w:rPr>
          <w:sz w:val="20"/>
          <w:szCs w:val="20"/>
        </w:rPr>
        <w:t>%,</w:t>
      </w:r>
      <w:r>
        <w:rPr>
          <w:sz w:val="20"/>
          <w:szCs w:val="20"/>
        </w:rPr>
        <w:t xml:space="preserve"> </w:t>
      </w:r>
      <w:r>
        <w:rPr>
          <w:sz w:val="20"/>
          <w:szCs w:val="20"/>
        </w:rPr>
        <w:t>12.</w:t>
      </w:r>
      <w:r>
        <w:rPr>
          <w:sz w:val="20"/>
          <w:szCs w:val="20"/>
        </w:rPr>
        <w:t>7</w:t>
      </w:r>
      <w:r>
        <w:rPr>
          <w:sz w:val="20"/>
          <w:szCs w:val="20"/>
        </w:rPr>
        <w:t>% and</w:t>
      </w:r>
      <w:r>
        <w:rPr>
          <w:sz w:val="20"/>
          <w:szCs w:val="20"/>
        </w:rPr>
        <w:t xml:space="preserve"> </w:t>
      </w:r>
      <w:r>
        <w:rPr>
          <w:sz w:val="20"/>
          <w:szCs w:val="20"/>
        </w:rPr>
        <w:t>10.</w:t>
      </w:r>
      <w:r>
        <w:rPr>
          <w:sz w:val="20"/>
          <w:szCs w:val="20"/>
        </w:rPr>
        <w:t>2</w:t>
      </w:r>
      <w:r>
        <w:rPr>
          <w:sz w:val="20"/>
          <w:szCs w:val="20"/>
        </w:rPr>
        <w:t>% of revenue. The Company performs ongoing credit evaluations and based on past colle</w:t>
      </w:r>
      <w:r>
        <w:rPr>
          <w:sz w:val="20"/>
          <w:szCs w:val="20"/>
        </w:rPr>
        <w:t>ction experience, the Company believes that the receivable balances from these largest customers do not represent a significant credit risk</w:t>
      </w:r>
      <w:r>
        <w:rPr>
          <w:sz w:val="20"/>
          <w:szCs w:val="20"/>
        </w:rPr>
        <w:t>.</w:t>
      </w:r>
    </w:p>
    <w:p w:rsidR="00000000" w:rsidRDefault="002D33E3">
      <w:pPr>
        <w:pStyle w:val="a3"/>
        <w:spacing w:before="240" w:beforeAutospacing="0" w:after="0" w:afterAutospacing="0"/>
        <w:ind w:firstLine="555"/>
        <w:divId w:val="263002635"/>
        <w:rPr>
          <w:sz w:val="20"/>
          <w:szCs w:val="20"/>
        </w:rPr>
      </w:pPr>
      <w:r>
        <w:rPr>
          <w:sz w:val="20"/>
          <w:szCs w:val="20"/>
        </w:rPr>
        <w:t>The allowance for doubtful accounts consisted of the following</w:t>
      </w:r>
      <w:r>
        <w:rPr>
          <w:sz w:val="20"/>
          <w:szCs w:val="20"/>
        </w:rPr>
        <w:t>:</w:t>
      </w:r>
    </w:p>
    <w:p w:rsidR="00000000" w:rsidRDefault="002D33E3">
      <w:pPr>
        <w:pStyle w:val="a3"/>
        <w:spacing w:before="0" w:beforeAutospacing="0" w:after="0" w:afterAutospacing="0"/>
        <w:divId w:val="263002635"/>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8"/>
        <w:gridCol w:w="105"/>
        <w:gridCol w:w="151"/>
        <w:gridCol w:w="717"/>
        <w:gridCol w:w="105"/>
        <w:gridCol w:w="105"/>
        <w:gridCol w:w="151"/>
        <w:gridCol w:w="594"/>
        <w:gridCol w:w="120"/>
        <w:gridCol w:w="105"/>
        <w:gridCol w:w="151"/>
        <w:gridCol w:w="734"/>
        <w:gridCol w:w="120"/>
        <w:gridCol w:w="105"/>
        <w:gridCol w:w="150"/>
        <w:gridCol w:w="558"/>
        <w:gridCol w:w="105"/>
        <w:gridCol w:w="105"/>
        <w:gridCol w:w="151"/>
        <w:gridCol w:w="566"/>
        <w:gridCol w:w="120"/>
      </w:tblGrid>
      <w:tr w:rsidR="00000000">
        <w:trPr>
          <w:divId w:val="263002635"/>
          <w:tblCellSpacing w:w="15" w:type="dxa"/>
        </w:trPr>
        <w:tc>
          <w:tcPr>
            <w:tcW w:w="2234" w:type="pct"/>
            <w:vAlign w:val="center"/>
            <w:hideMark/>
          </w:tcPr>
          <w:p w:rsidR="00000000" w:rsidRDefault="002D33E3">
            <w:pPr>
              <w:rPr>
                <w:sz w:val="20"/>
                <w:szCs w:val="20"/>
              </w:rPr>
            </w:pPr>
          </w:p>
        </w:tc>
        <w:tc>
          <w:tcPr>
            <w:tcW w:w="51"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397"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51"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397"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1"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397"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1"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396"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51"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397"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r>
      <w:tr w:rsidR="00000000">
        <w:trPr>
          <w:divId w:val="263002635"/>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Beginning</w:t>
            </w:r>
            <w:r>
              <w:rPr>
                <w:b/>
                <w:bCs/>
                <w:sz w:val="18"/>
                <w:szCs w:val="18"/>
              </w:rPr>
              <w:br/>
              <w:t>Balanc</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Bad Debt</w:t>
            </w:r>
            <w:r>
              <w:rPr>
                <w:b/>
                <w:bCs/>
                <w:sz w:val="18"/>
                <w:szCs w:val="18"/>
              </w:rPr>
              <w:br/>
              <w:t>Expens</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Charged to</w:t>
            </w:r>
            <w:r>
              <w:rPr>
                <w:b/>
                <w:bCs/>
                <w:sz w:val="18"/>
                <w:szCs w:val="18"/>
              </w:rPr>
              <w:br/>
              <w:t>Allowanc</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Othe</w:t>
            </w:r>
            <w:r>
              <w:rPr>
                <w:b/>
                <w:bCs/>
                <w:sz w:val="18"/>
                <w:szCs w:val="18"/>
              </w:rPr>
              <w:t>r</w:t>
            </w:r>
            <w:r>
              <w:rPr>
                <w:b/>
                <w:bCs/>
                <w:sz w:val="12"/>
                <w:szCs w:val="12"/>
              </w:rPr>
              <w:t>(1</w:t>
            </w:r>
            <w:r>
              <w:rPr>
                <w:b/>
                <w:bCs/>
                <w:sz w:val="12"/>
                <w:szCs w:val="12"/>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Ending</w:t>
            </w:r>
            <w:r>
              <w:rPr>
                <w:b/>
                <w:bCs/>
                <w:sz w:val="18"/>
                <w:szCs w:val="18"/>
              </w:rPr>
              <w:br/>
              <w:t>Balanc</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26300263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Three months ended March 31, 202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4,58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52</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74</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34</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3,65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6300263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Year ended December 31, 202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4,26</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1,13</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1,54</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72</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4,58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divId w:val="263002635"/>
        <w:rPr>
          <w:sz w:val="20"/>
          <w:szCs w:val="20"/>
        </w:rPr>
      </w:pPr>
      <w:r>
        <w:t>___________________</w:t>
      </w:r>
      <w:r>
        <w:t>_</w:t>
      </w:r>
    </w:p>
    <w:p w:rsidR="00000000" w:rsidRDefault="002D33E3">
      <w:pPr>
        <w:divId w:val="565070093"/>
        <w:rPr>
          <w:rFonts w:eastAsia="Times New Roman"/>
        </w:rPr>
      </w:pPr>
      <w:r>
        <w:rPr>
          <w:rFonts w:eastAsia="Times New Roman"/>
          <w:sz w:val="16"/>
          <w:szCs w:val="16"/>
        </w:rPr>
        <w:t>(1</w:t>
      </w:r>
      <w:r>
        <w:rPr>
          <w:rFonts w:eastAsia="Times New Roman"/>
          <w:sz w:val="16"/>
          <w:szCs w:val="16"/>
        </w:rPr>
        <w:t>)</w:t>
      </w:r>
    </w:p>
    <w:p w:rsidR="00000000" w:rsidRDefault="002D33E3">
      <w:pPr>
        <w:divId w:val="63770599"/>
        <w:rPr>
          <w:rFonts w:eastAsia="Times New Roman"/>
        </w:rPr>
      </w:pPr>
      <w:r>
        <w:rPr>
          <w:rFonts w:eastAsia="Times New Roman"/>
          <w:sz w:val="16"/>
          <w:szCs w:val="16"/>
        </w:rPr>
        <w:t>This amount consists of additions to the allowance due to business acquisitions</w:t>
      </w:r>
      <w:r>
        <w:rPr>
          <w:rFonts w:eastAsia="Times New Roman"/>
          <w:sz w:val="16"/>
          <w:szCs w:val="16"/>
        </w:rPr>
        <w:t>.</w:t>
      </w:r>
    </w:p>
    <w:p w:rsidR="00000000" w:rsidRDefault="002D33E3">
      <w:pPr>
        <w:pStyle w:val="a3"/>
        <w:spacing w:before="360" w:beforeAutospacing="0" w:after="0" w:afterAutospacing="0"/>
        <w:divId w:val="686374600"/>
        <w:rPr>
          <w:sz w:val="20"/>
          <w:szCs w:val="20"/>
        </w:rPr>
      </w:pPr>
      <w:r>
        <w:rPr>
          <w:b/>
          <w:bCs/>
          <w:sz w:val="20"/>
          <w:szCs w:val="20"/>
        </w:rPr>
        <w:t>4. PREPAID AND OTHER CURRENT ASSET</w:t>
      </w:r>
      <w:r>
        <w:rPr>
          <w:b/>
          <w:bCs/>
          <w:sz w:val="20"/>
          <w:szCs w:val="20"/>
        </w:rPr>
        <w:t>S</w:t>
      </w:r>
    </w:p>
    <w:p w:rsidR="00000000" w:rsidRDefault="002D33E3">
      <w:pPr>
        <w:pStyle w:val="a3"/>
        <w:spacing w:before="240" w:beforeAutospacing="0" w:after="0" w:afterAutospacing="0"/>
        <w:ind w:firstLine="555"/>
        <w:divId w:val="613095487"/>
        <w:rPr>
          <w:sz w:val="20"/>
          <w:szCs w:val="20"/>
        </w:rPr>
      </w:pPr>
      <w:r>
        <w:rPr>
          <w:sz w:val="20"/>
          <w:szCs w:val="20"/>
        </w:rPr>
        <w:t>Prepaid and other current assets consisted of the following</w:t>
      </w:r>
      <w:r>
        <w:rPr>
          <w:sz w:val="20"/>
          <w:szCs w:val="20"/>
        </w:rPr>
        <w:t>:</w:t>
      </w:r>
    </w:p>
    <w:p w:rsidR="00000000" w:rsidRDefault="002D33E3">
      <w:pPr>
        <w:pStyle w:val="a3"/>
        <w:spacing w:before="0" w:beforeAutospacing="0" w:after="0" w:afterAutospacing="0"/>
        <w:divId w:val="613095487"/>
        <w:rPr>
          <w:sz w:val="20"/>
          <w:szCs w:val="20"/>
        </w:rPr>
      </w:pPr>
      <w: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389"/>
        <w:gridCol w:w="143"/>
        <w:gridCol w:w="150"/>
        <w:gridCol w:w="1278"/>
        <w:gridCol w:w="105"/>
        <w:gridCol w:w="143"/>
        <w:gridCol w:w="151"/>
        <w:gridCol w:w="1335"/>
        <w:gridCol w:w="120"/>
      </w:tblGrid>
      <w:tr w:rsidR="00000000">
        <w:trPr>
          <w:divId w:val="613095487"/>
          <w:tblCellSpacing w:w="15" w:type="dxa"/>
        </w:trPr>
        <w:tc>
          <w:tcPr>
            <w:tcW w:w="2144" w:type="pct"/>
            <w:vAlign w:val="center"/>
            <w:hideMark/>
          </w:tcPr>
          <w:p w:rsidR="00000000" w:rsidRDefault="002D33E3">
            <w:pPr>
              <w:rPr>
                <w:sz w:val="20"/>
                <w:szCs w:val="20"/>
              </w:rPr>
            </w:pPr>
          </w:p>
        </w:tc>
        <w:tc>
          <w:tcPr>
            <w:tcW w:w="122"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1151"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c>
          <w:tcPr>
            <w:tcW w:w="122"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1202"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r>
      <w:tr w:rsidR="00000000">
        <w:trPr>
          <w:divId w:val="613095487"/>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613095487"/>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61309548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Deposit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99</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84</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1309548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Prepaid expense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7,69</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4,67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1309548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Supplie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2,51</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2,43</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1309548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Income tax receivabl</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50</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50</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1309548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Prepaid and other current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11,70</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8,46</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jc w:val="center"/>
        <w:rPr>
          <w:sz w:val="20"/>
          <w:szCs w:val="20"/>
        </w:rPr>
      </w:pPr>
      <w:r>
        <w:rPr>
          <w:sz w:val="20"/>
          <w:szCs w:val="20"/>
        </w:rPr>
        <w:t>7</w:t>
      </w:r>
    </w:p>
    <w:p w:rsidR="00000000" w:rsidRDefault="002D33E3">
      <w:pPr>
        <w:rPr>
          <w:rFonts w:eastAsia="Times New Roman"/>
        </w:rPr>
      </w:pPr>
      <w:r>
        <w:rPr>
          <w:rFonts w:eastAsia="Times New Roman"/>
        </w:rPr>
        <w:pict>
          <v:rect id="_x0000_i1033"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divId w:val="101844285"/>
        <w:rPr>
          <w:sz w:val="20"/>
          <w:szCs w:val="20"/>
        </w:rPr>
      </w:pPr>
      <w:r>
        <w:rPr>
          <w:b/>
          <w:bCs/>
          <w:sz w:val="20"/>
          <w:szCs w:val="20"/>
        </w:rPr>
        <w:t>5. PROPERTY AND EQUIPMENT, NE</w:t>
      </w:r>
      <w:r>
        <w:rPr>
          <w:b/>
          <w:bCs/>
          <w:sz w:val="20"/>
          <w:szCs w:val="20"/>
        </w:rPr>
        <w:t>T</w:t>
      </w:r>
      <w:r>
        <w:rPr>
          <w:sz w:val="20"/>
          <w:szCs w:val="20"/>
        </w:rPr>
        <w:t xml:space="preserve"> </w:t>
      </w:r>
    </w:p>
    <w:p w:rsidR="00000000" w:rsidRDefault="002D33E3">
      <w:pPr>
        <w:pStyle w:val="a3"/>
        <w:spacing w:before="240" w:beforeAutospacing="0" w:after="0" w:afterAutospacing="0"/>
        <w:ind w:firstLine="555"/>
        <w:divId w:val="101844285"/>
        <w:rPr>
          <w:sz w:val="20"/>
          <w:szCs w:val="20"/>
        </w:rPr>
      </w:pPr>
      <w:r>
        <w:rPr>
          <w:sz w:val="20"/>
          <w:szCs w:val="20"/>
        </w:rPr>
        <w:t>Property and equipment are stated at cost or estimated fair value for assets acquired through business combinations. Depreciation and amortization are provided using the straight-line method over the estimated useful lives of the assets. Leasehold improvem</w:t>
      </w:r>
      <w:r>
        <w:rPr>
          <w:sz w:val="20"/>
          <w:szCs w:val="20"/>
        </w:rPr>
        <w:t>ents are amortized using the straight-line method over the shorter of the remaining lease term, including options that are deemed to be reasonably assured, or the estimated useful life of the improvement</w:t>
      </w:r>
      <w:r>
        <w:rPr>
          <w:sz w:val="20"/>
          <w:szCs w:val="20"/>
        </w:rPr>
        <w:t>.</w:t>
      </w:r>
    </w:p>
    <w:p w:rsidR="00000000" w:rsidRDefault="002D33E3">
      <w:pPr>
        <w:pStyle w:val="a3"/>
        <w:spacing w:before="240" w:beforeAutospacing="0" w:after="0" w:afterAutospacing="0"/>
        <w:ind w:firstLine="555"/>
        <w:divId w:val="299728665"/>
        <w:rPr>
          <w:sz w:val="20"/>
          <w:szCs w:val="20"/>
        </w:rPr>
      </w:pPr>
      <w:r>
        <w:rPr>
          <w:sz w:val="20"/>
          <w:szCs w:val="20"/>
        </w:rPr>
        <w:t>Property and equipment, net, consisted of the follo</w:t>
      </w:r>
      <w:r>
        <w:rPr>
          <w:sz w:val="20"/>
          <w:szCs w:val="20"/>
        </w:rPr>
        <w:t>wing</w:t>
      </w:r>
      <w:r>
        <w:rPr>
          <w:sz w:val="20"/>
          <w:szCs w:val="20"/>
        </w:rPr>
        <w:t>:</w:t>
      </w:r>
    </w:p>
    <w:p w:rsidR="00000000" w:rsidRDefault="002D33E3">
      <w:pPr>
        <w:pStyle w:val="a3"/>
        <w:spacing w:before="0" w:beforeAutospacing="0" w:after="0" w:afterAutospacing="0"/>
        <w:ind w:firstLine="555"/>
        <w:divId w:val="299728665"/>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7"/>
        <w:gridCol w:w="187"/>
        <w:gridCol w:w="1603"/>
        <w:gridCol w:w="187"/>
        <w:gridCol w:w="150"/>
        <w:gridCol w:w="1444"/>
        <w:gridCol w:w="120"/>
        <w:gridCol w:w="187"/>
        <w:gridCol w:w="151"/>
        <w:gridCol w:w="1445"/>
        <w:gridCol w:w="135"/>
      </w:tblGrid>
      <w:tr w:rsidR="00000000">
        <w:trPr>
          <w:divId w:val="299728665"/>
          <w:tblCellSpacing w:w="15" w:type="dxa"/>
        </w:trPr>
        <w:tc>
          <w:tcPr>
            <w:tcW w:w="1675" w:type="pct"/>
            <w:vAlign w:val="center"/>
            <w:hideMark/>
          </w:tcPr>
          <w:p w:rsidR="00000000" w:rsidRDefault="002D33E3">
            <w:pPr>
              <w:rPr>
                <w:sz w:val="20"/>
                <w:szCs w:val="20"/>
              </w:rPr>
            </w:pPr>
          </w:p>
        </w:tc>
        <w:tc>
          <w:tcPr>
            <w:tcW w:w="107" w:type="pct"/>
            <w:vAlign w:val="center"/>
            <w:hideMark/>
          </w:tcPr>
          <w:p w:rsidR="00000000" w:rsidRDefault="002D33E3">
            <w:pPr>
              <w:rPr>
                <w:rFonts w:eastAsia="Times New Roman"/>
                <w:sz w:val="20"/>
                <w:szCs w:val="20"/>
              </w:rPr>
            </w:pPr>
          </w:p>
        </w:tc>
        <w:tc>
          <w:tcPr>
            <w:tcW w:w="997" w:type="pct"/>
            <w:vAlign w:val="center"/>
            <w:hideMark/>
          </w:tcPr>
          <w:p w:rsidR="00000000" w:rsidRDefault="002D33E3">
            <w:pPr>
              <w:rPr>
                <w:rFonts w:eastAsia="Times New Roman"/>
                <w:sz w:val="20"/>
                <w:szCs w:val="20"/>
              </w:rPr>
            </w:pPr>
          </w:p>
        </w:tc>
        <w:tc>
          <w:tcPr>
            <w:tcW w:w="107"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897"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107"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897"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r>
      <w:tr w:rsidR="00000000">
        <w:trPr>
          <w:divId w:val="299728665"/>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b/>
                <w:bCs/>
                <w:sz w:val="18"/>
                <w:szCs w:val="18"/>
              </w:rPr>
              <w:t>Estimate</w:t>
            </w:r>
            <w:r>
              <w:rPr>
                <w:b/>
                <w:bCs/>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299728665"/>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b/>
                <w:bCs/>
                <w:sz w:val="18"/>
                <w:szCs w:val="18"/>
              </w:rPr>
              <w:t>Useful Lif</w:t>
            </w:r>
            <w:r>
              <w:rPr>
                <w:b/>
                <w:bCs/>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Lab and test equipmen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7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19,47</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18,58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Vehicle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5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5,66</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5,41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Equipmen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3</w:t>
            </w:r>
            <w:r>
              <w:rPr>
                <w:sz w:val="18"/>
                <w:szCs w:val="18"/>
              </w:rPr>
              <w:t>-</w:t>
            </w:r>
            <w:r>
              <w:rPr>
                <w:sz w:val="18"/>
                <w:szCs w:val="18"/>
              </w:rPr>
              <w:t>7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35,81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35,14</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Furniture and fixture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7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2,87</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2,84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Leasehold improvement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7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7,28</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7,26</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Aircraf</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10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Buildin</w:t>
            </w:r>
            <w:r>
              <w:rPr>
                <w:sz w:val="18"/>
                <w:szCs w:val="18"/>
              </w:rPr>
              <w:t>g</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39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75,01</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73,16</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Lan</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Construction in progres</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3,17</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2,34</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Less accumulated depreciatio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46,42</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44,70</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997286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Total property and equipment—</w:t>
            </w:r>
            <w:r>
              <w:rPr>
                <w:sz w:val="18"/>
                <w:szCs w:val="18"/>
              </w:rPr>
              <w:br/>
              <w:t>   ne</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32,48</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31,52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101844285"/>
        <w:rPr>
          <w:sz w:val="20"/>
          <w:szCs w:val="20"/>
        </w:rPr>
      </w:pPr>
      <w:r>
        <w:rPr>
          <w:sz w:val="20"/>
          <w:szCs w:val="20"/>
        </w:rPr>
        <w:t xml:space="preserve">Total depreciation expense included in the unaudited condensed consolidated statements of operations was </w:t>
      </w:r>
      <w:r>
        <w:rPr>
          <w:sz w:val="20"/>
          <w:szCs w:val="20"/>
        </w:rPr>
        <w:t>$</w:t>
      </w:r>
      <w:r>
        <w:rPr>
          <w:sz w:val="20"/>
          <w:szCs w:val="20"/>
        </w:rPr>
        <w:t>1.</w:t>
      </w:r>
      <w:r>
        <w:rPr>
          <w:sz w:val="20"/>
          <w:szCs w:val="20"/>
        </w:rPr>
        <w:t>8</w:t>
      </w:r>
      <w:r>
        <w:rPr>
          <w:sz w:val="20"/>
          <w:szCs w:val="20"/>
        </w:rPr>
        <w:t xml:space="preserve"> million and </w:t>
      </w:r>
      <w:r>
        <w:rPr>
          <w:sz w:val="20"/>
          <w:szCs w:val="20"/>
        </w:rPr>
        <w:t>$</w:t>
      </w:r>
      <w:r>
        <w:rPr>
          <w:sz w:val="20"/>
          <w:szCs w:val="20"/>
        </w:rPr>
        <w:t>1.</w:t>
      </w:r>
      <w:r>
        <w:rPr>
          <w:sz w:val="20"/>
          <w:szCs w:val="20"/>
        </w:rPr>
        <w:t>4</w:t>
      </w:r>
      <w:r>
        <w:rPr>
          <w:sz w:val="20"/>
          <w:szCs w:val="20"/>
        </w:rPr>
        <w:t xml:space="preserve"> million for the</w:t>
      </w:r>
      <w:r>
        <w:rPr>
          <w:sz w:val="20"/>
          <w:szCs w:val="20"/>
        </w:rPr>
        <w:t xml:space="preserve"> </w:t>
      </w:r>
      <w:r>
        <w:rPr>
          <w:sz w:val="20"/>
          <w:szCs w:val="20"/>
        </w:rPr>
        <w:t>three months ended March 31, 2022 and March 31, 202</w:t>
      </w:r>
      <w:r>
        <w:rPr>
          <w:sz w:val="20"/>
          <w:szCs w:val="20"/>
        </w:rPr>
        <w:t>1</w:t>
      </w:r>
      <w:r>
        <w:rPr>
          <w:sz w:val="20"/>
          <w:szCs w:val="20"/>
        </w:rPr>
        <w:t>, respectively</w:t>
      </w:r>
      <w:r>
        <w:rPr>
          <w:sz w:val="20"/>
          <w:szCs w:val="20"/>
        </w:rPr>
        <w:t>.</w:t>
      </w:r>
    </w:p>
    <w:p w:rsidR="00000000" w:rsidRDefault="002D33E3">
      <w:pPr>
        <w:pStyle w:val="a3"/>
        <w:spacing w:before="360" w:beforeAutospacing="0" w:after="0" w:afterAutospacing="0"/>
        <w:divId w:val="1358387072"/>
        <w:rPr>
          <w:sz w:val="20"/>
          <w:szCs w:val="20"/>
        </w:rPr>
      </w:pPr>
      <w:r>
        <w:rPr>
          <w:b/>
          <w:bCs/>
          <w:sz w:val="20"/>
          <w:szCs w:val="20"/>
        </w:rPr>
        <w:t>6. LEASE</w:t>
      </w:r>
      <w:r>
        <w:rPr>
          <w:b/>
          <w:bCs/>
          <w:sz w:val="20"/>
          <w:szCs w:val="20"/>
        </w:rPr>
        <w:t>S</w:t>
      </w:r>
    </w:p>
    <w:p w:rsidR="00000000" w:rsidRDefault="002D33E3">
      <w:pPr>
        <w:pStyle w:val="a3"/>
        <w:spacing w:before="240" w:beforeAutospacing="0" w:after="0" w:afterAutospacing="0"/>
        <w:ind w:firstLine="555"/>
        <w:divId w:val="1358387072"/>
        <w:rPr>
          <w:sz w:val="20"/>
          <w:szCs w:val="20"/>
        </w:rPr>
      </w:pPr>
      <w:r>
        <w:rPr>
          <w:sz w:val="20"/>
          <w:szCs w:val="20"/>
        </w:rPr>
        <w:t>In June 2021, with an effective adoption date of January 1, 2021, the Company adopted ASU 2016-02 using the modified retrospective approach, which permits application of this guidance at the beginning of the period of adoption</w:t>
      </w:r>
      <w:r>
        <w:rPr>
          <w:sz w:val="20"/>
          <w:szCs w:val="20"/>
        </w:rPr>
        <w:t>.</w:t>
      </w:r>
      <w:r>
        <w:rPr>
          <w:sz w:val="20"/>
          <w:szCs w:val="20"/>
        </w:rPr>
        <w:t xml:space="preserve"> </w:t>
      </w:r>
    </w:p>
    <w:p w:rsidR="00000000" w:rsidRDefault="002D33E3">
      <w:pPr>
        <w:pStyle w:val="a3"/>
        <w:spacing w:before="240" w:beforeAutospacing="0" w:after="0" w:afterAutospacing="0"/>
        <w:ind w:firstLine="555"/>
        <w:divId w:val="1358387072"/>
        <w:rPr>
          <w:sz w:val="20"/>
          <w:szCs w:val="20"/>
        </w:rPr>
      </w:pPr>
      <w:r>
        <w:rPr>
          <w:sz w:val="20"/>
          <w:szCs w:val="20"/>
        </w:rPr>
        <w:t>Leases are classified as ei</w:t>
      </w:r>
      <w:r>
        <w:rPr>
          <w:sz w:val="20"/>
          <w:szCs w:val="20"/>
        </w:rPr>
        <w:t>ther finance leases or operating leases based on criteria in ASC 842. The Company has finance leases for its vehicle and equipment leases and operating leases for its real estate space and office equipment leases. The Company’s operating and finance leases</w:t>
      </w:r>
      <w:r>
        <w:rPr>
          <w:sz w:val="20"/>
          <w:szCs w:val="20"/>
        </w:rPr>
        <w:t xml:space="preserve"> generally have original lease terms between</w:t>
      </w:r>
      <w:r>
        <w:rPr>
          <w:sz w:val="20"/>
          <w:szCs w:val="20"/>
        </w:rPr>
        <w:t xml:space="preserve"> </w:t>
      </w:r>
      <w:r>
        <w:rPr>
          <w:sz w:val="20"/>
          <w:szCs w:val="20"/>
        </w:rPr>
        <w:t>1 yea</w:t>
      </w:r>
      <w:r>
        <w:rPr>
          <w:sz w:val="20"/>
          <w:szCs w:val="20"/>
        </w:rPr>
        <w:t>r</w:t>
      </w:r>
      <w:r>
        <w:rPr>
          <w:sz w:val="20"/>
          <w:szCs w:val="20"/>
        </w:rPr>
        <w:t xml:space="preserve"> and</w:t>
      </w:r>
      <w:r>
        <w:rPr>
          <w:sz w:val="20"/>
          <w:szCs w:val="20"/>
        </w:rPr>
        <w:t xml:space="preserve"> </w:t>
      </w:r>
      <w:r>
        <w:rPr>
          <w:sz w:val="20"/>
          <w:szCs w:val="20"/>
        </w:rPr>
        <w:t>15 year</w:t>
      </w:r>
      <w:r>
        <w:rPr>
          <w:sz w:val="20"/>
          <w:szCs w:val="20"/>
        </w:rPr>
        <w:t>s</w:t>
      </w:r>
      <w:r>
        <w:rPr>
          <w:sz w:val="20"/>
          <w:szCs w:val="20"/>
        </w:rPr>
        <w:t>, and in some instances include one or more options to renew. The Company includes options to extend the lease term if the options are reasonably certain of being exercised. The Company curren</w:t>
      </w:r>
      <w:r>
        <w:rPr>
          <w:sz w:val="20"/>
          <w:szCs w:val="20"/>
        </w:rPr>
        <w:t>tly considers some of its renewal options to be reasonably certain to be exercised. Some leases also include early termination options, which can be exercised under specific conditions. The Company does not have material residual value guarantees or restri</w:t>
      </w:r>
      <w:r>
        <w:rPr>
          <w:sz w:val="20"/>
          <w:szCs w:val="20"/>
        </w:rPr>
        <w:t>ctive covenants associated with its leases</w:t>
      </w:r>
      <w:r>
        <w:rPr>
          <w:sz w:val="20"/>
          <w:szCs w:val="20"/>
        </w:rPr>
        <w:t>.</w:t>
      </w:r>
      <w:r>
        <w:rPr>
          <w:sz w:val="20"/>
          <w:szCs w:val="20"/>
        </w:rPr>
        <w:t xml:space="preserve"> </w:t>
      </w:r>
    </w:p>
    <w:p w:rsidR="00000000" w:rsidRDefault="002D33E3">
      <w:pPr>
        <w:pStyle w:val="a3"/>
        <w:spacing w:before="240" w:beforeAutospacing="0" w:after="0" w:afterAutospacing="0"/>
        <w:ind w:firstLine="555"/>
        <w:divId w:val="1358387072"/>
        <w:rPr>
          <w:sz w:val="20"/>
          <w:szCs w:val="20"/>
        </w:rPr>
      </w:pPr>
      <w:r>
        <w:rPr>
          <w:sz w:val="20"/>
          <w:szCs w:val="20"/>
        </w:rPr>
        <w:t xml:space="preserve">Finance and operating lease assets represent the right to use an underlying asset for the lease term, and finance and operating lease liabilities represent the obligation to make lease payments arising from the </w:t>
      </w:r>
      <w:r>
        <w:rPr>
          <w:sz w:val="20"/>
          <w:szCs w:val="20"/>
        </w:rPr>
        <w:t>lease</w:t>
      </w:r>
      <w:r>
        <w:rPr>
          <w:sz w:val="20"/>
          <w:szCs w:val="20"/>
        </w:rPr>
        <w:t>.</w:t>
      </w:r>
      <w:r>
        <w:rPr>
          <w:sz w:val="20"/>
          <w:szCs w:val="20"/>
        </w:rPr>
        <w:t xml:space="preserve"> </w:t>
      </w:r>
    </w:p>
    <w:p w:rsidR="00000000" w:rsidRDefault="002D33E3">
      <w:pPr>
        <w:pStyle w:val="a3"/>
        <w:spacing w:before="240" w:beforeAutospacing="0" w:after="0" w:afterAutospacing="0"/>
        <w:ind w:firstLine="555"/>
        <w:divId w:val="1358387072"/>
        <w:rPr>
          <w:sz w:val="20"/>
          <w:szCs w:val="20"/>
        </w:rPr>
      </w:pPr>
      <w:r>
        <w:rPr>
          <w:sz w:val="20"/>
          <w:szCs w:val="20"/>
        </w:rPr>
        <w:t xml:space="preserve">The Company calculates the present value of its finance and operating leases using an estimated incremental borrowing rate (“IBR”), which requires judgment. For real estate operating leases, the Company estimates the IBR based on prevailing market </w:t>
      </w:r>
      <w:r>
        <w:rPr>
          <w:sz w:val="20"/>
          <w:szCs w:val="20"/>
        </w:rPr>
        <w:t>rates for collateralized debt in a similar economic environment with similar payment terms and maturity dates commensurate with the terms of the lease. For all other leases, the Company estimates the IBR based on the stated interest rate on the contract. S</w:t>
      </w:r>
      <w:r>
        <w:rPr>
          <w:sz w:val="20"/>
          <w:szCs w:val="20"/>
        </w:rPr>
        <w:t>ince many of the inputs used to calculate the rate implicit in the leases are not readily determinable from the lessee’s perspective, the Company will not use the implicit interest rate</w:t>
      </w:r>
      <w:r>
        <w:rPr>
          <w:sz w:val="20"/>
          <w:szCs w:val="20"/>
        </w:rPr>
        <w:t>.</w:t>
      </w:r>
    </w:p>
    <w:p w:rsidR="00000000" w:rsidRDefault="002D33E3">
      <w:pPr>
        <w:pStyle w:val="a3"/>
        <w:spacing w:before="240" w:beforeAutospacing="0" w:after="0" w:afterAutospacing="0"/>
        <w:ind w:firstLine="555"/>
        <w:divId w:val="1358387072"/>
        <w:rPr>
          <w:sz w:val="20"/>
          <w:szCs w:val="20"/>
        </w:rPr>
      </w:pPr>
      <w:r>
        <w:rPr>
          <w:sz w:val="20"/>
          <w:szCs w:val="20"/>
        </w:rPr>
        <w:t>Certain leases contain variable payments, these payments are expensed</w:t>
      </w:r>
      <w:r>
        <w:rPr>
          <w:sz w:val="20"/>
          <w:szCs w:val="20"/>
        </w:rPr>
        <w:t xml:space="preserve"> as incurred and not included in the Company’s operating lease right-of-use assets and operating lease liabilities. These amounts primarily include payments for maintenance, utilities, taxes, and insurance and are excluded from the present value of the Com</w:t>
      </w:r>
      <w:r>
        <w:rPr>
          <w:sz w:val="20"/>
          <w:szCs w:val="20"/>
        </w:rPr>
        <w:t>pany’s lease obligations</w:t>
      </w:r>
      <w:r>
        <w:rPr>
          <w:sz w:val="20"/>
          <w:szCs w:val="20"/>
        </w:rPr>
        <w:t>.</w:t>
      </w:r>
    </w:p>
    <w:p w:rsidR="00000000" w:rsidRDefault="002D33E3">
      <w:pPr>
        <w:pStyle w:val="a3"/>
        <w:spacing w:before="240" w:beforeAutospacing="0" w:after="0" w:afterAutospacing="0"/>
        <w:ind w:firstLine="555"/>
        <w:divId w:val="1358387072"/>
        <w:rPr>
          <w:sz w:val="20"/>
          <w:szCs w:val="20"/>
        </w:rPr>
      </w:pPr>
      <w:r>
        <w:rPr>
          <w:sz w:val="20"/>
          <w:szCs w:val="20"/>
        </w:rPr>
        <w:t xml:space="preserve">Effective January 1, 2021, the Company recognized operating lease right-of-use assets, current operating lease liabilities and operating lease liabilities, net of current portion of </w:t>
      </w:r>
      <w:r>
        <w:rPr>
          <w:sz w:val="20"/>
          <w:szCs w:val="20"/>
        </w:rPr>
        <w:t>$</w:t>
      </w:r>
      <w:r>
        <w:rPr>
          <w:sz w:val="20"/>
          <w:szCs w:val="20"/>
        </w:rPr>
        <w:t>24.</w:t>
      </w:r>
      <w:r>
        <w:rPr>
          <w:sz w:val="20"/>
          <w:szCs w:val="20"/>
        </w:rPr>
        <w:t>6</w:t>
      </w:r>
      <w:r>
        <w:rPr>
          <w:sz w:val="20"/>
          <w:szCs w:val="20"/>
        </w:rPr>
        <w:t xml:space="preserve"> million, </w:t>
      </w:r>
      <w:r>
        <w:rPr>
          <w:sz w:val="20"/>
          <w:szCs w:val="20"/>
        </w:rPr>
        <w:t>$</w:t>
      </w:r>
      <w:r>
        <w:rPr>
          <w:sz w:val="20"/>
          <w:szCs w:val="20"/>
        </w:rPr>
        <w:t>7.</w:t>
      </w:r>
      <w:r>
        <w:rPr>
          <w:sz w:val="20"/>
          <w:szCs w:val="20"/>
        </w:rPr>
        <w:t>3</w:t>
      </w:r>
      <w:r>
        <w:rPr>
          <w:sz w:val="20"/>
          <w:szCs w:val="20"/>
        </w:rPr>
        <w:t xml:space="preserve"> million and </w:t>
      </w:r>
      <w:r>
        <w:rPr>
          <w:sz w:val="20"/>
          <w:szCs w:val="20"/>
        </w:rPr>
        <w:t>$</w:t>
      </w:r>
      <w:r>
        <w:rPr>
          <w:sz w:val="20"/>
          <w:szCs w:val="20"/>
        </w:rPr>
        <w:t>17.</w:t>
      </w:r>
      <w:r>
        <w:rPr>
          <w:sz w:val="20"/>
          <w:szCs w:val="20"/>
        </w:rPr>
        <w:t>3</w:t>
      </w:r>
      <w:r>
        <w:rPr>
          <w:sz w:val="20"/>
          <w:szCs w:val="20"/>
        </w:rPr>
        <w:t xml:space="preserve"> million,</w:t>
      </w:r>
      <w:r>
        <w:rPr>
          <w:sz w:val="20"/>
          <w:szCs w:val="20"/>
        </w:rPr>
        <w:t xml:space="preserve"> </w:t>
      </w:r>
      <w:r>
        <w:rPr>
          <w:sz w:val="20"/>
          <w:szCs w:val="20"/>
        </w:rPr>
        <w:t>r</w:t>
      </w:r>
      <w:r>
        <w:rPr>
          <w:sz w:val="20"/>
          <w:szCs w:val="20"/>
        </w:rPr>
        <w:t>espectively. Furthermore, th</w:t>
      </w:r>
      <w:r>
        <w:rPr>
          <w:sz w:val="20"/>
          <w:szCs w:val="20"/>
        </w:rPr>
        <w:t>e</w:t>
      </w:r>
      <w:r>
        <w:rPr>
          <w:sz w:val="20"/>
          <w:szCs w:val="20"/>
        </w:rPr>
        <w:t xml:space="preserve"> </w:t>
      </w:r>
    </w:p>
    <w:p w:rsidR="00000000" w:rsidRDefault="002D33E3">
      <w:pPr>
        <w:pStyle w:val="a3"/>
        <w:spacing w:before="240" w:beforeAutospacing="0" w:after="0" w:afterAutospacing="0"/>
        <w:jc w:val="center"/>
        <w:divId w:val="1358387072"/>
        <w:rPr>
          <w:sz w:val="20"/>
          <w:szCs w:val="20"/>
        </w:rPr>
      </w:pPr>
      <w:r>
        <w:rPr>
          <w:sz w:val="20"/>
          <w:szCs w:val="20"/>
        </w:rPr>
        <w:t>8</w:t>
      </w:r>
    </w:p>
    <w:p w:rsidR="00000000" w:rsidRDefault="002D33E3">
      <w:pPr>
        <w:divId w:val="1358387072"/>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2D33E3">
      <w:pPr>
        <w:pStyle w:val="a3"/>
        <w:spacing w:before="0" w:beforeAutospacing="0" w:after="0" w:afterAutospacing="0"/>
        <w:divId w:val="1358387072"/>
        <w:rPr>
          <w:sz w:val="20"/>
          <w:szCs w:val="20"/>
        </w:rPr>
      </w:pPr>
      <w:r>
        <w:rPr>
          <w:sz w:val="20"/>
          <w:szCs w:val="20"/>
        </w:rPr>
        <w:t> </w:t>
      </w:r>
    </w:p>
    <w:p w:rsidR="00000000" w:rsidRDefault="002D33E3">
      <w:pPr>
        <w:pStyle w:val="a3"/>
        <w:spacing w:before="240" w:beforeAutospacing="0" w:after="0" w:afterAutospacing="0"/>
        <w:divId w:val="1358387072"/>
        <w:rPr>
          <w:sz w:val="20"/>
          <w:szCs w:val="20"/>
        </w:rPr>
      </w:pPr>
      <w:r>
        <w:rPr>
          <w:sz w:val="20"/>
          <w:szCs w:val="20"/>
        </w:rPr>
        <w:t>Company</w:t>
      </w:r>
      <w:r>
        <w:rPr>
          <w:sz w:val="20"/>
          <w:szCs w:val="20"/>
        </w:rPr>
        <w:t xml:space="preserve"> </w:t>
      </w:r>
      <w:r>
        <w:rPr>
          <w:sz w:val="20"/>
          <w:szCs w:val="20"/>
        </w:rPr>
        <w:t xml:space="preserve">also recognized finance lease right-of-use assets, current finance lease liabilities and finance lease liabilities, net of current portion of </w:t>
      </w:r>
      <w:r>
        <w:rPr>
          <w:sz w:val="20"/>
          <w:szCs w:val="20"/>
        </w:rPr>
        <w:t>$</w:t>
      </w:r>
      <w:r>
        <w:rPr>
          <w:sz w:val="20"/>
          <w:szCs w:val="20"/>
        </w:rPr>
        <w:t>7.</w:t>
      </w:r>
      <w:r>
        <w:rPr>
          <w:sz w:val="20"/>
          <w:szCs w:val="20"/>
        </w:rPr>
        <w:t>2</w:t>
      </w:r>
      <w:r>
        <w:rPr>
          <w:sz w:val="20"/>
          <w:szCs w:val="20"/>
        </w:rPr>
        <w:t xml:space="preserve"> million, </w:t>
      </w:r>
      <w:r>
        <w:rPr>
          <w:sz w:val="20"/>
          <w:szCs w:val="20"/>
        </w:rPr>
        <w:t>$</w:t>
      </w:r>
      <w:r>
        <w:rPr>
          <w:sz w:val="20"/>
          <w:szCs w:val="20"/>
        </w:rPr>
        <w:t>2.</w:t>
      </w:r>
      <w:r>
        <w:rPr>
          <w:sz w:val="20"/>
          <w:szCs w:val="20"/>
        </w:rPr>
        <w:t>9</w:t>
      </w:r>
      <w:r>
        <w:rPr>
          <w:sz w:val="20"/>
          <w:szCs w:val="20"/>
        </w:rPr>
        <w:t xml:space="preserve"> million and </w:t>
      </w:r>
      <w:r>
        <w:rPr>
          <w:sz w:val="20"/>
          <w:szCs w:val="20"/>
        </w:rPr>
        <w:t>$</w:t>
      </w:r>
      <w:r>
        <w:rPr>
          <w:sz w:val="20"/>
          <w:szCs w:val="20"/>
        </w:rPr>
        <w:t>4.</w:t>
      </w:r>
      <w:r>
        <w:rPr>
          <w:sz w:val="20"/>
          <w:szCs w:val="20"/>
        </w:rPr>
        <w:t>6</w:t>
      </w:r>
      <w:r>
        <w:rPr>
          <w:sz w:val="20"/>
          <w:szCs w:val="20"/>
        </w:rPr>
        <w:t xml:space="preserve"> million, respectively</w:t>
      </w:r>
      <w:r>
        <w:rPr>
          <w:sz w:val="20"/>
          <w:szCs w:val="20"/>
        </w:rPr>
        <w:t>.</w:t>
      </w:r>
    </w:p>
    <w:p w:rsidR="00000000" w:rsidRDefault="002D33E3">
      <w:pPr>
        <w:pStyle w:val="a3"/>
        <w:spacing w:before="240" w:beforeAutospacing="0" w:after="0" w:afterAutospacing="0"/>
        <w:ind w:firstLine="555"/>
        <w:divId w:val="1358387072"/>
        <w:rPr>
          <w:sz w:val="20"/>
          <w:szCs w:val="20"/>
        </w:rPr>
      </w:pPr>
      <w:r>
        <w:rPr>
          <w:sz w:val="20"/>
          <w:szCs w:val="20"/>
        </w:rPr>
        <w:t>The Company does not record operating lease right-of-use assets or operating lease liabilities for leases with an initial term of 12 months or less. The Company also combines lease and non-lease components on all new or modified op</w:t>
      </w:r>
      <w:r>
        <w:rPr>
          <w:sz w:val="20"/>
          <w:szCs w:val="20"/>
        </w:rPr>
        <w:t>erating leases into a single lease component for all classes of assets</w:t>
      </w:r>
      <w:r>
        <w:rPr>
          <w:sz w:val="20"/>
          <w:szCs w:val="20"/>
        </w:rPr>
        <w:t>.</w:t>
      </w:r>
    </w:p>
    <w:p w:rsidR="00000000" w:rsidRDefault="002D33E3">
      <w:pPr>
        <w:pStyle w:val="a3"/>
        <w:spacing w:before="240" w:beforeAutospacing="0" w:after="0" w:afterAutospacing="0"/>
        <w:ind w:firstLine="555"/>
        <w:divId w:val="1371494908"/>
        <w:rPr>
          <w:sz w:val="20"/>
          <w:szCs w:val="20"/>
        </w:rPr>
      </w:pPr>
      <w:r>
        <w:rPr>
          <w:sz w:val="20"/>
          <w:szCs w:val="20"/>
        </w:rPr>
        <w:t>The components of lease expense were as follows</w:t>
      </w:r>
      <w:r>
        <w:rPr>
          <w:sz w:val="20"/>
          <w:szCs w:val="20"/>
        </w:rPr>
        <w:t>:</w:t>
      </w:r>
    </w:p>
    <w:p w:rsidR="00000000" w:rsidRDefault="002D33E3">
      <w:pPr>
        <w:pStyle w:val="a3"/>
        <w:spacing w:before="0" w:beforeAutospacing="0" w:after="0" w:afterAutospacing="0"/>
        <w:ind w:firstLine="555"/>
        <w:divId w:val="1371494908"/>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4"/>
        <w:gridCol w:w="2440"/>
        <w:gridCol w:w="150"/>
        <w:gridCol w:w="1436"/>
        <w:gridCol w:w="105"/>
        <w:gridCol w:w="147"/>
        <w:gridCol w:w="150"/>
        <w:gridCol w:w="1437"/>
        <w:gridCol w:w="105"/>
        <w:gridCol w:w="162"/>
      </w:tblGrid>
      <w:tr w:rsidR="00000000">
        <w:trPr>
          <w:divId w:val="1371494908"/>
          <w:tblCellSpacing w:w="15" w:type="dxa"/>
        </w:trPr>
        <w:tc>
          <w:tcPr>
            <w:tcW w:w="1348" w:type="pct"/>
            <w:vAlign w:val="center"/>
            <w:hideMark/>
          </w:tcPr>
          <w:p w:rsidR="00000000" w:rsidRDefault="002D33E3">
            <w:pPr>
              <w:rPr>
                <w:sz w:val="20"/>
                <w:szCs w:val="20"/>
              </w:rPr>
            </w:pPr>
          </w:p>
        </w:tc>
        <w:tc>
          <w:tcPr>
            <w:tcW w:w="1523"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89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87"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89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87" w:type="pct"/>
            <w:vAlign w:val="center"/>
            <w:hideMark/>
          </w:tcPr>
          <w:p w:rsidR="00000000" w:rsidRDefault="002D33E3">
            <w:pPr>
              <w:rPr>
                <w:rFonts w:eastAsia="Times New Roman"/>
                <w:sz w:val="20"/>
                <w:szCs w:val="20"/>
              </w:rPr>
            </w:pPr>
          </w:p>
        </w:tc>
      </w:tr>
      <w:tr w:rsidR="00000000">
        <w:trPr>
          <w:divId w:val="1371494908"/>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2D33E3">
            <w:pPr>
              <w:pStyle w:val="a3"/>
              <w:spacing w:before="0" w:beforeAutospacing="0" w:after="0" w:afterAutospacing="0"/>
              <w:jc w:val="center"/>
              <w:rPr>
                <w:sz w:val="18"/>
                <w:szCs w:val="18"/>
              </w:rPr>
            </w:pPr>
            <w:r>
              <w:rPr>
                <w:b/>
                <w:bCs/>
                <w:sz w:val="18"/>
                <w:szCs w:val="18"/>
              </w:rPr>
              <w:t>For the Three Months Ended March 31</w:t>
            </w:r>
            <w:r>
              <w:rPr>
                <w:b/>
                <w:bCs/>
                <w:sz w:val="18"/>
                <w:szCs w:val="18"/>
              </w:rPr>
              <w:t>,</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371494908"/>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b/>
                <w:bCs/>
                <w:sz w:val="18"/>
                <w:szCs w:val="18"/>
              </w:rPr>
              <w:t>Statement of Operations Locatio</w:t>
            </w:r>
            <w:r>
              <w:rPr>
                <w:b/>
                <w:bCs/>
                <w:sz w:val="18"/>
                <w:szCs w:val="18"/>
              </w:rPr>
              <w:t>n</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371494908"/>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Operating lease cos</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371494908"/>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Lease cos</w:t>
            </w:r>
            <w:r>
              <w:rPr>
                <w:sz w:val="18"/>
                <w:szCs w:val="18"/>
              </w:rPr>
              <w:t>t</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2,45</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371494908"/>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Variable lease cos</w:t>
            </w:r>
            <w:r>
              <w:rPr>
                <w:sz w:val="18"/>
                <w:szCs w:val="18"/>
              </w:rPr>
              <w:t>t</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36</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371494908"/>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Total operating lease cos</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2,81</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2,20</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371494908"/>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371494908"/>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Finance lease cos</w:t>
            </w:r>
            <w:r>
              <w:rPr>
                <w:sz w:val="18"/>
                <w:szCs w:val="18"/>
              </w:rPr>
              <w:t>t</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371494908"/>
          <w:trHeight w:val="180"/>
          <w:tblCellSpacing w:w="15" w:type="dxa"/>
        </w:trPr>
        <w:tc>
          <w:tcPr>
            <w:tcW w:w="0" w:type="auto"/>
            <w:vAlign w:val="bottom"/>
            <w:hideMark/>
          </w:tcPr>
          <w:p w:rsidR="00000000" w:rsidRDefault="002D33E3">
            <w:pPr>
              <w:pStyle w:val="a3"/>
              <w:spacing w:before="0" w:beforeAutospacing="0" w:after="0" w:afterAutospacing="0"/>
              <w:ind w:left="100"/>
              <w:rPr>
                <w:sz w:val="18"/>
                <w:szCs w:val="18"/>
              </w:rPr>
            </w:pPr>
            <w:r>
              <w:rPr>
                <w:sz w:val="18"/>
                <w:szCs w:val="18"/>
              </w:rPr>
              <w:t>Amortization of right of use asset</w:t>
            </w:r>
            <w:r>
              <w:rPr>
                <w:sz w:val="18"/>
                <w:szCs w:val="18"/>
              </w:rPr>
              <w:t>s</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93</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79</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371494908"/>
          <w:trHeight w:val="180"/>
          <w:tblCellSpacing w:w="15" w:type="dxa"/>
        </w:trPr>
        <w:tc>
          <w:tcPr>
            <w:tcW w:w="0" w:type="auto"/>
            <w:vAlign w:val="bottom"/>
            <w:hideMark/>
          </w:tcPr>
          <w:p w:rsidR="00000000" w:rsidRDefault="002D33E3">
            <w:pPr>
              <w:pStyle w:val="a3"/>
              <w:spacing w:before="0" w:beforeAutospacing="0" w:after="0" w:afterAutospacing="0"/>
              <w:ind w:left="100"/>
              <w:rPr>
                <w:sz w:val="18"/>
                <w:szCs w:val="18"/>
              </w:rPr>
            </w:pPr>
            <w:r>
              <w:rPr>
                <w:sz w:val="18"/>
                <w:szCs w:val="18"/>
              </w:rPr>
              <w:t>Interest on lease liabilitie</w:t>
            </w:r>
            <w:r>
              <w:rPr>
                <w:sz w:val="18"/>
                <w:szCs w:val="18"/>
              </w:rPr>
              <w:t>s</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Interest expense—ne</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371494908"/>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Total finance lease cos</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1,05</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89</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371494908"/>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Total lease cos</w:t>
            </w:r>
            <w:r>
              <w:rPr>
                <w:sz w:val="18"/>
                <w:szCs w:val="18"/>
              </w:rPr>
              <w:t>t</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3,86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3,09</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bl>
    <w:p w:rsidR="00000000" w:rsidRDefault="002D33E3">
      <w:pPr>
        <w:pStyle w:val="a3"/>
        <w:spacing w:before="240" w:beforeAutospacing="0" w:after="0" w:afterAutospacing="0"/>
        <w:ind w:firstLine="555"/>
        <w:divId w:val="198474487"/>
        <w:rPr>
          <w:sz w:val="20"/>
          <w:szCs w:val="20"/>
        </w:rPr>
      </w:pPr>
      <w:r>
        <w:rPr>
          <w:sz w:val="20"/>
          <w:szCs w:val="20"/>
        </w:rPr>
        <w:t>Supplemental cash flows information related to leases was as follows</w:t>
      </w:r>
      <w:r>
        <w:rPr>
          <w:sz w:val="20"/>
          <w:szCs w:val="20"/>
        </w:rPr>
        <w:t>:</w:t>
      </w:r>
    </w:p>
    <w:p w:rsidR="00000000" w:rsidRDefault="002D33E3">
      <w:pPr>
        <w:pStyle w:val="a3"/>
        <w:spacing w:before="0" w:beforeAutospacing="0" w:after="0" w:afterAutospacing="0"/>
        <w:ind w:firstLine="555"/>
        <w:divId w:val="198474487"/>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16"/>
        <w:gridCol w:w="205"/>
        <w:gridCol w:w="150"/>
        <w:gridCol w:w="947"/>
        <w:gridCol w:w="105"/>
        <w:gridCol w:w="205"/>
        <w:gridCol w:w="150"/>
        <w:gridCol w:w="947"/>
        <w:gridCol w:w="120"/>
      </w:tblGrid>
      <w:tr w:rsidR="00000000">
        <w:trPr>
          <w:divId w:val="198474487"/>
          <w:tblCellSpacing w:w="15" w:type="dxa"/>
        </w:trPr>
        <w:tc>
          <w:tcPr>
            <w:tcW w:w="3018" w:type="pct"/>
            <w:vAlign w:val="center"/>
            <w:hideMark/>
          </w:tcPr>
          <w:p w:rsidR="00000000" w:rsidRDefault="002D33E3">
            <w:pPr>
              <w:rPr>
                <w:sz w:val="20"/>
                <w:szCs w:val="20"/>
              </w:rPr>
            </w:pPr>
          </w:p>
        </w:tc>
        <w:tc>
          <w:tcPr>
            <w:tcW w:w="108" w:type="pct"/>
            <w:vAlign w:val="center"/>
            <w:hideMark/>
          </w:tcPr>
          <w:p w:rsidR="00000000" w:rsidRDefault="002D33E3">
            <w:pPr>
              <w:rPr>
                <w:rFonts w:eastAsia="Times New Roman"/>
                <w:sz w:val="20"/>
                <w:szCs w:val="20"/>
              </w:rPr>
            </w:pPr>
          </w:p>
        </w:tc>
        <w:tc>
          <w:tcPr>
            <w:tcW w:w="76" w:type="pct"/>
            <w:vAlign w:val="center"/>
            <w:hideMark/>
          </w:tcPr>
          <w:p w:rsidR="00000000" w:rsidRDefault="002D33E3">
            <w:pPr>
              <w:rPr>
                <w:rFonts w:eastAsia="Times New Roman"/>
                <w:sz w:val="20"/>
                <w:szCs w:val="20"/>
              </w:rPr>
            </w:pPr>
          </w:p>
        </w:tc>
        <w:tc>
          <w:tcPr>
            <w:tcW w:w="771"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108" w:type="pct"/>
            <w:vAlign w:val="center"/>
            <w:hideMark/>
          </w:tcPr>
          <w:p w:rsidR="00000000" w:rsidRDefault="002D33E3">
            <w:pPr>
              <w:rPr>
                <w:rFonts w:eastAsia="Times New Roman"/>
                <w:sz w:val="20"/>
                <w:szCs w:val="20"/>
              </w:rPr>
            </w:pPr>
          </w:p>
        </w:tc>
        <w:tc>
          <w:tcPr>
            <w:tcW w:w="76" w:type="pct"/>
            <w:vAlign w:val="center"/>
            <w:hideMark/>
          </w:tcPr>
          <w:p w:rsidR="00000000" w:rsidRDefault="002D33E3">
            <w:pPr>
              <w:rPr>
                <w:rFonts w:eastAsia="Times New Roman"/>
                <w:sz w:val="20"/>
                <w:szCs w:val="20"/>
              </w:rPr>
            </w:pPr>
          </w:p>
        </w:tc>
        <w:tc>
          <w:tcPr>
            <w:tcW w:w="771"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r>
      <w:tr w:rsidR="00000000">
        <w:trPr>
          <w:divId w:val="198474487"/>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98474487"/>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98474487"/>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Cash paid for amounts included in the measurement of lease liabilitie</w:t>
            </w:r>
            <w:r>
              <w:rPr>
                <w:sz w:val="18"/>
                <w:szCs w:val="18"/>
              </w:rPr>
              <w:t>s</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divId w:val="198474487"/>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Operating cash flows used in operating lease</w:t>
            </w:r>
            <w:r>
              <w:rPr>
                <w:sz w:val="18"/>
                <w:szCs w:val="18"/>
              </w:rPr>
              <w:t>s</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2,30</w:t>
            </w:r>
            <w:r>
              <w:rPr>
                <w:sz w:val="18"/>
                <w:szCs w:val="18"/>
              </w:rPr>
              <w:t>2</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1,99</w:t>
            </w:r>
            <w:r>
              <w:rPr>
                <w:sz w:val="18"/>
                <w:szCs w:val="18"/>
              </w:rPr>
              <w:t>4</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divId w:val="198474487"/>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Operating cash flows used in finance lease</w:t>
            </w:r>
            <w:r>
              <w:rPr>
                <w:sz w:val="18"/>
                <w:szCs w:val="18"/>
              </w:rPr>
              <w:t>s</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11</w:t>
            </w:r>
            <w:r>
              <w:rPr>
                <w:sz w:val="18"/>
                <w:szCs w:val="18"/>
              </w:rPr>
              <w:t>2</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9</w:t>
            </w:r>
            <w:r>
              <w:rPr>
                <w:sz w:val="18"/>
                <w:szCs w:val="18"/>
              </w:rPr>
              <w:t>7</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divId w:val="198474487"/>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Financing cash flows used in finance lease</w:t>
            </w:r>
            <w:r>
              <w:rPr>
                <w:sz w:val="18"/>
                <w:szCs w:val="18"/>
              </w:rPr>
              <w:t>s</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94</w:t>
            </w:r>
            <w:r>
              <w:rPr>
                <w:sz w:val="18"/>
                <w:szCs w:val="18"/>
              </w:rPr>
              <w:t>4</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69</w:t>
            </w:r>
            <w:r>
              <w:rPr>
                <w:sz w:val="18"/>
                <w:szCs w:val="18"/>
              </w:rPr>
              <w:t>9</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divId w:val="198474487"/>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divId w:val="198474487"/>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Lease liabilities arising from new ROU asset</w:t>
            </w:r>
            <w:r>
              <w:rPr>
                <w:sz w:val="18"/>
                <w:szCs w:val="18"/>
              </w:rPr>
              <w:t>s</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divId w:val="198474487"/>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Operating lease</w:t>
            </w:r>
            <w:r>
              <w:rPr>
                <w:sz w:val="18"/>
                <w:szCs w:val="18"/>
              </w:rPr>
              <w:t>s</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8,81</w:t>
            </w:r>
            <w:r>
              <w:rPr>
                <w:sz w:val="18"/>
                <w:szCs w:val="18"/>
              </w:rPr>
              <w:t>5</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6</w:t>
            </w:r>
            <w:r>
              <w:rPr>
                <w:sz w:val="18"/>
                <w:szCs w:val="18"/>
              </w:rPr>
              <w:t>0</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divId w:val="198474487"/>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Finance lease</w:t>
            </w:r>
            <w:r>
              <w:rPr>
                <w:sz w:val="18"/>
                <w:szCs w:val="18"/>
              </w:rPr>
              <w:t>s</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51</w:t>
            </w:r>
            <w:r>
              <w:rPr>
                <w:sz w:val="18"/>
                <w:szCs w:val="18"/>
              </w:rPr>
              <w:t>2</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73</w:t>
            </w:r>
            <w:r>
              <w:rPr>
                <w:sz w:val="18"/>
                <w:szCs w:val="18"/>
              </w:rPr>
              <w:t>6</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483859866"/>
        <w:rPr>
          <w:sz w:val="20"/>
          <w:szCs w:val="20"/>
        </w:rPr>
      </w:pPr>
      <w:r>
        <w:rPr>
          <w:sz w:val="20"/>
          <w:szCs w:val="20"/>
        </w:rPr>
        <w:t>Weighted average remaining lease terms and weighted average discount rates were</w:t>
      </w:r>
      <w:r>
        <w:rPr>
          <w:sz w:val="20"/>
          <w:szCs w:val="20"/>
        </w:rPr>
        <w:t>:</w:t>
      </w:r>
    </w:p>
    <w:p w:rsidR="00000000" w:rsidRDefault="002D33E3">
      <w:pPr>
        <w:pStyle w:val="a3"/>
        <w:spacing w:before="0" w:beforeAutospacing="0" w:after="0" w:afterAutospacing="0"/>
        <w:ind w:firstLine="555"/>
        <w:divId w:val="483859866"/>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20"/>
        <w:gridCol w:w="146"/>
        <w:gridCol w:w="106"/>
        <w:gridCol w:w="1211"/>
        <w:gridCol w:w="210"/>
        <w:gridCol w:w="146"/>
        <w:gridCol w:w="106"/>
        <w:gridCol w:w="1175"/>
        <w:gridCol w:w="225"/>
      </w:tblGrid>
      <w:tr w:rsidR="00000000">
        <w:trPr>
          <w:divId w:val="483859866"/>
          <w:tblCellSpacing w:w="15" w:type="dxa"/>
        </w:trPr>
        <w:tc>
          <w:tcPr>
            <w:tcW w:w="2595" w:type="pct"/>
            <w:vAlign w:val="center"/>
            <w:hideMark/>
          </w:tcPr>
          <w:p w:rsidR="00000000" w:rsidRDefault="002D33E3">
            <w:pPr>
              <w:rPr>
                <w:sz w:val="20"/>
                <w:szCs w:val="20"/>
              </w:rPr>
            </w:pPr>
          </w:p>
        </w:tc>
        <w:tc>
          <w:tcPr>
            <w:tcW w:w="108" w:type="pct"/>
            <w:vAlign w:val="center"/>
            <w:hideMark/>
          </w:tcPr>
          <w:p w:rsidR="00000000" w:rsidRDefault="002D33E3">
            <w:pPr>
              <w:rPr>
                <w:rFonts w:eastAsia="Times New Roman"/>
                <w:sz w:val="20"/>
                <w:szCs w:val="20"/>
              </w:rPr>
            </w:pPr>
          </w:p>
        </w:tc>
        <w:tc>
          <w:tcPr>
            <w:tcW w:w="35" w:type="pct"/>
            <w:vAlign w:val="center"/>
            <w:hideMark/>
          </w:tcPr>
          <w:p w:rsidR="00000000" w:rsidRDefault="002D33E3">
            <w:pPr>
              <w:rPr>
                <w:rFonts w:eastAsia="Times New Roman"/>
                <w:sz w:val="20"/>
                <w:szCs w:val="20"/>
              </w:rPr>
            </w:pPr>
          </w:p>
        </w:tc>
        <w:tc>
          <w:tcPr>
            <w:tcW w:w="946" w:type="pct"/>
            <w:vAlign w:val="center"/>
            <w:hideMark/>
          </w:tcPr>
          <w:p w:rsidR="00000000" w:rsidRDefault="002D33E3">
            <w:pPr>
              <w:rPr>
                <w:rFonts w:eastAsia="Times New Roman"/>
                <w:sz w:val="20"/>
                <w:szCs w:val="20"/>
              </w:rPr>
            </w:pPr>
          </w:p>
        </w:tc>
        <w:tc>
          <w:tcPr>
            <w:tcW w:w="126" w:type="pct"/>
            <w:vAlign w:val="center"/>
            <w:hideMark/>
          </w:tcPr>
          <w:p w:rsidR="00000000" w:rsidRDefault="002D33E3">
            <w:pPr>
              <w:rPr>
                <w:rFonts w:eastAsia="Times New Roman"/>
                <w:sz w:val="20"/>
                <w:szCs w:val="20"/>
              </w:rPr>
            </w:pPr>
          </w:p>
        </w:tc>
        <w:tc>
          <w:tcPr>
            <w:tcW w:w="108" w:type="pct"/>
            <w:vAlign w:val="center"/>
            <w:hideMark/>
          </w:tcPr>
          <w:p w:rsidR="00000000" w:rsidRDefault="002D33E3">
            <w:pPr>
              <w:rPr>
                <w:rFonts w:eastAsia="Times New Roman"/>
                <w:sz w:val="20"/>
                <w:szCs w:val="20"/>
              </w:rPr>
            </w:pPr>
          </w:p>
        </w:tc>
        <w:tc>
          <w:tcPr>
            <w:tcW w:w="34" w:type="pct"/>
            <w:vAlign w:val="center"/>
            <w:hideMark/>
          </w:tcPr>
          <w:p w:rsidR="00000000" w:rsidRDefault="002D33E3">
            <w:pPr>
              <w:rPr>
                <w:rFonts w:eastAsia="Times New Roman"/>
                <w:sz w:val="20"/>
                <w:szCs w:val="20"/>
              </w:rPr>
            </w:pPr>
          </w:p>
        </w:tc>
        <w:tc>
          <w:tcPr>
            <w:tcW w:w="918" w:type="pct"/>
            <w:vAlign w:val="center"/>
            <w:hideMark/>
          </w:tcPr>
          <w:p w:rsidR="00000000" w:rsidRDefault="002D33E3">
            <w:pPr>
              <w:rPr>
                <w:rFonts w:eastAsia="Times New Roman"/>
                <w:sz w:val="20"/>
                <w:szCs w:val="20"/>
              </w:rPr>
            </w:pPr>
          </w:p>
        </w:tc>
        <w:tc>
          <w:tcPr>
            <w:tcW w:w="126" w:type="pct"/>
            <w:vAlign w:val="center"/>
            <w:hideMark/>
          </w:tcPr>
          <w:p w:rsidR="00000000" w:rsidRDefault="002D33E3">
            <w:pPr>
              <w:rPr>
                <w:rFonts w:eastAsia="Times New Roman"/>
                <w:sz w:val="20"/>
                <w:szCs w:val="20"/>
              </w:rPr>
            </w:pPr>
          </w:p>
        </w:tc>
      </w:tr>
      <w:tr w:rsidR="00000000">
        <w:trPr>
          <w:divId w:val="483859866"/>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2D33E3">
            <w:pPr>
              <w:pStyle w:val="a3"/>
              <w:spacing w:before="0" w:beforeAutospacing="0" w:after="0" w:afterAutospacing="0"/>
              <w:jc w:val="center"/>
              <w:rPr>
                <w:sz w:val="18"/>
                <w:szCs w:val="18"/>
              </w:rPr>
            </w:pPr>
            <w:r>
              <w:rPr>
                <w:b/>
                <w:bCs/>
                <w:sz w:val="18"/>
                <w:szCs w:val="18"/>
              </w:rPr>
              <w:t>Three Months Ended March 31, 202</w:t>
            </w:r>
            <w:r>
              <w:rPr>
                <w:b/>
                <w:bCs/>
                <w:sz w:val="18"/>
                <w:szCs w:val="18"/>
              </w:rPr>
              <w:t>2</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483859866"/>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Finance Lease</w:t>
            </w:r>
            <w:r>
              <w:rPr>
                <w:b/>
                <w:bCs/>
                <w:sz w:val="18"/>
                <w:szCs w:val="18"/>
              </w:rPr>
              <w:t>s</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483859866"/>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Weighted average remaining lease term (years</w:t>
            </w:r>
            <w:r>
              <w:rPr>
                <w:sz w:val="18"/>
                <w:szCs w:val="18"/>
              </w:rPr>
              <w:t>)</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right"/>
              <w:rPr>
                <w:sz w:val="20"/>
                <w:szCs w:val="20"/>
              </w:rPr>
            </w:pPr>
            <w:r>
              <w:rPr>
                <w:sz w:val="18"/>
                <w:szCs w:val="18"/>
              </w:rPr>
              <w:t>4.8</w:t>
            </w:r>
            <w:r>
              <w:rPr>
                <w:sz w:val="18"/>
                <w:szCs w:val="18"/>
              </w:rPr>
              <w:t>6</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3.0</w:t>
            </w:r>
            <w:r>
              <w:rPr>
                <w:sz w:val="18"/>
                <w:szCs w:val="18"/>
              </w:rPr>
              <w:t>3</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divId w:val="483859866"/>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Weighted average discount rat</w:t>
            </w:r>
            <w:r>
              <w:rPr>
                <w:sz w:val="18"/>
                <w:szCs w:val="18"/>
              </w:rPr>
              <w:t>e</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2.5</w:t>
            </w:r>
            <w:r>
              <w:rPr>
                <w:sz w:val="18"/>
                <w:szCs w:val="18"/>
              </w:rPr>
              <w:t>0</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4.9</w:t>
            </w:r>
            <w:r>
              <w:rPr>
                <w:sz w:val="18"/>
                <w:szCs w:val="18"/>
              </w:rPr>
              <w:t>8</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r>
      <w:tr w:rsidR="00000000">
        <w:trPr>
          <w:divId w:val="483859866"/>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483859866"/>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2D33E3">
            <w:pPr>
              <w:pStyle w:val="a3"/>
              <w:spacing w:before="0" w:beforeAutospacing="0" w:after="0" w:afterAutospacing="0"/>
              <w:jc w:val="center"/>
              <w:rPr>
                <w:sz w:val="18"/>
                <w:szCs w:val="18"/>
              </w:rPr>
            </w:pPr>
            <w:r>
              <w:rPr>
                <w:b/>
                <w:bCs/>
                <w:sz w:val="18"/>
                <w:szCs w:val="18"/>
              </w:rPr>
              <w:t>Three Months Ended March 31, 202</w:t>
            </w:r>
            <w:r>
              <w:rPr>
                <w:b/>
                <w:bCs/>
                <w:sz w:val="18"/>
                <w:szCs w:val="18"/>
              </w:rPr>
              <w:t>1</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483859866"/>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Finance Lease</w:t>
            </w:r>
            <w:r>
              <w:rPr>
                <w:b/>
                <w:bCs/>
                <w:sz w:val="18"/>
                <w:szCs w:val="18"/>
              </w:rPr>
              <w:t>s</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483859866"/>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Weighted average remaining lease term (years</w:t>
            </w:r>
            <w:r>
              <w:rPr>
                <w:sz w:val="18"/>
                <w:szCs w:val="18"/>
              </w:rPr>
              <w:t>)</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right"/>
              <w:rPr>
                <w:sz w:val="20"/>
                <w:szCs w:val="20"/>
              </w:rPr>
            </w:pPr>
            <w:r>
              <w:rPr>
                <w:sz w:val="18"/>
                <w:szCs w:val="18"/>
              </w:rPr>
              <w:t>5.1</w:t>
            </w:r>
            <w:r>
              <w:rPr>
                <w:sz w:val="18"/>
                <w:szCs w:val="18"/>
              </w:rPr>
              <w:t>8</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2.8</w:t>
            </w:r>
            <w:r>
              <w:rPr>
                <w:sz w:val="18"/>
                <w:szCs w:val="18"/>
              </w:rPr>
              <w:t>3</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divId w:val="483859866"/>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Weighted average discount rat</w:t>
            </w:r>
            <w:r>
              <w:rPr>
                <w:sz w:val="18"/>
                <w:szCs w:val="18"/>
              </w:rPr>
              <w:t>e</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2.6</w:t>
            </w:r>
            <w:r>
              <w:rPr>
                <w:sz w:val="18"/>
                <w:szCs w:val="18"/>
              </w:rPr>
              <w:t>2</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5.0</w:t>
            </w:r>
            <w:r>
              <w:rPr>
                <w:sz w:val="18"/>
                <w:szCs w:val="18"/>
              </w:rPr>
              <w:t>8</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r>
    </w:tbl>
    <w:p w:rsidR="00000000" w:rsidRDefault="002D33E3">
      <w:pPr>
        <w:pStyle w:val="a3"/>
        <w:spacing w:before="240" w:beforeAutospacing="0" w:after="0" w:afterAutospacing="0"/>
        <w:ind w:firstLine="555"/>
        <w:divId w:val="978651596"/>
        <w:rPr>
          <w:sz w:val="20"/>
          <w:szCs w:val="20"/>
        </w:rPr>
      </w:pPr>
      <w:r>
        <w:rPr>
          <w:sz w:val="20"/>
          <w:szCs w:val="20"/>
        </w:rPr>
        <w:t>The following is a schedule by year of the maturities of lease liabilities with original terms in excess of one year</w:t>
      </w:r>
      <w:r>
        <w:rPr>
          <w:sz w:val="20"/>
          <w:szCs w:val="20"/>
        </w:rPr>
        <w:t>:</w:t>
      </w:r>
    </w:p>
    <w:p w:rsidR="00000000" w:rsidRDefault="002D33E3">
      <w:pPr>
        <w:pStyle w:val="a3"/>
        <w:spacing w:before="0" w:beforeAutospacing="0" w:after="0" w:afterAutospacing="0"/>
        <w:ind w:firstLine="555"/>
        <w:divId w:val="978651596"/>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54"/>
        <w:gridCol w:w="205"/>
        <w:gridCol w:w="151"/>
        <w:gridCol w:w="1215"/>
        <w:gridCol w:w="120"/>
        <w:gridCol w:w="136"/>
        <w:gridCol w:w="151"/>
        <w:gridCol w:w="1178"/>
        <w:gridCol w:w="135"/>
      </w:tblGrid>
      <w:tr w:rsidR="00000000">
        <w:trPr>
          <w:divId w:val="978651596"/>
          <w:tblCellSpacing w:w="15" w:type="dxa"/>
        </w:trPr>
        <w:tc>
          <w:tcPr>
            <w:tcW w:w="2630" w:type="pct"/>
            <w:vAlign w:val="center"/>
            <w:hideMark/>
          </w:tcPr>
          <w:p w:rsidR="00000000" w:rsidRDefault="002D33E3">
            <w:pPr>
              <w:rPr>
                <w:sz w:val="20"/>
                <w:szCs w:val="20"/>
              </w:rPr>
            </w:pPr>
          </w:p>
        </w:tc>
        <w:tc>
          <w:tcPr>
            <w:tcW w:w="121" w:type="pct"/>
            <w:vAlign w:val="center"/>
            <w:hideMark/>
          </w:tcPr>
          <w:p w:rsidR="00000000" w:rsidRDefault="002D33E3">
            <w:pPr>
              <w:rPr>
                <w:rFonts w:eastAsia="Times New Roman"/>
                <w:sz w:val="20"/>
                <w:szCs w:val="20"/>
              </w:rPr>
            </w:pPr>
          </w:p>
        </w:tc>
        <w:tc>
          <w:tcPr>
            <w:tcW w:w="76" w:type="pct"/>
            <w:vAlign w:val="center"/>
            <w:hideMark/>
          </w:tcPr>
          <w:p w:rsidR="00000000" w:rsidRDefault="002D33E3">
            <w:pPr>
              <w:rPr>
                <w:rFonts w:eastAsia="Times New Roman"/>
                <w:sz w:val="20"/>
                <w:szCs w:val="20"/>
              </w:rPr>
            </w:pPr>
          </w:p>
        </w:tc>
        <w:tc>
          <w:tcPr>
            <w:tcW w:w="957"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108" w:type="pct"/>
            <w:vAlign w:val="center"/>
            <w:hideMark/>
          </w:tcPr>
          <w:p w:rsidR="00000000" w:rsidRDefault="002D33E3">
            <w:pPr>
              <w:rPr>
                <w:rFonts w:eastAsia="Times New Roman"/>
                <w:sz w:val="20"/>
                <w:szCs w:val="20"/>
              </w:rPr>
            </w:pPr>
          </w:p>
        </w:tc>
        <w:tc>
          <w:tcPr>
            <w:tcW w:w="76" w:type="pct"/>
            <w:vAlign w:val="center"/>
            <w:hideMark/>
          </w:tcPr>
          <w:p w:rsidR="00000000" w:rsidRDefault="002D33E3">
            <w:pPr>
              <w:rPr>
                <w:rFonts w:eastAsia="Times New Roman"/>
                <w:sz w:val="20"/>
                <w:szCs w:val="20"/>
              </w:rPr>
            </w:pPr>
          </w:p>
        </w:tc>
        <w:tc>
          <w:tcPr>
            <w:tcW w:w="928"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r>
      <w:tr w:rsidR="00000000">
        <w:trPr>
          <w:divId w:val="978651596"/>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Finance Lease</w:t>
            </w:r>
            <w:r>
              <w:rPr>
                <w:b/>
                <w:bCs/>
                <w:sz w:val="18"/>
                <w:szCs w:val="18"/>
              </w:rPr>
              <w:t>s</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978651596"/>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Remainder of 202</w:t>
            </w:r>
            <w:r>
              <w:rPr>
                <w:sz w:val="18"/>
                <w:szCs w:val="18"/>
              </w:rPr>
              <w:t>2</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7,07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2,99</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78651596"/>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202</w:t>
            </w:r>
            <w:r>
              <w:rPr>
                <w:sz w:val="18"/>
                <w:szCs w:val="18"/>
              </w:rPr>
              <w:t>3</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7,33</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2,99</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78651596"/>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202</w:t>
            </w:r>
            <w:r>
              <w:rPr>
                <w:sz w:val="18"/>
                <w:szCs w:val="18"/>
              </w:rPr>
              <w:t>4</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5,65</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1,98</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78651596"/>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202</w:t>
            </w:r>
            <w:r>
              <w:rPr>
                <w:sz w:val="18"/>
                <w:szCs w:val="18"/>
              </w:rPr>
              <w:t>5</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4,07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1,08</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78651596"/>
          <w:trHeight w:val="180"/>
          <w:tblCellSpacing w:w="15" w:type="dxa"/>
        </w:trPr>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2026 and thereafte</w:t>
            </w:r>
            <w:r>
              <w:rPr>
                <w:sz w:val="18"/>
                <w:szCs w:val="18"/>
              </w:rPr>
              <w:t>r</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8,30</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48</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78651596"/>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Total undiscounted future minimum lease payment</w:t>
            </w:r>
            <w:r>
              <w:rPr>
                <w:sz w:val="18"/>
                <w:szCs w:val="18"/>
              </w:rPr>
              <w:t>s</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32,44</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9,53</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78651596"/>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Less imputed interes</w:t>
            </w:r>
            <w:r>
              <w:rPr>
                <w:sz w:val="18"/>
                <w:szCs w:val="18"/>
              </w:rPr>
              <w:t>t</w:t>
            </w:r>
          </w:p>
        </w:tc>
        <w:tc>
          <w:tcPr>
            <w:tcW w:w="0" w:type="auto"/>
            <w:vAlign w:val="center"/>
            <w:hideMark/>
          </w:tcPr>
          <w:p w:rsidR="00000000" w:rsidRDefault="002D33E3">
            <w:pPr>
              <w:pStyle w:val="a3"/>
              <w:spacing w:before="0" w:beforeAutospacing="0" w:after="0" w:afterAutospacing="0"/>
              <w:ind w:left="10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1,94</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68</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978651596"/>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Total discounted future minimum lease payment</w:t>
            </w:r>
            <w:r>
              <w:rPr>
                <w:sz w:val="18"/>
                <w:szCs w:val="18"/>
              </w:rPr>
              <w:t>s</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30,49</w:t>
            </w:r>
            <w:r>
              <w:rPr>
                <w:sz w:val="18"/>
                <w:szCs w:val="18"/>
              </w:rPr>
              <w:t>6</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8,84</w:t>
            </w:r>
            <w:r>
              <w:rPr>
                <w:sz w:val="18"/>
                <w:szCs w:val="18"/>
              </w:rPr>
              <w:t>9</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divId w:val="978651596"/>
        <w:rPr>
          <w:sz w:val="20"/>
          <w:szCs w:val="20"/>
        </w:rPr>
      </w:pPr>
      <w:r>
        <w:rPr>
          <w:sz w:val="20"/>
          <w:szCs w:val="20"/>
        </w:rPr>
        <w:t> </w:t>
      </w:r>
    </w:p>
    <w:p w:rsidR="00000000" w:rsidRDefault="002D33E3">
      <w:pPr>
        <w:pStyle w:val="a3"/>
        <w:spacing w:before="240" w:beforeAutospacing="0" w:after="0" w:afterAutospacing="0"/>
        <w:jc w:val="center"/>
        <w:divId w:val="978651596"/>
        <w:rPr>
          <w:sz w:val="20"/>
          <w:szCs w:val="20"/>
        </w:rPr>
      </w:pPr>
      <w:r>
        <w:rPr>
          <w:sz w:val="20"/>
          <w:szCs w:val="20"/>
        </w:rPr>
        <w:t>9</w:t>
      </w:r>
    </w:p>
    <w:p w:rsidR="00000000" w:rsidRDefault="002D33E3">
      <w:pPr>
        <w:divId w:val="978651596"/>
        <w:rPr>
          <w:rFonts w:eastAsia="Times New Roman"/>
        </w:rPr>
      </w:pPr>
      <w:r>
        <w:rPr>
          <w:rFonts w:eastAsia="Times New Roman"/>
        </w:rPr>
        <w:pict>
          <v:rect id="_x0000_i1035" style="width:0;height:1.5pt" o:hralign="center" o:hrstd="t" o:hr="t" fillcolor="#a0a0a0" stroked="f"/>
        </w:pict>
      </w:r>
    </w:p>
    <w:p w:rsidR="00000000" w:rsidRDefault="002D33E3">
      <w:pPr>
        <w:pStyle w:val="a3"/>
        <w:spacing w:before="0" w:beforeAutospacing="0" w:after="0" w:afterAutospacing="0"/>
        <w:divId w:val="978651596"/>
        <w:rPr>
          <w:sz w:val="20"/>
          <w:szCs w:val="20"/>
        </w:rPr>
      </w:pPr>
      <w:r>
        <w:rPr>
          <w:sz w:val="20"/>
          <w:szCs w:val="20"/>
        </w:rPr>
        <w:t> </w:t>
      </w:r>
    </w:p>
    <w:p w:rsidR="00000000" w:rsidRDefault="002D33E3">
      <w:pPr>
        <w:pStyle w:val="a3"/>
        <w:spacing w:before="0" w:beforeAutospacing="0" w:after="0" w:afterAutospacing="0"/>
        <w:rPr>
          <w:sz w:val="20"/>
          <w:szCs w:val="20"/>
        </w:rPr>
      </w:pPr>
      <w:r>
        <w:t> </w:t>
      </w:r>
    </w:p>
    <w:p w:rsidR="00000000" w:rsidRDefault="002D33E3">
      <w:pPr>
        <w:pStyle w:val="a3"/>
        <w:spacing w:before="360" w:beforeAutospacing="0" w:after="0" w:afterAutospacing="0"/>
        <w:divId w:val="2046631898"/>
        <w:rPr>
          <w:sz w:val="20"/>
          <w:szCs w:val="20"/>
        </w:rPr>
      </w:pPr>
      <w:r>
        <w:rPr>
          <w:b/>
          <w:bCs/>
          <w:sz w:val="20"/>
          <w:szCs w:val="20"/>
        </w:rPr>
        <w:t>7. BUSINESS ACQUISITION</w:t>
      </w:r>
      <w:r>
        <w:rPr>
          <w:b/>
          <w:bCs/>
          <w:sz w:val="20"/>
          <w:szCs w:val="20"/>
        </w:rPr>
        <w:t>S</w:t>
      </w:r>
    </w:p>
    <w:p w:rsidR="00000000" w:rsidRDefault="002D33E3">
      <w:pPr>
        <w:pStyle w:val="a3"/>
        <w:spacing w:before="240" w:beforeAutospacing="0" w:after="0" w:afterAutospacing="0"/>
        <w:ind w:firstLine="555"/>
        <w:divId w:val="2046631898"/>
        <w:rPr>
          <w:sz w:val="20"/>
          <w:szCs w:val="20"/>
        </w:rPr>
      </w:pPr>
      <w:r>
        <w:rPr>
          <w:sz w:val="20"/>
          <w:szCs w:val="20"/>
        </w:rPr>
        <w:t>In line with the Company’</w:t>
      </w:r>
      <w:r>
        <w:rPr>
          <w:sz w:val="20"/>
          <w:szCs w:val="20"/>
        </w:rPr>
        <w:t>s strategic growth initiatives, the Company acquired certain businesses during the three months ended March 31, 2022 and during the year ended December 31, 2021. The results of each of those acquired businesses are included in the unaudited condensed conso</w:t>
      </w:r>
      <w:r>
        <w:rPr>
          <w:sz w:val="20"/>
          <w:szCs w:val="20"/>
        </w:rPr>
        <w:t>lidated financial statements beginning on the acquisition date. Each transaction qualified as an acquisition of a business and was accounted for as a business combination. All acquisitions resulted in the recognition of goodwill. The Company paid these pre</w:t>
      </w:r>
      <w:r>
        <w:rPr>
          <w:sz w:val="20"/>
          <w:szCs w:val="20"/>
        </w:rPr>
        <w:t>miums resulting in such goodwill for a number of reasons, including expected synergies from combining operations of the acquiree and the Company while also growing the Company’s customer base, acquiring assembled workforces, expanding its presence in certa</w:t>
      </w:r>
      <w:r>
        <w:rPr>
          <w:sz w:val="20"/>
          <w:szCs w:val="20"/>
        </w:rPr>
        <w:t>in markets and expanding and advancing its product and service offerings. The Company recorded the assets acquired and liabilities assumed at their acquisition date fair value, with the difference between the fair value of the net assets acquired and the a</w:t>
      </w:r>
      <w:r>
        <w:rPr>
          <w:sz w:val="20"/>
          <w:szCs w:val="20"/>
        </w:rPr>
        <w:t>cquisition consideration reflected as goodwill</w:t>
      </w:r>
      <w:r>
        <w:rPr>
          <w:sz w:val="20"/>
          <w:szCs w:val="20"/>
        </w:rPr>
        <w:t>.</w:t>
      </w:r>
    </w:p>
    <w:p w:rsidR="00000000" w:rsidRDefault="002D33E3">
      <w:pPr>
        <w:pStyle w:val="a3"/>
        <w:spacing w:before="240" w:beforeAutospacing="0" w:after="0" w:afterAutospacing="0"/>
        <w:ind w:firstLine="555"/>
        <w:divId w:val="2046631898"/>
        <w:rPr>
          <w:sz w:val="20"/>
          <w:szCs w:val="20"/>
        </w:rPr>
      </w:pPr>
      <w:r>
        <w:rPr>
          <w:sz w:val="20"/>
          <w:szCs w:val="20"/>
        </w:rPr>
        <w:t>The identifiable intangible assets for acquisitions are valued using the excess earnings method discounted cash flow approach for customer relationships, the relief from royalty method for trade names, the pa</w:t>
      </w:r>
      <w:r>
        <w:rPr>
          <w:sz w:val="20"/>
          <w:szCs w:val="20"/>
        </w:rPr>
        <w:t>tent and external proprietary software, the “with and without” method for covenants not to compete and the replacement cost method for the internal proprietary software by incorporating Level 3 inputs as described under the fair value hierarchy of ASC 820.</w:t>
      </w:r>
      <w:r>
        <w:rPr>
          <w:sz w:val="20"/>
          <w:szCs w:val="20"/>
        </w:rPr>
        <w:t xml:space="preserve"> These unobservable inputs reflect the Company’s own assumptions about which assumptions market participants would use in pricing an asset on a non-recurring basis. These assets will be amortized over their respective estimated useful lives</w:t>
      </w:r>
      <w:r>
        <w:rPr>
          <w:sz w:val="20"/>
          <w:szCs w:val="20"/>
        </w:rPr>
        <w:t>.</w:t>
      </w:r>
    </w:p>
    <w:p w:rsidR="00000000" w:rsidRDefault="002D33E3">
      <w:pPr>
        <w:pStyle w:val="a3"/>
        <w:spacing w:before="240" w:beforeAutospacing="0" w:after="0" w:afterAutospacing="0"/>
        <w:ind w:firstLine="555"/>
        <w:divId w:val="2046631898"/>
        <w:rPr>
          <w:sz w:val="20"/>
          <w:szCs w:val="20"/>
        </w:rPr>
      </w:pPr>
      <w:r>
        <w:rPr>
          <w:sz w:val="20"/>
          <w:szCs w:val="20"/>
        </w:rPr>
        <w:t>Other purchase</w:t>
      </w:r>
      <w:r>
        <w:rPr>
          <w:sz w:val="20"/>
          <w:szCs w:val="20"/>
        </w:rPr>
        <w:t xml:space="preserve"> price obligations (primarily deferred purchase price liabilities and target working capital liabilities or receivables) are included on the unaudited condensed consolidated statements of financial position in accounts payable and other accrued liabilities</w:t>
      </w:r>
      <w:r>
        <w:rPr>
          <w:sz w:val="20"/>
          <w:szCs w:val="20"/>
        </w:rPr>
        <w:t>, other non-current liabilities or accounts receivable-net in the case of working capital deficits. Contingent consideration outstanding from acquisitions are included on the unaudited condensed consolidated statements of financial position in business acq</w:t>
      </w:r>
      <w:r>
        <w:rPr>
          <w:sz w:val="20"/>
          <w:szCs w:val="20"/>
        </w:rPr>
        <w:t>uisition contingent consideration, current or in business acquisitions contingent consideration, long-term. The contingent consideration elements of the purchase price of the acquisitions are related to earn-outs which are based on the expected achievement</w:t>
      </w:r>
      <w:r>
        <w:rPr>
          <w:sz w:val="20"/>
          <w:szCs w:val="20"/>
        </w:rPr>
        <w:t xml:space="preserve"> of revenue or earnings thresholds as of the date of the acquisition and for which the maximum potential amount is limited</w:t>
      </w:r>
      <w:r>
        <w:rPr>
          <w:sz w:val="20"/>
          <w:szCs w:val="20"/>
        </w:rPr>
        <w:t>.</w:t>
      </w:r>
    </w:p>
    <w:p w:rsidR="00000000" w:rsidRDefault="002D33E3">
      <w:pPr>
        <w:pStyle w:val="a3"/>
        <w:spacing w:before="240" w:beforeAutospacing="0" w:after="0" w:afterAutospacing="0"/>
        <w:ind w:firstLine="555"/>
        <w:divId w:val="2046631898"/>
        <w:rPr>
          <w:sz w:val="20"/>
          <w:szCs w:val="20"/>
        </w:rPr>
      </w:pPr>
      <w:r>
        <w:rPr>
          <w:sz w:val="20"/>
          <w:szCs w:val="20"/>
        </w:rPr>
        <w:t xml:space="preserve">The Company considers several factors when determining whether or not contingent consideration liabilities are part of the purchase </w:t>
      </w:r>
      <w:r>
        <w:rPr>
          <w:sz w:val="20"/>
          <w:szCs w:val="20"/>
        </w:rPr>
        <w:t>price, including the following: (i) the valuation of its acquisitions is not supported solely by the initial consideration paid, (ii) the former stockholders of acquired companies that remain as key employees receive compensation other than contingent cons</w:t>
      </w:r>
      <w:r>
        <w:rPr>
          <w:sz w:val="20"/>
          <w:szCs w:val="20"/>
        </w:rPr>
        <w:t>ideration payments at a reasonable level compared with the compensation of the Company’s other key employees and (iii) contingent consideration payments are not affected by employment termination. The Company reviews and assesses the estimated fair value o</w:t>
      </w:r>
      <w:r>
        <w:rPr>
          <w:sz w:val="20"/>
          <w:szCs w:val="20"/>
        </w:rPr>
        <w:t>f contingent consideration at each reporting period</w:t>
      </w:r>
      <w:r>
        <w:rPr>
          <w:sz w:val="20"/>
          <w:szCs w:val="20"/>
        </w:rPr>
        <w:t>.</w:t>
      </w:r>
    </w:p>
    <w:p w:rsidR="00000000" w:rsidRDefault="002D33E3">
      <w:pPr>
        <w:pStyle w:val="a3"/>
        <w:spacing w:before="240" w:beforeAutospacing="0" w:after="0" w:afterAutospacing="0"/>
        <w:ind w:firstLine="555"/>
        <w:divId w:val="2046631898"/>
        <w:rPr>
          <w:sz w:val="20"/>
          <w:szCs w:val="20"/>
        </w:rPr>
      </w:pPr>
      <w:r>
        <w:rPr>
          <w:sz w:val="20"/>
          <w:szCs w:val="20"/>
        </w:rPr>
        <w:t xml:space="preserve">The Company may be required to make up to </w:t>
      </w:r>
      <w:r>
        <w:rPr>
          <w:sz w:val="20"/>
          <w:szCs w:val="20"/>
        </w:rPr>
        <w:t>$</w:t>
      </w:r>
      <w:r>
        <w:rPr>
          <w:sz w:val="20"/>
          <w:szCs w:val="20"/>
        </w:rPr>
        <w:t>8.</w:t>
      </w:r>
      <w:r>
        <w:rPr>
          <w:sz w:val="20"/>
          <w:szCs w:val="20"/>
        </w:rPr>
        <w:t>7</w:t>
      </w:r>
      <w:r>
        <w:rPr>
          <w:sz w:val="20"/>
          <w:szCs w:val="20"/>
        </w:rPr>
        <w:t xml:space="preserve"> million in aggregate true up and earn-out payments between the years 2022 and 2025 in connection with certain of its business acquisitions</w:t>
      </w:r>
      <w:r>
        <w:rPr>
          <w:sz w:val="20"/>
          <w:szCs w:val="20"/>
        </w:rPr>
        <w:t>.</w:t>
      </w:r>
    </w:p>
    <w:p w:rsidR="00000000" w:rsidRDefault="002D33E3">
      <w:pPr>
        <w:pStyle w:val="a3"/>
        <w:spacing w:before="240" w:beforeAutospacing="0" w:after="0" w:afterAutospacing="0"/>
        <w:ind w:firstLine="555"/>
        <w:divId w:val="2046631898"/>
        <w:rPr>
          <w:sz w:val="20"/>
          <w:szCs w:val="20"/>
        </w:rPr>
      </w:pPr>
      <w:r>
        <w:rPr>
          <w:sz w:val="20"/>
          <w:szCs w:val="20"/>
        </w:rPr>
        <w:t>Transaction cost</w:t>
      </w:r>
      <w:r>
        <w:rPr>
          <w:sz w:val="20"/>
          <w:szCs w:val="20"/>
        </w:rPr>
        <w:t xml:space="preserve">s related to business combinations totaled </w:t>
      </w:r>
      <w:r>
        <w:rPr>
          <w:sz w:val="20"/>
          <w:szCs w:val="20"/>
        </w:rPr>
        <w:t>$</w:t>
      </w:r>
      <w:r>
        <w:rPr>
          <w:sz w:val="20"/>
          <w:szCs w:val="20"/>
        </w:rPr>
        <w:t>0.</w:t>
      </w:r>
      <w:r>
        <w:rPr>
          <w:sz w:val="20"/>
          <w:szCs w:val="20"/>
        </w:rPr>
        <w:t>5</w:t>
      </w:r>
      <w:r>
        <w:rPr>
          <w:sz w:val="20"/>
          <w:szCs w:val="20"/>
        </w:rPr>
        <w:t xml:space="preserve"> million and </w:t>
      </w:r>
      <w:r>
        <w:rPr>
          <w:sz w:val="20"/>
          <w:szCs w:val="20"/>
        </w:rPr>
        <w:t>$</w:t>
      </w:r>
      <w:r>
        <w:rPr>
          <w:sz w:val="20"/>
          <w:szCs w:val="20"/>
        </w:rPr>
        <w:t>0.</w:t>
      </w:r>
      <w:r>
        <w:rPr>
          <w:sz w:val="20"/>
          <w:szCs w:val="20"/>
        </w:rPr>
        <w:t>2</w:t>
      </w:r>
      <w:r>
        <w:rPr>
          <w:sz w:val="20"/>
          <w:szCs w:val="20"/>
        </w:rPr>
        <w:t xml:space="preserve"> millio</w:t>
      </w:r>
      <w:r>
        <w:rPr>
          <w:sz w:val="20"/>
          <w:szCs w:val="20"/>
        </w:rPr>
        <w:t>n</w:t>
      </w:r>
      <w:r>
        <w:t xml:space="preserve"> </w:t>
      </w:r>
      <w:r>
        <w:rPr>
          <w:sz w:val="20"/>
          <w:szCs w:val="20"/>
        </w:rPr>
        <w:t>for the three months ended March 31, 2022 and March 31, 2021, respectively. These costs are expensed within selling, general and administrative expense in the accompanying unaudited c</w:t>
      </w:r>
      <w:r>
        <w:rPr>
          <w:sz w:val="20"/>
          <w:szCs w:val="20"/>
        </w:rPr>
        <w:t>ondensed consolidated statements of operations</w:t>
      </w:r>
      <w:r>
        <w:rPr>
          <w:sz w:val="20"/>
          <w:szCs w:val="20"/>
        </w:rPr>
        <w:t>.</w:t>
      </w:r>
    </w:p>
    <w:p w:rsidR="00000000" w:rsidRDefault="002D33E3">
      <w:pPr>
        <w:pStyle w:val="a3"/>
        <w:spacing w:before="240" w:beforeAutospacing="0" w:after="0" w:afterAutospacing="0"/>
        <w:jc w:val="center"/>
        <w:divId w:val="2046631898"/>
        <w:rPr>
          <w:sz w:val="20"/>
          <w:szCs w:val="20"/>
        </w:rPr>
      </w:pPr>
      <w:r>
        <w:rPr>
          <w:sz w:val="20"/>
          <w:szCs w:val="20"/>
        </w:rPr>
        <w:t>1</w:t>
      </w:r>
      <w:r>
        <w:rPr>
          <w:sz w:val="20"/>
          <w:szCs w:val="20"/>
        </w:rPr>
        <w:t>0</w:t>
      </w:r>
    </w:p>
    <w:p w:rsidR="00000000" w:rsidRDefault="002D33E3">
      <w:pPr>
        <w:divId w:val="2046631898"/>
        <w:rPr>
          <w:rFonts w:eastAsia="Times New Roman"/>
        </w:rPr>
      </w:pPr>
      <w:r>
        <w:rPr>
          <w:rFonts w:eastAsia="Times New Roman"/>
        </w:rPr>
        <w:pict>
          <v:rect id="_x0000_i1036" style="width:0;height:1.5pt" o:hralign="center" o:hrstd="t" o:hr="t" fillcolor="#a0a0a0" stroked="f"/>
        </w:pict>
      </w:r>
    </w:p>
    <w:p w:rsidR="00000000" w:rsidRDefault="002D33E3">
      <w:pPr>
        <w:pStyle w:val="a3"/>
        <w:spacing w:before="0" w:beforeAutospacing="0" w:after="0" w:afterAutospacing="0"/>
        <w:divId w:val="2046631898"/>
        <w:rPr>
          <w:sz w:val="20"/>
          <w:szCs w:val="20"/>
        </w:rPr>
      </w:pPr>
      <w:r>
        <w:rPr>
          <w:sz w:val="20"/>
          <w:szCs w:val="20"/>
        </w:rPr>
        <w:t> </w:t>
      </w:r>
    </w:p>
    <w:p w:rsidR="00000000" w:rsidRDefault="002D33E3">
      <w:pPr>
        <w:pStyle w:val="a3"/>
        <w:spacing w:before="240" w:beforeAutospacing="0" w:after="0" w:afterAutospacing="0"/>
        <w:ind w:firstLine="555"/>
        <w:divId w:val="2046631898"/>
        <w:rPr>
          <w:sz w:val="20"/>
          <w:szCs w:val="20"/>
        </w:rPr>
      </w:pPr>
      <w:r>
        <w:rPr>
          <w:b/>
          <w:bCs/>
          <w:sz w:val="20"/>
          <w:szCs w:val="20"/>
        </w:rPr>
        <w:t>Acquisitions Completed During the Three Months Ended March 31, 202</w:t>
      </w:r>
      <w:r>
        <w:rPr>
          <w:b/>
          <w:bCs/>
          <w:sz w:val="20"/>
          <w:szCs w:val="20"/>
        </w:rPr>
        <w:t>2</w:t>
      </w:r>
    </w:p>
    <w:p w:rsidR="00000000" w:rsidRDefault="002D33E3">
      <w:pPr>
        <w:pStyle w:val="a3"/>
        <w:spacing w:before="240" w:beforeAutospacing="0" w:after="0" w:afterAutospacing="0"/>
        <w:ind w:firstLine="555"/>
        <w:divId w:val="2046631898"/>
        <w:rPr>
          <w:sz w:val="20"/>
          <w:szCs w:val="20"/>
        </w:rPr>
      </w:pPr>
      <w:r>
        <w:rPr>
          <w:b/>
          <w:bCs/>
          <w:i/>
          <w:iCs/>
          <w:sz w:val="20"/>
          <w:szCs w:val="20"/>
        </w:rPr>
        <w:t>Environmental Standards, Inc. (“EnvStd”</w:t>
      </w:r>
      <w:r>
        <w:rPr>
          <w:b/>
          <w:bCs/>
          <w:i/>
          <w:iCs/>
          <w:sz w:val="20"/>
          <w:szCs w:val="20"/>
        </w:rPr>
        <w:t>)</w:t>
      </w:r>
      <w:r>
        <w:rPr>
          <w:sz w:val="20"/>
          <w:szCs w:val="20"/>
        </w:rPr>
        <w:t>—In January 2022, the Company completed the acquisition of</w:t>
      </w:r>
      <w:r>
        <w:rPr>
          <w:sz w:val="20"/>
          <w:szCs w:val="20"/>
        </w:rPr>
        <w:t xml:space="preserve"> Environmental Standards, Inc. by acquiring</w:t>
      </w:r>
      <w:r>
        <w:rPr>
          <w:sz w:val="20"/>
          <w:szCs w:val="20"/>
        </w:rPr>
        <w:t xml:space="preserve"> </w:t>
      </w:r>
      <w:r>
        <w:rPr>
          <w:sz w:val="20"/>
          <w:szCs w:val="20"/>
        </w:rPr>
        <w:t>100.</w:t>
      </w:r>
      <w:r>
        <w:rPr>
          <w:sz w:val="20"/>
          <w:szCs w:val="20"/>
        </w:rPr>
        <w:t>0</w:t>
      </w:r>
      <w:r>
        <w:rPr>
          <w:sz w:val="20"/>
          <w:szCs w:val="20"/>
        </w:rPr>
        <w:t>% of its common stock. EnvStd is a provider of environmental consulting services. EnvStd is based in</w:t>
      </w:r>
      <w:r>
        <w:rPr>
          <w:sz w:val="20"/>
          <w:szCs w:val="20"/>
        </w:rPr>
        <w:t xml:space="preserve"> </w:t>
      </w:r>
      <w:r>
        <w:rPr>
          <w:sz w:val="20"/>
          <w:szCs w:val="20"/>
        </w:rPr>
        <w:t xml:space="preserve">Valley Forge, PA with satellite locations nationwide. The upfront cash payment made to acquire EnvStd was </w:t>
      </w:r>
      <w:r>
        <w:rPr>
          <w:sz w:val="20"/>
          <w:szCs w:val="20"/>
        </w:rPr>
        <w:t>funded through cash on hand</w:t>
      </w:r>
      <w:r>
        <w:rPr>
          <w:sz w:val="20"/>
          <w:szCs w:val="20"/>
        </w:rPr>
        <w:t>.</w:t>
      </w:r>
      <w:r>
        <w:rPr>
          <w:sz w:val="20"/>
          <w:szCs w:val="20"/>
        </w:rPr>
        <w:t xml:space="preserve"> </w:t>
      </w:r>
    </w:p>
    <w:p w:rsidR="00000000" w:rsidRDefault="002D33E3">
      <w:pPr>
        <w:pStyle w:val="a3"/>
        <w:spacing w:before="240" w:beforeAutospacing="0" w:after="0" w:afterAutospacing="0"/>
        <w:ind w:firstLine="555"/>
        <w:divId w:val="2046631898"/>
        <w:rPr>
          <w:sz w:val="20"/>
          <w:szCs w:val="20"/>
        </w:rPr>
      </w:pPr>
      <w:r>
        <w:rPr>
          <w:b/>
          <w:bCs/>
          <w:i/>
          <w:iCs/>
          <w:sz w:val="20"/>
          <w:szCs w:val="20"/>
        </w:rPr>
        <w:t>Industrial Automation Group, Inc. (“IAG”</w:t>
      </w:r>
      <w:r>
        <w:rPr>
          <w:b/>
          <w:bCs/>
          <w:i/>
          <w:iCs/>
          <w:sz w:val="20"/>
          <w:szCs w:val="20"/>
        </w:rPr>
        <w:t>)</w:t>
      </w:r>
      <w:r>
        <w:rPr>
          <w:sz w:val="20"/>
          <w:szCs w:val="20"/>
        </w:rPr>
        <w:t>—In January 2022, the Company completed the acquisition of Industrial Automation Group, Inc. by acquiring certain of its employees and a covenant not to compete. The upfront cash paymen</w:t>
      </w:r>
      <w:r>
        <w:rPr>
          <w:sz w:val="20"/>
          <w:szCs w:val="20"/>
        </w:rPr>
        <w:t>t made to acquire IAG was funded through cash on hand</w:t>
      </w:r>
      <w:r>
        <w:rPr>
          <w:sz w:val="20"/>
          <w:szCs w:val="20"/>
        </w:rPr>
        <w:t>.</w:t>
      </w:r>
      <w:r>
        <w:rPr>
          <w:sz w:val="20"/>
          <w:szCs w:val="20"/>
        </w:rPr>
        <w:t xml:space="preserve"> </w:t>
      </w:r>
    </w:p>
    <w:p w:rsidR="00000000" w:rsidRDefault="002D33E3">
      <w:pPr>
        <w:pStyle w:val="a3"/>
        <w:spacing w:before="240" w:beforeAutospacing="0" w:after="0" w:afterAutospacing="0"/>
        <w:ind w:firstLine="555"/>
        <w:divId w:val="93131793"/>
        <w:rPr>
          <w:sz w:val="20"/>
          <w:szCs w:val="20"/>
        </w:rPr>
      </w:pPr>
      <w:r>
        <w:rPr>
          <w:sz w:val="20"/>
          <w:szCs w:val="20"/>
        </w:rPr>
        <w:t>The following table summarizes the elements of the purchase price of the acquisitions completed during the</w:t>
      </w:r>
      <w:r>
        <w:rPr>
          <w:sz w:val="20"/>
          <w:szCs w:val="20"/>
        </w:rPr>
        <w:t xml:space="preserve"> </w:t>
      </w:r>
      <w:r>
        <w:rPr>
          <w:sz w:val="20"/>
          <w:szCs w:val="20"/>
        </w:rPr>
        <w:t>three months ended March 31, 2022</w:t>
      </w:r>
      <w:r>
        <w:rPr>
          <w:sz w:val="20"/>
          <w:szCs w:val="20"/>
        </w:rPr>
        <w:t>:</w:t>
      </w:r>
    </w:p>
    <w:p w:rsidR="00000000" w:rsidRDefault="002D33E3">
      <w:pPr>
        <w:pStyle w:val="a3"/>
        <w:spacing w:before="0" w:beforeAutospacing="0" w:after="0" w:afterAutospacing="0"/>
        <w:ind w:firstLine="555"/>
        <w:divId w:val="9313179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6"/>
        <w:gridCol w:w="105"/>
        <w:gridCol w:w="150"/>
        <w:gridCol w:w="555"/>
        <w:gridCol w:w="105"/>
        <w:gridCol w:w="105"/>
        <w:gridCol w:w="151"/>
        <w:gridCol w:w="657"/>
        <w:gridCol w:w="105"/>
        <w:gridCol w:w="105"/>
        <w:gridCol w:w="151"/>
        <w:gridCol w:w="917"/>
        <w:gridCol w:w="105"/>
        <w:gridCol w:w="105"/>
        <w:gridCol w:w="151"/>
        <w:gridCol w:w="917"/>
        <w:gridCol w:w="105"/>
        <w:gridCol w:w="105"/>
        <w:gridCol w:w="151"/>
        <w:gridCol w:w="1027"/>
        <w:gridCol w:w="105"/>
        <w:gridCol w:w="105"/>
        <w:gridCol w:w="151"/>
        <w:gridCol w:w="1027"/>
        <w:gridCol w:w="105"/>
        <w:gridCol w:w="105"/>
        <w:gridCol w:w="151"/>
        <w:gridCol w:w="649"/>
        <w:gridCol w:w="120"/>
      </w:tblGrid>
      <w:tr w:rsidR="00000000">
        <w:trPr>
          <w:divId w:val="93131793"/>
          <w:tblCellSpacing w:w="15" w:type="dxa"/>
        </w:trPr>
        <w:tc>
          <w:tcPr>
            <w:tcW w:w="546" w:type="pct"/>
            <w:vAlign w:val="center"/>
            <w:hideMark/>
          </w:tcPr>
          <w:p w:rsidR="00000000" w:rsidRDefault="002D33E3">
            <w:pPr>
              <w:rPr>
                <w:sz w:val="20"/>
                <w:szCs w:val="20"/>
              </w:rPr>
            </w:pPr>
          </w:p>
        </w:tc>
        <w:tc>
          <w:tcPr>
            <w:tcW w:w="67"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39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7"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402"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7"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563"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7"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563"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7"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56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7"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56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7"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362"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r>
      <w:tr w:rsidR="00000000">
        <w:trPr>
          <w:divId w:val="93131793"/>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Cas</w:t>
            </w:r>
            <w:r>
              <w:rPr>
                <w:b/>
                <w:bCs/>
                <w:sz w:val="18"/>
                <w:szCs w:val="18"/>
              </w:rPr>
              <w:t>h</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Common</w:t>
            </w:r>
            <w:r>
              <w:rPr>
                <w:b/>
                <w:bCs/>
                <w:sz w:val="18"/>
                <w:szCs w:val="18"/>
              </w:rPr>
              <w:br/>
            </w:r>
            <w:r>
              <w:rPr>
                <w:b/>
                <w:bCs/>
                <w:sz w:val="18"/>
                <w:szCs w:val="18"/>
              </w:rPr>
              <w:t>Stoc</w:t>
            </w:r>
            <w:r>
              <w:rPr>
                <w:b/>
                <w:bCs/>
                <w:sz w:val="18"/>
                <w:szCs w:val="18"/>
              </w:rPr>
              <w:t>k</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Other</w:t>
            </w:r>
            <w:r>
              <w:rPr>
                <w:b/>
                <w:bCs/>
                <w:sz w:val="18"/>
                <w:szCs w:val="18"/>
              </w:rPr>
              <w:br/>
              <w:t>Purchase</w:t>
            </w:r>
            <w:r>
              <w:rPr>
                <w:b/>
                <w:bCs/>
                <w:sz w:val="18"/>
                <w:szCs w:val="18"/>
              </w:rPr>
              <w:br/>
              <w:t>Price</w:t>
            </w:r>
            <w:r>
              <w:rPr>
                <w:b/>
                <w:bCs/>
                <w:sz w:val="18"/>
                <w:szCs w:val="18"/>
              </w:rPr>
              <w:br/>
              <w:t>Components</w:t>
            </w:r>
            <w:r>
              <w:rPr>
                <w:b/>
                <w:bCs/>
                <w:sz w:val="18"/>
                <w:szCs w:val="18"/>
              </w:rPr>
              <w:br/>
              <w:t>Curren</w:t>
            </w:r>
            <w:r>
              <w:rPr>
                <w:b/>
                <w:bCs/>
                <w:sz w:val="18"/>
                <w:szCs w:val="18"/>
              </w:rPr>
              <w:t>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Other</w:t>
            </w:r>
            <w:r>
              <w:rPr>
                <w:b/>
                <w:bCs/>
                <w:sz w:val="18"/>
                <w:szCs w:val="18"/>
              </w:rPr>
              <w:br/>
              <w:t>Purchase</w:t>
            </w:r>
            <w:r>
              <w:rPr>
                <w:b/>
                <w:bCs/>
                <w:sz w:val="18"/>
                <w:szCs w:val="18"/>
              </w:rPr>
              <w:br/>
              <w:t>Price</w:t>
            </w:r>
            <w:r>
              <w:rPr>
                <w:b/>
                <w:bCs/>
                <w:sz w:val="18"/>
                <w:szCs w:val="18"/>
              </w:rPr>
              <w:br/>
              <w:t>Components</w:t>
            </w:r>
            <w:r>
              <w:rPr>
                <w:b/>
                <w:bCs/>
                <w:sz w:val="18"/>
                <w:szCs w:val="18"/>
              </w:rPr>
              <w:br/>
              <w:t>Long Ter</w:t>
            </w:r>
            <w:r>
              <w:rPr>
                <w:b/>
                <w:bCs/>
                <w:sz w:val="18"/>
                <w:szCs w:val="18"/>
              </w:rPr>
              <w:t>m</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Curren</w:t>
            </w:r>
            <w:r>
              <w:rPr>
                <w:b/>
                <w:bCs/>
                <w:sz w:val="18"/>
                <w:szCs w:val="18"/>
              </w:rPr>
              <w:t>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Long Ter</w:t>
            </w:r>
            <w:r>
              <w:rPr>
                <w:b/>
                <w:bCs/>
                <w:sz w:val="18"/>
                <w:szCs w:val="18"/>
              </w:rPr>
              <w:t>m</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Total</w:t>
            </w:r>
            <w:r>
              <w:rPr>
                <w:b/>
                <w:bCs/>
                <w:sz w:val="18"/>
                <w:szCs w:val="18"/>
              </w:rPr>
              <w:br/>
              <w:t>Purchase</w:t>
            </w:r>
            <w:r>
              <w:rPr>
                <w:b/>
                <w:bCs/>
                <w:sz w:val="18"/>
                <w:szCs w:val="18"/>
              </w:rPr>
              <w:br/>
              <w:t>Pric</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9313179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EnvSt</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14,47</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1,16</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15,67</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313179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IA</w:t>
            </w:r>
            <w:r>
              <w:rPr>
                <w:sz w:val="18"/>
                <w:szCs w:val="18"/>
              </w:rPr>
              <w:t>G</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313179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Tota</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14,62</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1,21</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15,87</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2046631898"/>
        <w:rPr>
          <w:sz w:val="20"/>
          <w:szCs w:val="20"/>
        </w:rPr>
      </w:pPr>
      <w:r>
        <w:rPr>
          <w:sz w:val="20"/>
          <w:szCs w:val="20"/>
        </w:rPr>
        <w:t>The other purchase price components of the EnvStd purchase price consist of a surplus working capital amount, which is not finalized at this time</w:t>
      </w:r>
      <w:r>
        <w:rPr>
          <w:sz w:val="20"/>
          <w:szCs w:val="20"/>
        </w:rPr>
        <w:t>.</w:t>
      </w:r>
      <w:r>
        <w:rPr>
          <w:sz w:val="20"/>
          <w:szCs w:val="20"/>
        </w:rPr>
        <w:t xml:space="preserve"> </w:t>
      </w:r>
    </w:p>
    <w:p w:rsidR="00000000" w:rsidRDefault="002D33E3">
      <w:pPr>
        <w:pStyle w:val="a3"/>
        <w:spacing w:before="240" w:beforeAutospacing="0" w:after="0" w:afterAutospacing="0"/>
        <w:ind w:firstLine="555"/>
        <w:divId w:val="1744716765"/>
        <w:rPr>
          <w:sz w:val="20"/>
          <w:szCs w:val="20"/>
        </w:rPr>
      </w:pPr>
      <w:r>
        <w:rPr>
          <w:sz w:val="20"/>
          <w:szCs w:val="20"/>
        </w:rPr>
        <w:t>The preliminary purchase price attributable to the acquisitions was allocated as follows</w:t>
      </w:r>
      <w:r>
        <w:rPr>
          <w:sz w:val="20"/>
          <w:szCs w:val="20"/>
        </w:rPr>
        <w:t>:</w:t>
      </w:r>
    </w:p>
    <w:p w:rsidR="00000000" w:rsidRDefault="002D33E3">
      <w:pPr>
        <w:pStyle w:val="a3"/>
        <w:spacing w:before="0" w:beforeAutospacing="0" w:after="0" w:afterAutospacing="0"/>
        <w:ind w:firstLine="555"/>
        <w:divId w:val="174471676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4"/>
        <w:gridCol w:w="109"/>
        <w:gridCol w:w="150"/>
        <w:gridCol w:w="891"/>
        <w:gridCol w:w="105"/>
        <w:gridCol w:w="109"/>
        <w:gridCol w:w="150"/>
        <w:gridCol w:w="891"/>
        <w:gridCol w:w="105"/>
        <w:gridCol w:w="110"/>
        <w:gridCol w:w="150"/>
        <w:gridCol w:w="892"/>
        <w:gridCol w:w="120"/>
      </w:tblGrid>
      <w:tr w:rsidR="00000000">
        <w:trPr>
          <w:divId w:val="1744716765"/>
          <w:tblCellSpacing w:w="15" w:type="dxa"/>
        </w:trPr>
        <w:tc>
          <w:tcPr>
            <w:tcW w:w="2854" w:type="pct"/>
            <w:vAlign w:val="center"/>
            <w:hideMark/>
          </w:tcPr>
          <w:p w:rsidR="00000000" w:rsidRDefault="002D33E3">
            <w:pPr>
              <w:rPr>
                <w:sz w:val="20"/>
                <w:szCs w:val="20"/>
              </w:rPr>
            </w:pPr>
          </w:p>
        </w:tc>
        <w:tc>
          <w:tcPr>
            <w:tcW w:w="69"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64"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9"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63"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9"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64"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r>
      <w:tr w:rsidR="00000000">
        <w:trPr>
          <w:divId w:val="1744716765"/>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EnvSt</w:t>
            </w:r>
            <w:r>
              <w:rPr>
                <w:b/>
                <w:bCs/>
                <w:sz w:val="18"/>
                <w:szCs w:val="18"/>
              </w:rPr>
              <w:t>d</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IA</w:t>
            </w:r>
            <w:r>
              <w:rPr>
                <w:b/>
                <w:bCs/>
                <w:sz w:val="18"/>
                <w:szCs w:val="18"/>
              </w:rPr>
              <w:t>G</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Cas</w:t>
            </w:r>
            <w:r>
              <w:rPr>
                <w:sz w:val="18"/>
                <w:szCs w:val="18"/>
              </w:rPr>
              <w:t>h</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Accounts receivable and contract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4,87</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4,87</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Other current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45</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45</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Current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5,62</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5,62</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Property and equipmen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Operating lease right-of-use asset—ne</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2,89</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2,89</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5,80</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5,80</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1,01</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1,01</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Goodwil</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3,87</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4,02</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Total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19,65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19,85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Current liabilitie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1,64</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1,64</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Operating lease liability—net of</w:t>
            </w:r>
            <w:r>
              <w:rPr>
                <w:sz w:val="18"/>
                <w:szCs w:val="18"/>
              </w:rPr>
              <w:br/>
              <w:t>   </w:t>
            </w:r>
            <w:r>
              <w:rPr>
                <w:sz w:val="18"/>
                <w:szCs w:val="18"/>
              </w:rPr>
              <w:t>current portio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2,32</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2,32</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Total liabilitie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3,97</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3,97</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7447167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Purchase pric</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15,67</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15,87</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2039700398"/>
        <w:rPr>
          <w:sz w:val="20"/>
          <w:szCs w:val="20"/>
        </w:rPr>
      </w:pPr>
      <w:r>
        <w:rPr>
          <w:sz w:val="20"/>
          <w:szCs w:val="20"/>
        </w:rPr>
        <w:t>The weighted average useful lives for the acquired companies’ identifiable intangible assets are as follows</w:t>
      </w:r>
      <w:r>
        <w:rPr>
          <w:sz w:val="20"/>
          <w:szCs w:val="20"/>
        </w:rPr>
        <w:t>:</w:t>
      </w:r>
    </w:p>
    <w:p w:rsidR="00000000" w:rsidRDefault="002D33E3">
      <w:pPr>
        <w:pStyle w:val="a3"/>
        <w:spacing w:before="0" w:beforeAutospacing="0" w:after="0" w:afterAutospacing="0"/>
        <w:ind w:firstLine="555"/>
        <w:divId w:val="203970039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9"/>
        <w:gridCol w:w="2388"/>
        <w:gridCol w:w="2387"/>
        <w:gridCol w:w="2402"/>
      </w:tblGrid>
      <w:tr w:rsidR="00000000">
        <w:trPr>
          <w:divId w:val="2039700398"/>
          <w:tblCellSpacing w:w="15" w:type="dxa"/>
        </w:trPr>
        <w:tc>
          <w:tcPr>
            <w:tcW w:w="664" w:type="pct"/>
            <w:vAlign w:val="center"/>
            <w:hideMark/>
          </w:tcPr>
          <w:p w:rsidR="00000000" w:rsidRDefault="002D33E3">
            <w:pPr>
              <w:rPr>
                <w:sz w:val="20"/>
                <w:szCs w:val="20"/>
              </w:rPr>
            </w:pPr>
          </w:p>
        </w:tc>
        <w:tc>
          <w:tcPr>
            <w:tcW w:w="1445" w:type="pct"/>
            <w:vAlign w:val="center"/>
            <w:hideMark/>
          </w:tcPr>
          <w:p w:rsidR="00000000" w:rsidRDefault="002D33E3">
            <w:pPr>
              <w:rPr>
                <w:rFonts w:eastAsia="Times New Roman"/>
                <w:sz w:val="20"/>
                <w:szCs w:val="20"/>
              </w:rPr>
            </w:pPr>
          </w:p>
        </w:tc>
        <w:tc>
          <w:tcPr>
            <w:tcW w:w="1445" w:type="pct"/>
            <w:vAlign w:val="center"/>
            <w:hideMark/>
          </w:tcPr>
          <w:p w:rsidR="00000000" w:rsidRDefault="002D33E3">
            <w:pPr>
              <w:rPr>
                <w:rFonts w:eastAsia="Times New Roman"/>
                <w:sz w:val="20"/>
                <w:szCs w:val="20"/>
              </w:rPr>
            </w:pPr>
          </w:p>
        </w:tc>
        <w:tc>
          <w:tcPr>
            <w:tcW w:w="1445" w:type="pct"/>
            <w:vAlign w:val="center"/>
            <w:hideMark/>
          </w:tcPr>
          <w:p w:rsidR="00000000" w:rsidRDefault="002D33E3">
            <w:pPr>
              <w:rPr>
                <w:rFonts w:eastAsia="Times New Roman"/>
                <w:sz w:val="20"/>
                <w:szCs w:val="20"/>
              </w:rPr>
            </w:pPr>
          </w:p>
        </w:tc>
      </w:tr>
      <w:tr w:rsidR="00000000">
        <w:trPr>
          <w:divId w:val="2039700398"/>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18"/>
                <w:szCs w:val="18"/>
              </w:rPr>
            </w:pPr>
            <w:r>
              <w:rPr>
                <w:b/>
                <w:bCs/>
                <w:sz w:val="18"/>
                <w:szCs w:val="18"/>
              </w:rPr>
              <w:t>Customer Relationship</w:t>
            </w:r>
            <w:r>
              <w:rPr>
                <w:b/>
                <w:bCs/>
                <w:sz w:val="18"/>
                <w:szCs w:val="18"/>
              </w:rPr>
              <w:t>s</w:t>
            </w:r>
          </w:p>
        </w:tc>
        <w:tc>
          <w:tcPr>
            <w:tcW w:w="0" w:type="auto"/>
            <w:vAlign w:val="center"/>
            <w:hideMark/>
          </w:tcPr>
          <w:p w:rsidR="00000000" w:rsidRDefault="002D33E3">
            <w:pPr>
              <w:pStyle w:val="a3"/>
              <w:spacing w:before="0" w:beforeAutospacing="0" w:after="0" w:afterAutospacing="0"/>
              <w:jc w:val="center"/>
              <w:rPr>
                <w:sz w:val="18"/>
                <w:szCs w:val="18"/>
              </w:rPr>
            </w:pPr>
            <w:r>
              <w:rPr>
                <w:b/>
                <w:bCs/>
                <w:sz w:val="18"/>
                <w:szCs w:val="18"/>
              </w:rPr>
              <w:t>Tradename</w:t>
            </w:r>
            <w:r>
              <w:rPr>
                <w:b/>
                <w:bCs/>
                <w:sz w:val="18"/>
                <w:szCs w:val="18"/>
              </w:rPr>
              <w:t>s</w:t>
            </w:r>
          </w:p>
        </w:tc>
        <w:tc>
          <w:tcPr>
            <w:tcW w:w="0" w:type="auto"/>
            <w:vAlign w:val="center"/>
            <w:hideMark/>
          </w:tcPr>
          <w:p w:rsidR="00000000" w:rsidRDefault="002D33E3">
            <w:pPr>
              <w:pStyle w:val="a3"/>
              <w:spacing w:before="0" w:beforeAutospacing="0" w:after="0" w:afterAutospacing="0"/>
              <w:jc w:val="center"/>
              <w:rPr>
                <w:sz w:val="18"/>
                <w:szCs w:val="18"/>
              </w:rPr>
            </w:pPr>
            <w:r>
              <w:rPr>
                <w:b/>
                <w:bCs/>
                <w:sz w:val="18"/>
                <w:szCs w:val="18"/>
              </w:rPr>
              <w:t>Covenants Not to Compet</w:t>
            </w:r>
            <w:r>
              <w:rPr>
                <w:b/>
                <w:bCs/>
                <w:sz w:val="18"/>
                <w:szCs w:val="18"/>
              </w:rPr>
              <w:t>e</w:t>
            </w:r>
          </w:p>
        </w:tc>
      </w:tr>
      <w:tr w:rsidR="00000000">
        <w:trPr>
          <w:divId w:val="2039700398"/>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EnvSt</w:t>
            </w:r>
            <w:r>
              <w:rPr>
                <w:sz w:val="18"/>
                <w:szCs w:val="18"/>
              </w:rPr>
              <w:t>d</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1</w:t>
            </w:r>
            <w:r>
              <w:rPr>
                <w:sz w:val="18"/>
                <w:szCs w:val="18"/>
              </w:rPr>
              <w:t>5</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5</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5</w:t>
            </w:r>
          </w:p>
        </w:tc>
      </w:tr>
      <w:tr w:rsidR="00000000">
        <w:trPr>
          <w:divId w:val="2039700398"/>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IA</w:t>
            </w:r>
            <w:r>
              <w:rPr>
                <w:sz w:val="18"/>
                <w:szCs w:val="18"/>
              </w:rPr>
              <w:t>G</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n/</w:t>
            </w:r>
            <w:r>
              <w:rPr>
                <w:sz w:val="18"/>
                <w:szCs w:val="18"/>
              </w:rPr>
              <w:t>a</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n/</w:t>
            </w:r>
            <w:r>
              <w:rPr>
                <w:sz w:val="18"/>
                <w:szCs w:val="18"/>
              </w:rPr>
              <w:t>a</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3</w:t>
            </w:r>
          </w:p>
        </w:tc>
      </w:tr>
    </w:tbl>
    <w:p w:rsidR="00000000" w:rsidRDefault="002D33E3">
      <w:pPr>
        <w:pStyle w:val="a3"/>
        <w:spacing w:before="240" w:beforeAutospacing="0" w:after="0" w:afterAutospacing="0"/>
        <w:ind w:firstLine="555"/>
        <w:divId w:val="2046631898"/>
        <w:rPr>
          <w:sz w:val="20"/>
          <w:szCs w:val="20"/>
        </w:rPr>
      </w:pPr>
      <w:r>
        <w:rPr>
          <w:sz w:val="20"/>
          <w:szCs w:val="20"/>
        </w:rPr>
        <w:t>Goodwill associated with the IAG acquisition is deductible for income tax purposes</w:t>
      </w:r>
      <w:r>
        <w:rPr>
          <w:sz w:val="20"/>
          <w:szCs w:val="20"/>
        </w:rPr>
        <w:t>.</w:t>
      </w:r>
    </w:p>
    <w:p w:rsidR="00000000" w:rsidRDefault="002D33E3">
      <w:pPr>
        <w:pStyle w:val="a3"/>
        <w:spacing w:before="240" w:beforeAutospacing="0" w:after="0" w:afterAutospacing="0"/>
        <w:ind w:firstLine="555"/>
        <w:divId w:val="2046631898"/>
        <w:rPr>
          <w:sz w:val="20"/>
          <w:szCs w:val="20"/>
        </w:rPr>
      </w:pPr>
      <w:r>
        <w:rPr>
          <w:sz w:val="20"/>
          <w:szCs w:val="20"/>
        </w:rPr>
        <w:t>For the acquisitions completed during the three months ended March 31, 2022, the results of operations since the acquisition dates have been combined with those of the Comp</w:t>
      </w:r>
      <w:r>
        <w:rPr>
          <w:sz w:val="20"/>
          <w:szCs w:val="20"/>
        </w:rPr>
        <w:t xml:space="preserve">any. The Company’s unaudited condensed consolidated statement of operations for the three months ended March 31, 2022 includes revenue of </w:t>
      </w:r>
      <w:r>
        <w:rPr>
          <w:sz w:val="20"/>
          <w:szCs w:val="20"/>
        </w:rPr>
        <w:t>$</w:t>
      </w:r>
      <w:r>
        <w:rPr>
          <w:sz w:val="20"/>
          <w:szCs w:val="20"/>
        </w:rPr>
        <w:t>3.</w:t>
      </w:r>
      <w:r>
        <w:rPr>
          <w:sz w:val="20"/>
          <w:szCs w:val="20"/>
        </w:rPr>
        <w:t>3</w:t>
      </w:r>
      <w:r>
        <w:rPr>
          <w:sz w:val="20"/>
          <w:szCs w:val="20"/>
        </w:rPr>
        <w:t xml:space="preserve"> million and pre-tax income of </w:t>
      </w:r>
      <w:r>
        <w:rPr>
          <w:sz w:val="20"/>
          <w:szCs w:val="20"/>
        </w:rPr>
        <w:t>$</w:t>
      </w:r>
      <w:r>
        <w:rPr>
          <w:sz w:val="20"/>
          <w:szCs w:val="20"/>
        </w:rPr>
        <w:t>0.</w:t>
      </w:r>
      <w:r>
        <w:rPr>
          <w:sz w:val="20"/>
          <w:szCs w:val="20"/>
        </w:rPr>
        <w:t>8</w:t>
      </w:r>
      <w:r>
        <w:rPr>
          <w:sz w:val="20"/>
          <w:szCs w:val="20"/>
        </w:rPr>
        <w:t xml:space="preserve"> million. EnvStd and IAG are included in the Company’s Assessment, Permitting a</w:t>
      </w:r>
      <w:r>
        <w:rPr>
          <w:sz w:val="20"/>
          <w:szCs w:val="20"/>
        </w:rPr>
        <w:t>nd Response and Remediation and Reuse segments, respectively</w:t>
      </w:r>
      <w:r>
        <w:rPr>
          <w:sz w:val="20"/>
          <w:szCs w:val="20"/>
        </w:rPr>
        <w:t>.</w:t>
      </w:r>
    </w:p>
    <w:p w:rsidR="00000000" w:rsidRDefault="002D33E3">
      <w:pPr>
        <w:pStyle w:val="a3"/>
        <w:spacing w:before="240" w:beforeAutospacing="0" w:after="0" w:afterAutospacing="0"/>
        <w:jc w:val="center"/>
        <w:divId w:val="2046631898"/>
        <w:rPr>
          <w:sz w:val="20"/>
          <w:szCs w:val="20"/>
        </w:rPr>
      </w:pPr>
      <w:r>
        <w:rPr>
          <w:sz w:val="20"/>
          <w:szCs w:val="20"/>
        </w:rPr>
        <w:t>1</w:t>
      </w:r>
      <w:r>
        <w:rPr>
          <w:sz w:val="20"/>
          <w:szCs w:val="20"/>
        </w:rPr>
        <w:t>1</w:t>
      </w:r>
    </w:p>
    <w:p w:rsidR="00000000" w:rsidRDefault="002D33E3">
      <w:pPr>
        <w:divId w:val="2046631898"/>
        <w:rPr>
          <w:rFonts w:eastAsia="Times New Roman"/>
        </w:rPr>
      </w:pPr>
      <w:r>
        <w:rPr>
          <w:rFonts w:eastAsia="Times New Roman"/>
        </w:rPr>
        <w:pict>
          <v:rect id="_x0000_i1037" style="width:0;height:1.5pt" o:hralign="center" o:hrstd="t" o:hr="t" fillcolor="#a0a0a0" stroked="f"/>
        </w:pict>
      </w:r>
    </w:p>
    <w:p w:rsidR="00000000" w:rsidRDefault="002D33E3">
      <w:pPr>
        <w:pStyle w:val="a3"/>
        <w:spacing w:before="0" w:beforeAutospacing="0" w:after="0" w:afterAutospacing="0"/>
        <w:divId w:val="2046631898"/>
        <w:rPr>
          <w:sz w:val="20"/>
          <w:szCs w:val="20"/>
        </w:rPr>
      </w:pPr>
      <w:r>
        <w:rPr>
          <w:sz w:val="20"/>
          <w:szCs w:val="20"/>
        </w:rPr>
        <w:t> </w:t>
      </w:r>
    </w:p>
    <w:p w:rsidR="00000000" w:rsidRDefault="002D33E3">
      <w:pPr>
        <w:pStyle w:val="a3"/>
        <w:spacing w:before="240" w:beforeAutospacing="0" w:after="0" w:afterAutospacing="0"/>
        <w:ind w:firstLine="555"/>
        <w:divId w:val="2046631898"/>
        <w:rPr>
          <w:sz w:val="20"/>
          <w:szCs w:val="20"/>
        </w:rPr>
      </w:pPr>
      <w:r>
        <w:rPr>
          <w:b/>
          <w:bCs/>
          <w:sz w:val="20"/>
          <w:szCs w:val="20"/>
        </w:rPr>
        <w:t>Acquisitions Completed During the Year Ended December 31, 202</w:t>
      </w:r>
      <w:r>
        <w:rPr>
          <w:b/>
          <w:bCs/>
          <w:sz w:val="20"/>
          <w:szCs w:val="20"/>
        </w:rPr>
        <w:t>1</w:t>
      </w:r>
    </w:p>
    <w:p w:rsidR="00000000" w:rsidRDefault="002D33E3">
      <w:pPr>
        <w:pStyle w:val="a3"/>
        <w:spacing w:before="240" w:beforeAutospacing="0" w:after="0" w:afterAutospacing="0"/>
        <w:ind w:firstLine="555"/>
        <w:divId w:val="2046631898"/>
        <w:rPr>
          <w:sz w:val="20"/>
          <w:szCs w:val="20"/>
        </w:rPr>
      </w:pPr>
      <w:r>
        <w:rPr>
          <w:b/>
          <w:bCs/>
          <w:i/>
          <w:iCs/>
          <w:sz w:val="20"/>
          <w:szCs w:val="20"/>
        </w:rPr>
        <w:t>MSE Group, LLC (“MSE”</w:t>
      </w:r>
      <w:r>
        <w:rPr>
          <w:b/>
          <w:bCs/>
          <w:i/>
          <w:iCs/>
          <w:sz w:val="20"/>
          <w:szCs w:val="20"/>
        </w:rPr>
        <w:t>)</w:t>
      </w:r>
      <w:r>
        <w:rPr>
          <w:sz w:val="20"/>
          <w:szCs w:val="20"/>
        </w:rPr>
        <w:t>—In January 2021, the Company completed the acquisition of MSE Grou</w:t>
      </w:r>
      <w:r>
        <w:rPr>
          <w:sz w:val="20"/>
          <w:szCs w:val="20"/>
        </w:rPr>
        <w:t>p, LLC by acquiring</w:t>
      </w:r>
      <w:r>
        <w:rPr>
          <w:sz w:val="20"/>
          <w:szCs w:val="20"/>
        </w:rPr>
        <w:t xml:space="preserve"> </w:t>
      </w:r>
      <w:r>
        <w:rPr>
          <w:sz w:val="20"/>
          <w:szCs w:val="20"/>
        </w:rPr>
        <w:t>100.</w:t>
      </w:r>
      <w:r>
        <w:rPr>
          <w:sz w:val="20"/>
          <w:szCs w:val="20"/>
        </w:rPr>
        <w:t>0</w:t>
      </w:r>
      <w:r>
        <w:rPr>
          <w:sz w:val="20"/>
          <w:szCs w:val="20"/>
        </w:rPr>
        <w:t>% of its membership interests. MSE is a provider of environmental assessment, compliance, engineering, and design services primarily to the U.S. federal government. MSE is based in Orlando, FL with additional offices in Tampa, Orla</w:t>
      </w:r>
      <w:r>
        <w:rPr>
          <w:sz w:val="20"/>
          <w:szCs w:val="20"/>
        </w:rPr>
        <w:t>ndo, Jacksonville, San Antonio, TX, and Wilmington, NC, and satellite locations nationwide. The upfront cash payment made to acquire MSE was funded through cash on hand and the common stock portion of the purchase price was funded through the issuance of</w:t>
      </w:r>
      <w:r>
        <w:rPr>
          <w:sz w:val="20"/>
          <w:szCs w:val="20"/>
        </w:rPr>
        <w:t xml:space="preserve"> </w:t>
      </w:r>
      <w:r>
        <w:rPr>
          <w:sz w:val="20"/>
          <w:szCs w:val="20"/>
        </w:rPr>
        <w:t>7</w:t>
      </w:r>
      <w:r>
        <w:rPr>
          <w:sz w:val="20"/>
          <w:szCs w:val="20"/>
        </w:rPr>
        <w:t>1,74</w:t>
      </w:r>
      <w:r>
        <w:rPr>
          <w:sz w:val="20"/>
          <w:szCs w:val="20"/>
        </w:rPr>
        <w:t>0</w:t>
      </w:r>
      <w:r>
        <w:rPr>
          <w:sz w:val="20"/>
          <w:szCs w:val="20"/>
        </w:rPr>
        <w:t xml:space="preserve"> shares of common stock</w:t>
      </w:r>
      <w:r>
        <w:rPr>
          <w:sz w:val="20"/>
          <w:szCs w:val="20"/>
        </w:rPr>
        <w:t>.</w:t>
      </w:r>
      <w:r>
        <w:rPr>
          <w:sz w:val="20"/>
          <w:szCs w:val="20"/>
        </w:rPr>
        <w:t xml:space="preserve"> </w:t>
      </w:r>
    </w:p>
    <w:p w:rsidR="00000000" w:rsidRDefault="002D33E3">
      <w:pPr>
        <w:pStyle w:val="a3"/>
        <w:spacing w:before="240" w:beforeAutospacing="0" w:after="0" w:afterAutospacing="0"/>
        <w:ind w:firstLine="555"/>
        <w:divId w:val="2046631898"/>
        <w:rPr>
          <w:sz w:val="20"/>
          <w:szCs w:val="20"/>
        </w:rPr>
      </w:pPr>
      <w:r>
        <w:rPr>
          <w:b/>
          <w:bCs/>
          <w:i/>
          <w:iCs/>
          <w:sz w:val="20"/>
          <w:szCs w:val="20"/>
        </w:rPr>
        <w:t>Vista Analytical Laboratory, Inc. (“Vista”</w:t>
      </w:r>
      <w:r>
        <w:rPr>
          <w:b/>
          <w:bCs/>
          <w:i/>
          <w:iCs/>
          <w:sz w:val="20"/>
          <w:szCs w:val="20"/>
        </w:rPr>
        <w:t>)</w:t>
      </w:r>
      <w:r>
        <w:rPr>
          <w:sz w:val="20"/>
          <w:szCs w:val="20"/>
        </w:rPr>
        <w:t>—In June 2021, the Company completed the acquisition of Vista Analytical Laboratory, Inc. (“Vista”) by acquiring</w:t>
      </w:r>
      <w:r>
        <w:rPr>
          <w:sz w:val="20"/>
          <w:szCs w:val="20"/>
        </w:rPr>
        <w:t xml:space="preserve"> </w:t>
      </w:r>
      <w:r>
        <w:rPr>
          <w:sz w:val="20"/>
          <w:szCs w:val="20"/>
        </w:rPr>
        <w:t>100.</w:t>
      </w:r>
      <w:r>
        <w:rPr>
          <w:sz w:val="20"/>
          <w:szCs w:val="20"/>
        </w:rPr>
        <w:t>0</w:t>
      </w:r>
      <w:r>
        <w:rPr>
          <w:sz w:val="20"/>
          <w:szCs w:val="20"/>
        </w:rPr>
        <w:t>% of its common stock. Vista provides specialty analytical servi</w:t>
      </w:r>
      <w:r>
        <w:rPr>
          <w:sz w:val="20"/>
          <w:szCs w:val="20"/>
        </w:rPr>
        <w:t>ces related to Per- and polyfluoroalkyl substances (“PFAS”) and other semi-volatile organic compounds. Vista is based in Dorado Hills, CA. The upfront cash payment made to acquire Vista was funded through cash on hand and the common stock portion of the pu</w:t>
      </w:r>
      <w:r>
        <w:rPr>
          <w:sz w:val="20"/>
          <w:szCs w:val="20"/>
        </w:rPr>
        <w:t>rchase price was funded through the issuance of</w:t>
      </w:r>
      <w:r>
        <w:rPr>
          <w:sz w:val="20"/>
          <w:szCs w:val="20"/>
        </w:rPr>
        <w:t xml:space="preserve"> </w:t>
      </w:r>
      <w:r>
        <w:rPr>
          <w:sz w:val="20"/>
          <w:szCs w:val="20"/>
        </w:rPr>
        <w:t>9,32</w:t>
      </w:r>
      <w:r>
        <w:rPr>
          <w:sz w:val="20"/>
          <w:szCs w:val="20"/>
        </w:rPr>
        <w:t>2</w:t>
      </w:r>
      <w:r>
        <w:rPr>
          <w:sz w:val="20"/>
          <w:szCs w:val="20"/>
        </w:rPr>
        <w:t xml:space="preserve"> shares of common stock</w:t>
      </w:r>
      <w:r>
        <w:rPr>
          <w:sz w:val="20"/>
          <w:szCs w:val="20"/>
        </w:rPr>
        <w:t>.</w:t>
      </w:r>
      <w:r>
        <w:rPr>
          <w:sz w:val="20"/>
          <w:szCs w:val="20"/>
        </w:rPr>
        <w:t xml:space="preserve"> </w:t>
      </w:r>
    </w:p>
    <w:p w:rsidR="00000000" w:rsidRDefault="002D33E3">
      <w:pPr>
        <w:pStyle w:val="a3"/>
        <w:spacing w:before="240" w:beforeAutospacing="0" w:after="0" w:afterAutospacing="0"/>
        <w:ind w:firstLine="555"/>
        <w:divId w:val="2046631898"/>
        <w:rPr>
          <w:sz w:val="20"/>
          <w:szCs w:val="20"/>
        </w:rPr>
      </w:pPr>
      <w:r>
        <w:rPr>
          <w:b/>
          <w:bCs/>
          <w:i/>
          <w:iCs/>
          <w:sz w:val="20"/>
          <w:szCs w:val="20"/>
        </w:rPr>
        <w:t>Environmental Intelligence, LLC (“EI”)</w:t>
      </w:r>
      <w:r>
        <w:rPr>
          <w:b/>
          <w:bCs/>
          <w:i/>
          <w:iCs/>
          <w:sz w:val="20"/>
          <w:szCs w:val="20"/>
        </w:rPr>
        <w:t xml:space="preserve"> </w:t>
      </w:r>
      <w:r>
        <w:rPr>
          <w:sz w:val="20"/>
          <w:szCs w:val="20"/>
        </w:rPr>
        <w:t>—</w:t>
      </w:r>
      <w:r>
        <w:rPr>
          <w:sz w:val="20"/>
          <w:szCs w:val="20"/>
        </w:rPr>
        <w:t>In July, 2021 the Company completed the acquisition of Environmental Intelligence, LLC (“EI”</w:t>
      </w:r>
      <w:r>
        <w:rPr>
          <w:sz w:val="20"/>
          <w:szCs w:val="20"/>
        </w:rPr>
        <w:t>)</w:t>
      </w:r>
      <w:r>
        <w:t xml:space="preserve"> </w:t>
      </w:r>
      <w:r>
        <w:rPr>
          <w:sz w:val="20"/>
          <w:szCs w:val="20"/>
        </w:rPr>
        <w:t>by acquiring</w:t>
      </w:r>
      <w:r>
        <w:rPr>
          <w:sz w:val="20"/>
          <w:szCs w:val="20"/>
        </w:rPr>
        <w:t xml:space="preserve"> </w:t>
      </w:r>
      <w:r>
        <w:rPr>
          <w:sz w:val="20"/>
          <w:szCs w:val="20"/>
        </w:rPr>
        <w:t>100.</w:t>
      </w:r>
      <w:r>
        <w:rPr>
          <w:sz w:val="20"/>
          <w:szCs w:val="20"/>
        </w:rPr>
        <w:t>0</w:t>
      </w:r>
      <w:r>
        <w:rPr>
          <w:sz w:val="20"/>
          <w:szCs w:val="20"/>
        </w:rPr>
        <w:t>% of its membership interests. EI is an environmental consulting company recognized for its innovative work in wildlife mitigation, biological a</w:t>
      </w:r>
      <w:r>
        <w:rPr>
          <w:sz w:val="20"/>
          <w:szCs w:val="20"/>
        </w:rPr>
        <w:t>ssessments, and other environmental services. EI is based in Laguna Beach, CA and enhances Montrose’s ecological planning and service capabilities in California and the US West Coast. The upfront cash payment made to acquire EI was funded through cash on h</w:t>
      </w:r>
      <w:r>
        <w:rPr>
          <w:sz w:val="20"/>
          <w:szCs w:val="20"/>
        </w:rPr>
        <w:t>and and the common stock portion of the purchase price was funded through the issuance of</w:t>
      </w:r>
      <w:r>
        <w:rPr>
          <w:sz w:val="20"/>
          <w:szCs w:val="20"/>
        </w:rPr>
        <w:t xml:space="preserve"> </w:t>
      </w:r>
      <w:r>
        <w:rPr>
          <w:sz w:val="20"/>
          <w:szCs w:val="20"/>
        </w:rPr>
        <w:t>43,10</w:t>
      </w:r>
      <w:r>
        <w:rPr>
          <w:sz w:val="20"/>
          <w:szCs w:val="20"/>
        </w:rPr>
        <w:t>0</w:t>
      </w:r>
      <w:r>
        <w:rPr>
          <w:sz w:val="20"/>
          <w:szCs w:val="20"/>
        </w:rPr>
        <w:t xml:space="preserve"> shares of common stock</w:t>
      </w:r>
      <w:r>
        <w:rPr>
          <w:sz w:val="20"/>
          <w:szCs w:val="20"/>
        </w:rPr>
        <w:t>.</w:t>
      </w:r>
    </w:p>
    <w:p w:rsidR="00000000" w:rsidRDefault="002D33E3">
      <w:pPr>
        <w:pStyle w:val="a3"/>
        <w:spacing w:before="240" w:beforeAutospacing="0" w:after="0" w:afterAutospacing="0"/>
        <w:ind w:firstLine="555"/>
        <w:divId w:val="2046631898"/>
        <w:rPr>
          <w:sz w:val="20"/>
          <w:szCs w:val="20"/>
        </w:rPr>
      </w:pPr>
      <w:r>
        <w:rPr>
          <w:b/>
          <w:bCs/>
          <w:i/>
          <w:iCs/>
          <w:sz w:val="20"/>
          <w:szCs w:val="20"/>
        </w:rPr>
        <w:t>SensibleIoT, LLC (“Sensible”)</w:t>
      </w:r>
      <w:r>
        <w:rPr>
          <w:b/>
          <w:bCs/>
          <w:i/>
          <w:iCs/>
          <w:sz w:val="20"/>
          <w:szCs w:val="20"/>
        </w:rPr>
        <w:t xml:space="preserve"> </w:t>
      </w:r>
      <w:r>
        <w:rPr>
          <w:sz w:val="20"/>
          <w:szCs w:val="20"/>
        </w:rPr>
        <w:t>—In August, 2021, the Company completed the business acquisition of SensibleIoT, LLC (“Sensible”) by acqu</w:t>
      </w:r>
      <w:r>
        <w:rPr>
          <w:sz w:val="20"/>
          <w:szCs w:val="20"/>
        </w:rPr>
        <w:t>iring</w:t>
      </w:r>
      <w:r>
        <w:rPr>
          <w:sz w:val="20"/>
          <w:szCs w:val="20"/>
        </w:rPr>
        <w:t xml:space="preserve"> </w:t>
      </w:r>
      <w:r>
        <w:rPr>
          <w:sz w:val="20"/>
          <w:szCs w:val="20"/>
        </w:rPr>
        <w:t>100.</w:t>
      </w:r>
      <w:r>
        <w:rPr>
          <w:sz w:val="20"/>
          <w:szCs w:val="20"/>
        </w:rPr>
        <w:t>0</w:t>
      </w:r>
      <w:r>
        <w:rPr>
          <w:sz w:val="20"/>
          <w:szCs w:val="20"/>
        </w:rPr>
        <w:t>% of its membership interests. Sensible is a technology platform that connects sensors and sources of environment data to a central, proprietary database that enables real-time client interaction. Sensible provides Montrose with an advanced abil</w:t>
      </w:r>
      <w:r>
        <w:rPr>
          <w:sz w:val="20"/>
          <w:szCs w:val="20"/>
        </w:rPr>
        <w:t>ity to integrate environmental services and enhance environmental data analytics for clients. The upfront cash payment made to acquire Sensible was funded through cash on hand and the common stock portion of the purchase price was funded through the issuan</w:t>
      </w:r>
      <w:r>
        <w:rPr>
          <w:sz w:val="20"/>
          <w:szCs w:val="20"/>
        </w:rPr>
        <w:t>ce of</w:t>
      </w:r>
      <w:r>
        <w:rPr>
          <w:sz w:val="20"/>
          <w:szCs w:val="20"/>
        </w:rPr>
        <w:t xml:space="preserve"> </w:t>
      </w:r>
      <w:r>
        <w:rPr>
          <w:sz w:val="20"/>
          <w:szCs w:val="20"/>
        </w:rPr>
        <w:t>19,63</w:t>
      </w:r>
      <w:r>
        <w:rPr>
          <w:sz w:val="20"/>
          <w:szCs w:val="20"/>
        </w:rPr>
        <w:t>8</w:t>
      </w:r>
      <w:r>
        <w:rPr>
          <w:sz w:val="20"/>
          <w:szCs w:val="20"/>
        </w:rPr>
        <w:t xml:space="preserve"> shares of common stock</w:t>
      </w:r>
      <w:r>
        <w:rPr>
          <w:sz w:val="20"/>
          <w:szCs w:val="20"/>
        </w:rPr>
        <w:t>.</w:t>
      </w:r>
    </w:p>
    <w:p w:rsidR="00000000" w:rsidRDefault="002D33E3">
      <w:pPr>
        <w:pStyle w:val="a3"/>
        <w:spacing w:before="240" w:beforeAutospacing="0" w:after="0" w:afterAutospacing="0"/>
        <w:ind w:firstLine="555"/>
        <w:divId w:val="2046631898"/>
        <w:rPr>
          <w:sz w:val="20"/>
          <w:szCs w:val="20"/>
        </w:rPr>
      </w:pPr>
      <w:r>
        <w:rPr>
          <w:b/>
          <w:bCs/>
          <w:i/>
          <w:iCs/>
          <w:sz w:val="20"/>
          <w:szCs w:val="20"/>
        </w:rPr>
        <w:t>Environmental Chemistry, Inc. (“ECI”</w:t>
      </w:r>
      <w:r>
        <w:rPr>
          <w:b/>
          <w:bCs/>
          <w:i/>
          <w:iCs/>
          <w:sz w:val="20"/>
          <w:szCs w:val="20"/>
        </w:rPr>
        <w:t>)</w:t>
      </w:r>
      <w:r>
        <w:rPr>
          <w:sz w:val="20"/>
          <w:szCs w:val="20"/>
        </w:rPr>
        <w:t xml:space="preserve"> —In October 2021, the Company completed the business acquisition of Environmental Chemistry, Inc. (“ECI”) by acquiring</w:t>
      </w:r>
      <w:r>
        <w:rPr>
          <w:sz w:val="20"/>
          <w:szCs w:val="20"/>
        </w:rPr>
        <w:t xml:space="preserve"> </w:t>
      </w:r>
      <w:r>
        <w:rPr>
          <w:sz w:val="20"/>
          <w:szCs w:val="20"/>
        </w:rPr>
        <w:t>100.</w:t>
      </w:r>
      <w:r>
        <w:rPr>
          <w:sz w:val="20"/>
          <w:szCs w:val="20"/>
        </w:rPr>
        <w:t>0</w:t>
      </w:r>
      <w:r>
        <w:rPr>
          <w:sz w:val="20"/>
          <w:szCs w:val="20"/>
        </w:rPr>
        <w:t>% of its common stock. ECI provides a full suite of envir</w:t>
      </w:r>
      <w:r>
        <w:rPr>
          <w:sz w:val="20"/>
          <w:szCs w:val="20"/>
        </w:rPr>
        <w:t>onmental laboratory analytical services to industrial, governmental, and engineering/consulting clients. Combined with the Company’s existing Houston, TX laboratory, ECI (located also in Houston, TX) will enable Montrose to provide air, water and soil anal</w:t>
      </w:r>
      <w:r>
        <w:rPr>
          <w:sz w:val="20"/>
          <w:szCs w:val="20"/>
        </w:rPr>
        <w:t>ytical services in the gulf coast region. The upfront cash payment made to acquire ECI was funded through cash on hand</w:t>
      </w:r>
      <w:r>
        <w:rPr>
          <w:sz w:val="20"/>
          <w:szCs w:val="20"/>
        </w:rPr>
        <w:t>.</w:t>
      </w:r>
    </w:p>
    <w:p w:rsidR="00000000" w:rsidRDefault="002D33E3">
      <w:pPr>
        <w:pStyle w:val="a3"/>
        <w:spacing w:before="240" w:beforeAutospacing="0" w:after="0" w:afterAutospacing="0"/>
        <w:ind w:firstLine="555"/>
        <w:divId w:val="2046631898"/>
        <w:rPr>
          <w:sz w:val="20"/>
          <w:szCs w:val="20"/>
        </w:rPr>
      </w:pPr>
      <w:r>
        <w:rPr>
          <w:b/>
          <w:bCs/>
          <w:i/>
          <w:iCs/>
          <w:sz w:val="20"/>
          <w:szCs w:val="20"/>
        </w:rPr>
        <w:t>Horizon Water and Environment, LLC (“Horizon”</w:t>
      </w:r>
      <w:r>
        <w:rPr>
          <w:b/>
          <w:bCs/>
          <w:i/>
          <w:iCs/>
          <w:sz w:val="20"/>
          <w:szCs w:val="20"/>
        </w:rPr>
        <w:t>)</w:t>
      </w:r>
      <w:r>
        <w:rPr>
          <w:sz w:val="20"/>
          <w:szCs w:val="20"/>
        </w:rPr>
        <w:t>— In November 2021, the Company completed the business acquisition of Horizon Water and En</w:t>
      </w:r>
      <w:r>
        <w:rPr>
          <w:sz w:val="20"/>
          <w:szCs w:val="20"/>
        </w:rPr>
        <w:t>vironment, LLC (“Horizon”) by acquiring</w:t>
      </w:r>
      <w:r>
        <w:rPr>
          <w:sz w:val="20"/>
          <w:szCs w:val="20"/>
        </w:rPr>
        <w:t xml:space="preserve"> </w:t>
      </w:r>
      <w:r>
        <w:rPr>
          <w:sz w:val="20"/>
          <w:szCs w:val="20"/>
        </w:rPr>
        <w:t>100.</w:t>
      </w:r>
      <w:r>
        <w:rPr>
          <w:sz w:val="20"/>
          <w:szCs w:val="20"/>
        </w:rPr>
        <w:t>0</w:t>
      </w:r>
      <w:r>
        <w:rPr>
          <w:sz w:val="20"/>
          <w:szCs w:val="20"/>
        </w:rPr>
        <w:t>% of its membership interests. Horizon is an environmental consulting firm specializing in planning, watershed science, and environmental compliance for water and natural resource projects. The upfront cash paym</w:t>
      </w:r>
      <w:r>
        <w:rPr>
          <w:sz w:val="20"/>
          <w:szCs w:val="20"/>
        </w:rPr>
        <w:t>ent made to acquire Horizon was funded through cash on hand and the common stock portion of the purchase price was funded through the issuance of</w:t>
      </w:r>
      <w:r>
        <w:rPr>
          <w:sz w:val="20"/>
          <w:szCs w:val="20"/>
        </w:rPr>
        <w:t xml:space="preserve"> </w:t>
      </w:r>
      <w:r>
        <w:rPr>
          <w:sz w:val="20"/>
          <w:szCs w:val="20"/>
        </w:rPr>
        <w:t>34,92</w:t>
      </w:r>
      <w:r>
        <w:rPr>
          <w:sz w:val="20"/>
          <w:szCs w:val="20"/>
        </w:rPr>
        <w:t>1</w:t>
      </w:r>
      <w:r>
        <w:rPr>
          <w:sz w:val="20"/>
          <w:szCs w:val="20"/>
        </w:rPr>
        <w:t xml:space="preserve"> shares of common stock</w:t>
      </w:r>
      <w:r>
        <w:rPr>
          <w:sz w:val="20"/>
          <w:szCs w:val="20"/>
        </w:rPr>
        <w:t>.</w:t>
      </w:r>
    </w:p>
    <w:p w:rsidR="00000000" w:rsidRDefault="002D33E3">
      <w:pPr>
        <w:pStyle w:val="a3"/>
        <w:spacing w:before="240" w:beforeAutospacing="0" w:after="0" w:afterAutospacing="0"/>
        <w:ind w:firstLine="555"/>
        <w:divId w:val="915087938"/>
        <w:rPr>
          <w:sz w:val="20"/>
          <w:szCs w:val="20"/>
        </w:rPr>
      </w:pPr>
      <w:r>
        <w:rPr>
          <w:sz w:val="20"/>
          <w:szCs w:val="20"/>
        </w:rPr>
        <w:t>The following table summarizes the elements of the purchase price of the acquis</w:t>
      </w:r>
      <w:r>
        <w:rPr>
          <w:sz w:val="20"/>
          <w:szCs w:val="20"/>
        </w:rPr>
        <w:t>itions completed during the year ended</w:t>
      </w:r>
      <w:r>
        <w:rPr>
          <w:sz w:val="20"/>
          <w:szCs w:val="20"/>
        </w:rPr>
        <w:t xml:space="preserve"> </w:t>
      </w:r>
      <w:r>
        <w:rPr>
          <w:sz w:val="20"/>
          <w:szCs w:val="20"/>
        </w:rPr>
        <w:t>December 31, 2021</w:t>
      </w:r>
      <w:r>
        <w:rPr>
          <w:sz w:val="20"/>
          <w:szCs w:val="20"/>
        </w:rPr>
        <w:t>:</w:t>
      </w:r>
    </w:p>
    <w:p w:rsidR="00000000" w:rsidRDefault="002D33E3">
      <w:pPr>
        <w:pStyle w:val="a3"/>
        <w:spacing w:before="0" w:beforeAutospacing="0" w:after="0" w:afterAutospacing="0"/>
        <w:divId w:val="915087938"/>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81"/>
        <w:gridCol w:w="105"/>
        <w:gridCol w:w="150"/>
        <w:gridCol w:w="555"/>
        <w:gridCol w:w="105"/>
        <w:gridCol w:w="105"/>
        <w:gridCol w:w="151"/>
        <w:gridCol w:w="670"/>
        <w:gridCol w:w="105"/>
        <w:gridCol w:w="105"/>
        <w:gridCol w:w="151"/>
        <w:gridCol w:w="905"/>
        <w:gridCol w:w="120"/>
        <w:gridCol w:w="105"/>
        <w:gridCol w:w="151"/>
        <w:gridCol w:w="1015"/>
        <w:gridCol w:w="105"/>
        <w:gridCol w:w="105"/>
        <w:gridCol w:w="151"/>
        <w:gridCol w:w="1015"/>
        <w:gridCol w:w="105"/>
        <w:gridCol w:w="105"/>
        <w:gridCol w:w="151"/>
        <w:gridCol w:w="670"/>
        <w:gridCol w:w="120"/>
      </w:tblGrid>
      <w:tr w:rsidR="00000000">
        <w:trPr>
          <w:divId w:val="915087938"/>
          <w:tblCellSpacing w:w="15" w:type="dxa"/>
        </w:trPr>
        <w:tc>
          <w:tcPr>
            <w:tcW w:w="1148" w:type="pct"/>
            <w:vAlign w:val="center"/>
            <w:hideMark/>
          </w:tcPr>
          <w:p w:rsidR="00000000" w:rsidRDefault="002D33E3">
            <w:pPr>
              <w:rPr>
                <w:sz w:val="20"/>
                <w:szCs w:val="20"/>
              </w:rPr>
            </w:pPr>
          </w:p>
        </w:tc>
        <w:tc>
          <w:tcPr>
            <w:tcW w:w="5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499" w:type="pct"/>
            <w:vAlign w:val="center"/>
            <w:hideMark/>
          </w:tcPr>
          <w:p w:rsidR="00000000" w:rsidRDefault="002D33E3">
            <w:pPr>
              <w:rPr>
                <w:rFonts w:eastAsia="Times New Roman"/>
                <w:sz w:val="20"/>
                <w:szCs w:val="20"/>
              </w:rPr>
            </w:pPr>
          </w:p>
        </w:tc>
        <w:tc>
          <w:tcPr>
            <w:tcW w:w="29" w:type="pct"/>
            <w:vAlign w:val="center"/>
            <w:hideMark/>
          </w:tcPr>
          <w:p w:rsidR="00000000" w:rsidRDefault="002D33E3">
            <w:pPr>
              <w:rPr>
                <w:rFonts w:eastAsia="Times New Roman"/>
                <w:sz w:val="20"/>
                <w:szCs w:val="20"/>
              </w:rPr>
            </w:pPr>
          </w:p>
        </w:tc>
        <w:tc>
          <w:tcPr>
            <w:tcW w:w="5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01"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5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494" w:type="pct"/>
            <w:vAlign w:val="center"/>
            <w:hideMark/>
          </w:tcPr>
          <w:p w:rsidR="00000000" w:rsidRDefault="002D33E3">
            <w:pPr>
              <w:rPr>
                <w:rFonts w:eastAsia="Times New Roman"/>
                <w:sz w:val="20"/>
                <w:szCs w:val="20"/>
              </w:rPr>
            </w:pPr>
          </w:p>
        </w:tc>
        <w:tc>
          <w:tcPr>
            <w:tcW w:w="36" w:type="pct"/>
            <w:vAlign w:val="center"/>
            <w:hideMark/>
          </w:tcPr>
          <w:p w:rsidR="00000000" w:rsidRDefault="002D33E3">
            <w:pPr>
              <w:rPr>
                <w:rFonts w:eastAsia="Times New Roman"/>
                <w:sz w:val="20"/>
                <w:szCs w:val="20"/>
              </w:rPr>
            </w:pPr>
          </w:p>
        </w:tc>
        <w:tc>
          <w:tcPr>
            <w:tcW w:w="5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02"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5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02"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5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01"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r>
      <w:tr w:rsidR="00000000">
        <w:trPr>
          <w:divId w:val="915087938"/>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Cas</w:t>
            </w:r>
            <w:r>
              <w:rPr>
                <w:b/>
                <w:bCs/>
                <w:sz w:val="18"/>
                <w:szCs w:val="18"/>
              </w:rPr>
              <w:t>h</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Common</w:t>
            </w:r>
            <w:r>
              <w:rPr>
                <w:b/>
                <w:bCs/>
                <w:sz w:val="18"/>
                <w:szCs w:val="18"/>
              </w:rPr>
              <w:br/>
              <w:t>Stoc</w:t>
            </w:r>
            <w:r>
              <w:rPr>
                <w:b/>
                <w:bCs/>
                <w:sz w:val="18"/>
                <w:szCs w:val="18"/>
              </w:rPr>
              <w:t>k</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Other</w:t>
            </w:r>
            <w:r>
              <w:rPr>
                <w:b/>
                <w:bCs/>
                <w:sz w:val="18"/>
                <w:szCs w:val="18"/>
              </w:rPr>
              <w:br/>
              <w:t>Purchase</w:t>
            </w:r>
            <w:r>
              <w:rPr>
                <w:b/>
                <w:bCs/>
                <w:sz w:val="18"/>
                <w:szCs w:val="18"/>
              </w:rPr>
              <w:br/>
              <w:t>Price</w:t>
            </w:r>
            <w:r>
              <w:rPr>
                <w:b/>
                <w:bCs/>
                <w:sz w:val="18"/>
                <w:szCs w:val="18"/>
              </w:rPr>
              <w:br/>
              <w:t>Components</w:t>
            </w:r>
            <w:r>
              <w:rPr>
                <w:b/>
                <w:bCs/>
                <w:sz w:val="18"/>
                <w:szCs w:val="18"/>
              </w:rPr>
              <w:br/>
              <w:t>Curren</w:t>
            </w:r>
            <w:r>
              <w:rPr>
                <w:b/>
                <w:bCs/>
                <w:sz w:val="18"/>
                <w:szCs w:val="18"/>
              </w:rPr>
              <w:t>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Curren</w:t>
            </w:r>
            <w:r>
              <w:rPr>
                <w:b/>
                <w:bCs/>
                <w:sz w:val="18"/>
                <w:szCs w:val="18"/>
              </w:rPr>
              <w:t>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Long Ter</w:t>
            </w:r>
            <w:r>
              <w:rPr>
                <w:b/>
                <w:bCs/>
                <w:sz w:val="18"/>
                <w:szCs w:val="18"/>
              </w:rPr>
              <w:t>m</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Total</w:t>
            </w:r>
            <w:r>
              <w:rPr>
                <w:b/>
                <w:bCs/>
                <w:sz w:val="18"/>
                <w:szCs w:val="18"/>
              </w:rPr>
              <w:br/>
            </w:r>
            <w:r>
              <w:rPr>
                <w:b/>
                <w:bCs/>
                <w:sz w:val="18"/>
                <w:szCs w:val="18"/>
              </w:rPr>
              <w:t>Purchase</w:t>
            </w:r>
            <w:r>
              <w:rPr>
                <w:b/>
                <w:bCs/>
                <w:sz w:val="18"/>
                <w:szCs w:val="18"/>
              </w:rPr>
              <w:br/>
              <w:t>Pric</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91508793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MS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9,08</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2,27</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10,70</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1,55</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23,85</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1508793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E</w:t>
            </w:r>
            <w:r>
              <w:rPr>
                <w:sz w:val="18"/>
                <w:szCs w:val="18"/>
              </w:rPr>
              <w:t>I</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20,72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2,27</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6</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22,93</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1508793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All other 2021 acquisition</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29,68</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3,77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1,61</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4,35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40,67</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15087938"/>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59,48</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8,32</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12,25</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2,80</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4,60</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87,46</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2046631898"/>
        <w:rPr>
          <w:sz w:val="20"/>
          <w:szCs w:val="20"/>
        </w:rPr>
      </w:pPr>
      <w:r>
        <w:rPr>
          <w:sz w:val="20"/>
          <w:szCs w:val="20"/>
        </w:rPr>
        <w:t>The other purchase price components of the MSE purchase price consist of a surplus working capital amount on the date of close, a seller make-whole for taxes related to a 338(h)(10) election, an integration payment liability and a purchase price true up re</w:t>
      </w:r>
      <w:r>
        <w:rPr>
          <w:sz w:val="20"/>
          <w:szCs w:val="20"/>
        </w:rPr>
        <w:t>lated to MSE’s financial performance in the fourth quarter of 2020. The other purchase price components of the EI purchase price consist of a surplus working capital amount on the date of close. The other purchase price components of all the other acquisit</w:t>
      </w:r>
      <w:r>
        <w:rPr>
          <w:sz w:val="20"/>
          <w:szCs w:val="20"/>
        </w:rPr>
        <w:t>ion</w:t>
      </w:r>
      <w:r>
        <w:rPr>
          <w:sz w:val="20"/>
          <w:szCs w:val="20"/>
        </w:rPr>
        <w:t>s</w:t>
      </w:r>
      <w:r>
        <w:rPr>
          <w:sz w:val="20"/>
          <w:szCs w:val="20"/>
        </w:rPr>
        <w:t xml:space="preserve"> </w:t>
      </w:r>
    </w:p>
    <w:p w:rsidR="00000000" w:rsidRDefault="002D33E3">
      <w:pPr>
        <w:pStyle w:val="a3"/>
        <w:spacing w:before="240" w:beforeAutospacing="0" w:after="0" w:afterAutospacing="0"/>
        <w:jc w:val="center"/>
        <w:divId w:val="2046631898"/>
        <w:rPr>
          <w:sz w:val="20"/>
          <w:szCs w:val="20"/>
        </w:rPr>
      </w:pPr>
      <w:r>
        <w:rPr>
          <w:sz w:val="20"/>
          <w:szCs w:val="20"/>
        </w:rPr>
        <w:t>1</w:t>
      </w:r>
      <w:r>
        <w:rPr>
          <w:sz w:val="20"/>
          <w:szCs w:val="20"/>
        </w:rPr>
        <w:t>2</w:t>
      </w:r>
    </w:p>
    <w:p w:rsidR="00000000" w:rsidRDefault="002D33E3">
      <w:pPr>
        <w:divId w:val="2046631898"/>
        <w:rPr>
          <w:rFonts w:eastAsia="Times New Roman"/>
        </w:rPr>
      </w:pPr>
      <w:r>
        <w:rPr>
          <w:rFonts w:eastAsia="Times New Roman"/>
        </w:rPr>
        <w:pict>
          <v:rect id="_x0000_i1038" style="width:0;height:1.5pt" o:hralign="center" o:hrstd="t" o:hr="t" fillcolor="#a0a0a0" stroked="f"/>
        </w:pict>
      </w:r>
    </w:p>
    <w:p w:rsidR="00000000" w:rsidRDefault="002D33E3">
      <w:pPr>
        <w:pStyle w:val="a3"/>
        <w:spacing w:before="0" w:beforeAutospacing="0" w:after="0" w:afterAutospacing="0"/>
        <w:divId w:val="2046631898"/>
        <w:rPr>
          <w:sz w:val="20"/>
          <w:szCs w:val="20"/>
        </w:rPr>
      </w:pPr>
      <w:r>
        <w:rPr>
          <w:sz w:val="20"/>
          <w:szCs w:val="20"/>
        </w:rPr>
        <w:t> </w:t>
      </w:r>
    </w:p>
    <w:p w:rsidR="00000000" w:rsidRDefault="002D33E3">
      <w:pPr>
        <w:pStyle w:val="a3"/>
        <w:spacing w:before="240" w:beforeAutospacing="0" w:after="0" w:afterAutospacing="0"/>
        <w:divId w:val="2046631898"/>
        <w:rPr>
          <w:sz w:val="20"/>
          <w:szCs w:val="20"/>
        </w:rPr>
      </w:pPr>
      <w:r>
        <w:rPr>
          <w:sz w:val="20"/>
          <w:szCs w:val="20"/>
        </w:rPr>
        <w:t>purchase price mainly consist of surplus/deficit working capital amounts and 338(h)(10) election liabilities. Horizon's closing working capital surplus/deficit amounts have not been finalized at this time</w:t>
      </w:r>
      <w:r>
        <w:rPr>
          <w:sz w:val="20"/>
          <w:szCs w:val="20"/>
        </w:rPr>
        <w:t>.</w:t>
      </w:r>
      <w:r>
        <w:rPr>
          <w:sz w:val="20"/>
          <w:szCs w:val="20"/>
        </w:rPr>
        <w:t xml:space="preserve"> </w:t>
      </w:r>
    </w:p>
    <w:p w:rsidR="00000000" w:rsidRDefault="002D33E3">
      <w:pPr>
        <w:pStyle w:val="a3"/>
        <w:spacing w:before="240" w:beforeAutospacing="0" w:after="0" w:afterAutospacing="0"/>
        <w:ind w:firstLine="555"/>
        <w:divId w:val="672994506"/>
        <w:rPr>
          <w:sz w:val="20"/>
          <w:szCs w:val="20"/>
        </w:rPr>
      </w:pPr>
      <w:r>
        <w:rPr>
          <w:sz w:val="20"/>
          <w:szCs w:val="20"/>
        </w:rPr>
        <w:t>T</w:t>
      </w:r>
      <w:r>
        <w:rPr>
          <w:sz w:val="20"/>
          <w:szCs w:val="20"/>
        </w:rPr>
        <w:t>he purchase price attributable to the acquisitions was allocated as follows</w:t>
      </w:r>
      <w:r>
        <w:rPr>
          <w:sz w:val="20"/>
          <w:szCs w:val="20"/>
        </w:rPr>
        <w:t>:</w:t>
      </w:r>
    </w:p>
    <w:p w:rsidR="00000000" w:rsidRDefault="002D33E3">
      <w:pPr>
        <w:pStyle w:val="a3"/>
        <w:spacing w:before="0" w:beforeAutospacing="0" w:after="0" w:afterAutospacing="0"/>
        <w:divId w:val="672994506"/>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23"/>
        <w:gridCol w:w="105"/>
        <w:gridCol w:w="150"/>
        <w:gridCol w:w="788"/>
        <w:gridCol w:w="105"/>
        <w:gridCol w:w="105"/>
        <w:gridCol w:w="150"/>
        <w:gridCol w:w="788"/>
        <w:gridCol w:w="105"/>
        <w:gridCol w:w="105"/>
        <w:gridCol w:w="151"/>
        <w:gridCol w:w="855"/>
        <w:gridCol w:w="105"/>
        <w:gridCol w:w="105"/>
        <w:gridCol w:w="150"/>
        <w:gridCol w:w="765"/>
        <w:gridCol w:w="120"/>
      </w:tblGrid>
      <w:tr w:rsidR="00000000">
        <w:trPr>
          <w:divId w:val="672994506"/>
          <w:tblCellSpacing w:w="15" w:type="dxa"/>
        </w:trPr>
        <w:tc>
          <w:tcPr>
            <w:tcW w:w="2021" w:type="pct"/>
            <w:vAlign w:val="center"/>
            <w:hideMark/>
          </w:tcPr>
          <w:p w:rsidR="00000000" w:rsidRDefault="002D33E3">
            <w:pPr>
              <w:rPr>
                <w:sz w:val="20"/>
                <w:szCs w:val="20"/>
              </w:rPr>
            </w:pPr>
          </w:p>
        </w:tc>
        <w:tc>
          <w:tcPr>
            <w:tcW w:w="66"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578" w:type="pct"/>
            <w:vAlign w:val="center"/>
            <w:hideMark/>
          </w:tcPr>
          <w:p w:rsidR="00000000" w:rsidRDefault="002D33E3">
            <w:pPr>
              <w:rPr>
                <w:rFonts w:eastAsia="Times New Roman"/>
                <w:sz w:val="20"/>
                <w:szCs w:val="20"/>
              </w:rPr>
            </w:pPr>
          </w:p>
        </w:tc>
        <w:tc>
          <w:tcPr>
            <w:tcW w:w="28" w:type="pct"/>
            <w:vAlign w:val="center"/>
            <w:hideMark/>
          </w:tcPr>
          <w:p w:rsidR="00000000" w:rsidRDefault="002D33E3">
            <w:pPr>
              <w:rPr>
                <w:rFonts w:eastAsia="Times New Roman"/>
                <w:sz w:val="20"/>
                <w:szCs w:val="20"/>
              </w:rPr>
            </w:pPr>
          </w:p>
        </w:tc>
        <w:tc>
          <w:tcPr>
            <w:tcW w:w="66"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578" w:type="pct"/>
            <w:vAlign w:val="center"/>
            <w:hideMark/>
          </w:tcPr>
          <w:p w:rsidR="00000000" w:rsidRDefault="002D33E3">
            <w:pPr>
              <w:rPr>
                <w:rFonts w:eastAsia="Times New Roman"/>
                <w:sz w:val="20"/>
                <w:szCs w:val="20"/>
              </w:rPr>
            </w:pPr>
          </w:p>
        </w:tc>
        <w:tc>
          <w:tcPr>
            <w:tcW w:w="28" w:type="pct"/>
            <w:vAlign w:val="center"/>
            <w:hideMark/>
          </w:tcPr>
          <w:p w:rsidR="00000000" w:rsidRDefault="002D33E3">
            <w:pPr>
              <w:rPr>
                <w:rFonts w:eastAsia="Times New Roman"/>
                <w:sz w:val="20"/>
                <w:szCs w:val="20"/>
              </w:rPr>
            </w:pPr>
          </w:p>
        </w:tc>
        <w:tc>
          <w:tcPr>
            <w:tcW w:w="66"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607" w:type="pct"/>
            <w:vAlign w:val="center"/>
            <w:hideMark/>
          </w:tcPr>
          <w:p w:rsidR="00000000" w:rsidRDefault="002D33E3">
            <w:pPr>
              <w:rPr>
                <w:rFonts w:eastAsia="Times New Roman"/>
                <w:sz w:val="20"/>
                <w:szCs w:val="20"/>
              </w:rPr>
            </w:pPr>
          </w:p>
        </w:tc>
        <w:tc>
          <w:tcPr>
            <w:tcW w:w="28" w:type="pct"/>
            <w:vAlign w:val="center"/>
            <w:hideMark/>
          </w:tcPr>
          <w:p w:rsidR="00000000" w:rsidRDefault="002D33E3">
            <w:pPr>
              <w:rPr>
                <w:rFonts w:eastAsia="Times New Roman"/>
                <w:sz w:val="20"/>
                <w:szCs w:val="20"/>
              </w:rPr>
            </w:pPr>
          </w:p>
        </w:tc>
        <w:tc>
          <w:tcPr>
            <w:tcW w:w="66"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578" w:type="pct"/>
            <w:vAlign w:val="center"/>
            <w:hideMark/>
          </w:tcPr>
          <w:p w:rsidR="00000000" w:rsidRDefault="002D33E3">
            <w:pPr>
              <w:rPr>
                <w:rFonts w:eastAsia="Times New Roman"/>
                <w:sz w:val="20"/>
                <w:szCs w:val="20"/>
              </w:rPr>
            </w:pPr>
          </w:p>
        </w:tc>
        <w:tc>
          <w:tcPr>
            <w:tcW w:w="28" w:type="pct"/>
            <w:vAlign w:val="center"/>
            <w:hideMark/>
          </w:tcPr>
          <w:p w:rsidR="00000000" w:rsidRDefault="002D33E3">
            <w:pPr>
              <w:rPr>
                <w:rFonts w:eastAsia="Times New Roman"/>
                <w:sz w:val="20"/>
                <w:szCs w:val="20"/>
              </w:rPr>
            </w:pPr>
          </w:p>
        </w:tc>
      </w:tr>
      <w:tr w:rsidR="00000000">
        <w:trPr>
          <w:divId w:val="672994506"/>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MS</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E</w:t>
            </w:r>
            <w:r>
              <w:rPr>
                <w:b/>
                <w:bCs/>
                <w:sz w:val="18"/>
                <w:szCs w:val="18"/>
              </w:rPr>
              <w:t>I</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All other</w:t>
            </w:r>
            <w:r>
              <w:rPr>
                <w:b/>
                <w:bCs/>
                <w:sz w:val="18"/>
                <w:szCs w:val="18"/>
              </w:rPr>
              <w:br/>
              <w:t>acquisition</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Cas</w:t>
            </w:r>
            <w:r>
              <w:rPr>
                <w:sz w:val="18"/>
                <w:szCs w:val="18"/>
              </w:rPr>
              <w:t>h</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2,81</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69</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3,75</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Accounts receivabl</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2,98</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4,67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3,71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11,36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Other current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28</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40</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Current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5,82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5,00</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4,69</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15,52</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Property and equipmen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1,16</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Operating lease right-of-use asset—ne</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74</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2,23</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3,07</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8,72</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10,07</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12,83</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31,62</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1,95</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3,47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51</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1,24</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2,68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Acquired Technolog</w:t>
            </w:r>
            <w:r>
              <w:rPr>
                <w:sz w:val="18"/>
                <w:szCs w:val="18"/>
              </w:rPr>
              <w:t>y</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Goodwil</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8,17</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8,96</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20,37</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37,51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Total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25,41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25,68</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44,83</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95,93</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Current liabilitie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1,00</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2,71</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2,35</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6,07</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Operating lease liability—net of</w:t>
            </w:r>
            <w:r>
              <w:rPr>
                <w:sz w:val="18"/>
                <w:szCs w:val="18"/>
              </w:rPr>
              <w:br/>
              <w:t>   current portio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54</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2,38</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Total liabilitie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1,55</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2,75</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4,15</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8,46</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67299450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Purchase pric</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23,85</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22,93</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40,67</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87,46</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1296981492"/>
        <w:rPr>
          <w:sz w:val="20"/>
          <w:szCs w:val="20"/>
        </w:rPr>
      </w:pPr>
      <w:r>
        <w:rPr>
          <w:sz w:val="20"/>
          <w:szCs w:val="20"/>
        </w:rPr>
        <w:t>The weighted average useful lives for the acquired companies’ identifiable intangible assets are as follows</w:t>
      </w:r>
      <w:r>
        <w:rPr>
          <w:sz w:val="20"/>
          <w:szCs w:val="20"/>
        </w:rPr>
        <w:t>:</w:t>
      </w:r>
    </w:p>
    <w:p w:rsidR="00000000" w:rsidRDefault="002D33E3">
      <w:pPr>
        <w:pStyle w:val="a3"/>
        <w:spacing w:before="0" w:beforeAutospacing="0" w:after="0" w:afterAutospacing="0"/>
        <w:ind w:firstLine="555"/>
        <w:divId w:val="1296981492"/>
        <w:rPr>
          <w:sz w:val="20"/>
          <w:szCs w:val="20"/>
        </w:rPr>
      </w:pPr>
      <w:r>
        <w:rPr>
          <w:sz w:val="20"/>
          <w:szCs w:val="20"/>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2255"/>
        <w:gridCol w:w="1239"/>
        <w:gridCol w:w="1239"/>
        <w:gridCol w:w="1239"/>
        <w:gridCol w:w="1254"/>
      </w:tblGrid>
      <w:tr w:rsidR="00000000">
        <w:trPr>
          <w:divId w:val="1296981492"/>
          <w:tblCellSpacing w:w="15" w:type="dxa"/>
        </w:trPr>
        <w:tc>
          <w:tcPr>
            <w:tcW w:w="1568" w:type="pct"/>
            <w:vAlign w:val="center"/>
            <w:hideMark/>
          </w:tcPr>
          <w:p w:rsidR="00000000" w:rsidRDefault="002D33E3">
            <w:pPr>
              <w:rPr>
                <w:sz w:val="20"/>
                <w:szCs w:val="20"/>
              </w:rPr>
            </w:pPr>
          </w:p>
        </w:tc>
        <w:tc>
          <w:tcPr>
            <w:tcW w:w="857" w:type="pct"/>
            <w:vAlign w:val="center"/>
            <w:hideMark/>
          </w:tcPr>
          <w:p w:rsidR="00000000" w:rsidRDefault="002D33E3">
            <w:pPr>
              <w:rPr>
                <w:rFonts w:eastAsia="Times New Roman"/>
                <w:sz w:val="20"/>
                <w:szCs w:val="20"/>
              </w:rPr>
            </w:pPr>
          </w:p>
        </w:tc>
        <w:tc>
          <w:tcPr>
            <w:tcW w:w="857" w:type="pct"/>
            <w:vAlign w:val="center"/>
            <w:hideMark/>
          </w:tcPr>
          <w:p w:rsidR="00000000" w:rsidRDefault="002D33E3">
            <w:pPr>
              <w:rPr>
                <w:rFonts w:eastAsia="Times New Roman"/>
                <w:sz w:val="20"/>
                <w:szCs w:val="20"/>
              </w:rPr>
            </w:pPr>
          </w:p>
        </w:tc>
        <w:tc>
          <w:tcPr>
            <w:tcW w:w="857" w:type="pct"/>
            <w:vAlign w:val="center"/>
            <w:hideMark/>
          </w:tcPr>
          <w:p w:rsidR="00000000" w:rsidRDefault="002D33E3">
            <w:pPr>
              <w:rPr>
                <w:rFonts w:eastAsia="Times New Roman"/>
                <w:sz w:val="20"/>
                <w:szCs w:val="20"/>
              </w:rPr>
            </w:pPr>
          </w:p>
        </w:tc>
        <w:tc>
          <w:tcPr>
            <w:tcW w:w="857" w:type="pct"/>
            <w:vAlign w:val="center"/>
            <w:hideMark/>
          </w:tcPr>
          <w:p w:rsidR="00000000" w:rsidRDefault="002D33E3">
            <w:pPr>
              <w:rPr>
                <w:rFonts w:eastAsia="Times New Roman"/>
                <w:sz w:val="20"/>
                <w:szCs w:val="20"/>
              </w:rPr>
            </w:pPr>
          </w:p>
        </w:tc>
      </w:tr>
      <w:tr w:rsidR="00000000">
        <w:trPr>
          <w:divId w:val="1296981492"/>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18"/>
                <w:szCs w:val="18"/>
              </w:rPr>
            </w:pPr>
            <w:r>
              <w:rPr>
                <w:b/>
                <w:bCs/>
                <w:sz w:val="18"/>
                <w:szCs w:val="18"/>
              </w:rPr>
              <w:t>Customer Relationship</w:t>
            </w:r>
            <w:r>
              <w:rPr>
                <w:b/>
                <w:bCs/>
                <w:sz w:val="18"/>
                <w:szCs w:val="18"/>
              </w:rPr>
              <w:t>s</w:t>
            </w:r>
          </w:p>
        </w:tc>
        <w:tc>
          <w:tcPr>
            <w:tcW w:w="0" w:type="auto"/>
            <w:vAlign w:val="center"/>
            <w:hideMark/>
          </w:tcPr>
          <w:p w:rsidR="00000000" w:rsidRDefault="002D33E3">
            <w:pPr>
              <w:pStyle w:val="a3"/>
              <w:spacing w:before="0" w:beforeAutospacing="0" w:after="0" w:afterAutospacing="0"/>
              <w:jc w:val="center"/>
              <w:rPr>
                <w:sz w:val="18"/>
                <w:szCs w:val="18"/>
              </w:rPr>
            </w:pPr>
            <w:r>
              <w:rPr>
                <w:b/>
                <w:bCs/>
                <w:sz w:val="18"/>
                <w:szCs w:val="18"/>
              </w:rPr>
              <w:t>Tradename</w:t>
            </w:r>
            <w:r>
              <w:rPr>
                <w:b/>
                <w:bCs/>
                <w:sz w:val="18"/>
                <w:szCs w:val="18"/>
              </w:rPr>
              <w:t>s</w:t>
            </w:r>
          </w:p>
        </w:tc>
        <w:tc>
          <w:tcPr>
            <w:tcW w:w="0" w:type="auto"/>
            <w:vAlign w:val="center"/>
            <w:hideMark/>
          </w:tcPr>
          <w:p w:rsidR="00000000" w:rsidRDefault="002D33E3">
            <w:pPr>
              <w:pStyle w:val="a3"/>
              <w:spacing w:before="0" w:beforeAutospacing="0" w:after="0" w:afterAutospacing="0"/>
              <w:jc w:val="center"/>
              <w:rPr>
                <w:sz w:val="18"/>
                <w:szCs w:val="18"/>
              </w:rPr>
            </w:pPr>
            <w:r>
              <w:rPr>
                <w:b/>
                <w:bCs/>
                <w:sz w:val="18"/>
                <w:szCs w:val="18"/>
              </w:rPr>
              <w:t>Covenants Not to Compet</w:t>
            </w:r>
            <w:r>
              <w:rPr>
                <w:b/>
                <w:bCs/>
                <w:sz w:val="18"/>
                <w:szCs w:val="18"/>
              </w:rPr>
              <w:t>e</w:t>
            </w:r>
          </w:p>
        </w:tc>
        <w:tc>
          <w:tcPr>
            <w:tcW w:w="0" w:type="auto"/>
            <w:vAlign w:val="center"/>
            <w:hideMark/>
          </w:tcPr>
          <w:p w:rsidR="00000000" w:rsidRDefault="002D33E3">
            <w:pPr>
              <w:pStyle w:val="a3"/>
              <w:spacing w:before="0" w:beforeAutospacing="0" w:after="0" w:afterAutospacing="0"/>
              <w:jc w:val="center"/>
              <w:rPr>
                <w:sz w:val="18"/>
                <w:szCs w:val="18"/>
              </w:rPr>
            </w:pPr>
            <w:r>
              <w:rPr>
                <w:b/>
                <w:bCs/>
                <w:sz w:val="18"/>
                <w:szCs w:val="18"/>
              </w:rPr>
              <w:t>Developed Technolog</w:t>
            </w:r>
            <w:r>
              <w:rPr>
                <w:b/>
                <w:bCs/>
                <w:sz w:val="18"/>
                <w:szCs w:val="18"/>
              </w:rPr>
              <w:t>y</w:t>
            </w:r>
          </w:p>
        </w:tc>
      </w:tr>
      <w:tr w:rsidR="00000000">
        <w:trPr>
          <w:divId w:val="1296981492"/>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MS</w:t>
            </w:r>
            <w:r>
              <w:rPr>
                <w:sz w:val="18"/>
                <w:szCs w:val="18"/>
              </w:rPr>
              <w:t>E</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2</w:t>
            </w:r>
            <w:r>
              <w:rPr>
                <w:sz w:val="18"/>
                <w:szCs w:val="18"/>
              </w:rPr>
              <w:t>-</w:t>
            </w:r>
            <w:r>
              <w:rPr>
                <w:sz w:val="18"/>
                <w:szCs w:val="18"/>
              </w:rPr>
              <w:t>7</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2</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296981492"/>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E</w:t>
            </w:r>
            <w:r>
              <w:rPr>
                <w:sz w:val="18"/>
                <w:szCs w:val="18"/>
              </w:rPr>
              <w:t>I</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1</w:t>
            </w:r>
            <w:r>
              <w:rPr>
                <w:sz w:val="18"/>
                <w:szCs w:val="18"/>
              </w:rPr>
              <w:t>0</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296981492"/>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All other 2021 acquisition</w:t>
            </w:r>
            <w:r>
              <w:rPr>
                <w:sz w:val="18"/>
                <w:szCs w:val="18"/>
              </w:rPr>
              <w:t>s</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1</w:t>
            </w:r>
            <w:r>
              <w:rPr>
                <w:sz w:val="18"/>
                <w:szCs w:val="18"/>
              </w:rPr>
              <w:t>0</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n/a</w:t>
            </w:r>
            <w:r>
              <w:rPr>
                <w:sz w:val="18"/>
                <w:szCs w:val="18"/>
              </w:rPr>
              <w:t>-</w:t>
            </w:r>
            <w:r>
              <w:rPr>
                <w:sz w:val="18"/>
                <w:szCs w:val="18"/>
              </w:rPr>
              <w:t>3</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n/a</w:t>
            </w:r>
            <w:r>
              <w:rPr>
                <w:sz w:val="18"/>
                <w:szCs w:val="18"/>
              </w:rPr>
              <w:t>-</w:t>
            </w:r>
            <w:r>
              <w:rPr>
                <w:sz w:val="18"/>
                <w:szCs w:val="18"/>
              </w:rPr>
              <w:t>5</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n/a</w:t>
            </w:r>
            <w:r>
              <w:rPr>
                <w:sz w:val="18"/>
                <w:szCs w:val="18"/>
              </w:rPr>
              <w:t>-</w:t>
            </w:r>
            <w:r>
              <w:rPr>
                <w:sz w:val="18"/>
                <w:szCs w:val="18"/>
              </w:rPr>
              <w:t>5</w:t>
            </w:r>
          </w:p>
        </w:tc>
      </w:tr>
    </w:tbl>
    <w:p w:rsidR="00000000" w:rsidRDefault="002D33E3">
      <w:pPr>
        <w:pStyle w:val="a3"/>
        <w:spacing w:before="240" w:beforeAutospacing="0" w:after="0" w:afterAutospacing="0"/>
        <w:ind w:firstLine="555"/>
        <w:divId w:val="2046631898"/>
        <w:rPr>
          <w:sz w:val="20"/>
          <w:szCs w:val="20"/>
        </w:rPr>
      </w:pPr>
      <w:r>
        <w:rPr>
          <w:sz w:val="20"/>
          <w:szCs w:val="20"/>
        </w:rPr>
        <w:t>Goodwill associated with all of these acquisitions is deductible for income tax purposes</w:t>
      </w:r>
      <w:r>
        <w:rPr>
          <w:sz w:val="20"/>
          <w:szCs w:val="20"/>
        </w:rPr>
        <w:t>.</w:t>
      </w:r>
    </w:p>
    <w:p w:rsidR="00000000" w:rsidRDefault="002D33E3">
      <w:pPr>
        <w:pStyle w:val="a3"/>
        <w:spacing w:before="240" w:beforeAutospacing="0" w:after="0" w:afterAutospacing="0"/>
        <w:ind w:firstLine="555"/>
        <w:divId w:val="2046631898"/>
        <w:rPr>
          <w:sz w:val="20"/>
          <w:szCs w:val="20"/>
        </w:rPr>
      </w:pPr>
      <w:r>
        <w:rPr>
          <w:sz w:val="20"/>
          <w:szCs w:val="20"/>
        </w:rPr>
        <w:t>For the acquisitions completed during the three months ended March 31, 2021, the results of operations since the acquisition dates have been combined with those of th</w:t>
      </w:r>
      <w:r>
        <w:rPr>
          <w:sz w:val="20"/>
          <w:szCs w:val="20"/>
        </w:rPr>
        <w:t xml:space="preserve">e Company. The Company’s unaudited condensed consolidated statement of operations for the three months ended March 31, 2021 includes revenue of </w:t>
      </w:r>
      <w:r>
        <w:rPr>
          <w:sz w:val="20"/>
          <w:szCs w:val="20"/>
        </w:rPr>
        <w:t>$</w:t>
      </w:r>
      <w:r>
        <w:rPr>
          <w:sz w:val="20"/>
          <w:szCs w:val="20"/>
        </w:rPr>
        <w:t>4.</w:t>
      </w:r>
      <w:r>
        <w:rPr>
          <w:sz w:val="20"/>
          <w:szCs w:val="20"/>
        </w:rPr>
        <w:t>0</w:t>
      </w:r>
      <w:r>
        <w:rPr>
          <w:sz w:val="20"/>
          <w:szCs w:val="20"/>
        </w:rPr>
        <w:t xml:space="preserve"> million and pre-tax income of </w:t>
      </w:r>
      <w:r>
        <w:rPr>
          <w:sz w:val="20"/>
          <w:szCs w:val="20"/>
        </w:rPr>
        <w:t>$</w:t>
      </w:r>
      <w:r>
        <w:rPr>
          <w:sz w:val="20"/>
          <w:szCs w:val="20"/>
        </w:rPr>
        <w:t>0.</w:t>
      </w:r>
      <w:r>
        <w:rPr>
          <w:sz w:val="20"/>
          <w:szCs w:val="20"/>
        </w:rPr>
        <w:t>3</w:t>
      </w:r>
      <w:r>
        <w:rPr>
          <w:sz w:val="20"/>
          <w:szCs w:val="20"/>
        </w:rPr>
        <w:t xml:space="preserve"> million.</w:t>
      </w:r>
      <w:r>
        <w:rPr>
          <w:sz w:val="20"/>
          <w:szCs w:val="20"/>
        </w:rPr>
        <w:t xml:space="preserve"> </w:t>
      </w:r>
      <w:r>
        <w:rPr>
          <w:sz w:val="20"/>
          <w:szCs w:val="20"/>
        </w:rPr>
        <w:t>MSE is included in the Company’s Remediation and Reuse segment,</w:t>
      </w:r>
      <w:r>
        <w:rPr>
          <w:sz w:val="20"/>
          <w:szCs w:val="20"/>
        </w:rPr>
        <w:t xml:space="preserve"> Vista and Sensible are included in the Company’s Measurement and Analysis segment and EI is included the Company’s Assessment, Permit and Response segment</w:t>
      </w:r>
      <w:r>
        <w:rPr>
          <w:sz w:val="20"/>
          <w:szCs w:val="20"/>
        </w:rPr>
        <w:t>.</w:t>
      </w:r>
    </w:p>
    <w:p w:rsidR="00000000" w:rsidRDefault="002D33E3">
      <w:pPr>
        <w:pStyle w:val="a3"/>
        <w:spacing w:before="240" w:beforeAutospacing="0" w:after="0" w:afterAutospacing="0"/>
        <w:ind w:firstLine="555"/>
        <w:divId w:val="2046631898"/>
        <w:rPr>
          <w:sz w:val="20"/>
          <w:szCs w:val="20"/>
        </w:rPr>
      </w:pPr>
      <w:r>
        <w:rPr>
          <w:b/>
          <w:bCs/>
          <w:sz w:val="20"/>
          <w:szCs w:val="20"/>
        </w:rPr>
        <w:t>Supplemental Unaudited Pro-Form</w:t>
      </w:r>
      <w:r>
        <w:rPr>
          <w:b/>
          <w:bCs/>
          <w:sz w:val="20"/>
          <w:szCs w:val="20"/>
        </w:rPr>
        <w:t>a</w:t>
      </w:r>
      <w:r>
        <w:rPr>
          <w:sz w:val="20"/>
          <w:szCs w:val="20"/>
        </w:rPr>
        <w:t>—</w:t>
      </w:r>
      <w:r>
        <w:rPr>
          <w:sz w:val="20"/>
          <w:szCs w:val="20"/>
        </w:rPr>
        <w:t>The unaudited condensed consolidated financial information summari</w:t>
      </w:r>
      <w:r>
        <w:rPr>
          <w:sz w:val="20"/>
          <w:szCs w:val="20"/>
        </w:rPr>
        <w:t>zed in the following table gives effect to the</w:t>
      </w:r>
      <w:r>
        <w:rPr>
          <w:sz w:val="20"/>
          <w:szCs w:val="20"/>
        </w:rPr>
        <w:t xml:space="preserve"> </w:t>
      </w:r>
      <w:r>
        <w:rPr>
          <w:sz w:val="20"/>
          <w:szCs w:val="20"/>
        </w:rPr>
        <w:t>2022 and the 2021 acquisitions discussed above assuming they occurred on January 1, 2021. These unaudited consolidated pro forma operating results do not assume any impact from revenue, cost or other operating</w:t>
      </w:r>
      <w:r>
        <w:rPr>
          <w:sz w:val="20"/>
          <w:szCs w:val="20"/>
        </w:rPr>
        <w:t xml:space="preserve"> synergies that are expected or may have been realized as a result of the acquisitions. These unaudited consolidated pro forma operating results are presented for illustrative purposes only and are not indicative of the operating results that would have be</w:t>
      </w:r>
      <w:r>
        <w:rPr>
          <w:sz w:val="20"/>
          <w:szCs w:val="20"/>
        </w:rPr>
        <w:t>en achieved had the acquisitions occurred on January 1, 2021, nor does the information purport to reflect results for any future period</w:t>
      </w:r>
      <w:r>
        <w:rPr>
          <w:sz w:val="20"/>
          <w:szCs w:val="20"/>
        </w:rPr>
        <w:t>.</w:t>
      </w:r>
    </w:p>
    <w:p w:rsidR="00000000" w:rsidRDefault="002D33E3">
      <w:pPr>
        <w:pStyle w:val="a3"/>
        <w:spacing w:before="0" w:beforeAutospacing="0" w:after="0" w:afterAutospacing="0"/>
        <w:ind w:firstLine="555"/>
        <w:divId w:val="82111939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3"/>
        <w:gridCol w:w="105"/>
        <w:gridCol w:w="150"/>
        <w:gridCol w:w="645"/>
        <w:gridCol w:w="120"/>
        <w:gridCol w:w="105"/>
        <w:gridCol w:w="151"/>
        <w:gridCol w:w="910"/>
        <w:gridCol w:w="105"/>
        <w:gridCol w:w="105"/>
        <w:gridCol w:w="151"/>
        <w:gridCol w:w="967"/>
        <w:gridCol w:w="120"/>
        <w:gridCol w:w="105"/>
        <w:gridCol w:w="150"/>
        <w:gridCol w:w="645"/>
        <w:gridCol w:w="120"/>
        <w:gridCol w:w="105"/>
        <w:gridCol w:w="151"/>
        <w:gridCol w:w="910"/>
        <w:gridCol w:w="105"/>
        <w:gridCol w:w="105"/>
        <w:gridCol w:w="151"/>
        <w:gridCol w:w="967"/>
        <w:gridCol w:w="135"/>
      </w:tblGrid>
      <w:tr w:rsidR="00000000">
        <w:trPr>
          <w:divId w:val="821119394"/>
          <w:tblCellSpacing w:w="15" w:type="dxa"/>
        </w:trPr>
        <w:tc>
          <w:tcPr>
            <w:tcW w:w="720" w:type="pct"/>
            <w:vAlign w:val="center"/>
            <w:hideMark/>
          </w:tcPr>
          <w:p w:rsidR="00000000" w:rsidRDefault="002D33E3">
            <w:pPr>
              <w:rPr>
                <w:sz w:val="20"/>
                <w:szCs w:val="20"/>
              </w:rPr>
            </w:pPr>
          </w:p>
        </w:tc>
        <w:tc>
          <w:tcPr>
            <w:tcW w:w="75"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311" w:type="pct"/>
            <w:vAlign w:val="center"/>
            <w:hideMark/>
          </w:tcPr>
          <w:p w:rsidR="00000000" w:rsidRDefault="002D33E3">
            <w:pPr>
              <w:rPr>
                <w:rFonts w:eastAsia="Times New Roman"/>
                <w:sz w:val="20"/>
                <w:szCs w:val="20"/>
              </w:rPr>
            </w:pPr>
          </w:p>
        </w:tc>
        <w:tc>
          <w:tcPr>
            <w:tcW w:w="35" w:type="pct"/>
            <w:vAlign w:val="center"/>
            <w:hideMark/>
          </w:tcPr>
          <w:p w:rsidR="00000000" w:rsidRDefault="002D33E3">
            <w:pPr>
              <w:rPr>
                <w:rFonts w:eastAsia="Times New Roman"/>
                <w:sz w:val="20"/>
                <w:szCs w:val="20"/>
              </w:rPr>
            </w:pPr>
          </w:p>
        </w:tc>
        <w:tc>
          <w:tcPr>
            <w:tcW w:w="75"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66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75"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677" w:type="pct"/>
            <w:vAlign w:val="center"/>
            <w:hideMark/>
          </w:tcPr>
          <w:p w:rsidR="00000000" w:rsidRDefault="002D33E3">
            <w:pPr>
              <w:rPr>
                <w:rFonts w:eastAsia="Times New Roman"/>
                <w:sz w:val="20"/>
                <w:szCs w:val="20"/>
              </w:rPr>
            </w:pPr>
          </w:p>
        </w:tc>
        <w:tc>
          <w:tcPr>
            <w:tcW w:w="35" w:type="pct"/>
            <w:vAlign w:val="center"/>
            <w:hideMark/>
          </w:tcPr>
          <w:p w:rsidR="00000000" w:rsidRDefault="002D33E3">
            <w:pPr>
              <w:rPr>
                <w:rFonts w:eastAsia="Times New Roman"/>
                <w:sz w:val="20"/>
                <w:szCs w:val="20"/>
              </w:rPr>
            </w:pPr>
          </w:p>
        </w:tc>
        <w:tc>
          <w:tcPr>
            <w:tcW w:w="75"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311" w:type="pct"/>
            <w:vAlign w:val="center"/>
            <w:hideMark/>
          </w:tcPr>
          <w:p w:rsidR="00000000" w:rsidRDefault="002D33E3">
            <w:pPr>
              <w:rPr>
                <w:rFonts w:eastAsia="Times New Roman"/>
                <w:sz w:val="20"/>
                <w:szCs w:val="20"/>
              </w:rPr>
            </w:pPr>
          </w:p>
        </w:tc>
        <w:tc>
          <w:tcPr>
            <w:tcW w:w="35" w:type="pct"/>
            <w:vAlign w:val="center"/>
            <w:hideMark/>
          </w:tcPr>
          <w:p w:rsidR="00000000" w:rsidRDefault="002D33E3">
            <w:pPr>
              <w:rPr>
                <w:rFonts w:eastAsia="Times New Roman"/>
                <w:sz w:val="20"/>
                <w:szCs w:val="20"/>
              </w:rPr>
            </w:pPr>
          </w:p>
        </w:tc>
        <w:tc>
          <w:tcPr>
            <w:tcW w:w="75"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66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75"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677" w:type="pct"/>
            <w:vAlign w:val="center"/>
            <w:hideMark/>
          </w:tcPr>
          <w:p w:rsidR="00000000" w:rsidRDefault="002D33E3">
            <w:pPr>
              <w:rPr>
                <w:rFonts w:eastAsia="Times New Roman"/>
                <w:sz w:val="20"/>
                <w:szCs w:val="20"/>
              </w:rPr>
            </w:pPr>
          </w:p>
        </w:tc>
        <w:tc>
          <w:tcPr>
            <w:tcW w:w="35" w:type="pct"/>
            <w:vAlign w:val="center"/>
            <w:hideMark/>
          </w:tcPr>
          <w:p w:rsidR="00000000" w:rsidRDefault="002D33E3">
            <w:pPr>
              <w:rPr>
                <w:rFonts w:eastAsia="Times New Roman"/>
                <w:sz w:val="20"/>
                <w:szCs w:val="20"/>
              </w:rPr>
            </w:pPr>
          </w:p>
        </w:tc>
      </w:tr>
      <w:tr w:rsidR="00000000">
        <w:trPr>
          <w:divId w:val="821119394"/>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2"/>
            <w:vAlign w:val="bottom"/>
            <w:hideMark/>
          </w:tcPr>
          <w:p w:rsidR="00000000" w:rsidRDefault="002D33E3">
            <w:pPr>
              <w:pStyle w:val="a3"/>
              <w:spacing w:before="0" w:beforeAutospacing="0" w:after="0" w:afterAutospacing="0"/>
              <w:jc w:val="center"/>
              <w:rPr>
                <w:sz w:val="18"/>
                <w:szCs w:val="18"/>
              </w:rPr>
            </w:pPr>
            <w:r>
              <w:rPr>
                <w:b/>
                <w:bCs/>
                <w:sz w:val="18"/>
                <w:szCs w:val="18"/>
              </w:rPr>
              <w:t>For the 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821119394"/>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821119394"/>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As</w:t>
            </w:r>
            <w:r>
              <w:rPr>
                <w:b/>
                <w:bCs/>
                <w:sz w:val="18"/>
                <w:szCs w:val="18"/>
              </w:rPr>
              <w:br/>
              <w:t>reporte</w:t>
            </w:r>
            <w:r>
              <w:rPr>
                <w:b/>
                <w:bCs/>
                <w:sz w:val="18"/>
                <w:szCs w:val="18"/>
              </w:rPr>
              <w:t>d</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Acquisitions</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Consolidated</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As</w:t>
            </w:r>
            <w:r>
              <w:rPr>
                <w:b/>
                <w:bCs/>
                <w:sz w:val="18"/>
                <w:szCs w:val="18"/>
              </w:rPr>
              <w:br/>
              <w:t>reporte</w:t>
            </w:r>
            <w:r>
              <w:rPr>
                <w:b/>
                <w:bCs/>
                <w:sz w:val="18"/>
                <w:szCs w:val="18"/>
              </w:rPr>
              <w:t>d</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Acquisitions</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Consolidated</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82111939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Revenue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134,68</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1,39</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136,07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133,81</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11,84</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145,66</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82111939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Net (loss) incom</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7,53</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19</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7,34</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12,93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1,98</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10,94</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821119394"/>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bl>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jc w:val="center"/>
        <w:rPr>
          <w:sz w:val="20"/>
          <w:szCs w:val="20"/>
        </w:rPr>
      </w:pPr>
      <w:r>
        <w:rPr>
          <w:sz w:val="20"/>
          <w:szCs w:val="20"/>
        </w:rPr>
        <w:t>1</w:t>
      </w:r>
      <w:r>
        <w:rPr>
          <w:sz w:val="20"/>
          <w:szCs w:val="20"/>
        </w:rPr>
        <w:t>3</w:t>
      </w:r>
    </w:p>
    <w:p w:rsidR="00000000" w:rsidRDefault="002D33E3">
      <w:pPr>
        <w:rPr>
          <w:rFonts w:eastAsia="Times New Roman"/>
        </w:rPr>
      </w:pPr>
      <w:r>
        <w:rPr>
          <w:rFonts w:eastAsia="Times New Roman"/>
        </w:rPr>
        <w:pict>
          <v:rect id="_x0000_i1039"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divId w:val="1415781439"/>
        <w:rPr>
          <w:sz w:val="20"/>
          <w:szCs w:val="20"/>
        </w:rPr>
      </w:pPr>
      <w:r>
        <w:rPr>
          <w:b/>
          <w:bCs/>
          <w:sz w:val="20"/>
          <w:szCs w:val="20"/>
        </w:rPr>
        <w:t>8. GOODWILL AND INTANGIBLE ASSET</w:t>
      </w:r>
      <w:r>
        <w:rPr>
          <w:b/>
          <w:bCs/>
          <w:sz w:val="20"/>
          <w:szCs w:val="20"/>
        </w:rPr>
        <w:t>S</w:t>
      </w:r>
    </w:p>
    <w:p w:rsidR="00000000" w:rsidRDefault="002D33E3">
      <w:pPr>
        <w:pStyle w:val="a3"/>
        <w:spacing w:before="240" w:beforeAutospacing="0" w:after="0" w:afterAutospacing="0"/>
        <w:ind w:firstLine="555"/>
        <w:divId w:val="1516190337"/>
        <w:rPr>
          <w:sz w:val="20"/>
          <w:szCs w:val="20"/>
        </w:rPr>
      </w:pPr>
      <w:r>
        <w:rPr>
          <w:sz w:val="20"/>
          <w:szCs w:val="20"/>
        </w:rPr>
        <w:t>Amounts related to goodwill are as follows</w:t>
      </w:r>
      <w:r>
        <w:rPr>
          <w:sz w:val="20"/>
          <w:szCs w:val="20"/>
        </w:rPr>
        <w:t>:</w:t>
      </w:r>
    </w:p>
    <w:p w:rsidR="00000000" w:rsidRDefault="002D33E3">
      <w:pPr>
        <w:pStyle w:val="a3"/>
        <w:spacing w:before="0" w:beforeAutospacing="0" w:after="0" w:afterAutospacing="0"/>
        <w:divId w:val="151619033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2"/>
        <w:gridCol w:w="105"/>
        <w:gridCol w:w="151"/>
        <w:gridCol w:w="999"/>
        <w:gridCol w:w="120"/>
        <w:gridCol w:w="105"/>
        <w:gridCol w:w="151"/>
        <w:gridCol w:w="1014"/>
        <w:gridCol w:w="105"/>
        <w:gridCol w:w="105"/>
        <w:gridCol w:w="151"/>
        <w:gridCol w:w="1013"/>
        <w:gridCol w:w="105"/>
        <w:gridCol w:w="105"/>
        <w:gridCol w:w="150"/>
        <w:gridCol w:w="645"/>
        <w:gridCol w:w="120"/>
      </w:tblGrid>
      <w:tr w:rsidR="00000000">
        <w:trPr>
          <w:divId w:val="1516190337"/>
          <w:tblCellSpacing w:w="15" w:type="dxa"/>
        </w:trPr>
        <w:tc>
          <w:tcPr>
            <w:tcW w:w="2031" w:type="pct"/>
            <w:vAlign w:val="center"/>
            <w:hideMark/>
          </w:tcPr>
          <w:p w:rsidR="00000000" w:rsidRDefault="002D33E3">
            <w:pPr>
              <w:rPr>
                <w:sz w:val="20"/>
                <w:szCs w:val="20"/>
              </w:rPr>
            </w:pPr>
          </w:p>
        </w:tc>
        <w:tc>
          <w:tcPr>
            <w:tcW w:w="66"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655" w:type="pct"/>
            <w:vAlign w:val="center"/>
            <w:hideMark/>
          </w:tcPr>
          <w:p w:rsidR="00000000" w:rsidRDefault="002D33E3">
            <w:pPr>
              <w:rPr>
                <w:rFonts w:eastAsia="Times New Roman"/>
                <w:sz w:val="20"/>
                <w:szCs w:val="20"/>
              </w:rPr>
            </w:pPr>
          </w:p>
        </w:tc>
        <w:tc>
          <w:tcPr>
            <w:tcW w:w="36" w:type="pct"/>
            <w:vAlign w:val="center"/>
            <w:hideMark/>
          </w:tcPr>
          <w:p w:rsidR="00000000" w:rsidRDefault="002D33E3">
            <w:pPr>
              <w:rPr>
                <w:rFonts w:eastAsia="Times New Roman"/>
                <w:sz w:val="20"/>
                <w:szCs w:val="20"/>
              </w:rPr>
            </w:pPr>
          </w:p>
        </w:tc>
        <w:tc>
          <w:tcPr>
            <w:tcW w:w="66"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664"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6"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663"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6"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387"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r>
      <w:tr w:rsidR="00000000">
        <w:trPr>
          <w:divId w:val="1516190337"/>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Assessment,</w:t>
            </w:r>
            <w:r>
              <w:rPr>
                <w:b/>
                <w:bCs/>
                <w:sz w:val="18"/>
                <w:szCs w:val="18"/>
              </w:rPr>
              <w:br/>
              <w:t>Permitting</w:t>
            </w:r>
            <w:r>
              <w:rPr>
                <w:b/>
                <w:bCs/>
                <w:sz w:val="18"/>
                <w:szCs w:val="18"/>
              </w:rPr>
              <w:br/>
              <w:t>and Respons</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Measurement</w:t>
            </w:r>
            <w:r>
              <w:rPr>
                <w:b/>
                <w:bCs/>
                <w:sz w:val="18"/>
                <w:szCs w:val="18"/>
              </w:rPr>
              <w:br/>
              <w:t>and</w:t>
            </w:r>
            <w:r>
              <w:rPr>
                <w:b/>
                <w:bCs/>
                <w:sz w:val="18"/>
                <w:szCs w:val="18"/>
              </w:rPr>
              <w:br/>
              <w:t>Analysi</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Remediation</w:t>
            </w:r>
            <w:r>
              <w:rPr>
                <w:b/>
                <w:bCs/>
                <w:sz w:val="18"/>
                <w:szCs w:val="18"/>
              </w:rPr>
              <w:br/>
              <w:t>and</w:t>
            </w:r>
            <w:r>
              <w:rPr>
                <w:b/>
                <w:bCs/>
                <w:sz w:val="18"/>
                <w:szCs w:val="18"/>
              </w:rPr>
              <w:br/>
              <w:t>Reus</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51619033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Balance as of December 31, 202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176,54</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83,77</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51,63</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311,94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16190337"/>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Goodwill acquired during the perio</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3,87</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4,02</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16190337"/>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Acquisitions measurement period adjustment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9</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1619033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Balance as of March 31, 202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180,32</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84,06</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51,78</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316,17</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2104253208"/>
        <w:rPr>
          <w:sz w:val="20"/>
          <w:szCs w:val="20"/>
        </w:rPr>
      </w:pPr>
      <w:r>
        <w:rPr>
          <w:sz w:val="20"/>
          <w:szCs w:val="20"/>
        </w:rPr>
        <w:t>Amounts related to finite-lived intangible assets are as follows</w:t>
      </w:r>
      <w:r>
        <w:rPr>
          <w:sz w:val="20"/>
          <w:szCs w:val="20"/>
        </w:rPr>
        <w:t>:</w:t>
      </w:r>
    </w:p>
    <w:p w:rsidR="00000000" w:rsidRDefault="002D33E3">
      <w:pPr>
        <w:pStyle w:val="a3"/>
        <w:spacing w:before="0" w:beforeAutospacing="0" w:after="0" w:afterAutospacing="0"/>
        <w:divId w:val="2104253208"/>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8"/>
        <w:gridCol w:w="132"/>
        <w:gridCol w:w="1222"/>
        <w:gridCol w:w="132"/>
        <w:gridCol w:w="150"/>
        <w:gridCol w:w="1069"/>
        <w:gridCol w:w="105"/>
        <w:gridCol w:w="132"/>
        <w:gridCol w:w="151"/>
        <w:gridCol w:w="1114"/>
        <w:gridCol w:w="105"/>
        <w:gridCol w:w="132"/>
        <w:gridCol w:w="151"/>
        <w:gridCol w:w="1102"/>
        <w:gridCol w:w="120"/>
      </w:tblGrid>
      <w:tr w:rsidR="00000000">
        <w:trPr>
          <w:divId w:val="2104253208"/>
          <w:tblCellSpacing w:w="15" w:type="dxa"/>
        </w:trPr>
        <w:tc>
          <w:tcPr>
            <w:tcW w:w="1162" w:type="pct"/>
            <w:vAlign w:val="center"/>
            <w:hideMark/>
          </w:tcPr>
          <w:p w:rsidR="00000000" w:rsidRDefault="002D33E3">
            <w:pPr>
              <w:rPr>
                <w:sz w:val="20"/>
                <w:szCs w:val="20"/>
              </w:rPr>
            </w:pPr>
          </w:p>
        </w:tc>
        <w:tc>
          <w:tcPr>
            <w:tcW w:w="83" w:type="pct"/>
            <w:vAlign w:val="center"/>
            <w:hideMark/>
          </w:tcPr>
          <w:p w:rsidR="00000000" w:rsidRDefault="002D33E3">
            <w:pPr>
              <w:rPr>
                <w:rFonts w:eastAsia="Times New Roman"/>
                <w:sz w:val="20"/>
                <w:szCs w:val="20"/>
              </w:rPr>
            </w:pPr>
          </w:p>
        </w:tc>
        <w:tc>
          <w:tcPr>
            <w:tcW w:w="861" w:type="pct"/>
            <w:vAlign w:val="center"/>
            <w:hideMark/>
          </w:tcPr>
          <w:p w:rsidR="00000000" w:rsidRDefault="002D33E3">
            <w:pPr>
              <w:rPr>
                <w:rFonts w:eastAsia="Times New Roman"/>
                <w:sz w:val="20"/>
                <w:szCs w:val="20"/>
              </w:rPr>
            </w:pPr>
          </w:p>
        </w:tc>
        <w:tc>
          <w:tcPr>
            <w:tcW w:w="83"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752" w:type="pct"/>
            <w:vAlign w:val="center"/>
            <w:hideMark/>
          </w:tcPr>
          <w:p w:rsidR="00000000" w:rsidRDefault="002D33E3">
            <w:pPr>
              <w:rPr>
                <w:rFonts w:eastAsia="Times New Roman"/>
                <w:sz w:val="20"/>
                <w:szCs w:val="20"/>
              </w:rPr>
            </w:pPr>
          </w:p>
        </w:tc>
        <w:tc>
          <w:tcPr>
            <w:tcW w:w="46" w:type="pct"/>
            <w:vAlign w:val="center"/>
            <w:hideMark/>
          </w:tcPr>
          <w:p w:rsidR="00000000" w:rsidRDefault="002D33E3">
            <w:pPr>
              <w:rPr>
                <w:rFonts w:eastAsia="Times New Roman"/>
                <w:sz w:val="20"/>
                <w:szCs w:val="20"/>
              </w:rPr>
            </w:pPr>
          </w:p>
        </w:tc>
        <w:tc>
          <w:tcPr>
            <w:tcW w:w="83"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784" w:type="pct"/>
            <w:vAlign w:val="center"/>
            <w:hideMark/>
          </w:tcPr>
          <w:p w:rsidR="00000000" w:rsidRDefault="002D33E3">
            <w:pPr>
              <w:rPr>
                <w:rFonts w:eastAsia="Times New Roman"/>
                <w:sz w:val="20"/>
                <w:szCs w:val="20"/>
              </w:rPr>
            </w:pPr>
          </w:p>
        </w:tc>
        <w:tc>
          <w:tcPr>
            <w:tcW w:w="46" w:type="pct"/>
            <w:vAlign w:val="center"/>
            <w:hideMark/>
          </w:tcPr>
          <w:p w:rsidR="00000000" w:rsidRDefault="002D33E3">
            <w:pPr>
              <w:rPr>
                <w:rFonts w:eastAsia="Times New Roman"/>
                <w:sz w:val="20"/>
                <w:szCs w:val="20"/>
              </w:rPr>
            </w:pPr>
          </w:p>
        </w:tc>
        <w:tc>
          <w:tcPr>
            <w:tcW w:w="83"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775" w:type="pct"/>
            <w:vAlign w:val="center"/>
            <w:hideMark/>
          </w:tcPr>
          <w:p w:rsidR="00000000" w:rsidRDefault="002D33E3">
            <w:pPr>
              <w:rPr>
                <w:rFonts w:eastAsia="Times New Roman"/>
                <w:sz w:val="20"/>
                <w:szCs w:val="20"/>
              </w:rPr>
            </w:pPr>
          </w:p>
        </w:tc>
        <w:tc>
          <w:tcPr>
            <w:tcW w:w="46" w:type="pct"/>
            <w:vAlign w:val="center"/>
            <w:hideMark/>
          </w:tcPr>
          <w:p w:rsidR="00000000" w:rsidRDefault="002D33E3">
            <w:pPr>
              <w:rPr>
                <w:rFonts w:eastAsia="Times New Roman"/>
                <w:sz w:val="20"/>
                <w:szCs w:val="20"/>
              </w:rPr>
            </w:pPr>
          </w:p>
        </w:tc>
      </w:tr>
      <w:tr w:rsidR="00000000">
        <w:trPr>
          <w:divId w:val="2104253208"/>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March 31, 202</w:t>
            </w:r>
            <w:r>
              <w:rPr>
                <w:b/>
                <w:bCs/>
                <w:sz w:val="18"/>
                <w:szCs w:val="18"/>
              </w:rPr>
              <w:t>2</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18"/>
                <w:szCs w:val="18"/>
              </w:rPr>
            </w:pPr>
            <w:r>
              <w:rPr>
                <w:b/>
                <w:bCs/>
                <w:sz w:val="18"/>
                <w:szCs w:val="18"/>
              </w:rPr>
              <w:t>Estimated</w:t>
            </w:r>
            <w:r>
              <w:rPr>
                <w:b/>
                <w:bCs/>
                <w:sz w:val="18"/>
                <w:szCs w:val="18"/>
              </w:rPr>
              <w:br/>
              <w:t>Useful Lif</w:t>
            </w:r>
            <w:r>
              <w:rPr>
                <w:b/>
                <w:bCs/>
                <w:sz w:val="18"/>
                <w:szCs w:val="18"/>
              </w:rPr>
              <w:t>e</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Gross</w:t>
            </w:r>
            <w:r>
              <w:rPr>
                <w:b/>
                <w:bCs/>
                <w:sz w:val="18"/>
                <w:szCs w:val="18"/>
              </w:rPr>
              <w:br/>
              <w:t>Balanc</w:t>
            </w:r>
            <w:r>
              <w:rPr>
                <w:b/>
                <w:bCs/>
                <w:sz w:val="18"/>
                <w:szCs w:val="18"/>
              </w:rPr>
              <w:t>e</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Accumulated</w:t>
            </w:r>
            <w:r>
              <w:rPr>
                <w:b/>
                <w:bCs/>
                <w:sz w:val="18"/>
                <w:szCs w:val="18"/>
              </w:rPr>
              <w:br/>
            </w:r>
            <w:r>
              <w:rPr>
                <w:b/>
                <w:bCs/>
                <w:sz w:val="18"/>
                <w:szCs w:val="18"/>
              </w:rPr>
              <w:t>Amortizatio</w:t>
            </w:r>
            <w:r>
              <w:rPr>
                <w:b/>
                <w:bCs/>
                <w:sz w:val="18"/>
                <w:szCs w:val="18"/>
              </w:rPr>
              <w:t>n</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Total</w:t>
            </w:r>
            <w:r>
              <w:rPr>
                <w:b/>
                <w:bCs/>
                <w:sz w:val="18"/>
                <w:szCs w:val="18"/>
              </w:rPr>
              <w:br/>
              <w:t>Intangible</w:t>
            </w:r>
            <w:r>
              <w:rPr>
                <w:b/>
                <w:bCs/>
                <w:sz w:val="18"/>
                <w:szCs w:val="18"/>
              </w:rPr>
              <w:br/>
              <w:t>Assets—Ne</w:t>
            </w:r>
            <w:r>
              <w:rPr>
                <w:b/>
                <w:bCs/>
                <w:sz w:val="18"/>
                <w:szCs w:val="18"/>
              </w:rPr>
              <w:t>t</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Finite lived intangible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2</w:t>
            </w:r>
            <w:r>
              <w:rPr>
                <w:sz w:val="18"/>
                <w:szCs w:val="18"/>
              </w:rPr>
              <w:t>-</w:t>
            </w:r>
            <w:r>
              <w:rPr>
                <w:sz w:val="18"/>
                <w:szCs w:val="18"/>
              </w:rPr>
              <w:t>1</w:t>
            </w:r>
            <w:r>
              <w:rPr>
                <w:sz w:val="18"/>
                <w:szCs w:val="18"/>
              </w:rPr>
              <w:t>5</w:t>
            </w:r>
            <w:r>
              <w:rPr>
                <w:sz w:val="18"/>
                <w:szCs w:val="18"/>
              </w:rPr>
              <w:t>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202,21</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79,69</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122,52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4</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32,94</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25,95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6,99</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1</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21,42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15,82</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5,59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Proprietary softwar</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3</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22,08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12,48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9,60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Paten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1</w:t>
            </w:r>
            <w:r>
              <w:rPr>
                <w:sz w:val="18"/>
                <w:szCs w:val="18"/>
              </w:rPr>
              <w:t>6</w:t>
            </w:r>
            <w:r>
              <w:rPr>
                <w:sz w:val="18"/>
                <w:szCs w:val="18"/>
              </w:rPr>
              <w:t>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17,47</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2,76</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14,71</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Total other intangible assets</w:t>
            </w:r>
            <w:r>
              <w:rPr>
                <w:sz w:val="18"/>
                <w:szCs w:val="18"/>
              </w:rPr>
              <w:br/>
              <w:t>   —ne</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296,13</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136,71</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159,42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divId w:val="2104253208"/>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6"/>
        <w:gridCol w:w="131"/>
        <w:gridCol w:w="1222"/>
        <w:gridCol w:w="132"/>
        <w:gridCol w:w="150"/>
        <w:gridCol w:w="1069"/>
        <w:gridCol w:w="105"/>
        <w:gridCol w:w="132"/>
        <w:gridCol w:w="151"/>
        <w:gridCol w:w="1114"/>
        <w:gridCol w:w="105"/>
        <w:gridCol w:w="135"/>
        <w:gridCol w:w="151"/>
        <w:gridCol w:w="1102"/>
        <w:gridCol w:w="120"/>
      </w:tblGrid>
      <w:tr w:rsidR="00000000">
        <w:trPr>
          <w:divId w:val="2104253208"/>
          <w:tblCellSpacing w:w="15" w:type="dxa"/>
        </w:trPr>
        <w:tc>
          <w:tcPr>
            <w:tcW w:w="1161" w:type="pct"/>
            <w:vAlign w:val="center"/>
            <w:hideMark/>
          </w:tcPr>
          <w:p w:rsidR="00000000" w:rsidRDefault="002D33E3">
            <w:pPr>
              <w:rPr>
                <w:sz w:val="20"/>
                <w:szCs w:val="20"/>
              </w:rPr>
            </w:pPr>
          </w:p>
        </w:tc>
        <w:tc>
          <w:tcPr>
            <w:tcW w:w="83" w:type="pct"/>
            <w:vAlign w:val="center"/>
            <w:hideMark/>
          </w:tcPr>
          <w:p w:rsidR="00000000" w:rsidRDefault="002D33E3">
            <w:pPr>
              <w:rPr>
                <w:rFonts w:eastAsia="Times New Roman"/>
                <w:sz w:val="20"/>
                <w:szCs w:val="20"/>
              </w:rPr>
            </w:pPr>
          </w:p>
        </w:tc>
        <w:tc>
          <w:tcPr>
            <w:tcW w:w="861" w:type="pct"/>
            <w:vAlign w:val="center"/>
            <w:hideMark/>
          </w:tcPr>
          <w:p w:rsidR="00000000" w:rsidRDefault="002D33E3">
            <w:pPr>
              <w:rPr>
                <w:rFonts w:eastAsia="Times New Roman"/>
                <w:sz w:val="20"/>
                <w:szCs w:val="20"/>
              </w:rPr>
            </w:pPr>
          </w:p>
        </w:tc>
        <w:tc>
          <w:tcPr>
            <w:tcW w:w="83"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752" w:type="pct"/>
            <w:vAlign w:val="center"/>
            <w:hideMark/>
          </w:tcPr>
          <w:p w:rsidR="00000000" w:rsidRDefault="002D33E3">
            <w:pPr>
              <w:rPr>
                <w:rFonts w:eastAsia="Times New Roman"/>
                <w:sz w:val="20"/>
                <w:szCs w:val="20"/>
              </w:rPr>
            </w:pPr>
          </w:p>
        </w:tc>
        <w:tc>
          <w:tcPr>
            <w:tcW w:w="46" w:type="pct"/>
            <w:vAlign w:val="center"/>
            <w:hideMark/>
          </w:tcPr>
          <w:p w:rsidR="00000000" w:rsidRDefault="002D33E3">
            <w:pPr>
              <w:rPr>
                <w:rFonts w:eastAsia="Times New Roman"/>
                <w:sz w:val="20"/>
                <w:szCs w:val="20"/>
              </w:rPr>
            </w:pPr>
          </w:p>
        </w:tc>
        <w:tc>
          <w:tcPr>
            <w:tcW w:w="83"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784" w:type="pct"/>
            <w:vAlign w:val="center"/>
            <w:hideMark/>
          </w:tcPr>
          <w:p w:rsidR="00000000" w:rsidRDefault="002D33E3">
            <w:pPr>
              <w:rPr>
                <w:rFonts w:eastAsia="Times New Roman"/>
                <w:sz w:val="20"/>
                <w:szCs w:val="20"/>
              </w:rPr>
            </w:pPr>
          </w:p>
        </w:tc>
        <w:tc>
          <w:tcPr>
            <w:tcW w:w="46" w:type="pct"/>
            <w:vAlign w:val="center"/>
            <w:hideMark/>
          </w:tcPr>
          <w:p w:rsidR="00000000" w:rsidRDefault="002D33E3">
            <w:pPr>
              <w:rPr>
                <w:rFonts w:eastAsia="Times New Roman"/>
                <w:sz w:val="20"/>
                <w:szCs w:val="20"/>
              </w:rPr>
            </w:pPr>
          </w:p>
        </w:tc>
        <w:tc>
          <w:tcPr>
            <w:tcW w:w="85"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775" w:type="pct"/>
            <w:vAlign w:val="center"/>
            <w:hideMark/>
          </w:tcPr>
          <w:p w:rsidR="00000000" w:rsidRDefault="002D33E3">
            <w:pPr>
              <w:rPr>
                <w:rFonts w:eastAsia="Times New Roman"/>
                <w:sz w:val="20"/>
                <w:szCs w:val="20"/>
              </w:rPr>
            </w:pPr>
          </w:p>
        </w:tc>
        <w:tc>
          <w:tcPr>
            <w:tcW w:w="46" w:type="pct"/>
            <w:vAlign w:val="center"/>
            <w:hideMark/>
          </w:tcPr>
          <w:p w:rsidR="00000000" w:rsidRDefault="002D33E3">
            <w:pPr>
              <w:rPr>
                <w:rFonts w:eastAsia="Times New Roman"/>
                <w:sz w:val="20"/>
                <w:szCs w:val="20"/>
              </w:rPr>
            </w:pPr>
          </w:p>
        </w:tc>
      </w:tr>
      <w:tr w:rsidR="00000000">
        <w:trPr>
          <w:divId w:val="2104253208"/>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December 31, 202</w:t>
            </w:r>
            <w:r>
              <w:rPr>
                <w:b/>
                <w:bCs/>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b/>
                <w:bCs/>
                <w:sz w:val="18"/>
                <w:szCs w:val="18"/>
              </w:rPr>
              <w:t>Estimated</w:t>
            </w:r>
            <w:r>
              <w:rPr>
                <w:b/>
                <w:bCs/>
                <w:sz w:val="18"/>
                <w:szCs w:val="18"/>
              </w:rPr>
              <w:br/>
              <w:t>Useful Lif</w:t>
            </w:r>
            <w:r>
              <w:rPr>
                <w:b/>
                <w:bCs/>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Gross</w:t>
            </w:r>
            <w:r>
              <w:rPr>
                <w:b/>
                <w:bCs/>
                <w:sz w:val="18"/>
                <w:szCs w:val="18"/>
              </w:rPr>
              <w:br/>
              <w:t>Balanc</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Accumulated</w:t>
            </w:r>
            <w:r>
              <w:rPr>
                <w:b/>
                <w:bCs/>
                <w:sz w:val="18"/>
                <w:szCs w:val="18"/>
              </w:rPr>
              <w:br/>
              <w:t>Amortizatio</w:t>
            </w:r>
            <w:r>
              <w:rPr>
                <w:b/>
                <w:bCs/>
                <w:sz w:val="18"/>
                <w:szCs w:val="18"/>
              </w:rPr>
              <w:t>n</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Total</w:t>
            </w:r>
            <w:r>
              <w:rPr>
                <w:b/>
                <w:bCs/>
                <w:sz w:val="18"/>
                <w:szCs w:val="18"/>
              </w:rPr>
              <w:br/>
              <w:t>Intangible</w:t>
            </w:r>
            <w:r>
              <w:rPr>
                <w:b/>
                <w:bCs/>
                <w:sz w:val="18"/>
                <w:szCs w:val="18"/>
              </w:rPr>
              <w:br/>
              <w:t>Assets—Ne</w:t>
            </w:r>
            <w:r>
              <w:rPr>
                <w:b/>
                <w:bCs/>
                <w:sz w:val="18"/>
                <w:szCs w:val="18"/>
              </w:rPr>
              <w:t>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Finite lived intangible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2</w:t>
            </w:r>
            <w:r>
              <w:rPr>
                <w:sz w:val="18"/>
                <w:szCs w:val="18"/>
              </w:rPr>
              <w:t>-</w:t>
            </w:r>
            <w:r>
              <w:rPr>
                <w:sz w:val="18"/>
                <w:szCs w:val="18"/>
              </w:rPr>
              <w:t>1</w:t>
            </w:r>
            <w:r>
              <w:rPr>
                <w:sz w:val="18"/>
                <w:szCs w:val="18"/>
              </w:rPr>
              <w:t>5</w:t>
            </w:r>
            <w:r>
              <w:rPr>
                <w:sz w:val="18"/>
                <w:szCs w:val="18"/>
              </w:rPr>
              <w:t>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196,32</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74,01</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122,31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4</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32,62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25,11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7,50</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1</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20,40</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15,13</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5,26</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Proprietary softwar</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3</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22,07</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11,15</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10,92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Paten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1</w:t>
            </w:r>
            <w:r>
              <w:rPr>
                <w:sz w:val="18"/>
                <w:szCs w:val="18"/>
              </w:rPr>
              <w:t>6</w:t>
            </w:r>
            <w:r>
              <w:rPr>
                <w:sz w:val="18"/>
                <w:szCs w:val="18"/>
              </w:rPr>
              <w:t> year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17,47</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2,49</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14,98</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104253208"/>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Total other intangible assets</w:t>
            </w:r>
            <w:r>
              <w:rPr>
                <w:sz w:val="18"/>
                <w:szCs w:val="18"/>
              </w:rPr>
              <w:br/>
              <w:t>   —ne</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288,90</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127,90</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160,99</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1415781439"/>
        <w:rPr>
          <w:sz w:val="20"/>
          <w:szCs w:val="20"/>
        </w:rPr>
      </w:pPr>
      <w:r>
        <w:rPr>
          <w:sz w:val="20"/>
          <w:szCs w:val="20"/>
        </w:rPr>
        <w:t>Intangible assets with finite lives are stated at cost, less accumulated amortization and impairment losses, if any. These intangible assets are amortized using the straight-line method over the estimated useful lives of the assets. Amortization expense wa</w:t>
      </w:r>
      <w:r>
        <w:rPr>
          <w:sz w:val="20"/>
          <w:szCs w:val="20"/>
        </w:rPr>
        <w:t xml:space="preserve">s </w:t>
      </w:r>
      <w:r>
        <w:rPr>
          <w:sz w:val="20"/>
          <w:szCs w:val="20"/>
        </w:rPr>
        <w:t>$</w:t>
      </w:r>
      <w:r>
        <w:rPr>
          <w:sz w:val="20"/>
          <w:szCs w:val="20"/>
        </w:rPr>
        <w:t>9.</w:t>
      </w:r>
      <w:r>
        <w:rPr>
          <w:sz w:val="20"/>
          <w:szCs w:val="20"/>
        </w:rPr>
        <w:t>4</w:t>
      </w:r>
      <w:r>
        <w:rPr>
          <w:sz w:val="20"/>
          <w:szCs w:val="20"/>
        </w:rPr>
        <w:t xml:space="preserve"> million and </w:t>
      </w:r>
      <w:r>
        <w:rPr>
          <w:sz w:val="20"/>
          <w:szCs w:val="20"/>
        </w:rPr>
        <w:t>$</w:t>
      </w:r>
      <w:r>
        <w:rPr>
          <w:sz w:val="20"/>
          <w:szCs w:val="20"/>
        </w:rPr>
        <w:t>8.</w:t>
      </w:r>
      <w:r>
        <w:rPr>
          <w:sz w:val="20"/>
          <w:szCs w:val="20"/>
        </w:rPr>
        <w:t>6</w:t>
      </w:r>
      <w:r>
        <w:rPr>
          <w:sz w:val="20"/>
          <w:szCs w:val="20"/>
        </w:rPr>
        <w:t xml:space="preserve"> million for the</w:t>
      </w:r>
      <w:r>
        <w:rPr>
          <w:sz w:val="20"/>
          <w:szCs w:val="20"/>
        </w:rPr>
        <w:t xml:space="preserve"> </w:t>
      </w:r>
      <w:r>
        <w:rPr>
          <w:sz w:val="20"/>
          <w:szCs w:val="20"/>
        </w:rPr>
        <w:t>three months ended March 31, 2022 and March 31, 2021, respectively</w:t>
      </w:r>
      <w:r>
        <w:rPr>
          <w:sz w:val="20"/>
          <w:szCs w:val="20"/>
        </w:rPr>
        <w:t>.</w:t>
      </w:r>
      <w:r>
        <w:rPr>
          <w:sz w:val="20"/>
          <w:szCs w:val="20"/>
        </w:rPr>
        <w:t xml:space="preserve"> </w:t>
      </w:r>
    </w:p>
    <w:p w:rsidR="00000000" w:rsidRDefault="002D33E3">
      <w:pPr>
        <w:pStyle w:val="a3"/>
        <w:spacing w:before="240" w:beforeAutospacing="0" w:after="0" w:afterAutospacing="0"/>
        <w:ind w:firstLine="555"/>
        <w:divId w:val="1368794637"/>
        <w:rPr>
          <w:sz w:val="20"/>
          <w:szCs w:val="20"/>
        </w:rPr>
      </w:pPr>
      <w:r>
        <w:rPr>
          <w:sz w:val="20"/>
          <w:szCs w:val="20"/>
        </w:rPr>
        <w:t>Future amortization expense is estimated to be as follows for each of the five following years and thereafter</w:t>
      </w:r>
      <w:r>
        <w:rPr>
          <w:sz w:val="20"/>
          <w:szCs w:val="20"/>
        </w:rPr>
        <w:t>:</w:t>
      </w:r>
    </w:p>
    <w:p w:rsidR="00000000" w:rsidRDefault="002D33E3">
      <w:pPr>
        <w:pStyle w:val="a3"/>
        <w:spacing w:before="0" w:beforeAutospacing="0" w:after="0" w:afterAutospacing="0"/>
        <w:divId w:val="1368794637"/>
        <w:rPr>
          <w:sz w:val="20"/>
          <w:szCs w:val="20"/>
        </w:rPr>
      </w:pPr>
      <w: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702"/>
        <w:gridCol w:w="105"/>
        <w:gridCol w:w="150"/>
        <w:gridCol w:w="907"/>
        <w:gridCol w:w="120"/>
      </w:tblGrid>
      <w:tr w:rsidR="00000000">
        <w:trPr>
          <w:divId w:val="1368794637"/>
          <w:tblCellSpacing w:w="15" w:type="dxa"/>
        </w:trPr>
        <w:tc>
          <w:tcPr>
            <w:tcW w:w="3820" w:type="pct"/>
            <w:vAlign w:val="center"/>
            <w:hideMark/>
          </w:tcPr>
          <w:p w:rsidR="00000000" w:rsidRDefault="002D33E3">
            <w:pPr>
              <w:rPr>
                <w:sz w:val="20"/>
                <w:szCs w:val="20"/>
              </w:rPr>
            </w:pPr>
          </w:p>
        </w:tc>
        <w:tc>
          <w:tcPr>
            <w:tcW w:w="90" w:type="pct"/>
            <w:vAlign w:val="center"/>
            <w:hideMark/>
          </w:tcPr>
          <w:p w:rsidR="00000000" w:rsidRDefault="002D33E3">
            <w:pPr>
              <w:rPr>
                <w:rFonts w:eastAsia="Times New Roman"/>
                <w:sz w:val="20"/>
                <w:szCs w:val="20"/>
              </w:rPr>
            </w:pPr>
          </w:p>
        </w:tc>
        <w:tc>
          <w:tcPr>
            <w:tcW w:w="111" w:type="pct"/>
            <w:vAlign w:val="center"/>
            <w:hideMark/>
          </w:tcPr>
          <w:p w:rsidR="00000000" w:rsidRDefault="002D33E3">
            <w:pPr>
              <w:rPr>
                <w:rFonts w:eastAsia="Times New Roman"/>
                <w:sz w:val="20"/>
                <w:szCs w:val="20"/>
              </w:rPr>
            </w:pPr>
          </w:p>
        </w:tc>
        <w:tc>
          <w:tcPr>
            <w:tcW w:w="932" w:type="pct"/>
            <w:vAlign w:val="center"/>
            <w:hideMark/>
          </w:tcPr>
          <w:p w:rsidR="00000000" w:rsidRDefault="002D33E3">
            <w:pPr>
              <w:rPr>
                <w:rFonts w:eastAsia="Times New Roman"/>
                <w:sz w:val="20"/>
                <w:szCs w:val="20"/>
              </w:rPr>
            </w:pPr>
          </w:p>
        </w:tc>
        <w:tc>
          <w:tcPr>
            <w:tcW w:w="44" w:type="pct"/>
            <w:vAlign w:val="center"/>
            <w:hideMark/>
          </w:tcPr>
          <w:p w:rsidR="00000000" w:rsidRDefault="002D33E3">
            <w:pPr>
              <w:rPr>
                <w:rFonts w:eastAsia="Times New Roman"/>
                <w:sz w:val="20"/>
                <w:szCs w:val="20"/>
              </w:rPr>
            </w:pPr>
          </w:p>
        </w:tc>
      </w:tr>
      <w:tr w:rsidR="00000000">
        <w:trPr>
          <w:divId w:val="1368794637"/>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December 31</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36879463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2022 (remaining</w:t>
            </w: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24,72</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36879463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202</w:t>
            </w:r>
            <w:r>
              <w:rPr>
                <w:sz w:val="18"/>
                <w:szCs w:val="18"/>
              </w:rPr>
              <w:t>3</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27,50</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36879463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202</w:t>
            </w:r>
            <w:r>
              <w:rPr>
                <w:sz w:val="18"/>
                <w:szCs w:val="18"/>
              </w:rPr>
              <w:t>4</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22,97</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36879463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202</w:t>
            </w:r>
            <w:r>
              <w:rPr>
                <w:sz w:val="18"/>
                <w:szCs w:val="18"/>
              </w:rPr>
              <w:t>5</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16,40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36879463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2026 and thereafte</w:t>
            </w:r>
            <w:r>
              <w:rPr>
                <w:sz w:val="18"/>
                <w:szCs w:val="18"/>
              </w:rPr>
              <w:t>r</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67,81</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368794637"/>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159,42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jc w:val="center"/>
        <w:rPr>
          <w:sz w:val="20"/>
          <w:szCs w:val="20"/>
        </w:rPr>
      </w:pPr>
      <w:r>
        <w:rPr>
          <w:sz w:val="20"/>
          <w:szCs w:val="20"/>
        </w:rPr>
        <w:t>1</w:t>
      </w:r>
      <w:r>
        <w:rPr>
          <w:sz w:val="20"/>
          <w:szCs w:val="20"/>
        </w:rPr>
        <w:t>4</w:t>
      </w:r>
    </w:p>
    <w:p w:rsidR="00000000" w:rsidRDefault="002D33E3">
      <w:pPr>
        <w:rPr>
          <w:rFonts w:eastAsia="Times New Roman"/>
        </w:rPr>
      </w:pPr>
      <w:r>
        <w:rPr>
          <w:rFonts w:eastAsia="Times New Roman"/>
        </w:rPr>
        <w:pict>
          <v:rect id="_x0000_i1040"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divId w:val="760443629"/>
        <w:rPr>
          <w:sz w:val="20"/>
          <w:szCs w:val="20"/>
        </w:rPr>
      </w:pPr>
      <w:r>
        <w:rPr>
          <w:b/>
          <w:bCs/>
          <w:sz w:val="20"/>
          <w:szCs w:val="20"/>
        </w:rPr>
        <w:t>9. ACCOUNTS PAYABLE AND OTHER ACCRUED LIABILITIE</w:t>
      </w:r>
      <w:r>
        <w:rPr>
          <w:b/>
          <w:bCs/>
          <w:sz w:val="20"/>
          <w:szCs w:val="20"/>
        </w:rPr>
        <w:t>S</w:t>
      </w:r>
    </w:p>
    <w:p w:rsidR="00000000" w:rsidRDefault="002D33E3">
      <w:pPr>
        <w:pStyle w:val="a3"/>
        <w:spacing w:before="240" w:beforeAutospacing="0" w:after="0" w:afterAutospacing="0"/>
        <w:ind w:firstLine="555"/>
        <w:divId w:val="422800870"/>
        <w:rPr>
          <w:sz w:val="20"/>
          <w:szCs w:val="20"/>
        </w:rPr>
      </w:pPr>
      <w:r>
        <w:rPr>
          <w:sz w:val="20"/>
          <w:szCs w:val="20"/>
        </w:rPr>
        <w:t>Accounts payable and other accrued liabilities consisted of the following</w:t>
      </w:r>
      <w:r>
        <w:rPr>
          <w:sz w:val="20"/>
          <w:szCs w:val="20"/>
        </w:rPr>
        <w:t>:</w:t>
      </w:r>
    </w:p>
    <w:p w:rsidR="00000000" w:rsidRDefault="002D33E3">
      <w:pPr>
        <w:pStyle w:val="a3"/>
        <w:spacing w:before="0" w:beforeAutospacing="0" w:after="0" w:afterAutospacing="0"/>
        <w:divId w:val="422800870"/>
        <w:rPr>
          <w:sz w:val="20"/>
          <w:szCs w:val="20"/>
        </w:rPr>
      </w:pPr>
      <w: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49"/>
        <w:gridCol w:w="105"/>
        <w:gridCol w:w="150"/>
        <w:gridCol w:w="937"/>
        <w:gridCol w:w="105"/>
        <w:gridCol w:w="105"/>
        <w:gridCol w:w="151"/>
        <w:gridCol w:w="992"/>
        <w:gridCol w:w="120"/>
      </w:tblGrid>
      <w:tr w:rsidR="00000000">
        <w:trPr>
          <w:divId w:val="422800870"/>
          <w:tblCellSpacing w:w="15" w:type="dxa"/>
        </w:trPr>
        <w:tc>
          <w:tcPr>
            <w:tcW w:w="2831" w:type="pct"/>
            <w:vAlign w:val="center"/>
            <w:hideMark/>
          </w:tcPr>
          <w:p w:rsidR="00000000" w:rsidRDefault="002D33E3">
            <w:pPr>
              <w:rPr>
                <w:sz w:val="20"/>
                <w:szCs w:val="20"/>
              </w:rPr>
            </w:pPr>
          </w:p>
        </w:tc>
        <w:tc>
          <w:tcPr>
            <w:tcW w:w="84"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841" w:type="pct"/>
            <w:vAlign w:val="center"/>
            <w:hideMark/>
          </w:tcPr>
          <w:p w:rsidR="00000000" w:rsidRDefault="002D33E3">
            <w:pPr>
              <w:rPr>
                <w:rFonts w:eastAsia="Times New Roman"/>
                <w:sz w:val="20"/>
                <w:szCs w:val="20"/>
              </w:rPr>
            </w:pPr>
          </w:p>
        </w:tc>
        <w:tc>
          <w:tcPr>
            <w:tcW w:w="42" w:type="pct"/>
            <w:vAlign w:val="center"/>
            <w:hideMark/>
          </w:tcPr>
          <w:p w:rsidR="00000000" w:rsidRDefault="002D33E3">
            <w:pPr>
              <w:rPr>
                <w:rFonts w:eastAsia="Times New Roman"/>
                <w:sz w:val="20"/>
                <w:szCs w:val="20"/>
              </w:rPr>
            </w:pPr>
          </w:p>
        </w:tc>
        <w:tc>
          <w:tcPr>
            <w:tcW w:w="84"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891" w:type="pct"/>
            <w:vAlign w:val="center"/>
            <w:hideMark/>
          </w:tcPr>
          <w:p w:rsidR="00000000" w:rsidRDefault="002D33E3">
            <w:pPr>
              <w:rPr>
                <w:rFonts w:eastAsia="Times New Roman"/>
                <w:sz w:val="20"/>
                <w:szCs w:val="20"/>
              </w:rPr>
            </w:pPr>
          </w:p>
        </w:tc>
        <w:tc>
          <w:tcPr>
            <w:tcW w:w="42" w:type="pct"/>
            <w:vAlign w:val="center"/>
            <w:hideMark/>
          </w:tcPr>
          <w:p w:rsidR="00000000" w:rsidRDefault="002D33E3">
            <w:pPr>
              <w:rPr>
                <w:rFonts w:eastAsia="Times New Roman"/>
                <w:sz w:val="20"/>
                <w:szCs w:val="20"/>
              </w:rPr>
            </w:pPr>
          </w:p>
        </w:tc>
      </w:tr>
      <w:tr w:rsidR="00000000">
        <w:trPr>
          <w:divId w:val="422800870"/>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422800870"/>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4228008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Accounts payabl</w:t>
            </w:r>
            <w:r>
              <w:rPr>
                <w:sz w:val="18"/>
                <w:szCs w:val="18"/>
              </w:rPr>
              <w:t>e</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17,62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24,16</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4228008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Accrued expense</w:t>
            </w:r>
            <w:r>
              <w:rPr>
                <w:sz w:val="18"/>
                <w:szCs w:val="18"/>
              </w:rPr>
              <w:t>s</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14,93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14,90</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4228008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Other business acquisitions purchase </w:t>
            </w:r>
            <w:r>
              <w:rPr>
                <w:sz w:val="18"/>
                <w:szCs w:val="18"/>
              </w:rPr>
              <w:br/>
              <w:t>   price obligation</w:t>
            </w:r>
            <w:r>
              <w:rPr>
                <w:sz w:val="18"/>
                <w:szCs w:val="18"/>
              </w:rPr>
              <w:t>s</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50</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4228008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Contract liabilitie</w:t>
            </w:r>
            <w:r>
              <w:rPr>
                <w:sz w:val="18"/>
                <w:szCs w:val="18"/>
              </w:rPr>
              <w:t>s</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24,76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27,90</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4228008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Other current liabilitie</w:t>
            </w:r>
            <w:r>
              <w:rPr>
                <w:sz w:val="18"/>
                <w:szCs w:val="18"/>
              </w:rPr>
              <w:t>s</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1,45</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4228008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Total accounts payable and </w:t>
            </w:r>
            <w:r>
              <w:rPr>
                <w:sz w:val="18"/>
                <w:szCs w:val="18"/>
              </w:rPr>
              <w:br/>
              <w:t>   other accrued liabilitie</w:t>
            </w:r>
            <w:r>
              <w:rPr>
                <w:sz w:val="18"/>
                <w:szCs w:val="18"/>
              </w:rPr>
              <w:t>s</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58,99</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68,93</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rPr>
          <w:sz w:val="20"/>
          <w:szCs w:val="20"/>
        </w:rPr>
      </w:pPr>
      <w:r>
        <w:t> </w:t>
      </w:r>
    </w:p>
    <w:p w:rsidR="00000000" w:rsidRDefault="002D33E3">
      <w:pPr>
        <w:pStyle w:val="a3"/>
        <w:spacing w:before="360" w:beforeAutospacing="0" w:after="0" w:afterAutospacing="0"/>
        <w:divId w:val="667707975"/>
        <w:rPr>
          <w:sz w:val="20"/>
          <w:szCs w:val="20"/>
        </w:rPr>
      </w:pPr>
      <w:r>
        <w:rPr>
          <w:b/>
          <w:bCs/>
          <w:sz w:val="20"/>
          <w:szCs w:val="20"/>
        </w:rPr>
        <w:t>10. ACCRUED PAYROLL AND BENEFIT</w:t>
      </w:r>
      <w:r>
        <w:rPr>
          <w:b/>
          <w:bCs/>
          <w:sz w:val="20"/>
          <w:szCs w:val="20"/>
        </w:rPr>
        <w:t>S</w:t>
      </w:r>
    </w:p>
    <w:p w:rsidR="00000000" w:rsidRDefault="002D33E3">
      <w:pPr>
        <w:pStyle w:val="a3"/>
        <w:spacing w:before="240" w:beforeAutospacing="0" w:after="0" w:afterAutospacing="0"/>
        <w:ind w:firstLine="555"/>
        <w:divId w:val="984361134"/>
        <w:rPr>
          <w:sz w:val="20"/>
          <w:szCs w:val="20"/>
        </w:rPr>
      </w:pPr>
      <w:r>
        <w:rPr>
          <w:sz w:val="20"/>
          <w:szCs w:val="20"/>
        </w:rPr>
        <w:t>Accrued payroll and benefits consisted of the following</w:t>
      </w:r>
      <w:r>
        <w:rPr>
          <w:sz w:val="20"/>
          <w:szCs w:val="20"/>
        </w:rPr>
        <w:t>:</w:t>
      </w:r>
    </w:p>
    <w:p w:rsidR="00000000" w:rsidRDefault="002D33E3">
      <w:pPr>
        <w:pStyle w:val="a3"/>
        <w:spacing w:before="0" w:beforeAutospacing="0" w:after="0" w:afterAutospacing="0"/>
        <w:ind w:firstLine="555"/>
        <w:divId w:val="98436113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073"/>
        <w:gridCol w:w="109"/>
        <w:gridCol w:w="150"/>
        <w:gridCol w:w="971"/>
        <w:gridCol w:w="105"/>
        <w:gridCol w:w="109"/>
        <w:gridCol w:w="151"/>
        <w:gridCol w:w="1026"/>
        <w:gridCol w:w="120"/>
      </w:tblGrid>
      <w:tr w:rsidR="00000000">
        <w:trPr>
          <w:divId w:val="984361134"/>
          <w:tblCellSpacing w:w="15" w:type="dxa"/>
        </w:trPr>
        <w:tc>
          <w:tcPr>
            <w:tcW w:w="2763" w:type="pct"/>
            <w:vAlign w:val="center"/>
            <w:hideMark/>
          </w:tcPr>
          <w:p w:rsidR="00000000" w:rsidRDefault="002D33E3">
            <w:pPr>
              <w:rPr>
                <w:sz w:val="20"/>
                <w:szCs w:val="20"/>
              </w:rPr>
            </w:pPr>
          </w:p>
        </w:tc>
        <w:tc>
          <w:tcPr>
            <w:tcW w:w="92"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872"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c>
          <w:tcPr>
            <w:tcW w:w="92"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922"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r>
      <w:tr w:rsidR="00000000">
        <w:trPr>
          <w:divId w:val="98436113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98436113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98436113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Accrued bonuse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3,51</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13,43</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8436113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Accrued paid time of</w:t>
            </w:r>
            <w:r>
              <w:rPr>
                <w:sz w:val="18"/>
                <w:szCs w:val="18"/>
              </w:rPr>
              <w:t>f</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8436113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Accrued payrol</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7,98</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6,54</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8436113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Accrued othe</w:t>
            </w:r>
            <w:r>
              <w:rPr>
                <w:sz w:val="18"/>
                <w:szCs w:val="18"/>
              </w:rPr>
              <w:t>r</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5,66</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4,84</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98436113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Total accrued payroll and benefit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18,67</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25,97</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ind w:firstLine="555"/>
        <w:rPr>
          <w:sz w:val="20"/>
          <w:szCs w:val="20"/>
        </w:rPr>
      </w:pPr>
      <w:r>
        <w:t> </w:t>
      </w:r>
    </w:p>
    <w:p w:rsidR="00000000" w:rsidRDefault="002D33E3">
      <w:pPr>
        <w:pStyle w:val="a3"/>
        <w:spacing w:before="360" w:beforeAutospacing="0" w:after="0" w:afterAutospacing="0"/>
        <w:divId w:val="1511529686"/>
        <w:rPr>
          <w:sz w:val="20"/>
          <w:szCs w:val="20"/>
        </w:rPr>
      </w:pPr>
      <w:r>
        <w:rPr>
          <w:b/>
          <w:bCs/>
          <w:sz w:val="20"/>
          <w:szCs w:val="20"/>
        </w:rPr>
        <w:t>11. INCOME TAXE</w:t>
      </w:r>
      <w:r>
        <w:rPr>
          <w:b/>
          <w:bCs/>
          <w:sz w:val="20"/>
          <w:szCs w:val="20"/>
        </w:rPr>
        <w:t>S</w:t>
      </w:r>
    </w:p>
    <w:p w:rsidR="00000000" w:rsidRDefault="002D33E3">
      <w:pPr>
        <w:pStyle w:val="a3"/>
        <w:spacing w:before="240" w:beforeAutospacing="0" w:after="0" w:afterAutospacing="0"/>
        <w:ind w:firstLine="555"/>
        <w:divId w:val="1511529686"/>
        <w:rPr>
          <w:sz w:val="20"/>
          <w:szCs w:val="20"/>
        </w:rPr>
      </w:pPr>
      <w:r>
        <w:rPr>
          <w:sz w:val="20"/>
          <w:szCs w:val="20"/>
        </w:rPr>
        <w:t xml:space="preserve">The Company calculates its interim income tax provision in accordance with ASC Topic 270, Interim Reporting (“ASC 270”), and ASC 740. The Company’s effective tax rate (“ETR”) from continuing operations was </w:t>
      </w:r>
      <w:r>
        <w:rPr>
          <w:sz w:val="20"/>
          <w:szCs w:val="20"/>
        </w:rPr>
        <w:t>(</w:t>
      </w:r>
      <w:r>
        <w:rPr>
          <w:sz w:val="20"/>
          <w:szCs w:val="20"/>
        </w:rPr>
        <w:t>20.</w:t>
      </w:r>
      <w:r>
        <w:rPr>
          <w:sz w:val="20"/>
          <w:szCs w:val="20"/>
        </w:rPr>
        <w:t>2</w:t>
      </w:r>
      <w:r>
        <w:rPr>
          <w:sz w:val="20"/>
          <w:szCs w:val="20"/>
        </w:rPr>
        <w:t>)% for the</w:t>
      </w:r>
      <w:r>
        <w:rPr>
          <w:sz w:val="20"/>
          <w:szCs w:val="20"/>
        </w:rPr>
        <w:t xml:space="preserve"> </w:t>
      </w:r>
      <w:r>
        <w:rPr>
          <w:sz w:val="20"/>
          <w:szCs w:val="20"/>
        </w:rPr>
        <w:t>three months ended March 31, 202</w:t>
      </w:r>
      <w:r>
        <w:rPr>
          <w:sz w:val="20"/>
          <w:szCs w:val="20"/>
        </w:rPr>
        <w:t>2</w:t>
      </w:r>
      <w:r>
        <w:rPr>
          <w:sz w:val="20"/>
          <w:szCs w:val="20"/>
        </w:rPr>
        <w:t>,</w:t>
      </w:r>
      <w:r>
        <w:rPr>
          <w:sz w:val="20"/>
          <w:szCs w:val="20"/>
        </w:rPr>
        <w:t xml:space="preserve"> and </w:t>
      </w:r>
      <w:r>
        <w:rPr>
          <w:sz w:val="20"/>
          <w:szCs w:val="20"/>
        </w:rPr>
        <w:t>(</w:t>
      </w:r>
      <w:r>
        <w:rPr>
          <w:sz w:val="20"/>
          <w:szCs w:val="20"/>
        </w:rPr>
        <w:t>0.1</w:t>
      </w:r>
      <w:r>
        <w:rPr>
          <w:sz w:val="20"/>
          <w:szCs w:val="20"/>
        </w:rPr>
        <w:t>2</w:t>
      </w:r>
      <w:r>
        <w:rPr>
          <w:sz w:val="20"/>
          <w:szCs w:val="20"/>
        </w:rPr>
        <w:t>)% for the</w:t>
      </w:r>
      <w:r>
        <w:rPr>
          <w:sz w:val="20"/>
          <w:szCs w:val="20"/>
        </w:rPr>
        <w:t xml:space="preserve"> </w:t>
      </w:r>
      <w:r>
        <w:rPr>
          <w:sz w:val="20"/>
          <w:szCs w:val="20"/>
        </w:rPr>
        <w:t>three months ended March 31, 2021. Income tax expense recorded by the Company during the three months ended March 31, 202</w:t>
      </w:r>
      <w:r>
        <w:rPr>
          <w:sz w:val="20"/>
          <w:szCs w:val="20"/>
        </w:rPr>
        <w:t>2</w:t>
      </w:r>
      <w:r>
        <w:rPr>
          <w:sz w:val="20"/>
          <w:szCs w:val="20"/>
        </w:rPr>
        <w:t xml:space="preserve"> was </w:t>
      </w:r>
      <w:r>
        <w:rPr>
          <w:sz w:val="20"/>
          <w:szCs w:val="20"/>
        </w:rPr>
        <w:t>$</w:t>
      </w:r>
      <w:r>
        <w:rPr>
          <w:sz w:val="20"/>
          <w:szCs w:val="20"/>
        </w:rPr>
        <w:t>1.</w:t>
      </w:r>
      <w:r>
        <w:rPr>
          <w:sz w:val="20"/>
          <w:szCs w:val="20"/>
        </w:rPr>
        <w:t>3</w:t>
      </w:r>
      <w:r>
        <w:rPr>
          <w:sz w:val="20"/>
          <w:szCs w:val="20"/>
        </w:rPr>
        <w:t xml:space="preserve"> million. The income tax expense recorded by the Company during the three months ended March 31, 2021 wa</w:t>
      </w:r>
      <w:r>
        <w:rPr>
          <w:sz w:val="20"/>
          <w:szCs w:val="20"/>
        </w:rPr>
        <w:t>s not material. The difference between the ETR and federal statutory rate of</w:t>
      </w:r>
      <w:r>
        <w:rPr>
          <w:sz w:val="20"/>
          <w:szCs w:val="20"/>
        </w:rPr>
        <w:t xml:space="preserve"> </w:t>
      </w:r>
      <w:r>
        <w:rPr>
          <w:sz w:val="20"/>
          <w:szCs w:val="20"/>
        </w:rPr>
        <w:t>21.</w:t>
      </w:r>
      <w:r>
        <w:rPr>
          <w:sz w:val="20"/>
          <w:szCs w:val="20"/>
        </w:rPr>
        <w:t>0</w:t>
      </w:r>
      <w:r>
        <w:rPr>
          <w:sz w:val="20"/>
          <w:szCs w:val="20"/>
        </w:rPr>
        <w:t xml:space="preserve">% is primarily attributable to items recorded for U.S. GAAP but permanently disallowed for U.S. federal income tax purposes, recognition of a U.S. federal and state valuation </w:t>
      </w:r>
      <w:r>
        <w:rPr>
          <w:sz w:val="20"/>
          <w:szCs w:val="20"/>
        </w:rPr>
        <w:t>allowance and state and foreign income tax provisions</w:t>
      </w:r>
      <w:r>
        <w:rPr>
          <w:sz w:val="20"/>
          <w:szCs w:val="20"/>
        </w:rPr>
        <w:t>.</w:t>
      </w:r>
    </w:p>
    <w:p w:rsidR="00000000" w:rsidRDefault="002D33E3">
      <w:pPr>
        <w:pStyle w:val="a3"/>
        <w:spacing w:before="240" w:beforeAutospacing="0" w:after="0" w:afterAutospacing="0"/>
        <w:ind w:firstLine="555"/>
        <w:divId w:val="1511529686"/>
        <w:rPr>
          <w:sz w:val="20"/>
          <w:szCs w:val="20"/>
        </w:rPr>
      </w:pPr>
      <w:r>
        <w:rPr>
          <w:sz w:val="20"/>
          <w:szCs w:val="20"/>
        </w:rPr>
        <w:t>A valuation allowance is recorded when it is more-likely-than-not some of the Company’</w:t>
      </w:r>
      <w:r>
        <w:rPr>
          <w:sz w:val="20"/>
          <w:szCs w:val="20"/>
        </w:rPr>
        <w:t xml:space="preserve">s deferred tax assets may not be realized. Significant judgment is applied when assessing the need for a valuation allowance and the Company considers future taxable income, reversals of existing deferred tax assets and liabilities and ongoing prudent and </w:t>
      </w:r>
      <w:r>
        <w:rPr>
          <w:sz w:val="20"/>
          <w:szCs w:val="20"/>
        </w:rPr>
        <w:t>feasible tax planning strategies, in making such assessment. As of March 31, 2022, the Company’s U.S. federal, state and various foreign net deferred tax assets are not more-likely-than-not to be realized and a full valuation allowance is maintained</w:t>
      </w:r>
      <w:r>
        <w:rPr>
          <w:sz w:val="20"/>
          <w:szCs w:val="20"/>
        </w:rPr>
        <w:t>.</w:t>
      </w:r>
    </w:p>
    <w:p w:rsidR="00000000" w:rsidRDefault="002D33E3">
      <w:pPr>
        <w:pStyle w:val="a3"/>
        <w:spacing w:before="240" w:beforeAutospacing="0" w:after="0" w:afterAutospacing="0"/>
        <w:ind w:firstLine="555"/>
        <w:divId w:val="1511529686"/>
        <w:rPr>
          <w:sz w:val="20"/>
          <w:szCs w:val="20"/>
        </w:rPr>
      </w:pPr>
      <w:r>
        <w:rPr>
          <w:sz w:val="20"/>
          <w:szCs w:val="20"/>
        </w:rPr>
        <w:t>The C</w:t>
      </w:r>
      <w:r>
        <w:rPr>
          <w:sz w:val="20"/>
          <w:szCs w:val="20"/>
        </w:rPr>
        <w:t>ompany records uncertain tax positions in accordance with ASC 740, on the basis of a two-step process in which (i) the Company determines whether it is more likely than not a tax position will be sustained on the basis of the technical merits of such posit</w:t>
      </w:r>
      <w:r>
        <w:rPr>
          <w:sz w:val="20"/>
          <w:szCs w:val="20"/>
        </w:rPr>
        <w:t>ion and (ii) for those tax positions meeting the more-likely-than-not recognition threshold, the Company would recognize the largest amount of tax benefit that is more than 50.0% likely to be realized upon ultimate settlement with the related tax authority</w:t>
      </w:r>
      <w:r>
        <w:rPr>
          <w:sz w:val="20"/>
          <w:szCs w:val="20"/>
        </w:rPr>
        <w:t>. The Company has determined it has</w:t>
      </w:r>
      <w:r>
        <w:rPr>
          <w:sz w:val="20"/>
          <w:szCs w:val="20"/>
        </w:rPr>
        <w:t xml:space="preserve"> </w:t>
      </w:r>
      <w:r>
        <w:rPr>
          <w:sz w:val="20"/>
          <w:szCs w:val="20"/>
        </w:rPr>
        <w:t>n</w:t>
      </w:r>
      <w:r>
        <w:rPr>
          <w:sz w:val="20"/>
          <w:szCs w:val="20"/>
        </w:rPr>
        <w:t>o</w:t>
      </w:r>
      <w:r>
        <w:rPr>
          <w:sz w:val="20"/>
          <w:szCs w:val="20"/>
        </w:rPr>
        <w:t xml:space="preserve"> uncertain tax positions as of</w:t>
      </w:r>
      <w:r>
        <w:rPr>
          <w:sz w:val="20"/>
          <w:szCs w:val="20"/>
        </w:rPr>
        <w:t xml:space="preserve"> </w:t>
      </w:r>
      <w:r>
        <w:rPr>
          <w:sz w:val="20"/>
          <w:szCs w:val="20"/>
        </w:rPr>
        <w:t>March 31, 202</w:t>
      </w:r>
      <w:r>
        <w:rPr>
          <w:sz w:val="20"/>
          <w:szCs w:val="20"/>
        </w:rPr>
        <w:t>2</w:t>
      </w:r>
      <w:r>
        <w:rPr>
          <w:sz w:val="20"/>
          <w:szCs w:val="20"/>
        </w:rPr>
        <w:t>. The Company classifies interest and penalties recognized on uncertain tax positions as a component of income tax expense</w:t>
      </w:r>
      <w:r>
        <w:rPr>
          <w:sz w:val="20"/>
          <w:szCs w:val="20"/>
        </w:rPr>
        <w:t>.</w:t>
      </w:r>
    </w:p>
    <w:p w:rsidR="00000000" w:rsidRDefault="002D33E3">
      <w:pPr>
        <w:pStyle w:val="a3"/>
        <w:spacing w:before="240" w:beforeAutospacing="0" w:after="0" w:afterAutospacing="0"/>
        <w:jc w:val="center"/>
        <w:rPr>
          <w:sz w:val="20"/>
          <w:szCs w:val="20"/>
        </w:rPr>
      </w:pPr>
      <w:r>
        <w:rPr>
          <w:sz w:val="20"/>
          <w:szCs w:val="20"/>
        </w:rPr>
        <w:t>1</w:t>
      </w:r>
      <w:r>
        <w:rPr>
          <w:sz w:val="20"/>
          <w:szCs w:val="20"/>
        </w:rPr>
        <w:t>5</w:t>
      </w:r>
    </w:p>
    <w:p w:rsidR="00000000" w:rsidRDefault="002D33E3">
      <w:pPr>
        <w:rPr>
          <w:rFonts w:eastAsia="Times New Roman"/>
        </w:rPr>
      </w:pPr>
      <w:r>
        <w:rPr>
          <w:rFonts w:eastAsia="Times New Roman"/>
        </w:rPr>
        <w:pict>
          <v:rect id="_x0000_i1041"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divId w:val="541405204"/>
        <w:rPr>
          <w:sz w:val="20"/>
          <w:szCs w:val="20"/>
        </w:rPr>
      </w:pPr>
      <w:r>
        <w:rPr>
          <w:b/>
          <w:bCs/>
          <w:sz w:val="20"/>
          <w:szCs w:val="20"/>
        </w:rPr>
        <w:t>12. DEB</w:t>
      </w:r>
      <w:r>
        <w:rPr>
          <w:b/>
          <w:bCs/>
          <w:sz w:val="20"/>
          <w:szCs w:val="20"/>
        </w:rPr>
        <w:t>T</w:t>
      </w:r>
    </w:p>
    <w:p w:rsidR="00000000" w:rsidRDefault="002D33E3">
      <w:pPr>
        <w:pStyle w:val="a3"/>
        <w:spacing w:before="240" w:beforeAutospacing="0" w:after="0" w:afterAutospacing="0"/>
        <w:ind w:firstLine="555"/>
        <w:divId w:val="2041738016"/>
        <w:rPr>
          <w:sz w:val="20"/>
          <w:szCs w:val="20"/>
        </w:rPr>
      </w:pPr>
      <w:r>
        <w:rPr>
          <w:sz w:val="20"/>
          <w:szCs w:val="20"/>
        </w:rPr>
        <w:t>Debt consisted of the following</w:t>
      </w:r>
      <w:r>
        <w:rPr>
          <w:sz w:val="20"/>
          <w:szCs w:val="20"/>
        </w:rPr>
        <w:t>:</w:t>
      </w:r>
    </w:p>
    <w:p w:rsidR="00000000" w:rsidRDefault="002D33E3">
      <w:pPr>
        <w:pStyle w:val="a3"/>
        <w:spacing w:before="0" w:beforeAutospacing="0" w:after="0" w:afterAutospacing="0"/>
        <w:divId w:val="2041738016"/>
        <w:rPr>
          <w:sz w:val="20"/>
          <w:szCs w:val="20"/>
        </w:rPr>
      </w:pPr>
      <w: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24"/>
        <w:gridCol w:w="142"/>
        <w:gridCol w:w="150"/>
        <w:gridCol w:w="1259"/>
        <w:gridCol w:w="120"/>
        <w:gridCol w:w="143"/>
        <w:gridCol w:w="151"/>
        <w:gridCol w:w="1290"/>
        <w:gridCol w:w="135"/>
      </w:tblGrid>
      <w:tr w:rsidR="00000000">
        <w:trPr>
          <w:divId w:val="2041738016"/>
          <w:tblCellSpacing w:w="15" w:type="dxa"/>
        </w:trPr>
        <w:tc>
          <w:tcPr>
            <w:tcW w:w="2173" w:type="pct"/>
            <w:vAlign w:val="center"/>
            <w:hideMark/>
          </w:tcPr>
          <w:p w:rsidR="00000000" w:rsidRDefault="002D33E3">
            <w:pPr>
              <w:rPr>
                <w:sz w:val="20"/>
                <w:szCs w:val="20"/>
              </w:rPr>
            </w:pPr>
          </w:p>
        </w:tc>
        <w:tc>
          <w:tcPr>
            <w:tcW w:w="118"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1131" w:type="pct"/>
            <w:vAlign w:val="center"/>
            <w:hideMark/>
          </w:tcPr>
          <w:p w:rsidR="00000000" w:rsidRDefault="002D33E3">
            <w:pPr>
              <w:rPr>
                <w:rFonts w:eastAsia="Times New Roman"/>
                <w:sz w:val="20"/>
                <w:szCs w:val="20"/>
              </w:rPr>
            </w:pPr>
          </w:p>
        </w:tc>
        <w:tc>
          <w:tcPr>
            <w:tcW w:w="60" w:type="pct"/>
            <w:vAlign w:val="center"/>
            <w:hideMark/>
          </w:tcPr>
          <w:p w:rsidR="00000000" w:rsidRDefault="002D33E3">
            <w:pPr>
              <w:rPr>
                <w:rFonts w:eastAsia="Times New Roman"/>
                <w:sz w:val="20"/>
                <w:szCs w:val="20"/>
              </w:rPr>
            </w:pPr>
          </w:p>
        </w:tc>
        <w:tc>
          <w:tcPr>
            <w:tcW w:w="118"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1158" w:type="pct"/>
            <w:vAlign w:val="center"/>
            <w:hideMark/>
          </w:tcPr>
          <w:p w:rsidR="00000000" w:rsidRDefault="002D33E3">
            <w:pPr>
              <w:rPr>
                <w:rFonts w:eastAsia="Times New Roman"/>
                <w:sz w:val="20"/>
                <w:szCs w:val="20"/>
              </w:rPr>
            </w:pPr>
          </w:p>
        </w:tc>
        <w:tc>
          <w:tcPr>
            <w:tcW w:w="60" w:type="pct"/>
            <w:vAlign w:val="center"/>
            <w:hideMark/>
          </w:tcPr>
          <w:p w:rsidR="00000000" w:rsidRDefault="002D33E3">
            <w:pPr>
              <w:rPr>
                <w:rFonts w:eastAsia="Times New Roman"/>
                <w:sz w:val="20"/>
                <w:szCs w:val="20"/>
              </w:rPr>
            </w:pPr>
          </w:p>
        </w:tc>
      </w:tr>
      <w:tr w:rsidR="00000000">
        <w:trPr>
          <w:divId w:val="204173801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204173801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204173801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Term loan facilit</w:t>
            </w:r>
            <w:r>
              <w:rPr>
                <w:sz w:val="18"/>
                <w:szCs w:val="18"/>
              </w:rPr>
              <w:t>y</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170,62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175,00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04173801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Revolving Line of Credi</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04173801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Less deferred debt issuance cost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2,11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2,24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041738016"/>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Total deb</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168,51</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172,75</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04173801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Less current portion of long-term deb</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8,75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10,93</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04173801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Long-term debt, less current portio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159,76</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161,81</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541405204"/>
        <w:rPr>
          <w:sz w:val="20"/>
          <w:szCs w:val="20"/>
        </w:rPr>
      </w:pPr>
      <w:r>
        <w:rPr>
          <w:b/>
          <w:bCs/>
          <w:sz w:val="20"/>
          <w:szCs w:val="20"/>
        </w:rPr>
        <w:t>Deferred Financing Cost</w:t>
      </w:r>
      <w:r>
        <w:rPr>
          <w:b/>
          <w:bCs/>
          <w:sz w:val="20"/>
          <w:szCs w:val="20"/>
        </w:rPr>
        <w:t>s</w:t>
      </w:r>
      <w:r>
        <w:rPr>
          <w:sz w:val="20"/>
          <w:szCs w:val="20"/>
        </w:rPr>
        <w:t>—Costs relating to debt issuance have been deferred and are presented as discounted against the underlying debt instrument. These costs are amortized to interest expense over the terms of the underlying debt instruments</w:t>
      </w:r>
      <w:r>
        <w:rPr>
          <w:sz w:val="20"/>
          <w:szCs w:val="20"/>
        </w:rPr>
        <w:t>.</w:t>
      </w:r>
    </w:p>
    <w:p w:rsidR="00000000" w:rsidRDefault="002D33E3">
      <w:pPr>
        <w:pStyle w:val="a3"/>
        <w:spacing w:before="240" w:beforeAutospacing="0" w:after="0" w:afterAutospacing="0"/>
        <w:ind w:firstLine="555"/>
        <w:divId w:val="541405204"/>
        <w:rPr>
          <w:sz w:val="20"/>
          <w:szCs w:val="20"/>
        </w:rPr>
      </w:pPr>
      <w:r>
        <w:rPr>
          <w:b/>
          <w:bCs/>
          <w:sz w:val="20"/>
          <w:szCs w:val="20"/>
        </w:rPr>
        <w:t>2021 Credit Facilit</w:t>
      </w:r>
      <w:r>
        <w:rPr>
          <w:b/>
          <w:bCs/>
          <w:sz w:val="20"/>
          <w:szCs w:val="20"/>
        </w:rPr>
        <w:t>y</w:t>
      </w:r>
      <w:r>
        <w:rPr>
          <w:sz w:val="20"/>
          <w:szCs w:val="20"/>
        </w:rPr>
        <w:t>—</w:t>
      </w:r>
      <w:r>
        <w:rPr>
          <w:sz w:val="20"/>
          <w:szCs w:val="20"/>
        </w:rPr>
        <w:t>On April 27, 202</w:t>
      </w:r>
      <w:r>
        <w:rPr>
          <w:sz w:val="20"/>
          <w:szCs w:val="20"/>
        </w:rPr>
        <w:t>1</w:t>
      </w:r>
      <w:r>
        <w:rPr>
          <w:sz w:val="20"/>
          <w:szCs w:val="20"/>
        </w:rPr>
        <w:t xml:space="preserve">, the Company entered into a Senior Secured Credit Agreement providing for a </w:t>
      </w:r>
      <w:r>
        <w:rPr>
          <w:sz w:val="20"/>
          <w:szCs w:val="20"/>
        </w:rPr>
        <w:t>$</w:t>
      </w:r>
      <w:r>
        <w:rPr>
          <w:sz w:val="20"/>
          <w:szCs w:val="20"/>
        </w:rPr>
        <w:t>300.</w:t>
      </w:r>
      <w:r>
        <w:rPr>
          <w:sz w:val="20"/>
          <w:szCs w:val="20"/>
        </w:rPr>
        <w:t>0</w:t>
      </w:r>
      <w:r>
        <w:rPr>
          <w:sz w:val="20"/>
          <w:szCs w:val="20"/>
        </w:rPr>
        <w:t xml:space="preserve"> million credit facility comprised of a </w:t>
      </w:r>
      <w:r>
        <w:rPr>
          <w:sz w:val="20"/>
          <w:szCs w:val="20"/>
        </w:rPr>
        <w:t>$</w:t>
      </w:r>
      <w:r>
        <w:rPr>
          <w:sz w:val="20"/>
          <w:szCs w:val="20"/>
        </w:rPr>
        <w:t>175.</w:t>
      </w:r>
      <w:r>
        <w:rPr>
          <w:sz w:val="20"/>
          <w:szCs w:val="20"/>
        </w:rPr>
        <w:t>0</w:t>
      </w:r>
      <w:r>
        <w:rPr>
          <w:sz w:val="20"/>
          <w:szCs w:val="20"/>
        </w:rPr>
        <w:t xml:space="preserve"> million term loan and a </w:t>
      </w:r>
      <w:r>
        <w:rPr>
          <w:sz w:val="20"/>
          <w:szCs w:val="20"/>
        </w:rPr>
        <w:t>$</w:t>
      </w:r>
      <w:r>
        <w:rPr>
          <w:sz w:val="20"/>
          <w:szCs w:val="20"/>
        </w:rPr>
        <w:t>125.</w:t>
      </w:r>
      <w:r>
        <w:rPr>
          <w:sz w:val="20"/>
          <w:szCs w:val="20"/>
        </w:rPr>
        <w:t>0</w:t>
      </w:r>
      <w:r>
        <w:rPr>
          <w:sz w:val="20"/>
          <w:szCs w:val="20"/>
        </w:rPr>
        <w:t xml:space="preserve"> million revolving line of credit (the “2021 Credit Facili</w:t>
      </w:r>
      <w:r>
        <w:rPr>
          <w:sz w:val="20"/>
          <w:szCs w:val="20"/>
        </w:rPr>
        <w:t xml:space="preserve">ty”), and used a portion of the proceeds from the 2021 Credit Facility to repay all amounts outstanding under the 2020 Credit Facility (as defined below). The 2021 revolving credit facility includes a </w:t>
      </w:r>
      <w:r>
        <w:rPr>
          <w:sz w:val="20"/>
          <w:szCs w:val="20"/>
        </w:rPr>
        <w:t>$</w:t>
      </w:r>
      <w:r>
        <w:rPr>
          <w:sz w:val="20"/>
          <w:szCs w:val="20"/>
        </w:rPr>
        <w:t>20.</w:t>
      </w:r>
      <w:r>
        <w:rPr>
          <w:sz w:val="20"/>
          <w:szCs w:val="20"/>
        </w:rPr>
        <w:t>0</w:t>
      </w:r>
      <w:r>
        <w:rPr>
          <w:sz w:val="20"/>
          <w:szCs w:val="20"/>
        </w:rPr>
        <w:t xml:space="preserve"> million sublimit for the issuance of letters of c</w:t>
      </w:r>
      <w:r>
        <w:rPr>
          <w:sz w:val="20"/>
          <w:szCs w:val="20"/>
        </w:rPr>
        <w:t>redit. Subject to certain exceptions, all amounts under the 2021 Credit Facility will become due on</w:t>
      </w:r>
      <w:r>
        <w:rPr>
          <w:sz w:val="20"/>
          <w:szCs w:val="20"/>
        </w:rPr>
        <w:t xml:space="preserve"> </w:t>
      </w:r>
      <w:r>
        <w:rPr>
          <w:sz w:val="20"/>
          <w:szCs w:val="20"/>
        </w:rPr>
        <w:t>April 27, 202</w:t>
      </w:r>
      <w:r>
        <w:rPr>
          <w:sz w:val="20"/>
          <w:szCs w:val="20"/>
        </w:rPr>
        <w:t>6</w:t>
      </w:r>
      <w:r>
        <w:rPr>
          <w:sz w:val="20"/>
          <w:szCs w:val="20"/>
        </w:rPr>
        <w:t>. The Company has the option to borrow incremental term loans or request an increase in the aggregate commitments under the revolving credit f</w:t>
      </w:r>
      <w:r>
        <w:rPr>
          <w:sz w:val="20"/>
          <w:szCs w:val="20"/>
        </w:rPr>
        <w:t xml:space="preserve">acility up to an aggregate amount of </w:t>
      </w:r>
      <w:r>
        <w:rPr>
          <w:sz w:val="20"/>
          <w:szCs w:val="20"/>
        </w:rPr>
        <w:t>$</w:t>
      </w:r>
      <w:r>
        <w:rPr>
          <w:sz w:val="20"/>
          <w:szCs w:val="20"/>
        </w:rPr>
        <w:t>150.</w:t>
      </w:r>
      <w:r>
        <w:rPr>
          <w:sz w:val="20"/>
          <w:szCs w:val="20"/>
        </w:rPr>
        <w:t>0</w:t>
      </w:r>
      <w:r>
        <w:rPr>
          <w:sz w:val="20"/>
          <w:szCs w:val="20"/>
        </w:rPr>
        <w:t xml:space="preserve"> million subject to the satisfaction of certain conditions</w:t>
      </w:r>
      <w:r>
        <w:rPr>
          <w:sz w:val="20"/>
          <w:szCs w:val="20"/>
        </w:rPr>
        <w:t>.</w:t>
      </w:r>
      <w:r>
        <w:rPr>
          <w:sz w:val="20"/>
          <w:szCs w:val="20"/>
        </w:rPr>
        <w:t xml:space="preserve"> </w:t>
      </w:r>
    </w:p>
    <w:p w:rsidR="00000000" w:rsidRDefault="002D33E3">
      <w:pPr>
        <w:pStyle w:val="a3"/>
        <w:spacing w:before="240" w:beforeAutospacing="0" w:after="0" w:afterAutospacing="0"/>
        <w:ind w:firstLine="555"/>
        <w:divId w:val="1300500180"/>
        <w:rPr>
          <w:sz w:val="20"/>
          <w:szCs w:val="20"/>
        </w:rPr>
      </w:pPr>
      <w:r>
        <w:rPr>
          <w:sz w:val="20"/>
          <w:szCs w:val="20"/>
        </w:rPr>
        <w:t xml:space="preserve">The 2021 Credit Facility term loan must be repaid in quarterly installments and shall amortize at the following annualized rates that were scheduled to </w:t>
      </w:r>
      <w:r>
        <w:rPr>
          <w:sz w:val="20"/>
          <w:szCs w:val="20"/>
        </w:rPr>
        <w:t>begin with the quarter ended December 31, 2021 and with the remaining balance due and payable in full on April 27, 2026</w:t>
      </w:r>
      <w:r>
        <w:rPr>
          <w:sz w:val="20"/>
          <w:szCs w:val="20"/>
        </w:rPr>
        <w:t>:</w:t>
      </w:r>
    </w:p>
    <w:p w:rsidR="00000000" w:rsidRDefault="002D33E3">
      <w:pPr>
        <w:pStyle w:val="a3"/>
        <w:spacing w:before="0" w:beforeAutospacing="0" w:after="0" w:afterAutospacing="0"/>
        <w:divId w:val="130050018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038"/>
        <w:gridCol w:w="106"/>
        <w:gridCol w:w="814"/>
        <w:gridCol w:w="105"/>
        <w:gridCol w:w="257"/>
        <w:gridCol w:w="106"/>
        <w:gridCol w:w="815"/>
        <w:gridCol w:w="105"/>
        <w:gridCol w:w="258"/>
        <w:gridCol w:w="106"/>
        <w:gridCol w:w="815"/>
        <w:gridCol w:w="105"/>
        <w:gridCol w:w="258"/>
        <w:gridCol w:w="106"/>
        <w:gridCol w:w="815"/>
        <w:gridCol w:w="105"/>
        <w:gridCol w:w="258"/>
        <w:gridCol w:w="105"/>
        <w:gridCol w:w="815"/>
        <w:gridCol w:w="105"/>
        <w:gridCol w:w="278"/>
      </w:tblGrid>
      <w:tr w:rsidR="00000000">
        <w:trPr>
          <w:divId w:val="1300500180"/>
          <w:tblCellSpacing w:w="15" w:type="dxa"/>
        </w:trPr>
        <w:tc>
          <w:tcPr>
            <w:tcW w:w="733" w:type="pct"/>
            <w:vAlign w:val="center"/>
            <w:hideMark/>
          </w:tcPr>
          <w:p w:rsidR="00000000" w:rsidRDefault="002D33E3">
            <w:pPr>
              <w:rPr>
                <w:sz w:val="20"/>
                <w:szCs w:val="20"/>
              </w:rPr>
            </w:pPr>
          </w:p>
        </w:tc>
        <w:tc>
          <w:tcPr>
            <w:tcW w:w="49" w:type="pct"/>
            <w:vAlign w:val="center"/>
            <w:hideMark/>
          </w:tcPr>
          <w:p w:rsidR="00000000" w:rsidRDefault="002D33E3">
            <w:pPr>
              <w:rPr>
                <w:rFonts w:eastAsia="Times New Roman"/>
                <w:sz w:val="20"/>
                <w:szCs w:val="20"/>
              </w:rPr>
            </w:pPr>
          </w:p>
        </w:tc>
        <w:tc>
          <w:tcPr>
            <w:tcW w:w="580"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73"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580"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73"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580"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73"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580"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73"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580"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77" w:type="pct"/>
            <w:vAlign w:val="center"/>
            <w:hideMark/>
          </w:tcPr>
          <w:p w:rsidR="00000000" w:rsidRDefault="002D33E3">
            <w:pPr>
              <w:rPr>
                <w:rFonts w:eastAsia="Times New Roman"/>
                <w:sz w:val="20"/>
                <w:szCs w:val="20"/>
              </w:rPr>
            </w:pPr>
          </w:p>
        </w:tc>
      </w:tr>
      <w:tr w:rsidR="00000000">
        <w:trPr>
          <w:divId w:val="1300500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300500180"/>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0"/>
            <w:vAlign w:val="bottom"/>
            <w:hideMark/>
          </w:tcPr>
          <w:p w:rsidR="00000000" w:rsidRDefault="002D33E3">
            <w:pPr>
              <w:pStyle w:val="a3"/>
              <w:spacing w:before="0" w:beforeAutospacing="0" w:after="0" w:afterAutospacing="0"/>
              <w:jc w:val="center"/>
              <w:rPr>
                <w:sz w:val="18"/>
                <w:szCs w:val="18"/>
              </w:rPr>
            </w:pPr>
            <w:r>
              <w:rPr>
                <w:b/>
                <w:bCs/>
                <w:sz w:val="18"/>
                <w:szCs w:val="18"/>
              </w:rPr>
              <w:t>Amortization Tabl</w:t>
            </w:r>
            <w:r>
              <w:rPr>
                <w:b/>
                <w:bCs/>
                <w:sz w:val="18"/>
                <w:szCs w:val="18"/>
              </w:rPr>
              <w:t>e</w:t>
            </w:r>
          </w:p>
        </w:tc>
      </w:tr>
      <w:tr w:rsidR="00000000">
        <w:trPr>
          <w:divId w:val="1300500180"/>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Year </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Year </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Year </w:t>
            </w:r>
            <w:r>
              <w:rPr>
                <w:b/>
                <w:bCs/>
                <w:sz w:val="18"/>
                <w:szCs w:val="18"/>
              </w:rPr>
              <w:t>3</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Year </w:t>
            </w:r>
            <w:r>
              <w:rPr>
                <w:b/>
                <w:bCs/>
                <w:sz w:val="18"/>
                <w:szCs w:val="18"/>
              </w:rPr>
              <w:t>4</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Year </w:t>
            </w:r>
            <w:r>
              <w:rPr>
                <w:b/>
                <w:bCs/>
                <w:sz w:val="18"/>
                <w:szCs w:val="18"/>
              </w:rPr>
              <w:t>5</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300500180"/>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Term Loa</w:t>
            </w:r>
            <w:r>
              <w:rPr>
                <w:b/>
                <w:bCs/>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bl>
    <w:p w:rsidR="00000000" w:rsidRDefault="002D33E3">
      <w:pPr>
        <w:pStyle w:val="a3"/>
        <w:spacing w:before="240" w:beforeAutospacing="0" w:after="0" w:afterAutospacing="0"/>
        <w:ind w:firstLine="555"/>
        <w:divId w:val="541405204"/>
        <w:rPr>
          <w:sz w:val="20"/>
          <w:szCs w:val="20"/>
        </w:rPr>
      </w:pPr>
      <w:r>
        <w:rPr>
          <w:sz w:val="20"/>
          <w:szCs w:val="20"/>
        </w:rPr>
        <w:t xml:space="preserve">The first quarterly installment repayment, amounting to </w:t>
      </w:r>
      <w:r>
        <w:rPr>
          <w:sz w:val="20"/>
          <w:szCs w:val="20"/>
        </w:rPr>
        <w:t>$</w:t>
      </w:r>
      <w:r>
        <w:rPr>
          <w:sz w:val="20"/>
          <w:szCs w:val="20"/>
        </w:rPr>
        <w:t>2.</w:t>
      </w:r>
      <w:r>
        <w:rPr>
          <w:sz w:val="20"/>
          <w:szCs w:val="20"/>
        </w:rPr>
        <w:t>2</w:t>
      </w:r>
      <w:r>
        <w:rPr>
          <w:sz w:val="20"/>
          <w:szCs w:val="20"/>
        </w:rPr>
        <w:t xml:space="preserve"> </w:t>
      </w:r>
      <w:r>
        <w:rPr>
          <w:sz w:val="20"/>
          <w:szCs w:val="20"/>
        </w:rPr>
        <w:t xml:space="preserve">million, was billed and charged by the lenders in January 2022. The second quarterly installment repayment amounting to </w:t>
      </w:r>
      <w:r>
        <w:rPr>
          <w:sz w:val="20"/>
          <w:szCs w:val="20"/>
        </w:rPr>
        <w:t>$</w:t>
      </w:r>
      <w:r>
        <w:rPr>
          <w:sz w:val="20"/>
          <w:szCs w:val="20"/>
        </w:rPr>
        <w:t>2.</w:t>
      </w:r>
      <w:r>
        <w:rPr>
          <w:sz w:val="20"/>
          <w:szCs w:val="20"/>
        </w:rPr>
        <w:t>2</w:t>
      </w:r>
      <w:r>
        <w:rPr>
          <w:sz w:val="20"/>
          <w:szCs w:val="20"/>
        </w:rPr>
        <w:t xml:space="preserve"> million was paid in March 2022</w:t>
      </w:r>
      <w:r>
        <w:rPr>
          <w:sz w:val="20"/>
          <w:szCs w:val="20"/>
        </w:rPr>
        <w:t>.</w:t>
      </w:r>
    </w:p>
    <w:p w:rsidR="00000000" w:rsidRDefault="002D33E3">
      <w:pPr>
        <w:pStyle w:val="a3"/>
        <w:spacing w:before="240" w:beforeAutospacing="0" w:after="0" w:afterAutospacing="0"/>
        <w:ind w:firstLine="555"/>
        <w:divId w:val="1502966931"/>
        <w:rPr>
          <w:sz w:val="20"/>
          <w:szCs w:val="20"/>
        </w:rPr>
      </w:pPr>
      <w:r>
        <w:rPr>
          <w:sz w:val="20"/>
          <w:szCs w:val="20"/>
        </w:rPr>
        <w:t>The 2021 Credit Facility term loan and the revolver bear interest subject to the Company’s leverage</w:t>
      </w:r>
      <w:r>
        <w:rPr>
          <w:sz w:val="20"/>
          <w:szCs w:val="20"/>
        </w:rPr>
        <w:t xml:space="preserve"> ratio and LIBOR as follows</w:t>
      </w:r>
      <w:r>
        <w:rPr>
          <w:sz w:val="20"/>
          <w:szCs w:val="20"/>
        </w:rPr>
        <w:t>:</w:t>
      </w:r>
    </w:p>
    <w:p w:rsidR="00000000" w:rsidRDefault="002D33E3">
      <w:pPr>
        <w:pStyle w:val="a3"/>
        <w:spacing w:before="0" w:beforeAutospacing="0" w:after="0" w:afterAutospacing="0"/>
        <w:ind w:firstLine="555"/>
        <w:divId w:val="150296693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4"/>
        <w:gridCol w:w="105"/>
        <w:gridCol w:w="1643"/>
        <w:gridCol w:w="105"/>
        <w:gridCol w:w="106"/>
        <w:gridCol w:w="685"/>
        <w:gridCol w:w="105"/>
        <w:gridCol w:w="210"/>
        <w:gridCol w:w="106"/>
        <w:gridCol w:w="685"/>
        <w:gridCol w:w="105"/>
        <w:gridCol w:w="210"/>
        <w:gridCol w:w="106"/>
        <w:gridCol w:w="999"/>
        <w:gridCol w:w="105"/>
        <w:gridCol w:w="210"/>
        <w:gridCol w:w="106"/>
        <w:gridCol w:w="571"/>
        <w:gridCol w:w="105"/>
        <w:gridCol w:w="225"/>
      </w:tblGrid>
      <w:tr w:rsidR="00000000">
        <w:trPr>
          <w:divId w:val="1502966931"/>
          <w:tblCellSpacing w:w="15" w:type="dxa"/>
        </w:trPr>
        <w:tc>
          <w:tcPr>
            <w:tcW w:w="1223" w:type="pct"/>
            <w:vAlign w:val="center"/>
            <w:hideMark/>
          </w:tcPr>
          <w:p w:rsidR="00000000" w:rsidRDefault="002D33E3">
            <w:pPr>
              <w:rPr>
                <w:sz w:val="20"/>
                <w:szCs w:val="20"/>
              </w:rPr>
            </w:pPr>
          </w:p>
        </w:tc>
        <w:tc>
          <w:tcPr>
            <w:tcW w:w="59" w:type="pct"/>
            <w:vAlign w:val="center"/>
            <w:hideMark/>
          </w:tcPr>
          <w:p w:rsidR="00000000" w:rsidRDefault="002D33E3">
            <w:pPr>
              <w:rPr>
                <w:rFonts w:eastAsia="Times New Roman"/>
                <w:sz w:val="20"/>
                <w:szCs w:val="20"/>
              </w:rPr>
            </w:pPr>
          </w:p>
        </w:tc>
        <w:tc>
          <w:tcPr>
            <w:tcW w:w="1184" w:type="pct"/>
            <w:vAlign w:val="center"/>
            <w:hideMark/>
          </w:tcPr>
          <w:p w:rsidR="00000000" w:rsidRDefault="002D33E3">
            <w:pPr>
              <w:rPr>
                <w:rFonts w:eastAsia="Times New Roman"/>
                <w:sz w:val="20"/>
                <w:szCs w:val="20"/>
              </w:rPr>
            </w:pPr>
          </w:p>
        </w:tc>
        <w:tc>
          <w:tcPr>
            <w:tcW w:w="5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8"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3"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9" w:type="pct"/>
            <w:vAlign w:val="center"/>
            <w:hideMark/>
          </w:tcPr>
          <w:p w:rsidR="00000000" w:rsidRDefault="002D33E3">
            <w:pPr>
              <w:rPr>
                <w:rFonts w:eastAsia="Times New Roman"/>
                <w:sz w:val="20"/>
                <w:szCs w:val="20"/>
              </w:rPr>
            </w:pPr>
          </w:p>
        </w:tc>
      </w:tr>
      <w:tr w:rsidR="00000000">
        <w:trPr>
          <w:divId w:val="1502966931"/>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b/>
                <w:bCs/>
                <w:sz w:val="18"/>
                <w:szCs w:val="18"/>
              </w:rPr>
              <w:t>Pricing Tie</w:t>
            </w:r>
            <w:r>
              <w:rPr>
                <w:b/>
                <w:bCs/>
                <w:sz w:val="18"/>
                <w:szCs w:val="18"/>
              </w:rPr>
              <w:t>r</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b/>
                <w:bCs/>
                <w:sz w:val="18"/>
                <w:szCs w:val="18"/>
              </w:rPr>
              <w:t>Consolidated</w:t>
            </w:r>
            <w:r>
              <w:rPr>
                <w:b/>
                <w:bCs/>
                <w:sz w:val="18"/>
                <w:szCs w:val="18"/>
              </w:rPr>
              <w:br/>
              <w:t>Leverage Rati</w:t>
            </w:r>
            <w:r>
              <w:rPr>
                <w:b/>
                <w:bCs/>
                <w:sz w:val="18"/>
                <w:szCs w:val="18"/>
              </w:rPr>
              <w:t>o</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LIBO</w:t>
            </w:r>
            <w:r>
              <w:rPr>
                <w:b/>
                <w:bCs/>
                <w:sz w:val="18"/>
                <w:szCs w:val="18"/>
              </w:rPr>
              <w:t>R</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Base Rat</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Commitment</w:t>
            </w:r>
            <w:r>
              <w:rPr>
                <w:b/>
                <w:bCs/>
                <w:sz w:val="18"/>
                <w:szCs w:val="18"/>
              </w:rPr>
              <w:br/>
              <w:t>Fe</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Letter of Credit Fe</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502966931"/>
          <w:trHeight w:val="180"/>
          <w:tblCellSpacing w:w="15" w:type="dxa"/>
        </w:trPr>
        <w:tc>
          <w:tcPr>
            <w:tcW w:w="0" w:type="auto"/>
            <w:hideMark/>
          </w:tcPr>
          <w:p w:rsidR="00000000" w:rsidRDefault="002D33E3">
            <w:pPr>
              <w:pStyle w:val="a3"/>
              <w:spacing w:before="0" w:beforeAutospacing="0" w:after="0" w:afterAutospacing="0"/>
              <w:jc w:val="center"/>
              <w:rPr>
                <w:sz w:val="18"/>
                <w:szCs w:val="18"/>
              </w:rPr>
            </w:pPr>
            <w:r>
              <w:rPr>
                <w:sz w:val="18"/>
                <w:szCs w:val="18"/>
              </w:rPr>
              <w:t>1</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w:t>
            </w:r>
            <w:r>
              <w:rPr>
                <w:sz w:val="18"/>
                <w:szCs w:val="18"/>
              </w:rPr>
              <w:t xml:space="preserve"> </w:t>
            </w:r>
            <w:r>
              <w:rPr>
                <w:sz w:val="18"/>
                <w:szCs w:val="18"/>
              </w:rPr>
              <w:t>3.7</w:t>
            </w:r>
            <w:r>
              <w:rPr>
                <w:sz w:val="18"/>
                <w:szCs w:val="18"/>
              </w:rPr>
              <w:t>5</w:t>
            </w:r>
            <w:r>
              <w:rPr>
                <w:sz w:val="18"/>
                <w:szCs w:val="18"/>
              </w:rPr>
              <w:t>x to 1.</w:t>
            </w:r>
            <w:r>
              <w:rPr>
                <w:sz w:val="18"/>
                <w:szCs w:val="18"/>
              </w:rPr>
              <w:t>0</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0.2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r>
      <w:tr w:rsidR="00000000">
        <w:trPr>
          <w:divId w:val="1502966931"/>
          <w:trHeight w:val="180"/>
          <w:tblCellSpacing w:w="15" w:type="dxa"/>
        </w:trPr>
        <w:tc>
          <w:tcPr>
            <w:tcW w:w="0" w:type="auto"/>
            <w:hideMark/>
          </w:tcPr>
          <w:p w:rsidR="00000000" w:rsidRDefault="002D33E3">
            <w:pPr>
              <w:pStyle w:val="a3"/>
              <w:spacing w:before="0" w:beforeAutospacing="0" w:after="0" w:afterAutospacing="0"/>
              <w:jc w:val="center"/>
              <w:rPr>
                <w:sz w:val="18"/>
                <w:szCs w:val="18"/>
              </w:rPr>
            </w:pPr>
            <w:r>
              <w:rPr>
                <w:sz w:val="18"/>
                <w:szCs w:val="18"/>
              </w:rPr>
              <w:t>2</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&lt;</w:t>
            </w:r>
            <w:r>
              <w:rPr>
                <w:sz w:val="18"/>
                <w:szCs w:val="18"/>
              </w:rPr>
              <w:t xml:space="preserve"> </w:t>
            </w:r>
            <w:r>
              <w:rPr>
                <w:sz w:val="18"/>
                <w:szCs w:val="18"/>
              </w:rPr>
              <w:t>3.7</w:t>
            </w:r>
            <w:r>
              <w:rPr>
                <w:sz w:val="18"/>
                <w:szCs w:val="18"/>
              </w:rPr>
              <w:t>5</w:t>
            </w:r>
            <w:r>
              <w:rPr>
                <w:sz w:val="18"/>
                <w:szCs w:val="18"/>
              </w:rPr>
              <w:t xml:space="preserve">x to 1.0 but </w:t>
            </w:r>
            <w:r>
              <w:rPr>
                <w:sz w:val="18"/>
                <w:szCs w:val="18"/>
              </w:rPr>
              <w:t>≥</w:t>
            </w:r>
            <w:r>
              <w:rPr>
                <w:sz w:val="18"/>
                <w:szCs w:val="18"/>
              </w:rPr>
              <w:t xml:space="preserve"> </w:t>
            </w:r>
            <w:r>
              <w:rPr>
                <w:sz w:val="18"/>
                <w:szCs w:val="18"/>
              </w:rPr>
              <w:t>3.2</w:t>
            </w:r>
            <w:r>
              <w:rPr>
                <w:sz w:val="18"/>
                <w:szCs w:val="18"/>
              </w:rPr>
              <w:t>5</w:t>
            </w:r>
            <w:r>
              <w:rPr>
                <w:sz w:val="18"/>
                <w:szCs w:val="18"/>
              </w:rPr>
              <w:t> to 1.</w:t>
            </w:r>
            <w:r>
              <w:rPr>
                <w:sz w:val="18"/>
                <w:szCs w:val="18"/>
              </w:rPr>
              <w:t>0</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0.2</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502966931"/>
          <w:trHeight w:val="180"/>
          <w:tblCellSpacing w:w="15" w:type="dxa"/>
        </w:trPr>
        <w:tc>
          <w:tcPr>
            <w:tcW w:w="0" w:type="auto"/>
            <w:hideMark/>
          </w:tcPr>
          <w:p w:rsidR="00000000" w:rsidRDefault="002D33E3">
            <w:pPr>
              <w:pStyle w:val="a3"/>
              <w:spacing w:before="0" w:beforeAutospacing="0" w:after="0" w:afterAutospacing="0"/>
              <w:jc w:val="center"/>
              <w:rPr>
                <w:sz w:val="18"/>
                <w:szCs w:val="18"/>
              </w:rPr>
            </w:pPr>
            <w:r>
              <w:rPr>
                <w:sz w:val="18"/>
                <w:szCs w:val="18"/>
              </w:rPr>
              <w:t>3</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&lt;</w:t>
            </w:r>
            <w:r>
              <w:rPr>
                <w:sz w:val="18"/>
                <w:szCs w:val="18"/>
              </w:rPr>
              <w:t>3.2</w:t>
            </w:r>
            <w:r>
              <w:rPr>
                <w:sz w:val="18"/>
                <w:szCs w:val="18"/>
              </w:rPr>
              <w:t>5</w:t>
            </w:r>
            <w:r>
              <w:rPr>
                <w:sz w:val="18"/>
                <w:szCs w:val="18"/>
              </w:rPr>
              <w:t xml:space="preserve">x to 1.0 but </w:t>
            </w:r>
            <w:r>
              <w:rPr>
                <w:sz w:val="18"/>
                <w:szCs w:val="18"/>
              </w:rPr>
              <w:t>≥</w:t>
            </w:r>
            <w:r>
              <w:rPr>
                <w:sz w:val="18"/>
                <w:szCs w:val="18"/>
              </w:rPr>
              <w:t xml:space="preserve"> </w:t>
            </w:r>
            <w:r>
              <w:rPr>
                <w:sz w:val="18"/>
                <w:szCs w:val="18"/>
              </w:rPr>
              <w:t>2.5</w:t>
            </w:r>
            <w:r>
              <w:rPr>
                <w:sz w:val="18"/>
                <w:szCs w:val="18"/>
              </w:rPr>
              <w:t>0</w:t>
            </w:r>
            <w:r>
              <w:rPr>
                <w:sz w:val="18"/>
                <w:szCs w:val="18"/>
              </w:rPr>
              <w:t> to 1.</w:t>
            </w:r>
            <w:r>
              <w:rPr>
                <w:sz w:val="18"/>
                <w:szCs w:val="18"/>
              </w:rPr>
              <w:t>0</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0.2</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502966931"/>
          <w:trHeight w:val="180"/>
          <w:tblCellSpacing w:w="15" w:type="dxa"/>
        </w:trPr>
        <w:tc>
          <w:tcPr>
            <w:tcW w:w="0" w:type="auto"/>
            <w:hideMark/>
          </w:tcPr>
          <w:p w:rsidR="00000000" w:rsidRDefault="002D33E3">
            <w:pPr>
              <w:pStyle w:val="a3"/>
              <w:spacing w:before="0" w:beforeAutospacing="0" w:after="0" w:afterAutospacing="0"/>
              <w:jc w:val="center"/>
              <w:rPr>
                <w:sz w:val="18"/>
                <w:szCs w:val="18"/>
              </w:rPr>
            </w:pPr>
            <w:r>
              <w:rPr>
                <w:sz w:val="18"/>
                <w:szCs w:val="18"/>
              </w:rPr>
              <w:t>4</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&lt;</w:t>
            </w:r>
            <w:r>
              <w:rPr>
                <w:sz w:val="18"/>
                <w:szCs w:val="18"/>
              </w:rPr>
              <w:t>2.5</w:t>
            </w:r>
            <w:r>
              <w:rPr>
                <w:sz w:val="18"/>
                <w:szCs w:val="18"/>
              </w:rPr>
              <w:t>0</w:t>
            </w:r>
            <w:r>
              <w:rPr>
                <w:sz w:val="18"/>
                <w:szCs w:val="18"/>
              </w:rPr>
              <w:t xml:space="preserve">x to 1.0 but </w:t>
            </w:r>
            <w:r>
              <w:rPr>
                <w:sz w:val="18"/>
                <w:szCs w:val="18"/>
              </w:rPr>
              <w:t>≥</w:t>
            </w:r>
            <w:r>
              <w:rPr>
                <w:sz w:val="18"/>
                <w:szCs w:val="18"/>
              </w:rPr>
              <w:t xml:space="preserve"> </w:t>
            </w:r>
            <w:r>
              <w:rPr>
                <w:sz w:val="18"/>
                <w:szCs w:val="18"/>
              </w:rPr>
              <w:t>1.7</w:t>
            </w:r>
            <w:r>
              <w:rPr>
                <w:sz w:val="18"/>
                <w:szCs w:val="18"/>
              </w:rPr>
              <w:t>5</w:t>
            </w:r>
            <w:r>
              <w:rPr>
                <w:sz w:val="18"/>
                <w:szCs w:val="18"/>
              </w:rPr>
              <w:t> to 1.</w:t>
            </w:r>
            <w:r>
              <w:rPr>
                <w:sz w:val="18"/>
                <w:szCs w:val="18"/>
              </w:rPr>
              <w:t>0</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0.7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0.1</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502966931"/>
          <w:trHeight w:val="180"/>
          <w:tblCellSpacing w:w="15" w:type="dxa"/>
        </w:trPr>
        <w:tc>
          <w:tcPr>
            <w:tcW w:w="0" w:type="auto"/>
            <w:hideMark/>
          </w:tcPr>
          <w:p w:rsidR="00000000" w:rsidRDefault="002D33E3">
            <w:pPr>
              <w:pStyle w:val="a3"/>
              <w:spacing w:before="0" w:beforeAutospacing="0" w:after="0" w:afterAutospacing="0"/>
              <w:jc w:val="center"/>
              <w:rPr>
                <w:sz w:val="18"/>
                <w:szCs w:val="18"/>
              </w:rPr>
            </w:pPr>
            <w:r>
              <w:rPr>
                <w:sz w:val="18"/>
                <w:szCs w:val="18"/>
              </w:rPr>
              <w:t>5</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20"/>
                <w:szCs w:val="20"/>
              </w:rPr>
            </w:pPr>
            <w:r>
              <w:rPr>
                <w:sz w:val="18"/>
                <w:szCs w:val="18"/>
              </w:rPr>
              <w:t>&lt;</w:t>
            </w:r>
            <w:r>
              <w:rPr>
                <w:sz w:val="18"/>
                <w:szCs w:val="18"/>
              </w:rPr>
              <w:t>1.7</w:t>
            </w:r>
            <w:r>
              <w:rPr>
                <w:sz w:val="18"/>
                <w:szCs w:val="18"/>
              </w:rPr>
              <w:t>5</w:t>
            </w:r>
            <w:r>
              <w:rPr>
                <w:sz w:val="18"/>
                <w:szCs w:val="18"/>
              </w:rPr>
              <w:t>x to 1.</w:t>
            </w:r>
            <w:r>
              <w:rPr>
                <w:sz w:val="18"/>
                <w:szCs w:val="18"/>
              </w:rPr>
              <w:t>0</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0.5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20"/>
                <w:szCs w:val="20"/>
              </w:rPr>
            </w:pPr>
            <w:r>
              <w:rPr>
                <w:sz w:val="18"/>
                <w:szCs w:val="18"/>
              </w:rPr>
              <w:t>0.1</w:t>
            </w:r>
            <w:r>
              <w:rPr>
                <w:sz w:val="18"/>
                <w:szCs w:val="18"/>
              </w:rPr>
              <w:t>5</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bl>
    <w:p w:rsidR="00000000" w:rsidRDefault="002D33E3">
      <w:pPr>
        <w:pStyle w:val="a3"/>
        <w:spacing w:before="240" w:beforeAutospacing="0" w:after="0" w:afterAutospacing="0"/>
        <w:ind w:firstLine="555"/>
        <w:divId w:val="541405204"/>
        <w:rPr>
          <w:sz w:val="20"/>
          <w:szCs w:val="20"/>
        </w:rPr>
      </w:pPr>
      <w:r>
        <w:rPr>
          <w:sz w:val="20"/>
          <w:szCs w:val="20"/>
        </w:rPr>
        <w:t xml:space="preserve">On January 27, 2022, the Company entered into an interest rate swap transaction fixing the floating component of the interest rate on </w:t>
      </w:r>
      <w:r>
        <w:rPr>
          <w:sz w:val="20"/>
          <w:szCs w:val="20"/>
        </w:rPr>
        <w:t>$</w:t>
      </w:r>
      <w:r>
        <w:rPr>
          <w:sz w:val="20"/>
          <w:szCs w:val="20"/>
        </w:rPr>
        <w:t>100.</w:t>
      </w:r>
      <w:r>
        <w:rPr>
          <w:sz w:val="20"/>
          <w:szCs w:val="20"/>
        </w:rPr>
        <w:t>0</w:t>
      </w:r>
      <w:r>
        <w:rPr>
          <w:sz w:val="20"/>
          <w:szCs w:val="20"/>
        </w:rPr>
        <w:t xml:space="preserve"> million of borrowings to</w:t>
      </w:r>
      <w:r>
        <w:rPr>
          <w:sz w:val="20"/>
          <w:szCs w:val="20"/>
        </w:rPr>
        <w:t xml:space="preserve"> </w:t>
      </w:r>
      <w:r>
        <w:rPr>
          <w:sz w:val="20"/>
          <w:szCs w:val="20"/>
        </w:rPr>
        <w:t>1.3</w:t>
      </w:r>
      <w:r>
        <w:rPr>
          <w:sz w:val="20"/>
          <w:szCs w:val="20"/>
        </w:rPr>
        <w:t>9</w:t>
      </w:r>
      <w:r>
        <w:rPr>
          <w:sz w:val="20"/>
          <w:szCs w:val="20"/>
        </w:rPr>
        <w:t>% until</w:t>
      </w:r>
      <w:r>
        <w:rPr>
          <w:sz w:val="20"/>
          <w:szCs w:val="20"/>
        </w:rPr>
        <w:t xml:space="preserve"> </w:t>
      </w:r>
      <w:r>
        <w:rPr>
          <w:sz w:val="20"/>
          <w:szCs w:val="20"/>
        </w:rPr>
        <w:t>January 27, 202</w:t>
      </w:r>
      <w:r>
        <w:rPr>
          <w:sz w:val="20"/>
          <w:szCs w:val="20"/>
        </w:rPr>
        <w:t>5</w:t>
      </w:r>
      <w:r>
        <w:rPr>
          <w:sz w:val="20"/>
          <w:szCs w:val="20"/>
        </w:rPr>
        <w:t>.</w:t>
      </w:r>
      <w:r>
        <w:rPr>
          <w:sz w:val="20"/>
          <w:szCs w:val="20"/>
        </w:rPr>
        <w:t xml:space="preserve"> </w:t>
      </w:r>
      <w:r>
        <w:rPr>
          <w:sz w:val="20"/>
          <w:szCs w:val="20"/>
        </w:rPr>
        <w:t>Additionally, the Company may receive an interest rate adjus</w:t>
      </w:r>
      <w:r>
        <w:rPr>
          <w:sz w:val="20"/>
          <w:szCs w:val="20"/>
        </w:rPr>
        <w:t>tment of up to</w:t>
      </w:r>
      <w:r>
        <w:rPr>
          <w:sz w:val="20"/>
          <w:szCs w:val="20"/>
        </w:rPr>
        <w:t xml:space="preserve"> </w:t>
      </w:r>
      <w:r>
        <w:rPr>
          <w:sz w:val="20"/>
          <w:szCs w:val="20"/>
        </w:rPr>
        <w:t>0.0</w:t>
      </w:r>
      <w:r>
        <w:rPr>
          <w:sz w:val="20"/>
          <w:szCs w:val="20"/>
        </w:rPr>
        <w:t>5</w:t>
      </w:r>
      <w:r>
        <w:rPr>
          <w:sz w:val="20"/>
          <w:szCs w:val="20"/>
        </w:rPr>
        <w:t>% under the 2021 Credit Facility based on the Company’s performance against certain defined sustainability and environmental, social and governance related objectives</w:t>
      </w:r>
      <w:r>
        <w:rPr>
          <w:sz w:val="20"/>
          <w:szCs w:val="20"/>
        </w:rPr>
        <w:t>.</w:t>
      </w:r>
      <w:r>
        <w:rPr>
          <w:sz w:val="20"/>
          <w:szCs w:val="20"/>
        </w:rPr>
        <w:t xml:space="preserve"> </w:t>
      </w:r>
    </w:p>
    <w:p w:rsidR="00000000" w:rsidRDefault="002D33E3">
      <w:pPr>
        <w:pStyle w:val="a3"/>
        <w:spacing w:before="240" w:beforeAutospacing="0" w:after="0" w:afterAutospacing="0"/>
        <w:ind w:firstLine="555"/>
        <w:divId w:val="541405204"/>
        <w:rPr>
          <w:sz w:val="20"/>
          <w:szCs w:val="20"/>
        </w:rPr>
      </w:pPr>
      <w:r>
        <w:rPr>
          <w:sz w:val="20"/>
          <w:szCs w:val="20"/>
        </w:rPr>
        <w:t>The</w:t>
      </w:r>
      <w:r>
        <w:rPr>
          <w:sz w:val="20"/>
          <w:szCs w:val="20"/>
        </w:rPr>
        <w:t xml:space="preserve"> </w:t>
      </w:r>
      <w:r>
        <w:rPr>
          <w:sz w:val="20"/>
          <w:szCs w:val="20"/>
        </w:rPr>
        <w:t>2021 Credit Facilit</w:t>
      </w:r>
      <w:r>
        <w:rPr>
          <w:sz w:val="20"/>
          <w:szCs w:val="20"/>
        </w:rPr>
        <w:t>y</w:t>
      </w:r>
      <w:r>
        <w:rPr>
          <w:sz w:val="20"/>
          <w:szCs w:val="20"/>
        </w:rPr>
        <w:t xml:space="preserve"> includes a number of covenants imposing cer</w:t>
      </w:r>
      <w:r>
        <w:rPr>
          <w:sz w:val="20"/>
          <w:szCs w:val="20"/>
        </w:rPr>
        <w:t>tain restrictions on the Company’s business, including, among other things,</w:t>
      </w:r>
      <w:r>
        <w:rPr>
          <w:sz w:val="20"/>
          <w:szCs w:val="20"/>
        </w:rPr>
        <w:t xml:space="preserve"> </w:t>
      </w:r>
      <w:r>
        <w:rPr>
          <w:sz w:val="20"/>
          <w:szCs w:val="20"/>
        </w:rPr>
        <w:t>restrictions on the Company’s ability, subject to certain exceptions and baskets, to incur indebtedness, incur liens on its assets, agree to any additional negative pledges, pay di</w:t>
      </w:r>
      <w:r>
        <w:rPr>
          <w:sz w:val="20"/>
          <w:szCs w:val="20"/>
        </w:rPr>
        <w:t>vidends or repurchase stock, limit the ability of its subsidiaries to pay dividends or distribute assets, make investments, enter into any transaction of merger or consolidation, liquidate, wind-up or dissolve, or convey any part of its business, assets or</w:t>
      </w:r>
      <w:r>
        <w:rPr>
          <w:sz w:val="20"/>
          <w:szCs w:val="20"/>
        </w:rPr>
        <w:t xml:space="preserve"> property, or acquire the business, property or assets of another person, enter into sale and leaseback transactions, enter into certain transactions with affiliates, engage in any material line of business substantially different from those engaged on the</w:t>
      </w:r>
      <w:r>
        <w:rPr>
          <w:sz w:val="20"/>
          <w:szCs w:val="20"/>
        </w:rPr>
        <w:t xml:space="preserve"> closing date, modify the terms of indebtedness subordinated to the loans incurred under the 2021 Credit Facility and modify the terms of its organizational documents. The 2021 Credit Facility also include</w:t>
      </w:r>
      <w:r>
        <w:rPr>
          <w:sz w:val="20"/>
          <w:szCs w:val="20"/>
        </w:rPr>
        <w:t>s</w:t>
      </w:r>
      <w:r>
        <w:rPr>
          <w:sz w:val="20"/>
          <w:szCs w:val="20"/>
        </w:rPr>
        <w:t xml:space="preserve"> financial</w:t>
      </w:r>
      <w:r>
        <w:rPr>
          <w:sz w:val="20"/>
          <w:szCs w:val="20"/>
        </w:rPr>
        <w:t xml:space="preserve"> </w:t>
      </w:r>
      <w:r>
        <w:rPr>
          <w:sz w:val="20"/>
          <w:szCs w:val="20"/>
        </w:rPr>
        <w:t>covenants requiring th</w:t>
      </w:r>
      <w:r>
        <w:rPr>
          <w:sz w:val="20"/>
          <w:szCs w:val="20"/>
        </w:rPr>
        <w:t>e</w:t>
      </w:r>
      <w:r>
        <w:rPr>
          <w:sz w:val="20"/>
          <w:szCs w:val="20"/>
        </w:rPr>
        <w:t xml:space="preserve"> </w:t>
      </w:r>
    </w:p>
    <w:p w:rsidR="00000000" w:rsidRDefault="002D33E3">
      <w:pPr>
        <w:pStyle w:val="a3"/>
        <w:spacing w:before="240" w:beforeAutospacing="0" w:after="0" w:afterAutospacing="0"/>
        <w:jc w:val="center"/>
        <w:divId w:val="541405204"/>
        <w:rPr>
          <w:sz w:val="20"/>
          <w:szCs w:val="20"/>
        </w:rPr>
      </w:pPr>
      <w:r>
        <w:rPr>
          <w:sz w:val="20"/>
          <w:szCs w:val="20"/>
        </w:rPr>
        <w:t>1</w:t>
      </w:r>
      <w:r>
        <w:rPr>
          <w:sz w:val="20"/>
          <w:szCs w:val="20"/>
        </w:rPr>
        <w:t>6</w:t>
      </w:r>
    </w:p>
    <w:p w:rsidR="00000000" w:rsidRDefault="002D33E3">
      <w:pPr>
        <w:divId w:val="541405204"/>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2D33E3">
      <w:pPr>
        <w:pStyle w:val="a3"/>
        <w:spacing w:before="0" w:beforeAutospacing="0" w:after="0" w:afterAutospacing="0"/>
        <w:divId w:val="541405204"/>
        <w:rPr>
          <w:sz w:val="20"/>
          <w:szCs w:val="20"/>
        </w:rPr>
      </w:pPr>
      <w:r>
        <w:rPr>
          <w:sz w:val="20"/>
          <w:szCs w:val="20"/>
        </w:rPr>
        <w:t> </w:t>
      </w:r>
    </w:p>
    <w:p w:rsidR="00000000" w:rsidRDefault="002D33E3">
      <w:pPr>
        <w:pStyle w:val="a3"/>
        <w:spacing w:before="240" w:beforeAutospacing="0" w:after="0" w:afterAutospacing="0"/>
        <w:divId w:val="541405204"/>
        <w:rPr>
          <w:sz w:val="20"/>
          <w:szCs w:val="20"/>
        </w:rPr>
      </w:pPr>
      <w:r>
        <w:rPr>
          <w:sz w:val="20"/>
          <w:szCs w:val="20"/>
        </w:rPr>
        <w:t>Company</w:t>
      </w:r>
      <w:r>
        <w:rPr>
          <w:sz w:val="20"/>
          <w:szCs w:val="20"/>
        </w:rPr>
        <w:t xml:space="preserve"> </w:t>
      </w:r>
      <w:r>
        <w:rPr>
          <w:sz w:val="20"/>
          <w:szCs w:val="20"/>
        </w:rPr>
        <w:t>to remain below a maximum total net leverage ratio of</w:t>
      </w:r>
      <w:r>
        <w:rPr>
          <w:sz w:val="20"/>
          <w:szCs w:val="20"/>
        </w:rPr>
        <w:t xml:space="preserve"> </w:t>
      </w:r>
      <w:r>
        <w:rPr>
          <w:sz w:val="20"/>
          <w:szCs w:val="20"/>
        </w:rPr>
        <w:t>4.2</w:t>
      </w:r>
      <w:r>
        <w:rPr>
          <w:sz w:val="20"/>
          <w:szCs w:val="20"/>
        </w:rPr>
        <w:t>5</w:t>
      </w:r>
      <w:r>
        <w:rPr>
          <w:sz w:val="20"/>
          <w:szCs w:val="20"/>
        </w:rPr>
        <w:t xml:space="preserve"> times, which steps down to</w:t>
      </w:r>
      <w:r>
        <w:rPr>
          <w:sz w:val="20"/>
          <w:szCs w:val="20"/>
        </w:rPr>
        <w:t xml:space="preserve"> </w:t>
      </w:r>
      <w:r>
        <w:rPr>
          <w:sz w:val="20"/>
          <w:szCs w:val="20"/>
        </w:rPr>
        <w:t>4.0</w:t>
      </w:r>
      <w:r>
        <w:rPr>
          <w:sz w:val="20"/>
          <w:szCs w:val="20"/>
        </w:rPr>
        <w:t>0</w:t>
      </w:r>
      <w:r>
        <w:rPr>
          <w:sz w:val="20"/>
          <w:szCs w:val="20"/>
        </w:rPr>
        <w:t xml:space="preserve"> times beginning with the fiscal quarter ending December 31, 2022 through and including the fiscal quarter ending September 30, 20</w:t>
      </w:r>
      <w:r>
        <w:rPr>
          <w:sz w:val="20"/>
          <w:szCs w:val="20"/>
        </w:rPr>
        <w:t>23 and then to</w:t>
      </w:r>
      <w:r>
        <w:rPr>
          <w:sz w:val="20"/>
          <w:szCs w:val="20"/>
        </w:rPr>
        <w:t xml:space="preserve"> </w:t>
      </w:r>
      <w:r>
        <w:rPr>
          <w:sz w:val="20"/>
          <w:szCs w:val="20"/>
        </w:rPr>
        <w:t>3.7</w:t>
      </w:r>
      <w:r>
        <w:rPr>
          <w:sz w:val="20"/>
          <w:szCs w:val="20"/>
        </w:rPr>
        <w:t>5</w:t>
      </w:r>
      <w:r>
        <w:rPr>
          <w:sz w:val="20"/>
          <w:szCs w:val="20"/>
        </w:rPr>
        <w:t xml:space="preserve"> times beginning with the fiscal quarter ending December 31, 2023, and a minimum fixed charge coverage ratio of</w:t>
      </w:r>
      <w:r>
        <w:rPr>
          <w:sz w:val="20"/>
          <w:szCs w:val="20"/>
        </w:rPr>
        <w:t xml:space="preserve"> </w:t>
      </w:r>
      <w:r>
        <w:rPr>
          <w:sz w:val="20"/>
          <w:szCs w:val="20"/>
        </w:rPr>
        <w:t>1.2</w:t>
      </w:r>
      <w:r>
        <w:rPr>
          <w:sz w:val="20"/>
          <w:szCs w:val="20"/>
        </w:rPr>
        <w:t>5</w:t>
      </w:r>
      <w:r>
        <w:rPr>
          <w:sz w:val="20"/>
          <w:szCs w:val="20"/>
        </w:rPr>
        <w:t xml:space="preserve"> times. As of</w:t>
      </w:r>
      <w:r>
        <w:rPr>
          <w:sz w:val="20"/>
          <w:szCs w:val="20"/>
        </w:rPr>
        <w:t xml:space="preserve"> </w:t>
      </w:r>
      <w:r>
        <w:rPr>
          <w:sz w:val="20"/>
          <w:szCs w:val="20"/>
        </w:rPr>
        <w:t xml:space="preserve">March 31, 2022, the Company’s consolidated total leverage ratio (as defined in the 2021 Credit Facility) </w:t>
      </w:r>
      <w:r>
        <w:rPr>
          <w:sz w:val="20"/>
          <w:szCs w:val="20"/>
        </w:rPr>
        <w:t>w</w:t>
      </w:r>
      <w:r>
        <w:rPr>
          <w:sz w:val="20"/>
          <w:szCs w:val="20"/>
        </w:rPr>
        <w:t>a</w:t>
      </w:r>
      <w:r>
        <w:rPr>
          <w:sz w:val="20"/>
          <w:szCs w:val="20"/>
        </w:rPr>
        <w:t>s</w:t>
      </w:r>
      <w:r>
        <w:rPr>
          <w:sz w:val="20"/>
          <w:szCs w:val="20"/>
        </w:rPr>
        <w:t xml:space="preserve"> </w:t>
      </w:r>
      <w:r>
        <w:rPr>
          <w:sz w:val="20"/>
          <w:szCs w:val="20"/>
        </w:rPr>
        <w:t>1.</w:t>
      </w:r>
      <w:r>
        <w:rPr>
          <w:sz w:val="20"/>
          <w:szCs w:val="20"/>
        </w:rPr>
        <w:t>1</w:t>
      </w:r>
      <w:r>
        <w:rPr>
          <w:sz w:val="20"/>
          <w:szCs w:val="20"/>
        </w:rPr>
        <w:t xml:space="preserve"> </w:t>
      </w:r>
      <w:r>
        <w:rPr>
          <w:sz w:val="20"/>
          <w:szCs w:val="20"/>
        </w:rPr>
        <w:t>t</w:t>
      </w:r>
      <w:r>
        <w:rPr>
          <w:sz w:val="20"/>
          <w:szCs w:val="20"/>
        </w:rPr>
        <w:t>imes and the Company was in compliance with all covenants under the 2021 Credit Facility</w:t>
      </w:r>
      <w:r>
        <w:rPr>
          <w:sz w:val="20"/>
          <w:szCs w:val="20"/>
        </w:rPr>
        <w:t>.</w:t>
      </w:r>
      <w:r>
        <w:rPr>
          <w:sz w:val="20"/>
          <w:szCs w:val="20"/>
        </w:rPr>
        <w:t xml:space="preserve"> </w:t>
      </w:r>
    </w:p>
    <w:p w:rsidR="00000000" w:rsidRDefault="002D33E3">
      <w:pPr>
        <w:pStyle w:val="a3"/>
        <w:spacing w:before="240" w:beforeAutospacing="0" w:after="0" w:afterAutospacing="0"/>
        <w:ind w:firstLine="555"/>
        <w:divId w:val="541405204"/>
        <w:rPr>
          <w:sz w:val="20"/>
          <w:szCs w:val="20"/>
        </w:rPr>
      </w:pPr>
      <w:r>
        <w:rPr>
          <w:sz w:val="20"/>
          <w:szCs w:val="20"/>
        </w:rPr>
        <w:t>The 2021 Credit Facility requires customary mandatory prepayments of the term loan and revolver and cash collateralization of letters of credit, subject to cu</w:t>
      </w:r>
      <w:r>
        <w:rPr>
          <w:sz w:val="20"/>
          <w:szCs w:val="20"/>
        </w:rPr>
        <w:t>stomary exceptions, including</w:t>
      </w:r>
      <w:r>
        <w:rPr>
          <w:sz w:val="20"/>
          <w:szCs w:val="20"/>
        </w:rPr>
        <w:t xml:space="preserve"> </w:t>
      </w:r>
      <w:r>
        <w:rPr>
          <w:sz w:val="20"/>
          <w:szCs w:val="20"/>
        </w:rPr>
        <w:t>100.</w:t>
      </w:r>
      <w:r>
        <w:rPr>
          <w:sz w:val="20"/>
          <w:szCs w:val="20"/>
        </w:rPr>
        <w:t>0</w:t>
      </w:r>
      <w:r>
        <w:rPr>
          <w:sz w:val="20"/>
          <w:szCs w:val="20"/>
        </w:rPr>
        <w:t>% of the proceeds of debt not permitted by the 2021 Credit Facility,</w:t>
      </w:r>
      <w:r>
        <w:rPr>
          <w:sz w:val="20"/>
          <w:szCs w:val="20"/>
        </w:rPr>
        <w:t xml:space="preserve"> </w:t>
      </w:r>
      <w:r>
        <w:rPr>
          <w:sz w:val="20"/>
          <w:szCs w:val="20"/>
        </w:rPr>
        <w:t>100.</w:t>
      </w:r>
      <w:r>
        <w:rPr>
          <w:sz w:val="20"/>
          <w:szCs w:val="20"/>
        </w:rPr>
        <w:t>0</w:t>
      </w:r>
      <w:r>
        <w:rPr>
          <w:sz w:val="20"/>
          <w:szCs w:val="20"/>
        </w:rPr>
        <w:t>% of the proceeds of certain dispositions, subject to customary reinvestment rights, where applicable, and</w:t>
      </w:r>
      <w:r>
        <w:rPr>
          <w:sz w:val="20"/>
          <w:szCs w:val="20"/>
        </w:rPr>
        <w:t xml:space="preserve"> </w:t>
      </w:r>
      <w:r>
        <w:rPr>
          <w:sz w:val="20"/>
          <w:szCs w:val="20"/>
        </w:rPr>
        <w:t>100.</w:t>
      </w:r>
      <w:r>
        <w:rPr>
          <w:sz w:val="20"/>
          <w:szCs w:val="20"/>
        </w:rPr>
        <w:t>0</w:t>
      </w:r>
      <w:r>
        <w:rPr>
          <w:sz w:val="20"/>
          <w:szCs w:val="20"/>
        </w:rPr>
        <w:t>% of insurance or condemnation proc</w:t>
      </w:r>
      <w:r>
        <w:rPr>
          <w:sz w:val="20"/>
          <w:szCs w:val="20"/>
        </w:rPr>
        <w:t>eeds, subject to customary reinvestment rights, where applicable. The 2021 Credit Facility also includes customary events of default and related acceleration and termination rights</w:t>
      </w:r>
      <w:r>
        <w:rPr>
          <w:sz w:val="20"/>
          <w:szCs w:val="20"/>
        </w:rPr>
        <w:t>.</w:t>
      </w:r>
    </w:p>
    <w:p w:rsidR="00000000" w:rsidRDefault="002D33E3">
      <w:pPr>
        <w:pStyle w:val="a3"/>
        <w:spacing w:before="240" w:beforeAutospacing="0" w:after="0" w:afterAutospacing="0"/>
        <w:ind w:firstLine="555"/>
        <w:divId w:val="541405204"/>
        <w:rPr>
          <w:sz w:val="20"/>
          <w:szCs w:val="20"/>
        </w:rPr>
      </w:pPr>
      <w:r>
        <w:rPr>
          <w:sz w:val="20"/>
          <w:szCs w:val="20"/>
        </w:rPr>
        <w:t>The weighted average interest rate on the 2021 Credit Facility for the thr</w:t>
      </w:r>
      <w:r>
        <w:rPr>
          <w:sz w:val="20"/>
          <w:szCs w:val="20"/>
        </w:rPr>
        <w:t>ee months ended March 31, 202</w:t>
      </w:r>
      <w:r>
        <w:rPr>
          <w:sz w:val="20"/>
          <w:szCs w:val="20"/>
        </w:rPr>
        <w:t>2</w:t>
      </w:r>
      <w:r>
        <w:rPr>
          <w:sz w:val="20"/>
          <w:szCs w:val="20"/>
        </w:rPr>
        <w:t xml:space="preserve"> was</w:t>
      </w:r>
      <w:r>
        <w:rPr>
          <w:sz w:val="20"/>
          <w:szCs w:val="20"/>
        </w:rPr>
        <w:t xml:space="preserve"> </w:t>
      </w:r>
      <w:r>
        <w:rPr>
          <w:sz w:val="20"/>
          <w:szCs w:val="20"/>
        </w:rPr>
        <w:t>1.</w:t>
      </w:r>
      <w:r>
        <w:rPr>
          <w:sz w:val="20"/>
          <w:szCs w:val="20"/>
        </w:rPr>
        <w:t>8</w:t>
      </w:r>
      <w:r>
        <w:rPr>
          <w:sz w:val="20"/>
          <w:szCs w:val="20"/>
        </w:rPr>
        <w:t>%</w:t>
      </w:r>
      <w:r>
        <w:rPr>
          <w:sz w:val="20"/>
          <w:szCs w:val="20"/>
        </w:rPr>
        <w:t>.</w:t>
      </w:r>
    </w:p>
    <w:p w:rsidR="00000000" w:rsidRDefault="002D33E3">
      <w:pPr>
        <w:pStyle w:val="a3"/>
        <w:spacing w:before="240" w:beforeAutospacing="0" w:after="0" w:afterAutospacing="0"/>
        <w:ind w:firstLine="555"/>
        <w:divId w:val="541405204"/>
        <w:rPr>
          <w:sz w:val="20"/>
          <w:szCs w:val="20"/>
        </w:rPr>
      </w:pPr>
      <w:r>
        <w:rPr>
          <w:sz w:val="20"/>
          <w:szCs w:val="20"/>
        </w:rPr>
        <w:t xml:space="preserve">The Company’s obligations under the 2021 Credit Facility are guaranteed by certain of the Company’s existing and future direct and indirect subsidiaries, and such obligations are secured by substantially all of the </w:t>
      </w:r>
      <w:r>
        <w:rPr>
          <w:sz w:val="20"/>
          <w:szCs w:val="20"/>
        </w:rPr>
        <w:t>Company’s assets, including the capital stock or other equity interests in those subsidiaries</w:t>
      </w:r>
      <w:r>
        <w:rPr>
          <w:sz w:val="20"/>
          <w:szCs w:val="20"/>
        </w:rPr>
        <w:t>.</w:t>
      </w:r>
    </w:p>
    <w:p w:rsidR="00000000" w:rsidRDefault="002D33E3">
      <w:pPr>
        <w:pStyle w:val="a3"/>
        <w:spacing w:before="240" w:beforeAutospacing="0" w:after="0" w:afterAutospacing="0"/>
        <w:ind w:firstLine="555"/>
        <w:divId w:val="541405204"/>
        <w:rPr>
          <w:sz w:val="20"/>
          <w:szCs w:val="20"/>
        </w:rPr>
      </w:pPr>
      <w:r>
        <w:rPr>
          <w:b/>
          <w:bCs/>
          <w:sz w:val="20"/>
          <w:szCs w:val="20"/>
        </w:rPr>
        <w:t>2020 Credit Facilit</w:t>
      </w:r>
      <w:r>
        <w:rPr>
          <w:b/>
          <w:bCs/>
          <w:sz w:val="20"/>
          <w:szCs w:val="20"/>
        </w:rPr>
        <w:t>y</w:t>
      </w:r>
      <w:r>
        <w:rPr>
          <w:sz w:val="20"/>
          <w:szCs w:val="20"/>
        </w:rPr>
        <w:t xml:space="preserve">—On April 13, 2020, the Company entered into a Unitranche Credit Agreement (the “2020 Credit Facility”) providing for a </w:t>
      </w:r>
      <w:r>
        <w:rPr>
          <w:sz w:val="20"/>
          <w:szCs w:val="20"/>
        </w:rPr>
        <w:t>$</w:t>
      </w:r>
      <w:r>
        <w:rPr>
          <w:sz w:val="20"/>
          <w:szCs w:val="20"/>
        </w:rPr>
        <w:t>225.</w:t>
      </w:r>
      <w:r>
        <w:rPr>
          <w:sz w:val="20"/>
          <w:szCs w:val="20"/>
        </w:rPr>
        <w:t>0</w:t>
      </w:r>
      <w:r>
        <w:rPr>
          <w:sz w:val="20"/>
          <w:szCs w:val="20"/>
        </w:rPr>
        <w:t xml:space="preserve"> million credit</w:t>
      </w:r>
      <w:r>
        <w:rPr>
          <w:sz w:val="20"/>
          <w:szCs w:val="20"/>
        </w:rPr>
        <w:t xml:space="preserve"> facility comprised of a </w:t>
      </w:r>
      <w:r>
        <w:rPr>
          <w:sz w:val="20"/>
          <w:szCs w:val="20"/>
        </w:rPr>
        <w:t>$</w:t>
      </w:r>
      <w:r>
        <w:rPr>
          <w:sz w:val="20"/>
          <w:szCs w:val="20"/>
        </w:rPr>
        <w:t>175.</w:t>
      </w:r>
      <w:r>
        <w:rPr>
          <w:sz w:val="20"/>
          <w:szCs w:val="20"/>
        </w:rPr>
        <w:t>0</w:t>
      </w:r>
      <w:r>
        <w:rPr>
          <w:sz w:val="20"/>
          <w:szCs w:val="20"/>
        </w:rPr>
        <w:t xml:space="preserve"> million term loan and a </w:t>
      </w:r>
      <w:r>
        <w:rPr>
          <w:sz w:val="20"/>
          <w:szCs w:val="20"/>
        </w:rPr>
        <w:t>$</w:t>
      </w:r>
      <w:r>
        <w:rPr>
          <w:sz w:val="20"/>
          <w:szCs w:val="20"/>
        </w:rPr>
        <w:t>50.</w:t>
      </w:r>
      <w:r>
        <w:rPr>
          <w:sz w:val="20"/>
          <w:szCs w:val="20"/>
        </w:rPr>
        <w:t>0</w:t>
      </w:r>
      <w:r>
        <w:rPr>
          <w:sz w:val="20"/>
          <w:szCs w:val="20"/>
        </w:rPr>
        <w:t xml:space="preserve"> million revolving credit facility and used the proceeds therefrom to repay all amounts outstanding under the prior senior secured credit facility. The 2020 Credit Facility maturity date was</w:t>
      </w:r>
      <w:r>
        <w:rPr>
          <w:sz w:val="20"/>
          <w:szCs w:val="20"/>
        </w:rPr>
        <w:t xml:space="preserve"> </w:t>
      </w:r>
      <w:r>
        <w:rPr>
          <w:sz w:val="20"/>
          <w:szCs w:val="20"/>
        </w:rPr>
        <w:t>Apri</w:t>
      </w:r>
      <w:r>
        <w:rPr>
          <w:sz w:val="20"/>
          <w:szCs w:val="20"/>
        </w:rPr>
        <w:t>l 202</w:t>
      </w:r>
      <w:r>
        <w:rPr>
          <w:sz w:val="20"/>
          <w:szCs w:val="20"/>
        </w:rPr>
        <w:t>5</w:t>
      </w:r>
      <w:r>
        <w:rPr>
          <w:sz w:val="20"/>
          <w:szCs w:val="20"/>
        </w:rPr>
        <w:t>. Effective October 6, 2020, the Company amended the 2020 Credit Facility to provide for a reduction on the applicable interest rate on the term loan from LIBOR plus</w:t>
      </w:r>
      <w:r>
        <w:rPr>
          <w:sz w:val="20"/>
          <w:szCs w:val="20"/>
        </w:rPr>
        <w:t xml:space="preserve"> </w:t>
      </w:r>
      <w:r>
        <w:rPr>
          <w:sz w:val="20"/>
          <w:szCs w:val="20"/>
        </w:rPr>
        <w:t>5.</w:t>
      </w:r>
      <w:r>
        <w:rPr>
          <w:sz w:val="20"/>
          <w:szCs w:val="20"/>
        </w:rPr>
        <w:t>0</w:t>
      </w:r>
      <w:r>
        <w:rPr>
          <w:sz w:val="20"/>
          <w:szCs w:val="20"/>
        </w:rPr>
        <w:t>% with a</w:t>
      </w:r>
      <w:r>
        <w:rPr>
          <w:sz w:val="20"/>
          <w:szCs w:val="20"/>
        </w:rPr>
        <w:t xml:space="preserve"> </w:t>
      </w:r>
      <w:r>
        <w:rPr>
          <w:sz w:val="20"/>
          <w:szCs w:val="20"/>
        </w:rPr>
        <w:t>1.</w:t>
      </w:r>
      <w:r>
        <w:rPr>
          <w:sz w:val="20"/>
          <w:szCs w:val="20"/>
        </w:rPr>
        <w:t>0</w:t>
      </w:r>
      <w:r>
        <w:rPr>
          <w:sz w:val="20"/>
          <w:szCs w:val="20"/>
        </w:rPr>
        <w:t>% LIBOR floor to LIBOR plus</w:t>
      </w:r>
      <w:r>
        <w:rPr>
          <w:sz w:val="20"/>
          <w:szCs w:val="20"/>
        </w:rPr>
        <w:t xml:space="preserve"> </w:t>
      </w:r>
      <w:r>
        <w:rPr>
          <w:sz w:val="20"/>
          <w:szCs w:val="20"/>
        </w:rPr>
        <w:t>4.</w:t>
      </w:r>
      <w:r>
        <w:rPr>
          <w:sz w:val="20"/>
          <w:szCs w:val="20"/>
        </w:rPr>
        <w:t>5</w:t>
      </w:r>
      <w:r>
        <w:rPr>
          <w:sz w:val="20"/>
          <w:szCs w:val="20"/>
        </w:rPr>
        <w:t>% with a</w:t>
      </w:r>
      <w:r>
        <w:rPr>
          <w:sz w:val="20"/>
          <w:szCs w:val="20"/>
        </w:rPr>
        <w:t xml:space="preserve"> </w:t>
      </w:r>
      <w:r>
        <w:rPr>
          <w:sz w:val="20"/>
          <w:szCs w:val="20"/>
        </w:rPr>
        <w:t>1.</w:t>
      </w:r>
      <w:r>
        <w:rPr>
          <w:sz w:val="20"/>
          <w:szCs w:val="20"/>
        </w:rPr>
        <w:t>0</w:t>
      </w:r>
      <w:r>
        <w:rPr>
          <w:sz w:val="20"/>
          <w:szCs w:val="20"/>
        </w:rPr>
        <w:t>% LIBOR floor. The revolve</w:t>
      </w:r>
      <w:r>
        <w:rPr>
          <w:sz w:val="20"/>
          <w:szCs w:val="20"/>
        </w:rPr>
        <w:t>r interest rate remained unchanged at LIBOR plus</w:t>
      </w:r>
      <w:r>
        <w:rPr>
          <w:sz w:val="20"/>
          <w:szCs w:val="20"/>
        </w:rPr>
        <w:t xml:space="preserve"> </w:t>
      </w:r>
      <w:r>
        <w:rPr>
          <w:sz w:val="20"/>
          <w:szCs w:val="20"/>
        </w:rPr>
        <w:t>5.</w:t>
      </w:r>
      <w:r>
        <w:rPr>
          <w:sz w:val="20"/>
          <w:szCs w:val="20"/>
        </w:rPr>
        <w:t>0</w:t>
      </w:r>
      <w:r>
        <w:rPr>
          <w:sz w:val="20"/>
          <w:szCs w:val="20"/>
        </w:rPr>
        <w:t>% with a</w:t>
      </w:r>
      <w:r>
        <w:rPr>
          <w:sz w:val="20"/>
          <w:szCs w:val="20"/>
        </w:rPr>
        <w:t xml:space="preserve"> </w:t>
      </w:r>
      <w:r>
        <w:rPr>
          <w:sz w:val="20"/>
          <w:szCs w:val="20"/>
        </w:rPr>
        <w:t>1.</w:t>
      </w:r>
      <w:r>
        <w:rPr>
          <w:sz w:val="20"/>
          <w:szCs w:val="20"/>
        </w:rPr>
        <w:t>0</w:t>
      </w:r>
      <w:r>
        <w:rPr>
          <w:sz w:val="20"/>
          <w:szCs w:val="20"/>
        </w:rPr>
        <w:t>% LIBOR floor. The revolver was also subject to an unused commitment fee of</w:t>
      </w:r>
      <w:r>
        <w:rPr>
          <w:sz w:val="20"/>
          <w:szCs w:val="20"/>
        </w:rPr>
        <w:t xml:space="preserve"> </w:t>
      </w:r>
      <w:r>
        <w:rPr>
          <w:sz w:val="20"/>
          <w:szCs w:val="20"/>
        </w:rPr>
        <w:t>0.3</w:t>
      </w:r>
      <w:r>
        <w:rPr>
          <w:sz w:val="20"/>
          <w:szCs w:val="20"/>
        </w:rPr>
        <w:t>5</w:t>
      </w:r>
      <w:r>
        <w:rPr>
          <w:sz w:val="20"/>
          <w:szCs w:val="20"/>
        </w:rPr>
        <w:t>%. The term loan had</w:t>
      </w:r>
      <w:r>
        <w:rPr>
          <w:sz w:val="20"/>
          <w:szCs w:val="20"/>
        </w:rPr>
        <w:t xml:space="preserve"> </w:t>
      </w:r>
      <w:r>
        <w:rPr>
          <w:sz w:val="20"/>
          <w:szCs w:val="20"/>
        </w:rPr>
        <w:t>quarterl</w:t>
      </w:r>
      <w:r>
        <w:rPr>
          <w:sz w:val="20"/>
          <w:szCs w:val="20"/>
        </w:rPr>
        <w:t>y</w:t>
      </w:r>
      <w:r>
        <w:rPr>
          <w:sz w:val="20"/>
          <w:szCs w:val="20"/>
        </w:rPr>
        <w:t xml:space="preserve"> repayments that started on September 30, 2020 of </w:t>
      </w:r>
      <w:r>
        <w:rPr>
          <w:sz w:val="20"/>
          <w:szCs w:val="20"/>
        </w:rPr>
        <w:t>$</w:t>
      </w:r>
      <w:r>
        <w:rPr>
          <w:sz w:val="20"/>
          <w:szCs w:val="20"/>
        </w:rPr>
        <w:t>0.</w:t>
      </w:r>
      <w:r>
        <w:rPr>
          <w:sz w:val="20"/>
          <w:szCs w:val="20"/>
        </w:rPr>
        <w:t>5</w:t>
      </w:r>
      <w:r>
        <w:rPr>
          <w:sz w:val="20"/>
          <w:szCs w:val="20"/>
        </w:rPr>
        <w:t xml:space="preserve"> million, increasing to </w:t>
      </w:r>
      <w:r>
        <w:rPr>
          <w:sz w:val="20"/>
          <w:szCs w:val="20"/>
        </w:rPr>
        <w:t>$</w:t>
      </w:r>
      <w:r>
        <w:rPr>
          <w:sz w:val="20"/>
          <w:szCs w:val="20"/>
        </w:rPr>
        <w:t>1.</w:t>
      </w:r>
      <w:r>
        <w:rPr>
          <w:sz w:val="20"/>
          <w:szCs w:val="20"/>
        </w:rPr>
        <w:t>1</w:t>
      </w:r>
      <w:r>
        <w:rPr>
          <w:sz w:val="20"/>
          <w:szCs w:val="20"/>
        </w:rPr>
        <w:t xml:space="preserve"> million on September 30, 2021 and further increasing to </w:t>
      </w:r>
      <w:r>
        <w:rPr>
          <w:sz w:val="20"/>
          <w:szCs w:val="20"/>
        </w:rPr>
        <w:t>$</w:t>
      </w:r>
      <w:r>
        <w:rPr>
          <w:sz w:val="20"/>
          <w:szCs w:val="20"/>
        </w:rPr>
        <w:t>1.</w:t>
      </w:r>
      <w:r>
        <w:rPr>
          <w:sz w:val="20"/>
          <w:szCs w:val="20"/>
        </w:rPr>
        <w:t>6</w:t>
      </w:r>
      <w:r>
        <w:rPr>
          <w:sz w:val="20"/>
          <w:szCs w:val="20"/>
        </w:rPr>
        <w:t xml:space="preserve"> million on September 30, 2022, with the remaining outstanding principal amount due on the maturity date</w:t>
      </w:r>
      <w:r>
        <w:rPr>
          <w:sz w:val="20"/>
          <w:szCs w:val="20"/>
        </w:rPr>
        <w:t>.</w:t>
      </w:r>
      <w:r>
        <w:rPr>
          <w:sz w:val="20"/>
          <w:szCs w:val="20"/>
        </w:rPr>
        <w:t xml:space="preserve"> </w:t>
      </w:r>
    </w:p>
    <w:p w:rsidR="00000000" w:rsidRDefault="002D33E3">
      <w:pPr>
        <w:pStyle w:val="a3"/>
        <w:spacing w:before="240" w:beforeAutospacing="0" w:after="0" w:afterAutospacing="0"/>
        <w:ind w:firstLine="555"/>
        <w:divId w:val="541405204"/>
        <w:rPr>
          <w:sz w:val="20"/>
          <w:szCs w:val="20"/>
        </w:rPr>
      </w:pPr>
      <w:r>
        <w:rPr>
          <w:sz w:val="20"/>
          <w:szCs w:val="20"/>
        </w:rPr>
        <w:t>The 2020 Credit Facility contained financial covenants requiring the Company to remain b</w:t>
      </w:r>
      <w:r>
        <w:rPr>
          <w:sz w:val="20"/>
          <w:szCs w:val="20"/>
        </w:rPr>
        <w:t>elow a maximum consolidated total leverage ratio of</w:t>
      </w:r>
      <w:r>
        <w:rPr>
          <w:sz w:val="20"/>
          <w:szCs w:val="20"/>
        </w:rPr>
        <w:t xml:space="preserve"> </w:t>
      </w:r>
      <w:r>
        <w:rPr>
          <w:sz w:val="20"/>
          <w:szCs w:val="20"/>
        </w:rPr>
        <w:t>4.2</w:t>
      </w:r>
      <w:r>
        <w:rPr>
          <w:sz w:val="20"/>
          <w:szCs w:val="20"/>
        </w:rPr>
        <w:t>5</w:t>
      </w:r>
      <w:r>
        <w:rPr>
          <w:sz w:val="20"/>
          <w:szCs w:val="20"/>
        </w:rPr>
        <w:t xml:space="preserve"> times, which would have stepped down to</w:t>
      </w:r>
      <w:r>
        <w:rPr>
          <w:sz w:val="20"/>
          <w:szCs w:val="20"/>
        </w:rPr>
        <w:t xml:space="preserve"> </w:t>
      </w:r>
      <w:r>
        <w:rPr>
          <w:sz w:val="20"/>
          <w:szCs w:val="20"/>
        </w:rPr>
        <w:t>4.0</w:t>
      </w:r>
      <w:r>
        <w:rPr>
          <w:sz w:val="20"/>
          <w:szCs w:val="20"/>
        </w:rPr>
        <w:t>0</w:t>
      </w:r>
      <w:r>
        <w:rPr>
          <w:sz w:val="20"/>
          <w:szCs w:val="20"/>
        </w:rPr>
        <w:t xml:space="preserve"> times beginning December 31, 2021 and then to</w:t>
      </w:r>
      <w:r>
        <w:rPr>
          <w:sz w:val="20"/>
          <w:szCs w:val="20"/>
        </w:rPr>
        <w:t xml:space="preserve"> </w:t>
      </w:r>
      <w:r>
        <w:rPr>
          <w:sz w:val="20"/>
          <w:szCs w:val="20"/>
        </w:rPr>
        <w:t>3.7</w:t>
      </w:r>
      <w:r>
        <w:rPr>
          <w:sz w:val="20"/>
          <w:szCs w:val="20"/>
        </w:rPr>
        <w:t>5</w:t>
      </w:r>
      <w:r>
        <w:rPr>
          <w:sz w:val="20"/>
          <w:szCs w:val="20"/>
        </w:rPr>
        <w:t xml:space="preserve"> times beginning December 31, 2022, and a minimum consolidated fixed charge coverage ratio of</w:t>
      </w:r>
      <w:r>
        <w:rPr>
          <w:sz w:val="20"/>
          <w:szCs w:val="20"/>
        </w:rPr>
        <w:t xml:space="preserve"> </w:t>
      </w:r>
      <w:r>
        <w:rPr>
          <w:sz w:val="20"/>
          <w:szCs w:val="20"/>
        </w:rPr>
        <w:t>1.2</w:t>
      </w:r>
      <w:r>
        <w:rPr>
          <w:sz w:val="20"/>
          <w:szCs w:val="20"/>
        </w:rPr>
        <w:t>5</w:t>
      </w:r>
      <w:r>
        <w:rPr>
          <w:sz w:val="20"/>
          <w:szCs w:val="20"/>
        </w:rPr>
        <w:t xml:space="preserve"> times</w:t>
      </w:r>
      <w:r>
        <w:rPr>
          <w:sz w:val="20"/>
          <w:szCs w:val="20"/>
        </w:rPr>
        <w:t>. As of</w:t>
      </w:r>
      <w:r>
        <w:rPr>
          <w:sz w:val="20"/>
          <w:szCs w:val="20"/>
        </w:rPr>
        <w:t xml:space="preserve"> </w:t>
      </w:r>
      <w:r>
        <w:rPr>
          <w:sz w:val="20"/>
          <w:szCs w:val="20"/>
        </w:rPr>
        <w:t>March 31, 202</w:t>
      </w:r>
      <w:r>
        <w:rPr>
          <w:sz w:val="20"/>
          <w:szCs w:val="20"/>
        </w:rPr>
        <w:t>1</w:t>
      </w:r>
      <w:r>
        <w:rPr>
          <w:sz w:val="20"/>
          <w:szCs w:val="20"/>
        </w:rPr>
        <w:t>, the Company’s consolidated total leverage ratio (as defined in the 2020 Credit Facility) was</w:t>
      </w:r>
      <w:r>
        <w:rPr>
          <w:sz w:val="20"/>
          <w:szCs w:val="20"/>
        </w:rPr>
        <w:t xml:space="preserve"> </w:t>
      </w:r>
      <w:r>
        <w:rPr>
          <w:sz w:val="20"/>
          <w:szCs w:val="20"/>
        </w:rPr>
        <w:t>3.</w:t>
      </w:r>
      <w:r>
        <w:rPr>
          <w:sz w:val="20"/>
          <w:szCs w:val="20"/>
        </w:rPr>
        <w:t>1</w:t>
      </w:r>
      <w:r>
        <w:rPr>
          <w:sz w:val="20"/>
          <w:szCs w:val="20"/>
        </w:rPr>
        <w:t xml:space="preserve"> times</w:t>
      </w:r>
      <w:r>
        <w:rPr>
          <w:sz w:val="20"/>
          <w:szCs w:val="20"/>
        </w:rPr>
        <w:t>.</w:t>
      </w:r>
      <w:r>
        <w:rPr>
          <w:sz w:val="20"/>
          <w:szCs w:val="20"/>
        </w:rPr>
        <w:t xml:space="preserve"> </w:t>
      </w:r>
    </w:p>
    <w:p w:rsidR="00000000" w:rsidRDefault="002D33E3">
      <w:pPr>
        <w:pStyle w:val="a3"/>
        <w:spacing w:before="240" w:beforeAutospacing="0" w:after="0" w:afterAutospacing="0"/>
        <w:ind w:firstLine="555"/>
        <w:divId w:val="541405204"/>
        <w:rPr>
          <w:sz w:val="20"/>
          <w:szCs w:val="20"/>
        </w:rPr>
      </w:pPr>
      <w:r>
        <w:rPr>
          <w:sz w:val="20"/>
          <w:szCs w:val="20"/>
        </w:rPr>
        <w:t>The weighted average interest rate on the 2020 Credit Facility for the three months ended March 31, 202</w:t>
      </w:r>
      <w:r>
        <w:rPr>
          <w:sz w:val="20"/>
          <w:szCs w:val="20"/>
        </w:rPr>
        <w:t>1</w:t>
      </w:r>
      <w:r>
        <w:rPr>
          <w:sz w:val="20"/>
          <w:szCs w:val="20"/>
        </w:rPr>
        <w:t xml:space="preserve"> was</w:t>
      </w:r>
      <w:r>
        <w:rPr>
          <w:sz w:val="20"/>
          <w:szCs w:val="20"/>
        </w:rPr>
        <w:t xml:space="preserve"> </w:t>
      </w:r>
      <w:r>
        <w:rPr>
          <w:sz w:val="20"/>
          <w:szCs w:val="20"/>
        </w:rPr>
        <w:t>5.</w:t>
      </w:r>
      <w:r>
        <w:rPr>
          <w:sz w:val="20"/>
          <w:szCs w:val="20"/>
        </w:rPr>
        <w:t>5</w:t>
      </w:r>
      <w:r>
        <w:rPr>
          <w:sz w:val="20"/>
          <w:szCs w:val="20"/>
        </w:rPr>
        <w:t>%</w:t>
      </w:r>
      <w:r>
        <w:rPr>
          <w:sz w:val="20"/>
          <w:szCs w:val="20"/>
        </w:rPr>
        <w:t>.</w:t>
      </w:r>
    </w:p>
    <w:p w:rsidR="00000000" w:rsidRDefault="002D33E3">
      <w:pPr>
        <w:pStyle w:val="a3"/>
        <w:spacing w:before="240" w:beforeAutospacing="0" w:after="0" w:afterAutospacing="0"/>
        <w:ind w:firstLine="555"/>
        <w:divId w:val="541405204"/>
        <w:rPr>
          <w:sz w:val="20"/>
          <w:szCs w:val="20"/>
        </w:rPr>
      </w:pPr>
      <w:r>
        <w:rPr>
          <w:b/>
          <w:bCs/>
          <w:sz w:val="20"/>
          <w:szCs w:val="20"/>
        </w:rPr>
        <w:t>Equipment Li</w:t>
      </w:r>
      <w:r>
        <w:rPr>
          <w:b/>
          <w:bCs/>
          <w:sz w:val="20"/>
          <w:szCs w:val="20"/>
        </w:rPr>
        <w:t>ne of Credi</w:t>
      </w:r>
      <w:r>
        <w:rPr>
          <w:b/>
          <w:bCs/>
          <w:sz w:val="20"/>
          <w:szCs w:val="20"/>
        </w:rPr>
        <w:t>t</w:t>
      </w:r>
      <w:r>
        <w:rPr>
          <w:sz w:val="20"/>
          <w:szCs w:val="20"/>
        </w:rPr>
        <w:t>—</w:t>
      </w:r>
      <w:r>
        <w:rPr>
          <w:sz w:val="20"/>
          <w:szCs w:val="20"/>
        </w:rPr>
        <w:t xml:space="preserve">In the first quarter of 2022, the Company entered into a new </w:t>
      </w:r>
      <w:r>
        <w:rPr>
          <w:sz w:val="20"/>
          <w:szCs w:val="20"/>
        </w:rPr>
        <w:t>$</w:t>
      </w:r>
      <w:r>
        <w:rPr>
          <w:sz w:val="20"/>
          <w:szCs w:val="20"/>
        </w:rPr>
        <w:t>10.</w:t>
      </w:r>
      <w:r>
        <w:rPr>
          <w:sz w:val="20"/>
          <w:szCs w:val="20"/>
        </w:rPr>
        <w:t>0</w:t>
      </w:r>
      <w:r>
        <w:rPr>
          <w:sz w:val="20"/>
          <w:szCs w:val="20"/>
        </w:rPr>
        <w:t xml:space="preserve"> million equipment leasing facility for the purchase of equipment and related freight, installation costs and taxes paid. Any unused capacity on this equipment leasing facility </w:t>
      </w:r>
      <w:r>
        <w:rPr>
          <w:sz w:val="20"/>
          <w:szCs w:val="20"/>
        </w:rPr>
        <w:t>expires on</w:t>
      </w:r>
      <w:r>
        <w:rPr>
          <w:sz w:val="20"/>
          <w:szCs w:val="20"/>
        </w:rPr>
        <w:t xml:space="preserve"> </w:t>
      </w:r>
      <w:r>
        <w:rPr>
          <w:sz w:val="20"/>
          <w:szCs w:val="20"/>
        </w:rPr>
        <w:t>December 30, 202</w:t>
      </w:r>
      <w:r>
        <w:rPr>
          <w:sz w:val="20"/>
          <w:szCs w:val="20"/>
        </w:rPr>
        <w:t>2</w:t>
      </w:r>
      <w:r>
        <w:rPr>
          <w:sz w:val="20"/>
          <w:szCs w:val="20"/>
        </w:rPr>
        <w:t>. Interest on the line of credit is determined based on a three-year swap rate at the time of funding. Equipment leased through this line of credit meets the finance lease criteria as per ASC 842 and accordingly is accounted for</w:t>
      </w:r>
      <w:r>
        <w:rPr>
          <w:sz w:val="20"/>
          <w:szCs w:val="20"/>
        </w:rPr>
        <w:t xml:space="preserve"> as finance lease right-of-use assets and a finance lease liabilities (Note 6)</w:t>
      </w:r>
      <w:r>
        <w:rPr>
          <w:sz w:val="20"/>
          <w:szCs w:val="20"/>
        </w:rPr>
        <w:t>.</w:t>
      </w:r>
    </w:p>
    <w:p w:rsidR="00000000" w:rsidRDefault="002D33E3">
      <w:pPr>
        <w:pStyle w:val="a3"/>
        <w:spacing w:before="240" w:beforeAutospacing="0" w:after="0" w:afterAutospacing="0"/>
        <w:ind w:firstLine="555"/>
        <w:divId w:val="154497263"/>
        <w:rPr>
          <w:sz w:val="20"/>
          <w:szCs w:val="20"/>
        </w:rPr>
      </w:pPr>
      <w:r>
        <w:rPr>
          <w:sz w:val="20"/>
          <w:szCs w:val="20"/>
        </w:rPr>
        <w:t>The following is a schedule of the aggregate annual maturities of long-term debt presented on the unaudited condensed consolidated statement of financial position, based on the</w:t>
      </w:r>
      <w:r>
        <w:rPr>
          <w:sz w:val="20"/>
          <w:szCs w:val="20"/>
        </w:rPr>
        <w:t xml:space="preserve"> terms of the 2021 Credit Facility</w:t>
      </w:r>
      <w:r>
        <w:rPr>
          <w:sz w:val="20"/>
          <w:szCs w:val="20"/>
        </w:rPr>
        <w:t>:</w:t>
      </w:r>
    </w:p>
    <w:p w:rsidR="00000000" w:rsidRDefault="002D33E3">
      <w:pPr>
        <w:pStyle w:val="a3"/>
        <w:spacing w:before="0" w:beforeAutospacing="0" w:after="0" w:afterAutospacing="0"/>
        <w:ind w:firstLine="555"/>
        <w:divId w:val="154497263"/>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5138"/>
        <w:gridCol w:w="133"/>
        <w:gridCol w:w="150"/>
        <w:gridCol w:w="1104"/>
        <w:gridCol w:w="120"/>
      </w:tblGrid>
      <w:tr w:rsidR="00000000">
        <w:trPr>
          <w:divId w:val="154497263"/>
          <w:tblCellSpacing w:w="15" w:type="dxa"/>
        </w:trPr>
        <w:tc>
          <w:tcPr>
            <w:tcW w:w="3945" w:type="pct"/>
            <w:vAlign w:val="center"/>
            <w:hideMark/>
          </w:tcPr>
          <w:p w:rsidR="00000000" w:rsidRDefault="002D33E3">
            <w:pPr>
              <w:rPr>
                <w:sz w:val="20"/>
                <w:szCs w:val="20"/>
              </w:rPr>
            </w:pPr>
          </w:p>
        </w:tc>
        <w:tc>
          <w:tcPr>
            <w:tcW w:w="89" w:type="pct"/>
            <w:vAlign w:val="center"/>
            <w:hideMark/>
          </w:tcPr>
          <w:p w:rsidR="00000000" w:rsidRDefault="002D33E3">
            <w:pPr>
              <w:rPr>
                <w:rFonts w:eastAsia="Times New Roman"/>
                <w:sz w:val="20"/>
                <w:szCs w:val="20"/>
              </w:rPr>
            </w:pPr>
          </w:p>
        </w:tc>
        <w:tc>
          <w:tcPr>
            <w:tcW w:w="77" w:type="pct"/>
            <w:vAlign w:val="center"/>
            <w:hideMark/>
          </w:tcPr>
          <w:p w:rsidR="00000000" w:rsidRDefault="002D33E3">
            <w:pPr>
              <w:rPr>
                <w:rFonts w:eastAsia="Times New Roman"/>
                <w:sz w:val="20"/>
                <w:szCs w:val="20"/>
              </w:rPr>
            </w:pPr>
          </w:p>
        </w:tc>
        <w:tc>
          <w:tcPr>
            <w:tcW w:w="838" w:type="pct"/>
            <w:vAlign w:val="center"/>
            <w:hideMark/>
          </w:tcPr>
          <w:p w:rsidR="00000000" w:rsidRDefault="002D33E3">
            <w:pPr>
              <w:rPr>
                <w:rFonts w:eastAsia="Times New Roman"/>
                <w:sz w:val="20"/>
                <w:szCs w:val="20"/>
              </w:rPr>
            </w:pPr>
          </w:p>
        </w:tc>
        <w:tc>
          <w:tcPr>
            <w:tcW w:w="47" w:type="pct"/>
            <w:vAlign w:val="center"/>
            <w:hideMark/>
          </w:tcPr>
          <w:p w:rsidR="00000000" w:rsidRDefault="002D33E3">
            <w:pPr>
              <w:rPr>
                <w:rFonts w:eastAsia="Times New Roman"/>
                <w:sz w:val="20"/>
                <w:szCs w:val="20"/>
              </w:rPr>
            </w:pPr>
          </w:p>
        </w:tc>
      </w:tr>
      <w:tr w:rsidR="00000000">
        <w:trPr>
          <w:divId w:val="154497263"/>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5449726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202</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8,75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449726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202</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13,12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449726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202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13,12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449726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202</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17,50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449726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202</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118,12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449726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170,62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ind w:firstLine="555"/>
        <w:rPr>
          <w:sz w:val="20"/>
          <w:szCs w:val="20"/>
        </w:rPr>
      </w:pPr>
      <w:r>
        <w:rPr>
          <w:sz w:val="20"/>
          <w:szCs w:val="20"/>
        </w:rPr>
        <w:t> </w:t>
      </w:r>
    </w:p>
    <w:p w:rsidR="00000000" w:rsidRDefault="002D33E3">
      <w:pPr>
        <w:pStyle w:val="a3"/>
        <w:spacing w:before="240" w:beforeAutospacing="0" w:after="0" w:afterAutospacing="0"/>
        <w:jc w:val="center"/>
        <w:rPr>
          <w:sz w:val="20"/>
          <w:szCs w:val="20"/>
        </w:rPr>
      </w:pPr>
      <w:r>
        <w:rPr>
          <w:sz w:val="20"/>
          <w:szCs w:val="20"/>
        </w:rPr>
        <w:t>1</w:t>
      </w:r>
      <w:r>
        <w:rPr>
          <w:sz w:val="20"/>
          <w:szCs w:val="20"/>
        </w:rPr>
        <w:t>7</w:t>
      </w:r>
    </w:p>
    <w:p w:rsidR="00000000" w:rsidRDefault="002D33E3">
      <w:pPr>
        <w:rPr>
          <w:rFonts w:eastAsia="Times New Roman"/>
        </w:rPr>
      </w:pPr>
      <w:r>
        <w:rPr>
          <w:rFonts w:eastAsia="Times New Roman"/>
        </w:rPr>
        <w:pict>
          <v:rect id="_x0000_i1043"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divId w:val="1540045717"/>
        <w:rPr>
          <w:sz w:val="20"/>
          <w:szCs w:val="20"/>
        </w:rPr>
      </w:pPr>
      <w:r>
        <w:rPr>
          <w:b/>
          <w:bCs/>
          <w:sz w:val="20"/>
          <w:szCs w:val="20"/>
        </w:rPr>
        <w:t>13. FAIR VALUE OF FINANCIAL INSTRUMENT</w:t>
      </w:r>
      <w:r>
        <w:rPr>
          <w:b/>
          <w:bCs/>
          <w:sz w:val="20"/>
          <w:szCs w:val="20"/>
        </w:rPr>
        <w:t>S</w:t>
      </w:r>
    </w:p>
    <w:p w:rsidR="00000000" w:rsidRDefault="002D33E3">
      <w:pPr>
        <w:pStyle w:val="a3"/>
        <w:spacing w:before="240" w:beforeAutospacing="0" w:after="0" w:afterAutospacing="0"/>
        <w:ind w:firstLine="555"/>
        <w:divId w:val="14312165"/>
        <w:rPr>
          <w:sz w:val="20"/>
          <w:szCs w:val="20"/>
        </w:rPr>
      </w:pPr>
      <w:r>
        <w:rPr>
          <w:sz w:val="20"/>
          <w:szCs w:val="20"/>
        </w:rPr>
        <w:t>The following financial instruments are measured at fair value on a recurring basis using significant unobservable inputs (Level 3)</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056"/>
        <w:gridCol w:w="105"/>
        <w:gridCol w:w="150"/>
        <w:gridCol w:w="983"/>
        <w:gridCol w:w="105"/>
        <w:gridCol w:w="105"/>
        <w:gridCol w:w="151"/>
        <w:gridCol w:w="1039"/>
        <w:gridCol w:w="120"/>
      </w:tblGrid>
      <w:tr w:rsidR="00000000">
        <w:trPr>
          <w:divId w:val="14312165"/>
          <w:tblCellSpacing w:w="15" w:type="dxa"/>
        </w:trPr>
        <w:tc>
          <w:tcPr>
            <w:tcW w:w="2749" w:type="pct"/>
            <w:vAlign w:val="center"/>
            <w:hideMark/>
          </w:tcPr>
          <w:p w:rsidR="00000000" w:rsidRDefault="002D33E3">
            <w:pPr>
              <w:rPr>
                <w:sz w:val="20"/>
                <w:szCs w:val="20"/>
              </w:rPr>
            </w:pPr>
          </w:p>
        </w:tc>
        <w:tc>
          <w:tcPr>
            <w:tcW w:w="80"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891"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c>
          <w:tcPr>
            <w:tcW w:w="80"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942"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r>
      <w:tr w:rsidR="00000000">
        <w:trPr>
          <w:divId w:val="14312165"/>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4312165"/>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43121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Interest rate swa</w:t>
            </w:r>
            <w:r>
              <w:rPr>
                <w:sz w:val="18"/>
                <w:szCs w:val="18"/>
              </w:rPr>
              <w:t>p</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3121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Total asset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312165"/>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43121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Business acquisitions contingent consideration, </w:t>
            </w:r>
            <w:r>
              <w:rPr>
                <w:sz w:val="18"/>
                <w:szCs w:val="18"/>
              </w:rPr>
              <w:br/>
              <w:t>   curren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1,42</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31,45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3121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Business acquisitions contingent consideration, </w:t>
            </w:r>
            <w:r>
              <w:rPr>
                <w:sz w:val="18"/>
                <w:szCs w:val="18"/>
              </w:rPr>
              <w:br/>
              <w:t>   long-ter</w:t>
            </w:r>
            <w:r>
              <w:rPr>
                <w:sz w:val="18"/>
                <w:szCs w:val="18"/>
              </w:rPr>
              <w:t>m</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5,56</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4,35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3121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Conversion optio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23,63</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23,08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3121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Total liabilitie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30,63</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58,88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1540045717"/>
        <w:rPr>
          <w:sz w:val="20"/>
          <w:szCs w:val="20"/>
        </w:rPr>
      </w:pPr>
      <w:r>
        <w:rPr>
          <w:sz w:val="20"/>
          <w:szCs w:val="20"/>
        </w:rPr>
        <w:t>The estimated fair value amounts shown above are not necessarily indicative of the amounts that the Company would realize upon disposition, nor do they indicate the Company’s intent or ability to dispose of the financial instrument</w:t>
      </w:r>
      <w:r>
        <w:rPr>
          <w:sz w:val="20"/>
          <w:szCs w:val="20"/>
        </w:rPr>
        <w:t>.</w:t>
      </w:r>
    </w:p>
    <w:p w:rsidR="00000000" w:rsidRDefault="002D33E3">
      <w:pPr>
        <w:pStyle w:val="a3"/>
        <w:spacing w:before="240" w:beforeAutospacing="0" w:after="0" w:afterAutospacing="0"/>
        <w:ind w:firstLine="555"/>
        <w:divId w:val="1971128670"/>
        <w:rPr>
          <w:sz w:val="20"/>
          <w:szCs w:val="20"/>
        </w:rPr>
      </w:pPr>
      <w:r>
        <w:rPr>
          <w:sz w:val="20"/>
          <w:szCs w:val="20"/>
        </w:rPr>
        <w:t>The following table set</w:t>
      </w:r>
      <w:r>
        <w:rPr>
          <w:sz w:val="20"/>
          <w:szCs w:val="20"/>
        </w:rPr>
        <w:t>s forth the Company’s financial instruments that were measured at fair value on a recurring basis</w:t>
      </w:r>
      <w:r>
        <w:rPr>
          <w:sz w:val="20"/>
          <w:szCs w:val="20"/>
        </w:rPr>
        <w:t>:</w:t>
      </w:r>
    </w:p>
    <w:p w:rsidR="00000000" w:rsidRDefault="002D33E3">
      <w:pPr>
        <w:pStyle w:val="a3"/>
        <w:spacing w:before="0" w:beforeAutospacing="0" w:after="0" w:afterAutospacing="0"/>
        <w:ind w:firstLine="555"/>
        <w:divId w:val="197112867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1"/>
        <w:gridCol w:w="151"/>
        <w:gridCol w:w="549"/>
        <w:gridCol w:w="105"/>
        <w:gridCol w:w="105"/>
        <w:gridCol w:w="150"/>
        <w:gridCol w:w="465"/>
        <w:gridCol w:w="105"/>
        <w:gridCol w:w="105"/>
        <w:gridCol w:w="151"/>
        <w:gridCol w:w="1055"/>
        <w:gridCol w:w="120"/>
        <w:gridCol w:w="105"/>
        <w:gridCol w:w="151"/>
        <w:gridCol w:w="1105"/>
        <w:gridCol w:w="105"/>
        <w:gridCol w:w="105"/>
        <w:gridCol w:w="151"/>
        <w:gridCol w:w="816"/>
        <w:gridCol w:w="105"/>
        <w:gridCol w:w="105"/>
        <w:gridCol w:w="167"/>
        <w:gridCol w:w="664"/>
        <w:gridCol w:w="135"/>
      </w:tblGrid>
      <w:tr w:rsidR="00000000">
        <w:trPr>
          <w:divId w:val="1971128670"/>
          <w:tblCellSpacing w:w="15" w:type="dxa"/>
        </w:trPr>
        <w:tc>
          <w:tcPr>
            <w:tcW w:w="1469" w:type="pct"/>
            <w:vAlign w:val="center"/>
            <w:hideMark/>
          </w:tcPr>
          <w:p w:rsidR="00000000" w:rsidRDefault="002D33E3">
            <w:pPr>
              <w:rPr>
                <w:sz w:val="20"/>
                <w:szCs w:val="20"/>
              </w:rPr>
            </w:pPr>
          </w:p>
        </w:tc>
        <w:tc>
          <w:tcPr>
            <w:tcW w:w="54" w:type="pct"/>
            <w:vAlign w:val="center"/>
            <w:hideMark/>
          </w:tcPr>
          <w:p w:rsidR="00000000" w:rsidRDefault="002D33E3">
            <w:pPr>
              <w:rPr>
                <w:rFonts w:eastAsia="Times New Roman"/>
                <w:sz w:val="20"/>
                <w:szCs w:val="20"/>
              </w:rPr>
            </w:pPr>
          </w:p>
        </w:tc>
        <w:tc>
          <w:tcPr>
            <w:tcW w:w="350"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322"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00"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50"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450"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100" w:type="pct"/>
            <w:vAlign w:val="center"/>
            <w:hideMark/>
          </w:tcPr>
          <w:p w:rsidR="00000000" w:rsidRDefault="002D33E3">
            <w:pPr>
              <w:rPr>
                <w:rFonts w:eastAsia="Times New Roman"/>
                <w:sz w:val="20"/>
                <w:szCs w:val="20"/>
              </w:rPr>
            </w:pPr>
          </w:p>
        </w:tc>
        <w:tc>
          <w:tcPr>
            <w:tcW w:w="466" w:type="pct"/>
            <w:vAlign w:val="center"/>
            <w:hideMark/>
          </w:tcPr>
          <w:p w:rsidR="00000000" w:rsidRDefault="002D33E3">
            <w:pPr>
              <w:rPr>
                <w:rFonts w:eastAsia="Times New Roman"/>
                <w:sz w:val="20"/>
                <w:szCs w:val="20"/>
              </w:rPr>
            </w:pPr>
          </w:p>
        </w:tc>
        <w:tc>
          <w:tcPr>
            <w:tcW w:w="36" w:type="pct"/>
            <w:vAlign w:val="center"/>
            <w:hideMark/>
          </w:tcPr>
          <w:p w:rsidR="00000000" w:rsidRDefault="002D33E3">
            <w:pPr>
              <w:rPr>
                <w:rFonts w:eastAsia="Times New Roman"/>
                <w:sz w:val="20"/>
                <w:szCs w:val="20"/>
              </w:rPr>
            </w:pPr>
          </w:p>
        </w:tc>
      </w:tr>
      <w:tr w:rsidR="00000000">
        <w:trPr>
          <w:divId w:val="1971128670"/>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Interest </w:t>
            </w:r>
            <w:r>
              <w:rPr>
                <w:b/>
                <w:bCs/>
                <w:sz w:val="18"/>
                <w:szCs w:val="18"/>
              </w:rPr>
              <w:br/>
              <w:t xml:space="preserve">Rate </w:t>
            </w:r>
            <w:r>
              <w:rPr>
                <w:b/>
                <w:bCs/>
                <w:sz w:val="18"/>
                <w:szCs w:val="18"/>
              </w:rPr>
              <w:br/>
              <w:t>Swa</w:t>
            </w:r>
            <w:r>
              <w:rPr>
                <w:b/>
                <w:bCs/>
                <w:sz w:val="18"/>
                <w:szCs w:val="18"/>
              </w:rPr>
              <w:t>p</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Total </w:t>
            </w:r>
            <w:r>
              <w:rPr>
                <w:b/>
                <w:bCs/>
                <w:sz w:val="18"/>
                <w:szCs w:val="18"/>
              </w:rPr>
              <w:br/>
              <w:t>Asset</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Business </w:t>
            </w:r>
            <w:r>
              <w:rPr>
                <w:b/>
                <w:bCs/>
                <w:sz w:val="18"/>
                <w:szCs w:val="18"/>
              </w:rPr>
              <w:br/>
              <w:t>Acquisitions</w:t>
            </w:r>
            <w:r>
              <w:rPr>
                <w:b/>
                <w:bCs/>
                <w:sz w:val="18"/>
                <w:szCs w:val="18"/>
              </w:rPr>
              <w:br/>
              <w:t>Contingent</w:t>
            </w:r>
            <w:r>
              <w:rPr>
                <w:b/>
                <w:bCs/>
                <w:sz w:val="18"/>
                <w:szCs w:val="18"/>
              </w:rPr>
              <w:br/>
              <w:t>Consideration,</w:t>
            </w:r>
            <w:r>
              <w:rPr>
                <w:b/>
                <w:bCs/>
                <w:sz w:val="18"/>
                <w:szCs w:val="18"/>
              </w:rPr>
              <w:br/>
              <w:t>Curren</w:t>
            </w:r>
            <w:r>
              <w:rPr>
                <w:b/>
                <w:bCs/>
                <w:sz w:val="18"/>
                <w:szCs w:val="18"/>
              </w:rPr>
              <w:t>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Business</w:t>
            </w:r>
            <w:r>
              <w:rPr>
                <w:b/>
                <w:bCs/>
                <w:sz w:val="18"/>
                <w:szCs w:val="18"/>
              </w:rPr>
              <w:br/>
              <w:t> </w:t>
            </w:r>
            <w:r>
              <w:rPr>
                <w:b/>
                <w:bCs/>
                <w:sz w:val="18"/>
                <w:szCs w:val="18"/>
              </w:rPr>
              <w:t>Acquisitions</w:t>
            </w:r>
            <w:r>
              <w:rPr>
                <w:b/>
                <w:bCs/>
                <w:sz w:val="18"/>
                <w:szCs w:val="18"/>
              </w:rPr>
              <w:br/>
              <w:t> Contingent</w:t>
            </w:r>
            <w:r>
              <w:rPr>
                <w:b/>
                <w:bCs/>
                <w:sz w:val="18"/>
                <w:szCs w:val="18"/>
              </w:rPr>
              <w:br/>
              <w:t> Consideration,</w:t>
            </w:r>
            <w:r>
              <w:rPr>
                <w:b/>
                <w:bCs/>
                <w:sz w:val="18"/>
                <w:szCs w:val="18"/>
              </w:rPr>
              <w:br/>
              <w:t> Long-ter</w:t>
            </w:r>
            <w:r>
              <w:rPr>
                <w:b/>
                <w:bCs/>
                <w:sz w:val="18"/>
                <w:szCs w:val="18"/>
              </w:rPr>
              <w:t>m</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Conversion </w:t>
            </w:r>
            <w:r>
              <w:rPr>
                <w:b/>
                <w:bCs/>
                <w:sz w:val="18"/>
                <w:szCs w:val="18"/>
              </w:rPr>
              <w:br/>
              <w:t>Optio</w:t>
            </w:r>
            <w:r>
              <w:rPr>
                <w:b/>
                <w:bCs/>
                <w:sz w:val="18"/>
                <w:szCs w:val="18"/>
              </w:rPr>
              <w:t>n</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Total </w:t>
            </w:r>
            <w:r>
              <w:rPr>
                <w:b/>
                <w:bCs/>
                <w:sz w:val="18"/>
                <w:szCs w:val="18"/>
              </w:rPr>
              <w:br/>
              <w:t>Liabilitie</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9711286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Balance—at January 1, 202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49,90</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4,56</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20,88</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75,35</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11286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Acquisition</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1,80</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1,80</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11286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Changes in fair value included in earning</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46</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10,60</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60</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11,66</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11286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Balance—at March 31, 202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50,36</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16,97</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21,48</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88,82</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11286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9711286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Balance—at January 1, 202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31,45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4,35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23,08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58,88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11286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Acquisition</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1,21</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1,21</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11286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Changes in fair value included in earning</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55</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53</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11286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Payment of contingent consideration</w:t>
            </w:r>
            <w:r>
              <w:rPr>
                <w:sz w:val="18"/>
                <w:szCs w:val="18"/>
              </w:rPr>
              <w:br/>
              <w:t>       payabl</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30,00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30,00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1971128670"/>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Balance—at March 31, 202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1,42</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5,56</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23,63</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30,63</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1540045717"/>
        <w:rPr>
          <w:sz w:val="20"/>
          <w:szCs w:val="20"/>
        </w:rPr>
      </w:pPr>
      <w:r>
        <w:rPr>
          <w:b/>
          <w:bCs/>
          <w:sz w:val="20"/>
          <w:szCs w:val="20"/>
        </w:rPr>
        <w:t>Quantitative Information about Assets and Liabilities Measured at Fair Value on a Recurring Basis Using Significant Unobservable Inputs (Level 3)</w:t>
      </w:r>
      <w:r>
        <w:rPr>
          <w:b/>
          <w:bCs/>
          <w:sz w:val="20"/>
          <w:szCs w:val="20"/>
        </w:rPr>
        <w:t>:</w:t>
      </w:r>
    </w:p>
    <w:p w:rsidR="00000000" w:rsidRDefault="002D33E3">
      <w:pPr>
        <w:pStyle w:val="a3"/>
        <w:spacing w:before="240" w:beforeAutospacing="0" w:after="0" w:afterAutospacing="0"/>
        <w:ind w:firstLine="555"/>
        <w:divId w:val="1540045717"/>
        <w:rPr>
          <w:sz w:val="20"/>
          <w:szCs w:val="20"/>
        </w:rPr>
      </w:pPr>
      <w:r>
        <w:rPr>
          <w:b/>
          <w:bCs/>
          <w:i/>
          <w:iCs/>
          <w:sz w:val="20"/>
          <w:szCs w:val="20"/>
        </w:rPr>
        <w:t>Interest Rate Swa</w:t>
      </w:r>
      <w:r>
        <w:rPr>
          <w:b/>
          <w:bCs/>
          <w:i/>
          <w:iCs/>
          <w:sz w:val="20"/>
          <w:szCs w:val="20"/>
        </w:rPr>
        <w:t>p</w:t>
      </w:r>
      <w:r>
        <w:rPr>
          <w:sz w:val="20"/>
          <w:szCs w:val="20"/>
        </w:rPr>
        <w:t>—The interest rate swap fair value is estimated based on a mid-market price for the swap as</w:t>
      </w:r>
      <w:r>
        <w:rPr>
          <w:sz w:val="20"/>
          <w:szCs w:val="20"/>
        </w:rPr>
        <w:t xml:space="preserve"> of the close of business of the reporting period. The fair value is prepared by discounting future cash flows of the swap to arrive at a current value of the swap. Forward curves and volatility levels inputs are determined on the basis of observable marke</w:t>
      </w:r>
      <w:r>
        <w:rPr>
          <w:sz w:val="20"/>
          <w:szCs w:val="20"/>
        </w:rPr>
        <w:t>t inputs when available and on the basis of estimates when observable market inputs are not available. The Company does not apply hedge accounting but instead recognizes the instrument at fair value on the unaudited condensed consolidated statement of fina</w:t>
      </w:r>
      <w:r>
        <w:rPr>
          <w:sz w:val="20"/>
          <w:szCs w:val="20"/>
        </w:rPr>
        <w:t xml:space="preserve">ncial position within other assets, with changes in fair value recognized in earnings in each reporting period. The change in fair value of </w:t>
      </w:r>
      <w:r>
        <w:rPr>
          <w:sz w:val="20"/>
          <w:szCs w:val="20"/>
        </w:rPr>
        <w:t>$</w:t>
      </w:r>
      <w:r>
        <w:rPr>
          <w:sz w:val="20"/>
          <w:szCs w:val="20"/>
        </w:rPr>
        <w:t>3.</w:t>
      </w:r>
      <w:r>
        <w:rPr>
          <w:sz w:val="20"/>
          <w:szCs w:val="20"/>
        </w:rPr>
        <w:t>0</w:t>
      </w:r>
      <w:r>
        <w:rPr>
          <w:sz w:val="20"/>
          <w:szCs w:val="20"/>
        </w:rPr>
        <w:t xml:space="preserve"> million as of March 31, 2022 was recognized as a component of</w:t>
      </w:r>
      <w:r>
        <w:rPr>
          <w:sz w:val="20"/>
          <w:szCs w:val="20"/>
        </w:rPr>
        <w:t xml:space="preserve"> </w:t>
      </w:r>
      <w:r>
        <w:rPr>
          <w:sz w:val="20"/>
          <w:szCs w:val="20"/>
        </w:rPr>
        <w:t>other expens</w:t>
      </w:r>
      <w:r>
        <w:rPr>
          <w:sz w:val="20"/>
          <w:szCs w:val="20"/>
        </w:rPr>
        <w:t>e</w:t>
      </w:r>
      <w:r>
        <w:rPr>
          <w:sz w:val="20"/>
          <w:szCs w:val="20"/>
        </w:rPr>
        <w:t xml:space="preserve"> on the Company's unaudited condense</w:t>
      </w:r>
      <w:r>
        <w:rPr>
          <w:sz w:val="20"/>
          <w:szCs w:val="20"/>
        </w:rPr>
        <w:t>d consolidated statements of operations</w:t>
      </w:r>
      <w:r>
        <w:rPr>
          <w:sz w:val="20"/>
          <w:szCs w:val="20"/>
        </w:rPr>
        <w:t>.</w:t>
      </w:r>
    </w:p>
    <w:p w:rsidR="00000000" w:rsidRDefault="002D33E3">
      <w:pPr>
        <w:pStyle w:val="a3"/>
        <w:spacing w:before="240" w:beforeAutospacing="0" w:after="0" w:afterAutospacing="0"/>
        <w:ind w:firstLine="555"/>
        <w:divId w:val="1540045717"/>
        <w:rPr>
          <w:sz w:val="20"/>
          <w:szCs w:val="20"/>
        </w:rPr>
      </w:pPr>
      <w:r>
        <w:rPr>
          <w:b/>
          <w:bCs/>
          <w:i/>
          <w:iCs/>
          <w:sz w:val="20"/>
          <w:szCs w:val="20"/>
        </w:rPr>
        <w:t>Business Acquisitions Contingent Consideratio</w:t>
      </w:r>
      <w:r>
        <w:rPr>
          <w:b/>
          <w:bCs/>
          <w:i/>
          <w:iCs/>
          <w:sz w:val="20"/>
          <w:szCs w:val="20"/>
        </w:rPr>
        <w:t>n</w:t>
      </w:r>
      <w:r>
        <w:rPr>
          <w:sz w:val="20"/>
          <w:szCs w:val="20"/>
        </w:rPr>
        <w:t>—The fair value of the contingent consideration payable associated with the acquisition of CTEH, MSE and Sensible was determined using a Monte Carlo simulation of earnin</w:t>
      </w:r>
      <w:r>
        <w:rPr>
          <w:sz w:val="20"/>
          <w:szCs w:val="20"/>
        </w:rPr>
        <w:t>gs in a risk-neutral Geometric Brownian Motion framework. The fair value of the contingent consideration payable associated with the acquisition of EnvStd was determined using a Probabilistic (Scenario Based) method. The fair values of the contingent consi</w:t>
      </w:r>
      <w:r>
        <w:rPr>
          <w:sz w:val="20"/>
          <w:szCs w:val="20"/>
        </w:rPr>
        <w:t xml:space="preserve">deration payables for the other acquisitions were calculated based on expected target achievement amounts, which are measured quarterly and then subsequently adjusted to actuals at the target measurement date. The method used to price these liabilities is </w:t>
      </w:r>
      <w:r>
        <w:rPr>
          <w:sz w:val="20"/>
          <w:szCs w:val="20"/>
        </w:rPr>
        <w:t>considered level 3 due to the subjective nature of the unobservable inputs used to determine the fair value. The input is the expected achievement of earn-out thresholds</w:t>
      </w:r>
      <w:r>
        <w:rPr>
          <w:sz w:val="20"/>
          <w:szCs w:val="20"/>
        </w:rPr>
        <w:t>.</w:t>
      </w:r>
    </w:p>
    <w:p w:rsidR="00000000" w:rsidRDefault="002D33E3">
      <w:pPr>
        <w:pStyle w:val="a3"/>
        <w:spacing w:before="240" w:beforeAutospacing="0" w:after="0" w:afterAutospacing="0"/>
        <w:ind w:firstLine="555"/>
        <w:divId w:val="1540045717"/>
        <w:rPr>
          <w:sz w:val="20"/>
          <w:szCs w:val="20"/>
        </w:rPr>
      </w:pPr>
      <w:r>
        <w:rPr>
          <w:b/>
          <w:bCs/>
          <w:i/>
          <w:iCs/>
          <w:sz w:val="20"/>
          <w:szCs w:val="20"/>
        </w:rPr>
        <w:t>Conversion Optio</w:t>
      </w:r>
      <w:r>
        <w:rPr>
          <w:b/>
          <w:bCs/>
          <w:i/>
          <w:iCs/>
          <w:sz w:val="20"/>
          <w:szCs w:val="20"/>
        </w:rPr>
        <w:t>n</w:t>
      </w:r>
      <w:r>
        <w:rPr>
          <w:sz w:val="20"/>
          <w:szCs w:val="20"/>
        </w:rPr>
        <w:t>—Upon</w:t>
      </w:r>
      <w:r>
        <w:rPr>
          <w:sz w:val="20"/>
          <w:szCs w:val="20"/>
        </w:rPr>
        <w:t xml:space="preserve"> </w:t>
      </w:r>
      <w:r>
        <w:rPr>
          <w:sz w:val="20"/>
          <w:szCs w:val="20"/>
        </w:rPr>
        <w:t xml:space="preserve">the Company’s initial public offering ("IPO"), the fair value </w:t>
      </w:r>
      <w:r>
        <w:rPr>
          <w:sz w:val="20"/>
          <w:szCs w:val="20"/>
        </w:rPr>
        <w:t>of the conversion option associated with the issuance of the Convertible and Redeemable Series A-2 Preferred Stock (Note 15) was estimated using a “with-and-without</w:t>
      </w:r>
      <w:r>
        <w:rPr>
          <w:sz w:val="20"/>
          <w:szCs w:val="20"/>
        </w:rPr>
        <w:t>”</w:t>
      </w:r>
      <w:r>
        <w:rPr>
          <w:sz w:val="20"/>
          <w:szCs w:val="20"/>
        </w:rPr>
        <w:t xml:space="preserve"> </w:t>
      </w:r>
    </w:p>
    <w:p w:rsidR="00000000" w:rsidRDefault="002D33E3">
      <w:pPr>
        <w:pStyle w:val="a3"/>
        <w:spacing w:before="240" w:beforeAutospacing="0" w:after="0" w:afterAutospacing="0"/>
        <w:jc w:val="center"/>
        <w:divId w:val="1540045717"/>
        <w:rPr>
          <w:sz w:val="20"/>
          <w:szCs w:val="20"/>
        </w:rPr>
      </w:pPr>
      <w:r>
        <w:rPr>
          <w:sz w:val="20"/>
          <w:szCs w:val="20"/>
        </w:rPr>
        <w:t>1</w:t>
      </w:r>
      <w:r>
        <w:rPr>
          <w:sz w:val="20"/>
          <w:szCs w:val="20"/>
        </w:rPr>
        <w:t>8</w:t>
      </w:r>
    </w:p>
    <w:p w:rsidR="00000000" w:rsidRDefault="002D33E3">
      <w:pPr>
        <w:divId w:val="1540045717"/>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2D33E3">
      <w:pPr>
        <w:pStyle w:val="a3"/>
        <w:spacing w:before="0" w:beforeAutospacing="0" w:after="0" w:afterAutospacing="0"/>
        <w:divId w:val="1540045717"/>
        <w:rPr>
          <w:sz w:val="20"/>
          <w:szCs w:val="20"/>
        </w:rPr>
      </w:pPr>
      <w:r>
        <w:rPr>
          <w:sz w:val="20"/>
          <w:szCs w:val="20"/>
        </w:rPr>
        <w:t> </w:t>
      </w:r>
    </w:p>
    <w:p w:rsidR="00000000" w:rsidRDefault="002D33E3">
      <w:pPr>
        <w:pStyle w:val="a3"/>
        <w:spacing w:before="240" w:beforeAutospacing="0" w:after="0" w:afterAutospacing="0"/>
        <w:divId w:val="1540045717"/>
        <w:rPr>
          <w:sz w:val="20"/>
          <w:szCs w:val="20"/>
        </w:rPr>
      </w:pPr>
      <w:r>
        <w:rPr>
          <w:sz w:val="20"/>
          <w:szCs w:val="20"/>
        </w:rPr>
        <w:t>method.</w:t>
      </w:r>
      <w:r>
        <w:rPr>
          <w:sz w:val="20"/>
          <w:szCs w:val="20"/>
        </w:rPr>
        <w:t xml:space="preserve"> </w:t>
      </w:r>
      <w:r>
        <w:rPr>
          <w:sz w:val="20"/>
          <w:szCs w:val="20"/>
        </w:rPr>
        <w:t>The “with-and-without” methodology considers the value of the security on an as-is basis and then without the embedded conversion premium. The difference between the two scenarios is the implied fair value of t</w:t>
      </w:r>
      <w:r>
        <w:rPr>
          <w:sz w:val="20"/>
          <w:szCs w:val="20"/>
        </w:rPr>
        <w:t>he embedded derivative. The unobservable input is the required rate of return on the Series A-2. The considerable quantifiable inputs in the valuation relate to the timing of conversions or redemptions</w:t>
      </w:r>
      <w:r>
        <w:rPr>
          <w:sz w:val="20"/>
          <w:szCs w:val="20"/>
        </w:rPr>
        <w:t>.</w:t>
      </w:r>
    </w:p>
    <w:p w:rsidR="00000000" w:rsidRDefault="002D33E3">
      <w:pPr>
        <w:pStyle w:val="a3"/>
        <w:spacing w:before="360" w:beforeAutospacing="0" w:after="0" w:afterAutospacing="0"/>
        <w:divId w:val="1349140377"/>
        <w:rPr>
          <w:sz w:val="20"/>
          <w:szCs w:val="20"/>
        </w:rPr>
      </w:pPr>
      <w:r>
        <w:rPr>
          <w:b/>
          <w:bCs/>
          <w:sz w:val="20"/>
          <w:szCs w:val="20"/>
        </w:rPr>
        <w:t>14. COMMITMENTS AND CONTINGENCIE</w:t>
      </w:r>
      <w:r>
        <w:rPr>
          <w:b/>
          <w:bCs/>
          <w:sz w:val="20"/>
          <w:szCs w:val="20"/>
        </w:rPr>
        <w:t>S</w:t>
      </w:r>
    </w:p>
    <w:p w:rsidR="00000000" w:rsidRDefault="002D33E3">
      <w:pPr>
        <w:pStyle w:val="a3"/>
        <w:spacing w:before="240" w:beforeAutospacing="0" w:after="0" w:afterAutospacing="0"/>
        <w:ind w:firstLine="555"/>
        <w:divId w:val="1349140377"/>
        <w:rPr>
          <w:sz w:val="20"/>
          <w:szCs w:val="20"/>
        </w:rPr>
      </w:pPr>
      <w:r>
        <w:rPr>
          <w:b/>
          <w:bCs/>
          <w:sz w:val="20"/>
          <w:szCs w:val="20"/>
        </w:rPr>
        <w:t>Lease</w:t>
      </w:r>
      <w:r>
        <w:rPr>
          <w:b/>
          <w:bCs/>
          <w:sz w:val="20"/>
          <w:szCs w:val="20"/>
        </w:rPr>
        <w:t>s</w:t>
      </w:r>
      <w:r>
        <w:rPr>
          <w:sz w:val="20"/>
          <w:szCs w:val="20"/>
        </w:rPr>
        <w:t xml:space="preserve">—The Company </w:t>
      </w:r>
      <w:r>
        <w:rPr>
          <w:sz w:val="20"/>
          <w:szCs w:val="20"/>
        </w:rPr>
        <w:t>leases office facilities over various terms expiring through</w:t>
      </w:r>
      <w:r>
        <w:rPr>
          <w:sz w:val="20"/>
          <w:szCs w:val="20"/>
        </w:rPr>
        <w:t xml:space="preserve"> </w:t>
      </w:r>
      <w:r>
        <w:rPr>
          <w:sz w:val="20"/>
          <w:szCs w:val="20"/>
        </w:rPr>
        <w:t>203</w:t>
      </w:r>
      <w:r>
        <w:rPr>
          <w:sz w:val="20"/>
          <w:szCs w:val="20"/>
        </w:rPr>
        <w:t>0</w:t>
      </w:r>
      <w:r>
        <w:rPr>
          <w:sz w:val="20"/>
          <w:szCs w:val="20"/>
        </w:rPr>
        <w:t>. Certain of these operating leases contain rent escalation clauses. The Company also has office equipment leases that expire through</w:t>
      </w:r>
      <w:r>
        <w:rPr>
          <w:sz w:val="20"/>
          <w:szCs w:val="20"/>
        </w:rPr>
        <w:t xml:space="preserve"> </w:t>
      </w:r>
      <w:r>
        <w:rPr>
          <w:sz w:val="20"/>
          <w:szCs w:val="20"/>
        </w:rPr>
        <w:t>202</w:t>
      </w:r>
      <w:r>
        <w:rPr>
          <w:sz w:val="20"/>
          <w:szCs w:val="20"/>
        </w:rPr>
        <w:t>6</w:t>
      </w:r>
      <w:r>
        <w:rPr>
          <w:sz w:val="20"/>
          <w:szCs w:val="20"/>
        </w:rPr>
        <w:t xml:space="preserve"> (Note 6 and 12)</w:t>
      </w:r>
      <w:r>
        <w:rPr>
          <w:sz w:val="20"/>
          <w:szCs w:val="20"/>
        </w:rPr>
        <w:t>.</w:t>
      </w:r>
      <w:r>
        <w:rPr>
          <w:sz w:val="20"/>
          <w:szCs w:val="20"/>
        </w:rPr>
        <w:t xml:space="preserve"> </w:t>
      </w:r>
    </w:p>
    <w:p w:rsidR="00000000" w:rsidRDefault="002D33E3">
      <w:pPr>
        <w:pStyle w:val="a3"/>
        <w:spacing w:before="240" w:beforeAutospacing="0" w:after="0" w:afterAutospacing="0"/>
        <w:ind w:firstLine="555"/>
        <w:divId w:val="1349140377"/>
        <w:rPr>
          <w:sz w:val="20"/>
          <w:szCs w:val="20"/>
        </w:rPr>
      </w:pPr>
      <w:r>
        <w:rPr>
          <w:b/>
          <w:bCs/>
          <w:sz w:val="20"/>
          <w:szCs w:val="20"/>
        </w:rPr>
        <w:t>Other Commitment</w:t>
      </w:r>
      <w:r>
        <w:rPr>
          <w:b/>
          <w:bCs/>
          <w:sz w:val="20"/>
          <w:szCs w:val="20"/>
        </w:rPr>
        <w:t>s</w:t>
      </w:r>
      <w:r>
        <w:rPr>
          <w:sz w:val="20"/>
          <w:szCs w:val="20"/>
        </w:rPr>
        <w:t xml:space="preserve">—The Company has </w:t>
      </w:r>
      <w:r>
        <w:rPr>
          <w:sz w:val="20"/>
          <w:szCs w:val="20"/>
        </w:rPr>
        <w:t>commitments under the 2021 Credit Facility, its equipment line of credit and its lease obligations (Note 6 and 12)</w:t>
      </w:r>
      <w:r>
        <w:rPr>
          <w:sz w:val="20"/>
          <w:szCs w:val="20"/>
        </w:rPr>
        <w:t>.</w:t>
      </w:r>
    </w:p>
    <w:p w:rsidR="00000000" w:rsidRDefault="002D33E3">
      <w:pPr>
        <w:pStyle w:val="a3"/>
        <w:spacing w:before="240" w:beforeAutospacing="0" w:after="0" w:afterAutospacing="0"/>
        <w:ind w:firstLine="555"/>
        <w:divId w:val="1349140377"/>
        <w:rPr>
          <w:sz w:val="20"/>
          <w:szCs w:val="20"/>
        </w:rPr>
      </w:pPr>
      <w:r>
        <w:rPr>
          <w:b/>
          <w:bCs/>
          <w:sz w:val="20"/>
          <w:szCs w:val="20"/>
        </w:rPr>
        <w:t>Contingencie</w:t>
      </w:r>
      <w:r>
        <w:rPr>
          <w:b/>
          <w:bCs/>
          <w:sz w:val="20"/>
          <w:szCs w:val="20"/>
        </w:rPr>
        <w:t>s</w:t>
      </w:r>
      <w:r>
        <w:rPr>
          <w:sz w:val="20"/>
          <w:szCs w:val="20"/>
        </w:rPr>
        <w:t>—The Company is subject to purchase price contingencies related to earn-outs associated with certain acquisitions (Note 7 and 1</w:t>
      </w:r>
      <w:r>
        <w:rPr>
          <w:sz w:val="20"/>
          <w:szCs w:val="20"/>
        </w:rPr>
        <w:t>3)</w:t>
      </w:r>
      <w:r>
        <w:rPr>
          <w:sz w:val="20"/>
          <w:szCs w:val="20"/>
        </w:rPr>
        <w:t>.</w:t>
      </w:r>
    </w:p>
    <w:p w:rsidR="00000000" w:rsidRDefault="002D33E3">
      <w:pPr>
        <w:pStyle w:val="a3"/>
        <w:spacing w:before="240" w:beforeAutospacing="0" w:after="0" w:afterAutospacing="0"/>
        <w:ind w:firstLine="555"/>
        <w:divId w:val="1349140377"/>
        <w:rPr>
          <w:sz w:val="20"/>
          <w:szCs w:val="20"/>
        </w:rPr>
      </w:pPr>
      <w:r>
        <w:rPr>
          <w:b/>
          <w:bCs/>
          <w:sz w:val="20"/>
          <w:szCs w:val="20"/>
        </w:rPr>
        <w:t>Lega</w:t>
      </w:r>
      <w:r>
        <w:rPr>
          <w:b/>
          <w:bCs/>
          <w:sz w:val="20"/>
          <w:szCs w:val="20"/>
        </w:rPr>
        <w:t>l</w:t>
      </w:r>
      <w:r>
        <w:rPr>
          <w:sz w:val="20"/>
          <w:szCs w:val="20"/>
        </w:rPr>
        <w:t>—In the normal course of business, the Company is at times subject to pending and threatened legal actions. In management’s opinion, any potential loss resulting from the resolution of these matters is not expected to have a material effect on the</w:t>
      </w:r>
      <w:r>
        <w:rPr>
          <w:sz w:val="20"/>
          <w:szCs w:val="20"/>
        </w:rPr>
        <w:t xml:space="preserve"> unaudited condensed consolidated results of operations, financial position or cash flows of the Company</w:t>
      </w:r>
      <w:r>
        <w:rPr>
          <w:sz w:val="20"/>
          <w:szCs w:val="20"/>
        </w:rPr>
        <w:t>.</w:t>
      </w:r>
    </w:p>
    <w:p w:rsidR="00000000" w:rsidRDefault="002D33E3">
      <w:pPr>
        <w:pStyle w:val="a3"/>
        <w:spacing w:before="360" w:beforeAutospacing="0" w:after="0" w:afterAutospacing="0"/>
        <w:divId w:val="726925673"/>
        <w:rPr>
          <w:sz w:val="20"/>
          <w:szCs w:val="20"/>
        </w:rPr>
      </w:pPr>
      <w:r>
        <w:rPr>
          <w:b/>
          <w:bCs/>
          <w:sz w:val="20"/>
          <w:szCs w:val="20"/>
        </w:rPr>
        <w:t>15. CONVERTIBLE AND REDEEMABLE SERIES A-2 PREFERRED STOC</w:t>
      </w:r>
      <w:r>
        <w:rPr>
          <w:b/>
          <w:bCs/>
          <w:sz w:val="20"/>
          <w:szCs w:val="20"/>
        </w:rPr>
        <w:t>K</w:t>
      </w:r>
    </w:p>
    <w:p w:rsidR="00000000" w:rsidRDefault="002D33E3">
      <w:pPr>
        <w:pStyle w:val="a3"/>
        <w:spacing w:before="240" w:beforeAutospacing="0" w:after="0" w:afterAutospacing="0"/>
        <w:ind w:firstLine="555"/>
        <w:divId w:val="726925673"/>
        <w:rPr>
          <w:sz w:val="20"/>
          <w:szCs w:val="20"/>
        </w:rPr>
      </w:pPr>
      <w:r>
        <w:rPr>
          <w:sz w:val="20"/>
          <w:szCs w:val="20"/>
        </w:rPr>
        <w:t>On April 13, 2020, the Company entered into an agreement to issue</w:t>
      </w:r>
      <w:r>
        <w:rPr>
          <w:sz w:val="20"/>
          <w:szCs w:val="20"/>
        </w:rPr>
        <w:t xml:space="preserve"> </w:t>
      </w:r>
      <w:r>
        <w:rPr>
          <w:sz w:val="20"/>
          <w:szCs w:val="20"/>
        </w:rPr>
        <w:t>17,50</w:t>
      </w:r>
      <w:r>
        <w:rPr>
          <w:sz w:val="20"/>
          <w:szCs w:val="20"/>
        </w:rPr>
        <w:t>0</w:t>
      </w:r>
      <w:r>
        <w:rPr>
          <w:sz w:val="20"/>
          <w:szCs w:val="20"/>
        </w:rPr>
        <w:t xml:space="preserve"> shares of the Conve</w:t>
      </w:r>
      <w:r>
        <w:rPr>
          <w:sz w:val="20"/>
          <w:szCs w:val="20"/>
        </w:rPr>
        <w:t xml:space="preserve">rtible and Redeemable Series A-2 Preferred Stock with a par value of </w:t>
      </w:r>
      <w:r>
        <w:rPr>
          <w:sz w:val="20"/>
          <w:szCs w:val="20"/>
        </w:rPr>
        <w:t>$</w:t>
      </w:r>
      <w:r>
        <w:rPr>
          <w:sz w:val="20"/>
          <w:szCs w:val="20"/>
        </w:rPr>
        <w:t>0.000</w:t>
      </w:r>
      <w:r>
        <w:rPr>
          <w:sz w:val="20"/>
          <w:szCs w:val="20"/>
        </w:rPr>
        <w:t>1</w:t>
      </w:r>
      <w:r>
        <w:rPr>
          <w:sz w:val="20"/>
          <w:szCs w:val="20"/>
        </w:rPr>
        <w:t xml:space="preserve"> per share and a detachable warrant to purchase shares of the Company’s common stock with a</w:t>
      </w:r>
      <w:r>
        <w:rPr>
          <w:sz w:val="20"/>
          <w:szCs w:val="20"/>
        </w:rPr>
        <w:t xml:space="preserve"> </w:t>
      </w:r>
      <w:r>
        <w:rPr>
          <w:sz w:val="20"/>
          <w:szCs w:val="20"/>
        </w:rPr>
        <w:t>10-yea</w:t>
      </w:r>
      <w:r>
        <w:rPr>
          <w:sz w:val="20"/>
          <w:szCs w:val="20"/>
        </w:rPr>
        <w:t>r</w:t>
      </w:r>
      <w:r>
        <w:rPr>
          <w:sz w:val="20"/>
          <w:szCs w:val="20"/>
        </w:rPr>
        <w:t xml:space="preserve"> life, in exchange for gross proceeds of </w:t>
      </w:r>
      <w:r>
        <w:rPr>
          <w:sz w:val="20"/>
          <w:szCs w:val="20"/>
        </w:rPr>
        <w:t>$</w:t>
      </w:r>
      <w:r>
        <w:rPr>
          <w:sz w:val="20"/>
          <w:szCs w:val="20"/>
        </w:rPr>
        <w:t>175.</w:t>
      </w:r>
      <w:r>
        <w:rPr>
          <w:sz w:val="20"/>
          <w:szCs w:val="20"/>
        </w:rPr>
        <w:t>0</w:t>
      </w:r>
      <w:r>
        <w:rPr>
          <w:sz w:val="20"/>
          <w:szCs w:val="20"/>
        </w:rPr>
        <w:t xml:space="preserve"> million, net of </w:t>
      </w:r>
      <w:r>
        <w:rPr>
          <w:sz w:val="20"/>
          <w:szCs w:val="20"/>
        </w:rPr>
        <w:t>$</w:t>
      </w:r>
      <w:r>
        <w:rPr>
          <w:sz w:val="20"/>
          <w:szCs w:val="20"/>
        </w:rPr>
        <w:t>1.</w:t>
      </w:r>
      <w:r>
        <w:rPr>
          <w:sz w:val="20"/>
          <w:szCs w:val="20"/>
        </w:rPr>
        <w:t>3</w:t>
      </w:r>
      <w:r>
        <w:rPr>
          <w:sz w:val="20"/>
          <w:szCs w:val="20"/>
        </w:rPr>
        <w:t xml:space="preserve"> million debt</w:t>
      </w:r>
      <w:r>
        <w:rPr>
          <w:sz w:val="20"/>
          <w:szCs w:val="20"/>
        </w:rPr>
        <w:t xml:space="preserve"> issuance costs. Before the Company’s IPO, each share of Convertible and Redeemable Series A-2 Preferred Stock accrued dividends at the rate of</w:t>
      </w:r>
      <w:r>
        <w:rPr>
          <w:sz w:val="20"/>
          <w:szCs w:val="20"/>
        </w:rPr>
        <w:t xml:space="preserve"> </w:t>
      </w:r>
      <w:r>
        <w:rPr>
          <w:sz w:val="20"/>
          <w:szCs w:val="20"/>
        </w:rPr>
        <w:t>15.</w:t>
      </w:r>
      <w:r>
        <w:rPr>
          <w:sz w:val="20"/>
          <w:szCs w:val="20"/>
        </w:rPr>
        <w:t>0</w:t>
      </w:r>
      <w:r>
        <w:rPr>
          <w:sz w:val="20"/>
          <w:szCs w:val="20"/>
        </w:rPr>
        <w:t>% per annum, with respect to dividends that were paid in cash, and</w:t>
      </w:r>
      <w:r>
        <w:rPr>
          <w:sz w:val="20"/>
          <w:szCs w:val="20"/>
        </w:rPr>
        <w:t xml:space="preserve"> </w:t>
      </w:r>
      <w:r>
        <w:rPr>
          <w:sz w:val="20"/>
          <w:szCs w:val="20"/>
        </w:rPr>
        <w:t>14.</w:t>
      </w:r>
      <w:r>
        <w:rPr>
          <w:sz w:val="20"/>
          <w:szCs w:val="20"/>
        </w:rPr>
        <w:t>2</w:t>
      </w:r>
      <w:r>
        <w:rPr>
          <w:sz w:val="20"/>
          <w:szCs w:val="20"/>
        </w:rPr>
        <w:t>% per annum, with respect to dividend</w:t>
      </w:r>
      <w:r>
        <w:rPr>
          <w:sz w:val="20"/>
          <w:szCs w:val="20"/>
        </w:rPr>
        <w:t xml:space="preserve">s that were accrued. The Company paid dividends on shares of the Convertible and Redeemable Series A-2 Preferred Stock of </w:t>
      </w:r>
      <w:r>
        <w:rPr>
          <w:sz w:val="20"/>
          <w:szCs w:val="20"/>
        </w:rPr>
        <w:t>$</w:t>
      </w:r>
      <w:r>
        <w:rPr>
          <w:sz w:val="20"/>
          <w:szCs w:val="20"/>
        </w:rPr>
        <w:t>4.</w:t>
      </w:r>
      <w:r>
        <w:rPr>
          <w:sz w:val="20"/>
          <w:szCs w:val="20"/>
        </w:rPr>
        <w:t>1</w:t>
      </w:r>
      <w:r>
        <w:rPr>
          <w:sz w:val="20"/>
          <w:szCs w:val="20"/>
        </w:rPr>
        <w:t xml:space="preserve"> million during the both the three months ended March 31, 2022 and March 31, 2021</w:t>
      </w:r>
      <w:r>
        <w:rPr>
          <w:sz w:val="20"/>
          <w:szCs w:val="20"/>
        </w:rPr>
        <w:t>.</w:t>
      </w:r>
    </w:p>
    <w:p w:rsidR="00000000" w:rsidRDefault="002D33E3">
      <w:pPr>
        <w:pStyle w:val="a3"/>
        <w:spacing w:before="240" w:beforeAutospacing="0" w:after="0" w:afterAutospacing="0"/>
        <w:ind w:firstLine="555"/>
        <w:divId w:val="726925673"/>
        <w:rPr>
          <w:sz w:val="20"/>
          <w:szCs w:val="20"/>
        </w:rPr>
      </w:pPr>
      <w:r>
        <w:rPr>
          <w:sz w:val="20"/>
          <w:szCs w:val="20"/>
        </w:rPr>
        <w:t>At issuance, the Company determined that the Co</w:t>
      </w:r>
      <w:r>
        <w:rPr>
          <w:sz w:val="20"/>
          <w:szCs w:val="20"/>
        </w:rPr>
        <w:t>nvertible and Redeemable Series A-2 Preferred Stock and the detachable warrant, were required to be accounted for separately</w:t>
      </w:r>
      <w:r>
        <w:rPr>
          <w:sz w:val="20"/>
          <w:szCs w:val="20"/>
        </w:rPr>
        <w:t>.</w:t>
      </w:r>
    </w:p>
    <w:p w:rsidR="00000000" w:rsidRDefault="002D33E3">
      <w:pPr>
        <w:pStyle w:val="a3"/>
        <w:spacing w:before="240" w:beforeAutospacing="0" w:after="0" w:afterAutospacing="0"/>
        <w:ind w:firstLine="555"/>
        <w:divId w:val="726925673"/>
        <w:rPr>
          <w:sz w:val="20"/>
          <w:szCs w:val="20"/>
        </w:rPr>
      </w:pPr>
      <w:r>
        <w:rPr>
          <w:sz w:val="20"/>
          <w:szCs w:val="20"/>
        </w:rPr>
        <w:t>Upon the Company’s IPO, the Convertible and Redeemable Series A-2 Preferred Stock terms automatically updated to the following: (i</w:t>
      </w:r>
      <w:r>
        <w:rPr>
          <w:sz w:val="20"/>
          <w:szCs w:val="20"/>
        </w:rPr>
        <w:t>) no mandatory redemption, (ii) no stated value cash repayment obligation other than in the event of certain defined liquidation events, (iii) only redeemable at the Company’s option, (iv) the instrument became convertible into common stock beginning on th</w:t>
      </w:r>
      <w:r>
        <w:rPr>
          <w:sz w:val="20"/>
          <w:szCs w:val="20"/>
        </w:rPr>
        <w:t>e four year anniversary of issuance at a</w:t>
      </w:r>
      <w:r>
        <w:rPr>
          <w:sz w:val="20"/>
          <w:szCs w:val="20"/>
        </w:rPr>
        <w:t xml:space="preserve"> </w:t>
      </w:r>
      <w:r>
        <w:rPr>
          <w:sz w:val="20"/>
          <w:szCs w:val="20"/>
        </w:rPr>
        <w:t>15.</w:t>
      </w:r>
      <w:r>
        <w:rPr>
          <w:sz w:val="20"/>
          <w:szCs w:val="20"/>
        </w:rPr>
        <w:t>0</w:t>
      </w:r>
      <w:r>
        <w:rPr>
          <w:sz w:val="20"/>
          <w:szCs w:val="20"/>
        </w:rPr>
        <w:t xml:space="preserve">% discount to the common stock market price (with a limit of </w:t>
      </w:r>
      <w:r>
        <w:rPr>
          <w:sz w:val="20"/>
          <w:szCs w:val="20"/>
        </w:rPr>
        <w:t>$</w:t>
      </w:r>
      <w:r>
        <w:rPr>
          <w:sz w:val="20"/>
          <w:szCs w:val="20"/>
        </w:rPr>
        <w:t>60.</w:t>
      </w:r>
      <w:r>
        <w:rPr>
          <w:sz w:val="20"/>
          <w:szCs w:val="20"/>
        </w:rPr>
        <w:t>0</w:t>
      </w:r>
      <w:r>
        <w:rPr>
          <w:sz w:val="20"/>
          <w:szCs w:val="20"/>
        </w:rPr>
        <w:t xml:space="preserve"> million in stated value of Convertible and Redeemable Series A-2 Preferred Stock eligible to be converted in any 60-day period prior to the seve</w:t>
      </w:r>
      <w:r>
        <w:rPr>
          <w:sz w:val="20"/>
          <w:szCs w:val="20"/>
        </w:rPr>
        <w:t xml:space="preserve">nth anniversary of issuance and the amount of stated value of the Convertible and Redeemable Series A-2 Preferred Stock eligible for conversion limited to </w:t>
      </w:r>
      <w:r>
        <w:rPr>
          <w:sz w:val="20"/>
          <w:szCs w:val="20"/>
        </w:rPr>
        <w:t>$</w:t>
      </w:r>
      <w:r>
        <w:rPr>
          <w:sz w:val="20"/>
          <w:szCs w:val="20"/>
        </w:rPr>
        <w:t>60.</w:t>
      </w:r>
      <w:r>
        <w:rPr>
          <w:sz w:val="20"/>
          <w:szCs w:val="20"/>
        </w:rPr>
        <w:t>0</w:t>
      </w:r>
      <w:r>
        <w:rPr>
          <w:sz w:val="20"/>
          <w:szCs w:val="20"/>
        </w:rPr>
        <w:t xml:space="preserve"> million during year 5 and </w:t>
      </w:r>
      <w:r>
        <w:rPr>
          <w:sz w:val="20"/>
          <w:szCs w:val="20"/>
        </w:rPr>
        <w:t>$</w:t>
      </w:r>
      <w:r>
        <w:rPr>
          <w:sz w:val="20"/>
          <w:szCs w:val="20"/>
        </w:rPr>
        <w:t>120.</w:t>
      </w:r>
      <w:r>
        <w:rPr>
          <w:sz w:val="20"/>
          <w:szCs w:val="20"/>
        </w:rPr>
        <w:t>0</w:t>
      </w:r>
      <w:r>
        <w:rPr>
          <w:sz w:val="20"/>
          <w:szCs w:val="20"/>
        </w:rPr>
        <w:t xml:space="preserve"> million (which includes the aggregate amount of the stated val</w:t>
      </w:r>
      <w:r>
        <w:rPr>
          <w:sz w:val="20"/>
          <w:szCs w:val="20"/>
        </w:rPr>
        <w:t>ue of the Convertible and Redeemable Series A-2 Preferred Stock and any accrued but unpaid dividends added to such stated value of any shares of Convertible and Redeemable Series A-2 Preferred Stock converted in year 5) during year 6), (v) the dividend rat</w:t>
      </w:r>
      <w:r>
        <w:rPr>
          <w:sz w:val="20"/>
          <w:szCs w:val="20"/>
        </w:rPr>
        <w:t>e stepped down to</w:t>
      </w:r>
      <w:r>
        <w:rPr>
          <w:sz w:val="20"/>
          <w:szCs w:val="20"/>
        </w:rPr>
        <w:t xml:space="preserve"> </w:t>
      </w:r>
      <w:r>
        <w:rPr>
          <w:sz w:val="20"/>
          <w:szCs w:val="20"/>
        </w:rPr>
        <w:t>9.</w:t>
      </w:r>
      <w:r>
        <w:rPr>
          <w:sz w:val="20"/>
          <w:szCs w:val="20"/>
        </w:rPr>
        <w:t>0</w:t>
      </w:r>
      <w:r>
        <w:rPr>
          <w:sz w:val="20"/>
          <w:szCs w:val="20"/>
        </w:rPr>
        <w:t>% per year with required quarterly cash payments, (vi) in an event of noncompliance, the dividend rate shall increase to</w:t>
      </w:r>
      <w:r>
        <w:rPr>
          <w:sz w:val="20"/>
          <w:szCs w:val="20"/>
        </w:rPr>
        <w:t xml:space="preserve"> </w:t>
      </w:r>
      <w:r>
        <w:rPr>
          <w:sz w:val="20"/>
          <w:szCs w:val="20"/>
        </w:rPr>
        <w:t>12.</w:t>
      </w:r>
      <w:r>
        <w:rPr>
          <w:sz w:val="20"/>
          <w:szCs w:val="20"/>
        </w:rPr>
        <w:t>0</w:t>
      </w:r>
      <w:r>
        <w:rPr>
          <w:sz w:val="20"/>
          <w:szCs w:val="20"/>
        </w:rPr>
        <w:t>% per annum for the first</w:t>
      </w:r>
      <w:r>
        <w:rPr>
          <w:sz w:val="20"/>
          <w:szCs w:val="20"/>
        </w:rPr>
        <w:t xml:space="preserve"> </w:t>
      </w:r>
      <w:r>
        <w:rPr>
          <w:sz w:val="20"/>
          <w:szCs w:val="20"/>
        </w:rPr>
        <w:t>90-da</w:t>
      </w:r>
      <w:r>
        <w:rPr>
          <w:sz w:val="20"/>
          <w:szCs w:val="20"/>
        </w:rPr>
        <w:t>y</w:t>
      </w:r>
      <w:r>
        <w:rPr>
          <w:sz w:val="20"/>
          <w:szCs w:val="20"/>
        </w:rPr>
        <w:t xml:space="preserve"> period from and including the date the noncompliance event occurred, and ther</w:t>
      </w:r>
      <w:r>
        <w:rPr>
          <w:sz w:val="20"/>
          <w:szCs w:val="20"/>
        </w:rPr>
        <w:t>eafter shall increase to</w:t>
      </w:r>
      <w:r>
        <w:rPr>
          <w:sz w:val="20"/>
          <w:szCs w:val="20"/>
        </w:rPr>
        <w:t xml:space="preserve"> </w:t>
      </w:r>
      <w:r>
        <w:rPr>
          <w:sz w:val="20"/>
          <w:szCs w:val="20"/>
        </w:rPr>
        <w:t>14.</w:t>
      </w:r>
      <w:r>
        <w:rPr>
          <w:sz w:val="20"/>
          <w:szCs w:val="20"/>
        </w:rPr>
        <w:t>0</w:t>
      </w:r>
      <w:r>
        <w:rPr>
          <w:sz w:val="20"/>
          <w:szCs w:val="20"/>
        </w:rPr>
        <w:t>% per annum, (vii) the debt incurrence test ratio increased to</w:t>
      </w:r>
      <w:r>
        <w:rPr>
          <w:sz w:val="20"/>
          <w:szCs w:val="20"/>
        </w:rPr>
        <w:t xml:space="preserve"> </w:t>
      </w:r>
      <w:r>
        <w:rPr>
          <w:sz w:val="20"/>
          <w:szCs w:val="20"/>
        </w:rPr>
        <w:t>4.</w:t>
      </w:r>
      <w:r>
        <w:rPr>
          <w:sz w:val="20"/>
          <w:szCs w:val="20"/>
        </w:rPr>
        <w:t>5</w:t>
      </w:r>
      <w:r>
        <w:rPr>
          <w:sz w:val="20"/>
          <w:szCs w:val="20"/>
        </w:rPr>
        <w:t xml:space="preserve"> times, (viii) the total leverage cap covenant was removed, and (ix) minimum repayment amount dropped down from </w:t>
      </w:r>
      <w:r>
        <w:rPr>
          <w:sz w:val="20"/>
          <w:szCs w:val="20"/>
        </w:rPr>
        <w:t>$</w:t>
      </w:r>
      <w:r>
        <w:rPr>
          <w:sz w:val="20"/>
          <w:szCs w:val="20"/>
        </w:rPr>
        <w:t>50.</w:t>
      </w:r>
      <w:r>
        <w:rPr>
          <w:sz w:val="20"/>
          <w:szCs w:val="20"/>
        </w:rPr>
        <w:t>0</w:t>
      </w:r>
      <w:r>
        <w:rPr>
          <w:sz w:val="20"/>
          <w:szCs w:val="20"/>
        </w:rPr>
        <w:t xml:space="preserve"> million to </w:t>
      </w:r>
      <w:r>
        <w:rPr>
          <w:sz w:val="20"/>
          <w:szCs w:val="20"/>
        </w:rPr>
        <w:t>$</w:t>
      </w:r>
      <w:r>
        <w:rPr>
          <w:sz w:val="20"/>
          <w:szCs w:val="20"/>
        </w:rPr>
        <w:t>25.</w:t>
      </w:r>
      <w:r>
        <w:rPr>
          <w:sz w:val="20"/>
          <w:szCs w:val="20"/>
        </w:rPr>
        <w:t>0</w:t>
      </w:r>
      <w:r>
        <w:rPr>
          <w:sz w:val="20"/>
          <w:szCs w:val="20"/>
        </w:rPr>
        <w:t xml:space="preserve"> million</w:t>
      </w:r>
      <w:r>
        <w:rPr>
          <w:sz w:val="20"/>
          <w:szCs w:val="20"/>
        </w:rPr>
        <w:t>.</w:t>
      </w:r>
    </w:p>
    <w:p w:rsidR="00000000" w:rsidRDefault="002D33E3">
      <w:pPr>
        <w:pStyle w:val="a3"/>
        <w:spacing w:before="240" w:beforeAutospacing="0" w:after="0" w:afterAutospacing="0"/>
        <w:ind w:firstLine="555"/>
        <w:divId w:val="726925673"/>
        <w:rPr>
          <w:sz w:val="20"/>
          <w:szCs w:val="20"/>
        </w:rPr>
      </w:pPr>
      <w:r>
        <w:rPr>
          <w:sz w:val="20"/>
          <w:szCs w:val="20"/>
        </w:rPr>
        <w:t xml:space="preserve">The Company may, </w:t>
      </w:r>
      <w:r>
        <w:rPr>
          <w:sz w:val="20"/>
          <w:szCs w:val="20"/>
        </w:rPr>
        <w:t xml:space="preserve">at its option on any one or more dates, redeem all or a minimum portion (the lesser of (i) </w:t>
      </w:r>
      <w:r>
        <w:rPr>
          <w:sz w:val="20"/>
          <w:szCs w:val="20"/>
        </w:rPr>
        <w:t>$</w:t>
      </w:r>
      <w:r>
        <w:rPr>
          <w:sz w:val="20"/>
          <w:szCs w:val="20"/>
        </w:rPr>
        <w:t>25.</w:t>
      </w:r>
      <w:r>
        <w:rPr>
          <w:sz w:val="20"/>
          <w:szCs w:val="20"/>
        </w:rPr>
        <w:t>0</w:t>
      </w:r>
      <w:r>
        <w:rPr>
          <w:sz w:val="20"/>
          <w:szCs w:val="20"/>
        </w:rPr>
        <w:t xml:space="preserve"> million in aggregate stated value of the Convertible and Redeemable Series A-2 Preferred Stock and (ii) all of the Convertible and Redeemable Series A-2 Prefer</w:t>
      </w:r>
      <w:r>
        <w:rPr>
          <w:sz w:val="20"/>
          <w:szCs w:val="20"/>
        </w:rPr>
        <w:t>red Stock then outstanding) of the outstanding Convertible and Redeemable Series A-2 Preferred Stock in cash</w:t>
      </w:r>
      <w:r>
        <w:rPr>
          <w:sz w:val="20"/>
          <w:szCs w:val="20"/>
        </w:rPr>
        <w:t>.</w:t>
      </w:r>
    </w:p>
    <w:p w:rsidR="00000000" w:rsidRDefault="002D33E3">
      <w:pPr>
        <w:pStyle w:val="a3"/>
        <w:spacing w:before="240" w:beforeAutospacing="0" w:after="0" w:afterAutospacing="0"/>
        <w:ind w:firstLine="555"/>
        <w:divId w:val="1496259200"/>
        <w:rPr>
          <w:sz w:val="20"/>
          <w:szCs w:val="20"/>
        </w:rPr>
      </w:pPr>
      <w:r>
        <w:rPr>
          <w:sz w:val="20"/>
          <w:szCs w:val="20"/>
        </w:rPr>
        <w:t xml:space="preserve">With respect to any redemption of any share of the Convertible and Redeemable Series A-2 Preferred Stock prior to the third-year anniversary, the </w:t>
      </w:r>
      <w:r>
        <w:rPr>
          <w:sz w:val="20"/>
          <w:szCs w:val="20"/>
        </w:rPr>
        <w:t>Company is subject to a make whole penalty in which the holders of the Convertible and Redeemable Series A-2 Preferred Stock are guaranteed a minimum repayment equal to outstanding redeemed stated value plus three years of dividends accrued or accruable th</w:t>
      </w:r>
      <w:r>
        <w:rPr>
          <w:sz w:val="20"/>
          <w:szCs w:val="20"/>
        </w:rPr>
        <w:t>ereon</w:t>
      </w:r>
      <w:r>
        <w:rPr>
          <w:sz w:val="20"/>
          <w:szCs w:val="20"/>
        </w:rPr>
        <w:t>.</w:t>
      </w:r>
    </w:p>
    <w:p w:rsidR="00000000" w:rsidRDefault="002D33E3">
      <w:pPr>
        <w:pStyle w:val="a3"/>
        <w:spacing w:before="240" w:beforeAutospacing="0" w:after="0" w:afterAutospacing="0"/>
        <w:ind w:firstLine="555"/>
        <w:divId w:val="726925673"/>
        <w:rPr>
          <w:sz w:val="20"/>
          <w:szCs w:val="20"/>
        </w:rPr>
      </w:pPr>
      <w:r>
        <w:rPr>
          <w:sz w:val="20"/>
          <w:szCs w:val="20"/>
        </w:rPr>
        <w:t xml:space="preserve">The Convertible and Redeemable Series A-2 Preferred Stock does not meet the definition of a liability pursuant to “ASC 480- Distinguishing Liabilities from Equity.” However, as (i) the instrument is redeemable upon a change of control as defined in </w:t>
      </w:r>
      <w:r>
        <w:rPr>
          <w:sz w:val="20"/>
          <w:szCs w:val="20"/>
        </w:rPr>
        <w:t>th</w:t>
      </w:r>
      <w:r>
        <w:rPr>
          <w:sz w:val="20"/>
          <w:szCs w:val="20"/>
        </w:rPr>
        <w:t>e</w:t>
      </w:r>
      <w:r>
        <w:rPr>
          <w:sz w:val="20"/>
          <w:szCs w:val="20"/>
        </w:rPr>
        <w:t xml:space="preserve"> </w:t>
      </w:r>
    </w:p>
    <w:p w:rsidR="00000000" w:rsidRDefault="002D33E3">
      <w:pPr>
        <w:pStyle w:val="a3"/>
        <w:spacing w:before="240" w:beforeAutospacing="0" w:after="0" w:afterAutospacing="0"/>
        <w:jc w:val="center"/>
        <w:divId w:val="726925673"/>
        <w:rPr>
          <w:sz w:val="20"/>
          <w:szCs w:val="20"/>
        </w:rPr>
      </w:pPr>
      <w:r>
        <w:rPr>
          <w:sz w:val="20"/>
          <w:szCs w:val="20"/>
        </w:rPr>
        <w:t>1</w:t>
      </w:r>
      <w:r>
        <w:rPr>
          <w:sz w:val="20"/>
          <w:szCs w:val="20"/>
        </w:rPr>
        <w:t>9</w:t>
      </w:r>
    </w:p>
    <w:p w:rsidR="00000000" w:rsidRDefault="002D33E3">
      <w:pPr>
        <w:divId w:val="726925673"/>
        <w:rPr>
          <w:rFonts w:eastAsia="Times New Roman"/>
        </w:rPr>
      </w:pPr>
      <w:r>
        <w:rPr>
          <w:rFonts w:eastAsia="Times New Roman"/>
        </w:rPr>
        <w:pict>
          <v:rect id="_x0000_i1045" style="width:0;height:1.5pt" o:hralign="center" o:hrstd="t" o:hr="t" fillcolor="#a0a0a0" stroked="f"/>
        </w:pict>
      </w:r>
    </w:p>
    <w:p w:rsidR="00000000" w:rsidRDefault="002D33E3">
      <w:pPr>
        <w:pStyle w:val="a3"/>
        <w:spacing w:before="0" w:beforeAutospacing="0" w:after="0" w:afterAutospacing="0"/>
        <w:divId w:val="726925673"/>
        <w:rPr>
          <w:sz w:val="20"/>
          <w:szCs w:val="20"/>
        </w:rPr>
      </w:pPr>
      <w:r>
        <w:rPr>
          <w:sz w:val="20"/>
          <w:szCs w:val="20"/>
        </w:rPr>
        <w:t> </w:t>
      </w:r>
    </w:p>
    <w:p w:rsidR="00000000" w:rsidRDefault="002D33E3">
      <w:pPr>
        <w:pStyle w:val="a3"/>
        <w:spacing w:before="240" w:beforeAutospacing="0" w:after="0" w:afterAutospacing="0"/>
        <w:divId w:val="726925673"/>
        <w:rPr>
          <w:sz w:val="20"/>
          <w:szCs w:val="20"/>
        </w:rPr>
      </w:pPr>
      <w:r>
        <w:rPr>
          <w:sz w:val="20"/>
          <w:szCs w:val="20"/>
        </w:rPr>
        <w:t>certificate of designations governing the terms of the Convertible and Redeemable Series A-2 Preferred Stock, and (ii) the Company cannot assert it would have sufficient authorized and unissued shares of common</w:t>
      </w:r>
      <w:r>
        <w:rPr>
          <w:sz w:val="20"/>
          <w:szCs w:val="20"/>
        </w:rPr>
        <w:t xml:space="preserve"> stock to settle all future conversion requests due to the variable conversion terms, the instrument is redeemable upon the occurrence of events that are not solely within the control of the Company, and therefore the Company classifies the Convertible and</w:t>
      </w:r>
      <w:r>
        <w:rPr>
          <w:sz w:val="20"/>
          <w:szCs w:val="20"/>
        </w:rPr>
        <w:t xml:space="preserve"> Redeemable Series A-2 Preferred Stock as mezzanine equity. Subsequent adjustment of the carrying value of the instrument is required if the instrument is probable of becoming redeemable. As of March 31, 2022, the Company has determined that a change of co</w:t>
      </w:r>
      <w:r>
        <w:rPr>
          <w:sz w:val="20"/>
          <w:szCs w:val="20"/>
        </w:rPr>
        <w:t>ntrol is not probable. Additionally, as of March 31, 2022, the Company has determined that it is not probable that there will be a future conversion request that the Company is unable to settle with authorized and issued shares based on the Company’s curre</w:t>
      </w:r>
      <w:r>
        <w:rPr>
          <w:sz w:val="20"/>
          <w:szCs w:val="20"/>
        </w:rPr>
        <w:t>nt stock price and available shares as well as the Company’s monitoring efforts to ensure there are a sufficient number of shares available to settle any conversion request. Therefore, as of March 31, 202</w:t>
      </w:r>
      <w:r>
        <w:rPr>
          <w:sz w:val="20"/>
          <w:szCs w:val="20"/>
        </w:rPr>
        <w:t>2</w:t>
      </w:r>
      <w:r>
        <w:rPr>
          <w:sz w:val="20"/>
          <w:szCs w:val="20"/>
        </w:rPr>
        <w:t>, the Company has determined that the instrument is</w:t>
      </w:r>
      <w:r>
        <w:rPr>
          <w:sz w:val="20"/>
          <w:szCs w:val="20"/>
        </w:rPr>
        <w:t xml:space="preserve"> not probable of becoming redeemable, and does not believe subsequent adjustment of the carrying value of the instrument will be necessary. The Convertible and Redeemable Series A-2 Preferred Stock had an aggregate liquidation preference of </w:t>
      </w:r>
      <w:r>
        <w:rPr>
          <w:sz w:val="20"/>
          <w:szCs w:val="20"/>
        </w:rPr>
        <w:t>$</w:t>
      </w:r>
      <w:r>
        <w:rPr>
          <w:sz w:val="20"/>
          <w:szCs w:val="20"/>
        </w:rPr>
        <w:t>182.</w:t>
      </w:r>
      <w:r>
        <w:rPr>
          <w:sz w:val="20"/>
          <w:szCs w:val="20"/>
        </w:rPr>
        <w:t>2</w:t>
      </w:r>
      <w:r>
        <w:rPr>
          <w:sz w:val="20"/>
          <w:szCs w:val="20"/>
        </w:rPr>
        <w:t xml:space="preserve"> million </w:t>
      </w:r>
      <w:r>
        <w:rPr>
          <w:sz w:val="20"/>
          <w:szCs w:val="20"/>
        </w:rPr>
        <w:t>as of</w:t>
      </w:r>
      <w:r>
        <w:rPr>
          <w:sz w:val="20"/>
          <w:szCs w:val="20"/>
        </w:rPr>
        <w:t xml:space="preserve"> </w:t>
      </w:r>
      <w:r>
        <w:rPr>
          <w:sz w:val="20"/>
          <w:szCs w:val="20"/>
        </w:rPr>
        <w:t>March 31, 2022 and March 31, 2021</w:t>
      </w:r>
      <w:r>
        <w:rPr>
          <w:sz w:val="20"/>
          <w:szCs w:val="20"/>
        </w:rPr>
        <w:t>.</w:t>
      </w:r>
    </w:p>
    <w:p w:rsidR="00000000" w:rsidRDefault="002D33E3">
      <w:pPr>
        <w:pStyle w:val="a3"/>
        <w:spacing w:before="240" w:beforeAutospacing="0" w:after="0" w:afterAutospacing="0"/>
        <w:ind w:firstLine="555"/>
        <w:divId w:val="726925673"/>
        <w:rPr>
          <w:sz w:val="20"/>
          <w:szCs w:val="20"/>
        </w:rPr>
      </w:pPr>
      <w:r>
        <w:rPr>
          <w:sz w:val="20"/>
          <w:szCs w:val="20"/>
        </w:rPr>
        <w:t>The Convertible and R</w:t>
      </w:r>
      <w:r>
        <w:rPr>
          <w:sz w:val="20"/>
          <w:szCs w:val="20"/>
        </w:rPr>
        <w:t>e</w:t>
      </w:r>
      <w:r>
        <w:rPr>
          <w:sz w:val="20"/>
          <w:szCs w:val="20"/>
        </w:rPr>
        <w:t>deemable Series A-2 Preferred Stock contains embedded features that are required to be bifurcated and are subject to separate accounting treatment from the instrument itself. At issuance, these</w:t>
      </w:r>
      <w:r>
        <w:rPr>
          <w:sz w:val="20"/>
          <w:szCs w:val="20"/>
        </w:rPr>
        <w:t xml:space="preserve"> embedded features consisted of (i) a contingent dividend feature associated with the decrease in the dividend rate upon an IPO and (ii) a conversion option of the preferred shares to shares of common stock beginning on the fourth-year anniversary of the i</w:t>
      </w:r>
      <w:r>
        <w:rPr>
          <w:sz w:val="20"/>
          <w:szCs w:val="20"/>
        </w:rPr>
        <w:t xml:space="preserve">ssuance date. Upon the Company’s IPO, the embedded derivative only consisted of the conversion option. As of March 31, 2022 and March 31, 2021, this conversion embedded feature had a net fair value of </w:t>
      </w:r>
      <w:r>
        <w:rPr>
          <w:sz w:val="20"/>
          <w:szCs w:val="20"/>
        </w:rPr>
        <w:t>$</w:t>
      </w:r>
      <w:r>
        <w:rPr>
          <w:sz w:val="20"/>
          <w:szCs w:val="20"/>
        </w:rPr>
        <w:t>23.</w:t>
      </w:r>
      <w:r>
        <w:rPr>
          <w:sz w:val="20"/>
          <w:szCs w:val="20"/>
        </w:rPr>
        <w:t>6</w:t>
      </w:r>
      <w:r>
        <w:rPr>
          <w:sz w:val="20"/>
          <w:szCs w:val="20"/>
        </w:rPr>
        <w:t xml:space="preserve"> million and </w:t>
      </w:r>
      <w:r>
        <w:rPr>
          <w:sz w:val="20"/>
          <w:szCs w:val="20"/>
        </w:rPr>
        <w:t>$</w:t>
      </w:r>
      <w:r>
        <w:rPr>
          <w:sz w:val="20"/>
          <w:szCs w:val="20"/>
        </w:rPr>
        <w:t>21.</w:t>
      </w:r>
      <w:r>
        <w:rPr>
          <w:sz w:val="20"/>
          <w:szCs w:val="20"/>
        </w:rPr>
        <w:t>5</w:t>
      </w:r>
      <w:r>
        <w:rPr>
          <w:sz w:val="20"/>
          <w:szCs w:val="20"/>
        </w:rPr>
        <w:t xml:space="preserve"> million. The change in value of</w:t>
      </w:r>
      <w:r>
        <w:rPr>
          <w:sz w:val="20"/>
          <w:szCs w:val="20"/>
        </w:rPr>
        <w:t xml:space="preserve"> </w:t>
      </w:r>
      <w:r>
        <w:rPr>
          <w:sz w:val="20"/>
          <w:szCs w:val="20"/>
        </w:rPr>
        <w:t>$</w:t>
      </w:r>
      <w:r>
        <w:rPr>
          <w:sz w:val="20"/>
          <w:szCs w:val="20"/>
        </w:rPr>
        <w:t>0.</w:t>
      </w:r>
      <w:r>
        <w:rPr>
          <w:sz w:val="20"/>
          <w:szCs w:val="20"/>
        </w:rPr>
        <w:t>6</w:t>
      </w:r>
      <w:r>
        <w:rPr>
          <w:sz w:val="20"/>
          <w:szCs w:val="20"/>
        </w:rPr>
        <w:t xml:space="preserve"> million for both the</w:t>
      </w:r>
      <w:r>
        <w:rPr>
          <w:sz w:val="20"/>
          <w:szCs w:val="20"/>
        </w:rPr>
        <w:t xml:space="preserve"> </w:t>
      </w:r>
      <w:r>
        <w:rPr>
          <w:sz w:val="20"/>
          <w:szCs w:val="20"/>
        </w:rPr>
        <w:t>three months ended March 31, 2022 and March 31, 202</w:t>
      </w:r>
      <w:r>
        <w:rPr>
          <w:sz w:val="20"/>
          <w:szCs w:val="20"/>
        </w:rPr>
        <w:t>1</w:t>
      </w:r>
      <w:r>
        <w:rPr>
          <w:sz w:val="20"/>
          <w:szCs w:val="20"/>
        </w:rPr>
        <w:t>, was recorded to other expense</w:t>
      </w:r>
      <w:r>
        <w:rPr>
          <w:sz w:val="20"/>
          <w:szCs w:val="20"/>
        </w:rPr>
        <w:t>.</w:t>
      </w:r>
      <w:r>
        <w:rPr>
          <w:sz w:val="20"/>
          <w:szCs w:val="20"/>
        </w:rPr>
        <w:t xml:space="preserve"> </w:t>
      </w:r>
    </w:p>
    <w:p w:rsidR="00000000" w:rsidRDefault="002D33E3">
      <w:pPr>
        <w:pStyle w:val="a3"/>
        <w:spacing w:before="0" w:beforeAutospacing="0" w:after="0" w:afterAutospacing="0"/>
        <w:ind w:firstLine="555"/>
        <w:rPr>
          <w:sz w:val="20"/>
          <w:szCs w:val="20"/>
        </w:rPr>
      </w:pPr>
      <w:r>
        <w:rPr>
          <w:sz w:val="20"/>
          <w:szCs w:val="20"/>
        </w:rPr>
        <w:t> </w:t>
      </w:r>
    </w:p>
    <w:p w:rsidR="00000000" w:rsidRDefault="002D33E3">
      <w:pPr>
        <w:pStyle w:val="a3"/>
        <w:spacing w:before="240" w:beforeAutospacing="0" w:after="0" w:afterAutospacing="0"/>
        <w:jc w:val="center"/>
        <w:rPr>
          <w:sz w:val="20"/>
          <w:szCs w:val="20"/>
        </w:rPr>
      </w:pPr>
      <w:r>
        <w:rPr>
          <w:sz w:val="20"/>
          <w:szCs w:val="20"/>
        </w:rPr>
        <w:t>2</w:t>
      </w:r>
      <w:r>
        <w:rPr>
          <w:sz w:val="20"/>
          <w:szCs w:val="20"/>
        </w:rPr>
        <w:t>0</w:t>
      </w:r>
    </w:p>
    <w:p w:rsidR="00000000" w:rsidRDefault="002D33E3">
      <w:pPr>
        <w:rPr>
          <w:rFonts w:eastAsia="Times New Roman"/>
        </w:rPr>
      </w:pPr>
      <w:r>
        <w:rPr>
          <w:rFonts w:eastAsia="Times New Roman"/>
        </w:rPr>
        <w:pict>
          <v:rect id="_x0000_i1046"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divId w:val="1338925291"/>
        <w:rPr>
          <w:sz w:val="20"/>
          <w:szCs w:val="20"/>
        </w:rPr>
      </w:pPr>
      <w:r>
        <w:rPr>
          <w:b/>
          <w:bCs/>
          <w:sz w:val="20"/>
          <w:szCs w:val="20"/>
        </w:rPr>
        <w:t>16. STOCKHOLDERS’ EQUIT</w:t>
      </w:r>
      <w:r>
        <w:rPr>
          <w:b/>
          <w:bCs/>
          <w:sz w:val="20"/>
          <w:szCs w:val="20"/>
        </w:rPr>
        <w:t>Y</w:t>
      </w:r>
    </w:p>
    <w:p w:rsidR="00000000" w:rsidRDefault="002D33E3">
      <w:pPr>
        <w:pStyle w:val="a3"/>
        <w:spacing w:before="240" w:beforeAutospacing="0" w:after="0" w:afterAutospacing="0"/>
        <w:ind w:firstLine="555"/>
        <w:divId w:val="1338925291"/>
        <w:rPr>
          <w:sz w:val="20"/>
          <w:szCs w:val="20"/>
        </w:rPr>
      </w:pPr>
      <w:r>
        <w:rPr>
          <w:b/>
          <w:bCs/>
          <w:sz w:val="20"/>
          <w:szCs w:val="20"/>
        </w:rPr>
        <w:t>Authorized Capital Stock</w:t>
      </w:r>
      <w:r>
        <w:rPr>
          <w:b/>
          <w:bCs/>
          <w:sz w:val="20"/>
          <w:szCs w:val="20"/>
        </w:rPr>
        <w:t>—</w:t>
      </w:r>
      <w:r>
        <w:rPr>
          <w:sz w:val="20"/>
          <w:szCs w:val="20"/>
        </w:rPr>
        <w:t>The Company was authorized to issue</w:t>
      </w:r>
      <w:r>
        <w:rPr>
          <w:sz w:val="20"/>
          <w:szCs w:val="20"/>
        </w:rPr>
        <w:t xml:space="preserve"> </w:t>
      </w:r>
      <w:r>
        <w:rPr>
          <w:sz w:val="20"/>
          <w:szCs w:val="20"/>
        </w:rPr>
        <w:t>190,000,00</w:t>
      </w:r>
      <w:r>
        <w:rPr>
          <w:sz w:val="20"/>
          <w:szCs w:val="20"/>
        </w:rPr>
        <w:t>0</w:t>
      </w:r>
      <w:r>
        <w:rPr>
          <w:sz w:val="20"/>
          <w:szCs w:val="20"/>
        </w:rPr>
        <w:t xml:space="preserve"> shares of common stock, with a par value of </w:t>
      </w:r>
      <w:r>
        <w:rPr>
          <w:sz w:val="20"/>
          <w:szCs w:val="20"/>
        </w:rPr>
        <w:t>$</w:t>
      </w:r>
      <w:r>
        <w:rPr>
          <w:sz w:val="20"/>
          <w:szCs w:val="20"/>
        </w:rPr>
        <w:t>0.00000</w:t>
      </w:r>
      <w:r>
        <w:rPr>
          <w:sz w:val="20"/>
          <w:szCs w:val="20"/>
        </w:rPr>
        <w:t>4</w:t>
      </w:r>
      <w:r>
        <w:rPr>
          <w:sz w:val="20"/>
          <w:szCs w:val="20"/>
        </w:rPr>
        <w:t xml:space="preserve"> per share as of</w:t>
      </w:r>
      <w:r>
        <w:rPr>
          <w:sz w:val="20"/>
          <w:szCs w:val="20"/>
        </w:rPr>
        <w:t xml:space="preserve"> </w:t>
      </w:r>
      <w:r>
        <w:rPr>
          <w:sz w:val="20"/>
          <w:szCs w:val="20"/>
        </w:rPr>
        <w:t>March 31, 2022 and December 31, 2021</w:t>
      </w:r>
      <w:r>
        <w:rPr>
          <w:sz w:val="20"/>
          <w:szCs w:val="20"/>
        </w:rPr>
        <w:t>.</w:t>
      </w:r>
    </w:p>
    <w:p w:rsidR="00000000" w:rsidRDefault="002D33E3">
      <w:pPr>
        <w:pStyle w:val="a3"/>
        <w:spacing w:before="240" w:beforeAutospacing="0" w:after="0" w:afterAutospacing="0"/>
        <w:ind w:firstLine="555"/>
        <w:divId w:val="1338925291"/>
        <w:rPr>
          <w:sz w:val="20"/>
          <w:szCs w:val="20"/>
        </w:rPr>
      </w:pPr>
      <w:r>
        <w:rPr>
          <w:b/>
          <w:bCs/>
          <w:sz w:val="20"/>
          <w:szCs w:val="20"/>
        </w:rPr>
        <w:t>Warrants</w:t>
      </w:r>
      <w:r>
        <w:rPr>
          <w:b/>
          <w:bCs/>
          <w:sz w:val="20"/>
          <w:szCs w:val="20"/>
        </w:rPr>
        <w:t>—</w:t>
      </w:r>
      <w:r>
        <w:rPr>
          <w:sz w:val="20"/>
          <w:szCs w:val="20"/>
        </w:rPr>
        <w:t>In May 2015, the Company issued warrants to acquire</w:t>
      </w:r>
      <w:r>
        <w:rPr>
          <w:sz w:val="20"/>
          <w:szCs w:val="20"/>
        </w:rPr>
        <w:t xml:space="preserve"> </w:t>
      </w:r>
      <w:r>
        <w:rPr>
          <w:sz w:val="20"/>
          <w:szCs w:val="20"/>
        </w:rPr>
        <w:t>116,35</w:t>
      </w:r>
      <w:r>
        <w:rPr>
          <w:sz w:val="20"/>
          <w:szCs w:val="20"/>
        </w:rPr>
        <w:t>0</w:t>
      </w:r>
      <w:r>
        <w:rPr>
          <w:sz w:val="20"/>
          <w:szCs w:val="20"/>
        </w:rPr>
        <w:t xml:space="preserve"> shares of Common Stock at a price of approximately </w:t>
      </w:r>
      <w:r>
        <w:rPr>
          <w:sz w:val="20"/>
          <w:szCs w:val="20"/>
        </w:rPr>
        <w:t>$</w:t>
      </w:r>
      <w:r>
        <w:rPr>
          <w:sz w:val="20"/>
          <w:szCs w:val="20"/>
        </w:rPr>
        <w:t>17.1</w:t>
      </w:r>
      <w:r>
        <w:rPr>
          <w:sz w:val="20"/>
          <w:szCs w:val="20"/>
        </w:rPr>
        <w:t>9</w:t>
      </w:r>
      <w:r>
        <w:rPr>
          <w:sz w:val="20"/>
          <w:szCs w:val="20"/>
        </w:rPr>
        <w:t xml:space="preserve"> per share to the placement agent as consideration for backstopping the financing completed in May 2015. These warrants were exercised in f</w:t>
      </w:r>
      <w:r>
        <w:rPr>
          <w:sz w:val="20"/>
          <w:szCs w:val="20"/>
        </w:rPr>
        <w:t>ull as a cashless transaction during the first quarter of 2021. As a result of this cashless transaction, the resulting number of shares issued was</w:t>
      </w:r>
      <w:r>
        <w:rPr>
          <w:sz w:val="20"/>
          <w:szCs w:val="20"/>
        </w:rPr>
        <w:t xml:space="preserve"> </w:t>
      </w:r>
      <w:r>
        <w:rPr>
          <w:sz w:val="20"/>
          <w:szCs w:val="20"/>
        </w:rPr>
        <w:t>67,71</w:t>
      </w:r>
      <w:r>
        <w:rPr>
          <w:sz w:val="20"/>
          <w:szCs w:val="20"/>
        </w:rPr>
        <w:t>3</w:t>
      </w:r>
      <w:r>
        <w:rPr>
          <w:sz w:val="20"/>
          <w:szCs w:val="20"/>
        </w:rPr>
        <w:t xml:space="preserve"> shares</w:t>
      </w:r>
      <w:r>
        <w:rPr>
          <w:sz w:val="20"/>
          <w:szCs w:val="20"/>
        </w:rPr>
        <w:t>.</w:t>
      </w:r>
    </w:p>
    <w:p w:rsidR="00000000" w:rsidRDefault="002D33E3">
      <w:pPr>
        <w:pStyle w:val="a3"/>
        <w:spacing w:before="240" w:beforeAutospacing="0" w:after="0" w:afterAutospacing="0"/>
        <w:ind w:firstLine="555"/>
        <w:divId w:val="1338925291"/>
        <w:rPr>
          <w:sz w:val="20"/>
          <w:szCs w:val="20"/>
        </w:rPr>
      </w:pPr>
      <w:r>
        <w:rPr>
          <w:b/>
          <w:bCs/>
          <w:sz w:val="20"/>
          <w:szCs w:val="20"/>
        </w:rPr>
        <w:t>Common Stock Issuance</w:t>
      </w:r>
      <w:r>
        <w:rPr>
          <w:b/>
          <w:bCs/>
          <w:sz w:val="20"/>
          <w:szCs w:val="20"/>
        </w:rPr>
        <w:t>s</w:t>
      </w:r>
      <w:r>
        <w:rPr>
          <w:sz w:val="20"/>
          <w:szCs w:val="20"/>
        </w:rPr>
        <w:t>—</w:t>
      </w:r>
      <w:r>
        <w:rPr>
          <w:sz w:val="20"/>
          <w:szCs w:val="20"/>
        </w:rPr>
        <w:t>The Company issued the following shares of common stock</w:t>
      </w:r>
      <w:r>
        <w:rPr>
          <w:sz w:val="20"/>
          <w:szCs w:val="20"/>
        </w:rPr>
        <w:t>:</w:t>
      </w:r>
    </w:p>
    <w:p w:rsidR="00000000" w:rsidRDefault="002D33E3">
      <w:pPr>
        <w:pStyle w:val="a3"/>
        <w:spacing w:before="0" w:beforeAutospacing="0" w:after="0" w:afterAutospacing="0"/>
        <w:divId w:val="160705154"/>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68"/>
        <w:gridCol w:w="105"/>
        <w:gridCol w:w="603"/>
        <w:gridCol w:w="105"/>
        <w:gridCol w:w="105"/>
        <w:gridCol w:w="151"/>
        <w:gridCol w:w="598"/>
        <w:gridCol w:w="105"/>
        <w:gridCol w:w="105"/>
        <w:gridCol w:w="151"/>
        <w:gridCol w:w="787"/>
        <w:gridCol w:w="105"/>
        <w:gridCol w:w="105"/>
        <w:gridCol w:w="105"/>
        <w:gridCol w:w="645"/>
        <w:gridCol w:w="105"/>
        <w:gridCol w:w="105"/>
        <w:gridCol w:w="151"/>
        <w:gridCol w:w="598"/>
        <w:gridCol w:w="105"/>
        <w:gridCol w:w="105"/>
        <w:gridCol w:w="151"/>
        <w:gridCol w:w="787"/>
        <w:gridCol w:w="105"/>
        <w:gridCol w:w="120"/>
      </w:tblGrid>
      <w:tr w:rsidR="00000000">
        <w:trPr>
          <w:divId w:val="160705154"/>
          <w:tblCellSpacing w:w="15" w:type="dxa"/>
        </w:trPr>
        <w:tc>
          <w:tcPr>
            <w:tcW w:w="1064" w:type="pct"/>
            <w:vAlign w:val="center"/>
            <w:hideMark/>
          </w:tcPr>
          <w:p w:rsidR="00000000" w:rsidRDefault="002D33E3">
            <w:pPr>
              <w:rPr>
                <w:sz w:val="20"/>
                <w:szCs w:val="20"/>
              </w:rPr>
            </w:pPr>
          </w:p>
        </w:tc>
        <w:tc>
          <w:tcPr>
            <w:tcW w:w="29" w:type="pct"/>
            <w:vAlign w:val="center"/>
            <w:hideMark/>
          </w:tcPr>
          <w:p w:rsidR="00000000" w:rsidRDefault="002D33E3">
            <w:pPr>
              <w:rPr>
                <w:rFonts w:eastAsia="Times New Roman"/>
                <w:sz w:val="20"/>
                <w:szCs w:val="20"/>
              </w:rPr>
            </w:pPr>
          </w:p>
        </w:tc>
        <w:tc>
          <w:tcPr>
            <w:tcW w:w="506"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62" w:type="pct"/>
            <w:vAlign w:val="center"/>
            <w:hideMark/>
          </w:tcPr>
          <w:p w:rsidR="00000000" w:rsidRDefault="002D33E3">
            <w:pPr>
              <w:rPr>
                <w:rFonts w:eastAsia="Times New Roman"/>
                <w:sz w:val="20"/>
                <w:szCs w:val="20"/>
              </w:rPr>
            </w:pPr>
          </w:p>
        </w:tc>
        <w:tc>
          <w:tcPr>
            <w:tcW w:w="492"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62" w:type="pct"/>
            <w:vAlign w:val="center"/>
            <w:hideMark/>
          </w:tcPr>
          <w:p w:rsidR="00000000" w:rsidRDefault="002D33E3">
            <w:pPr>
              <w:rPr>
                <w:rFonts w:eastAsia="Times New Roman"/>
                <w:sz w:val="20"/>
                <w:szCs w:val="20"/>
              </w:rPr>
            </w:pPr>
          </w:p>
        </w:tc>
        <w:tc>
          <w:tcPr>
            <w:tcW w:w="560"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16"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62" w:type="pct"/>
            <w:vAlign w:val="center"/>
            <w:hideMark/>
          </w:tcPr>
          <w:p w:rsidR="00000000" w:rsidRDefault="002D33E3">
            <w:pPr>
              <w:rPr>
                <w:rFonts w:eastAsia="Times New Roman"/>
                <w:sz w:val="20"/>
                <w:szCs w:val="20"/>
              </w:rPr>
            </w:pPr>
          </w:p>
        </w:tc>
        <w:tc>
          <w:tcPr>
            <w:tcW w:w="492"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62" w:type="pct"/>
            <w:vAlign w:val="center"/>
            <w:hideMark/>
          </w:tcPr>
          <w:p w:rsidR="00000000" w:rsidRDefault="002D33E3">
            <w:pPr>
              <w:rPr>
                <w:rFonts w:eastAsia="Times New Roman"/>
                <w:sz w:val="20"/>
                <w:szCs w:val="20"/>
              </w:rPr>
            </w:pPr>
          </w:p>
        </w:tc>
        <w:tc>
          <w:tcPr>
            <w:tcW w:w="560"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r>
      <w:tr w:rsidR="00000000">
        <w:trPr>
          <w:divId w:val="16070515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2"/>
            <w:vAlign w:val="bottom"/>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6070515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6070515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Total</w:t>
            </w:r>
            <w:r>
              <w:rPr>
                <w:b/>
                <w:bCs/>
                <w:sz w:val="18"/>
                <w:szCs w:val="18"/>
              </w:rPr>
              <w:br/>
              <w:t>(in thousands</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Total</w:t>
            </w:r>
            <w:r>
              <w:rPr>
                <w:b/>
                <w:bCs/>
                <w:sz w:val="18"/>
                <w:szCs w:val="18"/>
              </w:rPr>
              <w:br/>
              <w:t>(in thousands</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607051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Acquisition</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71,74</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31.6</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2,27</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607051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Exercise of warrants</w:t>
            </w:r>
            <w:r>
              <w:rPr>
                <w:sz w:val="18"/>
                <w:szCs w:val="18"/>
              </w:rPr>
              <w:t xml:space="preserve"> </w:t>
            </w:r>
            <w:r>
              <w:rPr>
                <w:sz w:val="12"/>
                <w:szCs w:val="12"/>
              </w:rPr>
              <w:t>(1</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67,71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17.1</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607051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Exercise of option</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30,60</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14.0</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42</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330,06</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6.6</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2,18</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607051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Restricted shares, net</w:t>
            </w:r>
            <w:r>
              <w:rPr>
                <w:sz w:val="18"/>
                <w:szCs w:val="18"/>
              </w:rPr>
              <w:t xml:space="preserve"> </w:t>
            </w:r>
            <w:r>
              <w:rPr>
                <w:sz w:val="12"/>
                <w:szCs w:val="12"/>
              </w:rPr>
              <w:t>(1</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25,28</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66.5</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36,81</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29.8</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60705154"/>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Tota</w:t>
            </w:r>
            <w:r>
              <w:rPr>
                <w:b/>
                <w:bCs/>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8"/>
                <w:szCs w:val="18"/>
              </w:rPr>
              <w:t>55,89</w:t>
            </w:r>
            <w:r>
              <w:rPr>
                <w:b/>
                <w:bCs/>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8"/>
                <w:szCs w:val="18"/>
              </w:rPr>
              <w:t>37.8</w:t>
            </w:r>
            <w:r>
              <w:rPr>
                <w:b/>
                <w:bCs/>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8"/>
                <w:szCs w:val="18"/>
              </w:rPr>
              <w:t>42</w:t>
            </w:r>
            <w:r>
              <w:rPr>
                <w:b/>
                <w:bCs/>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8"/>
                <w:szCs w:val="18"/>
              </w:rPr>
              <w:t>506,33</w:t>
            </w:r>
            <w:r>
              <w:rPr>
                <w:b/>
                <w:bCs/>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8"/>
                <w:szCs w:val="18"/>
              </w:rPr>
              <w:t>13.2</w:t>
            </w:r>
            <w:r>
              <w:rPr>
                <w:b/>
                <w:bCs/>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b/>
                <w:bCs/>
                <w:sz w:val="18"/>
                <w:szCs w:val="18"/>
              </w:rPr>
              <w:t>4,45</w:t>
            </w:r>
            <w:r>
              <w:rPr>
                <w:b/>
                <w:bCs/>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pBdr>
          <w:bottom w:val="single" w:sz="4" w:space="1" w:color="auto"/>
        </w:pBdr>
        <w:spacing w:before="0" w:beforeAutospacing="0" w:after="0" w:afterAutospacing="0"/>
        <w:ind w:right="9167"/>
        <w:divId w:val="160705154"/>
        <w:rPr>
          <w:sz w:val="20"/>
          <w:szCs w:val="20"/>
        </w:rPr>
      </w:pPr>
      <w:r>
        <w:rPr>
          <w:sz w:val="20"/>
          <w:szCs w:val="20"/>
        </w:rPr>
        <w:t> </w:t>
      </w:r>
    </w:p>
    <w:p w:rsidR="00000000" w:rsidRDefault="002D33E3">
      <w:pPr>
        <w:pStyle w:val="a3"/>
        <w:spacing w:before="40" w:beforeAutospacing="0" w:after="0" w:afterAutospacing="0"/>
        <w:ind w:firstLine="555"/>
        <w:divId w:val="160705154"/>
        <w:rPr>
          <w:sz w:val="20"/>
          <w:szCs w:val="20"/>
        </w:rPr>
      </w:pPr>
      <w:r>
        <w:rPr>
          <w:sz w:val="16"/>
          <w:szCs w:val="16"/>
        </w:rPr>
        <w:t>(1) Represents the release of common shares due to the exercise of warrants options and the vesting of restricted stock</w:t>
      </w:r>
      <w:r>
        <w:rPr>
          <w:sz w:val="16"/>
          <w:szCs w:val="16"/>
        </w:rPr>
        <w:t>.</w:t>
      </w:r>
    </w:p>
    <w:p w:rsidR="00000000" w:rsidRDefault="002D33E3">
      <w:pPr>
        <w:pStyle w:val="a3"/>
        <w:spacing w:before="240" w:beforeAutospacing="0" w:after="0" w:afterAutospacing="0"/>
        <w:ind w:firstLine="555"/>
        <w:divId w:val="1338925291"/>
        <w:rPr>
          <w:sz w:val="20"/>
          <w:szCs w:val="20"/>
        </w:rPr>
      </w:pPr>
      <w:r>
        <w:rPr>
          <w:b/>
          <w:bCs/>
          <w:sz w:val="20"/>
          <w:szCs w:val="20"/>
        </w:rPr>
        <w:t>Employee Equity Incentive Plan</w:t>
      </w:r>
      <w:r>
        <w:rPr>
          <w:b/>
          <w:bCs/>
          <w:sz w:val="20"/>
          <w:szCs w:val="20"/>
        </w:rPr>
        <w:t>s</w:t>
      </w:r>
      <w:r>
        <w:rPr>
          <w:sz w:val="20"/>
          <w:szCs w:val="20"/>
        </w:rPr>
        <w:t>—The Company has two plans under which stock-based awards have been issued: (i) the Montrose Amended &amp; R</w:t>
      </w:r>
      <w:r>
        <w:rPr>
          <w:sz w:val="20"/>
          <w:szCs w:val="20"/>
        </w:rPr>
        <w:t>estated 2017 Stock Incentive Plan (“2017 Plan”) and (ii) the Montrose Amended &amp; Restated 2013 Stock Option Plan (“2013 Plan”) (collectively the “Plans”)</w:t>
      </w:r>
      <w:r>
        <w:rPr>
          <w:sz w:val="20"/>
          <w:szCs w:val="20"/>
        </w:rPr>
        <w:t>.</w:t>
      </w:r>
    </w:p>
    <w:p w:rsidR="00000000" w:rsidRDefault="002D33E3">
      <w:pPr>
        <w:pStyle w:val="a3"/>
        <w:spacing w:before="240" w:beforeAutospacing="0" w:after="0" w:afterAutospacing="0"/>
        <w:ind w:firstLine="555"/>
        <w:divId w:val="1338925291"/>
        <w:rPr>
          <w:sz w:val="20"/>
          <w:szCs w:val="20"/>
        </w:rPr>
      </w:pPr>
      <w:r>
        <w:rPr>
          <w:sz w:val="20"/>
          <w:szCs w:val="20"/>
        </w:rPr>
        <w:t>As of March 31, 2022, and March 31, 202</w:t>
      </w:r>
      <w:r>
        <w:rPr>
          <w:sz w:val="20"/>
          <w:szCs w:val="20"/>
        </w:rPr>
        <w:t>1</w:t>
      </w:r>
      <w:r>
        <w:rPr>
          <w:sz w:val="20"/>
          <w:szCs w:val="20"/>
        </w:rPr>
        <w:t xml:space="preserve">, there was </w:t>
      </w:r>
      <w:r>
        <w:rPr>
          <w:sz w:val="20"/>
          <w:szCs w:val="20"/>
        </w:rPr>
        <w:t>$</w:t>
      </w:r>
      <w:r>
        <w:rPr>
          <w:sz w:val="20"/>
          <w:szCs w:val="20"/>
        </w:rPr>
        <w:t>173.</w:t>
      </w:r>
      <w:r>
        <w:rPr>
          <w:sz w:val="20"/>
          <w:szCs w:val="20"/>
        </w:rPr>
        <w:t>1</w:t>
      </w:r>
      <w:r>
        <w:rPr>
          <w:sz w:val="20"/>
          <w:szCs w:val="20"/>
        </w:rPr>
        <w:t xml:space="preserve"> million and </w:t>
      </w:r>
      <w:r>
        <w:rPr>
          <w:sz w:val="20"/>
          <w:szCs w:val="20"/>
        </w:rPr>
        <w:t>$</w:t>
      </w:r>
      <w:r>
        <w:rPr>
          <w:sz w:val="20"/>
          <w:szCs w:val="20"/>
        </w:rPr>
        <w:t>18.</w:t>
      </w:r>
      <w:r>
        <w:rPr>
          <w:sz w:val="20"/>
          <w:szCs w:val="20"/>
        </w:rPr>
        <w:t>8</w:t>
      </w:r>
      <w:r>
        <w:rPr>
          <w:sz w:val="20"/>
          <w:szCs w:val="20"/>
        </w:rPr>
        <w:t xml:space="preserve"> million, respectively, of</w:t>
      </w:r>
      <w:r>
        <w:rPr>
          <w:sz w:val="20"/>
          <w:szCs w:val="20"/>
        </w:rPr>
        <w:t xml:space="preserve"> total unrecognized stock compensation expense related to unvested options, restricted stock and stock appreciation rights granted under the Plans. Such unrecognized expense is expected to be recognized over a weighted-average</w:t>
      </w:r>
      <w:r>
        <w:rPr>
          <w:sz w:val="20"/>
          <w:szCs w:val="20"/>
        </w:rPr>
        <w:t xml:space="preserve"> </w:t>
      </w:r>
      <w:r>
        <w:rPr>
          <w:sz w:val="20"/>
          <w:szCs w:val="20"/>
        </w:rPr>
        <w:t>four yea</w:t>
      </w:r>
      <w:r>
        <w:rPr>
          <w:sz w:val="20"/>
          <w:szCs w:val="20"/>
        </w:rPr>
        <w:t>r</w:t>
      </w:r>
      <w:r>
        <w:rPr>
          <w:sz w:val="20"/>
          <w:szCs w:val="20"/>
        </w:rPr>
        <w:t xml:space="preserve"> period.</w:t>
      </w:r>
      <w:r>
        <w:rPr>
          <w:sz w:val="20"/>
          <w:szCs w:val="20"/>
        </w:rPr>
        <w:t xml:space="preserve"> </w:t>
      </w:r>
      <w:r>
        <w:rPr>
          <w:sz w:val="20"/>
          <w:szCs w:val="20"/>
        </w:rPr>
        <w:t>The followi</w:t>
      </w:r>
      <w:r>
        <w:rPr>
          <w:sz w:val="20"/>
          <w:szCs w:val="20"/>
        </w:rPr>
        <w:t>ng number of shares were authorized to be issued and available for grant</w:t>
      </w:r>
      <w:r>
        <w:rPr>
          <w:sz w:val="20"/>
          <w:szCs w:val="20"/>
        </w:rPr>
        <w:t>:</w:t>
      </w:r>
    </w:p>
    <w:p w:rsidR="00000000" w:rsidRDefault="002D33E3">
      <w:pPr>
        <w:pStyle w:val="a3"/>
        <w:spacing w:before="0" w:beforeAutospacing="0" w:after="0" w:afterAutospacing="0"/>
        <w:divId w:val="1819565693"/>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390"/>
        <w:gridCol w:w="168"/>
        <w:gridCol w:w="105"/>
        <w:gridCol w:w="1308"/>
        <w:gridCol w:w="105"/>
        <w:gridCol w:w="168"/>
        <w:gridCol w:w="105"/>
        <w:gridCol w:w="1308"/>
        <w:gridCol w:w="105"/>
        <w:gridCol w:w="168"/>
        <w:gridCol w:w="105"/>
        <w:gridCol w:w="1320"/>
        <w:gridCol w:w="120"/>
      </w:tblGrid>
      <w:tr w:rsidR="00000000">
        <w:trPr>
          <w:divId w:val="1819565693"/>
          <w:tblCellSpacing w:w="15" w:type="dxa"/>
        </w:trPr>
        <w:tc>
          <w:tcPr>
            <w:tcW w:w="1663" w:type="pct"/>
            <w:vAlign w:val="center"/>
            <w:hideMark/>
          </w:tcPr>
          <w:p w:rsidR="00000000" w:rsidRDefault="002D33E3">
            <w:pPr>
              <w:rPr>
                <w:sz w:val="20"/>
                <w:szCs w:val="20"/>
              </w:rPr>
            </w:pPr>
          </w:p>
        </w:tc>
        <w:tc>
          <w:tcPr>
            <w:tcW w:w="102"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909"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02"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909"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02"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917"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r>
      <w:tr w:rsidR="00000000">
        <w:trPr>
          <w:divId w:val="1819565693"/>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2D33E3">
            <w:pPr>
              <w:pStyle w:val="a3"/>
              <w:spacing w:before="0" w:beforeAutospacing="0" w:after="0" w:afterAutospacing="0"/>
              <w:jc w:val="center"/>
              <w:rPr>
                <w:sz w:val="18"/>
                <w:szCs w:val="18"/>
              </w:rPr>
            </w:pPr>
            <w:r>
              <w:rPr>
                <w:b/>
                <w:bCs/>
                <w:sz w:val="18"/>
                <w:szCs w:val="18"/>
              </w:rPr>
              <w:t>March 31, 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819565693"/>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2013 Pla</w:t>
            </w:r>
            <w:r>
              <w:rPr>
                <w:b/>
                <w:bCs/>
                <w:sz w:val="18"/>
                <w:szCs w:val="18"/>
              </w:rPr>
              <w:t>n</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81956569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Shares authorized to be issue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8,272,48</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1,904,64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10,177,13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81956569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Shares available for gran</w:t>
            </w:r>
            <w:r>
              <w:rPr>
                <w:sz w:val="18"/>
                <w:szCs w:val="18"/>
              </w:rPr>
              <w:t>t</w:t>
            </w:r>
            <w:r>
              <w:rPr>
                <w:sz w:val="12"/>
                <w:szCs w:val="12"/>
              </w:rPr>
              <w:t>(1</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577,13</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577,13</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819565693"/>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81956569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2D33E3">
            <w:pPr>
              <w:pStyle w:val="a3"/>
              <w:spacing w:before="0" w:beforeAutospacing="0" w:after="0" w:afterAutospacing="0"/>
              <w:jc w:val="center"/>
              <w:rPr>
                <w:sz w:val="18"/>
                <w:szCs w:val="18"/>
              </w:rPr>
            </w:pPr>
            <w:r>
              <w:rPr>
                <w:b/>
                <w:bCs/>
                <w:sz w:val="18"/>
                <w:szCs w:val="18"/>
              </w:rPr>
              <w:t>March 31, 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81956569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2013 Pla</w:t>
            </w:r>
            <w:r>
              <w:rPr>
                <w:b/>
                <w:bCs/>
                <w:sz w:val="18"/>
                <w:szCs w:val="18"/>
              </w:rPr>
              <w:t>n</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81956569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Shares authorized to be issue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3,944,75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2,047,26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5,992,01</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81956569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Shares available for gran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1,618,99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1,618,99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pBdr>
          <w:bottom w:val="single" w:sz="4" w:space="1" w:color="auto"/>
        </w:pBdr>
        <w:spacing w:before="0" w:beforeAutospacing="0" w:after="0" w:afterAutospacing="0"/>
        <w:ind w:right="9167"/>
        <w:divId w:val="1338925291"/>
        <w:rPr>
          <w:sz w:val="20"/>
          <w:szCs w:val="20"/>
        </w:rPr>
      </w:pPr>
      <w:r>
        <w:rPr>
          <w:sz w:val="20"/>
          <w:szCs w:val="20"/>
        </w:rPr>
        <w:t> </w:t>
      </w:r>
    </w:p>
    <w:p w:rsidR="00000000" w:rsidRDefault="002D33E3">
      <w:pPr>
        <w:pStyle w:val="a3"/>
        <w:spacing w:before="0" w:beforeAutospacing="0" w:after="0" w:afterAutospacing="0"/>
        <w:divId w:val="1338925291"/>
        <w:rPr>
          <w:sz w:val="20"/>
          <w:szCs w:val="20"/>
        </w:rPr>
      </w:pPr>
      <w:r>
        <w:rPr>
          <w:sz w:val="16"/>
          <w:szCs w:val="16"/>
        </w:rPr>
        <w:t>(1) In January 2022 the Board of Directors ratified the addition of</w:t>
      </w:r>
      <w:r>
        <w:rPr>
          <w:sz w:val="16"/>
          <w:szCs w:val="16"/>
        </w:rPr>
        <w:t xml:space="preserve"> </w:t>
      </w:r>
      <w:r>
        <w:rPr>
          <w:sz w:val="16"/>
          <w:szCs w:val="16"/>
        </w:rPr>
        <w:t>1,185,11</w:t>
      </w:r>
      <w:r>
        <w:rPr>
          <w:sz w:val="16"/>
          <w:szCs w:val="16"/>
        </w:rPr>
        <w:t>2</w:t>
      </w:r>
      <w:r>
        <w:rPr>
          <w:sz w:val="16"/>
          <w:szCs w:val="16"/>
        </w:rPr>
        <w:t xml:space="preserve"> </w:t>
      </w:r>
      <w:r>
        <w:rPr>
          <w:sz w:val="16"/>
          <w:szCs w:val="16"/>
        </w:rPr>
        <w:t>shares of common stock to the number of shares available for issuance under the 2017 Plan pursuant to the annual increase provision of such plan. Unless the Board of Directors determines otherwise, additional annual increases will be effective on each Janu</w:t>
      </w:r>
      <w:r>
        <w:rPr>
          <w:sz w:val="16"/>
          <w:szCs w:val="16"/>
        </w:rPr>
        <w:t>ary 1, through January 1, 2027. The 2017 Plan permits the company to settle awards, if and when vested, in cash at its discretion. Pursuant to the terms of the 2017 Plan, the number of shares authorized for issuance thereunder will only be reduced with res</w:t>
      </w:r>
      <w:r>
        <w:rPr>
          <w:sz w:val="16"/>
          <w:szCs w:val="16"/>
        </w:rPr>
        <w:t>pect to shares of common stock actually issued upon exercise or settlement of an award. Shares of common stock subject to awards that have been canceled, expired, forfeited or otherwise not issued under an award and shares of common stock subject to awards</w:t>
      </w:r>
      <w:r>
        <w:rPr>
          <w:sz w:val="16"/>
          <w:szCs w:val="16"/>
        </w:rPr>
        <w:t xml:space="preserve"> settled in cash do not count as shares of common stock issued under the 2017 Plan. Shares available for grant exclude awards of stock appreciation rights approved in December 2021 that are subject to vesting based on the achievement of certain market cond</w:t>
      </w:r>
      <w:r>
        <w:rPr>
          <w:sz w:val="16"/>
          <w:szCs w:val="16"/>
        </w:rPr>
        <w:t>itions, which have not yet been, and may not be, achieved. At maximum level of achievement these awards would represent the right to receive an aggregate of</w:t>
      </w:r>
      <w:r>
        <w:rPr>
          <w:sz w:val="16"/>
          <w:szCs w:val="16"/>
        </w:rPr>
        <w:t xml:space="preserve"> </w:t>
      </w:r>
      <w:r>
        <w:rPr>
          <w:sz w:val="16"/>
          <w:szCs w:val="16"/>
        </w:rPr>
        <w:t>3,000,00</w:t>
      </w:r>
      <w:r>
        <w:rPr>
          <w:sz w:val="16"/>
          <w:szCs w:val="16"/>
        </w:rPr>
        <w:t>0</w:t>
      </w:r>
      <w:r>
        <w:rPr>
          <w:sz w:val="16"/>
          <w:szCs w:val="16"/>
        </w:rPr>
        <w:t xml:space="preserve"> shares of common stock</w:t>
      </w:r>
      <w:r>
        <w:rPr>
          <w:sz w:val="16"/>
          <w:szCs w:val="16"/>
        </w:rPr>
        <w:t>.</w:t>
      </w:r>
    </w:p>
    <w:p w:rsidR="00000000" w:rsidRDefault="002D33E3">
      <w:pPr>
        <w:pStyle w:val="a3"/>
        <w:spacing w:before="240" w:beforeAutospacing="0" w:after="0" w:afterAutospacing="0"/>
        <w:jc w:val="center"/>
        <w:divId w:val="1338925291"/>
        <w:rPr>
          <w:sz w:val="20"/>
          <w:szCs w:val="20"/>
        </w:rPr>
      </w:pPr>
      <w:r>
        <w:rPr>
          <w:sz w:val="20"/>
          <w:szCs w:val="20"/>
        </w:rPr>
        <w:t>2</w:t>
      </w:r>
      <w:r>
        <w:rPr>
          <w:sz w:val="20"/>
          <w:szCs w:val="20"/>
        </w:rPr>
        <w:t>1</w:t>
      </w:r>
    </w:p>
    <w:p w:rsidR="00000000" w:rsidRDefault="002D33E3">
      <w:pPr>
        <w:divId w:val="1338925291"/>
        <w:rPr>
          <w:rFonts w:eastAsia="Times New Roman"/>
        </w:rPr>
      </w:pPr>
      <w:r>
        <w:rPr>
          <w:rFonts w:eastAsia="Times New Roman"/>
        </w:rPr>
        <w:pict>
          <v:rect id="_x0000_i1047" style="width:0;height:1.5pt" o:hralign="center" o:hrstd="t" o:hr="t" fillcolor="#a0a0a0" stroked="f"/>
        </w:pict>
      </w:r>
    </w:p>
    <w:p w:rsidR="00000000" w:rsidRDefault="002D33E3">
      <w:pPr>
        <w:pStyle w:val="a3"/>
        <w:spacing w:before="0" w:beforeAutospacing="0" w:after="0" w:afterAutospacing="0"/>
        <w:divId w:val="1338925291"/>
        <w:rPr>
          <w:sz w:val="20"/>
          <w:szCs w:val="20"/>
        </w:rPr>
      </w:pPr>
      <w:r>
        <w:rPr>
          <w:sz w:val="20"/>
          <w:szCs w:val="20"/>
        </w:rPr>
        <w:t> </w:t>
      </w:r>
    </w:p>
    <w:p w:rsidR="00000000" w:rsidRDefault="002D33E3">
      <w:pPr>
        <w:pStyle w:val="a3"/>
        <w:spacing w:before="240" w:beforeAutospacing="0" w:after="0" w:afterAutospacing="0"/>
        <w:ind w:firstLine="555"/>
        <w:divId w:val="308749099"/>
        <w:rPr>
          <w:sz w:val="20"/>
          <w:szCs w:val="20"/>
        </w:rPr>
      </w:pPr>
      <w:r>
        <w:rPr>
          <w:sz w:val="20"/>
          <w:szCs w:val="20"/>
        </w:rPr>
        <w:t>Total stock compensation</w:t>
      </w:r>
      <w:r>
        <w:rPr>
          <w:sz w:val="20"/>
          <w:szCs w:val="20"/>
        </w:rPr>
        <w:t xml:space="preserve"> expense for the Plans was as follows</w:t>
      </w:r>
      <w:r>
        <w:rPr>
          <w:sz w:val="20"/>
          <w:szCs w:val="20"/>
        </w:rPr>
        <w:t>:</w:t>
      </w:r>
    </w:p>
    <w:p w:rsidR="00000000" w:rsidRDefault="002D33E3">
      <w:pPr>
        <w:pStyle w:val="a3"/>
        <w:spacing w:before="0" w:beforeAutospacing="0" w:after="0" w:afterAutospacing="0"/>
        <w:ind w:firstLine="555"/>
        <w:divId w:val="30874909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78"/>
        <w:gridCol w:w="120"/>
        <w:gridCol w:w="151"/>
        <w:gridCol w:w="711"/>
        <w:gridCol w:w="105"/>
        <w:gridCol w:w="121"/>
        <w:gridCol w:w="151"/>
        <w:gridCol w:w="1402"/>
        <w:gridCol w:w="105"/>
        <w:gridCol w:w="150"/>
        <w:gridCol w:w="570"/>
        <w:gridCol w:w="105"/>
        <w:gridCol w:w="121"/>
        <w:gridCol w:w="152"/>
        <w:gridCol w:w="743"/>
        <w:gridCol w:w="105"/>
        <w:gridCol w:w="121"/>
        <w:gridCol w:w="150"/>
        <w:gridCol w:w="625"/>
        <w:gridCol w:w="120"/>
      </w:tblGrid>
      <w:tr w:rsidR="00000000">
        <w:trPr>
          <w:divId w:val="308749099"/>
          <w:tblCellSpacing w:w="15" w:type="dxa"/>
        </w:trPr>
        <w:tc>
          <w:tcPr>
            <w:tcW w:w="1606" w:type="pct"/>
            <w:vAlign w:val="center"/>
            <w:hideMark/>
          </w:tcPr>
          <w:p w:rsidR="00000000" w:rsidRDefault="002D33E3">
            <w:pPr>
              <w:rPr>
                <w:sz w:val="20"/>
                <w:szCs w:val="20"/>
              </w:rPr>
            </w:pPr>
          </w:p>
        </w:tc>
        <w:tc>
          <w:tcPr>
            <w:tcW w:w="83"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466"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83"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91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374"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83"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487"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83"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410"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17"/>
            <w:vAlign w:val="bottom"/>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17"/>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9"/>
            <w:vAlign w:val="bottom"/>
            <w:hideMark/>
          </w:tcPr>
          <w:p w:rsidR="00000000" w:rsidRDefault="002D33E3">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2013 pla</w:t>
            </w:r>
            <w:r>
              <w:rPr>
                <w:b/>
                <w:bCs/>
                <w:sz w:val="18"/>
                <w:szCs w:val="18"/>
              </w:rPr>
              <w:t>n</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Restricted Stoc</w:t>
            </w:r>
            <w:r>
              <w:rPr>
                <w:b/>
                <w:bCs/>
                <w:sz w:val="18"/>
                <w:szCs w:val="18"/>
              </w:rPr>
              <w:t>k</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SAR</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Cost of revenu</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Selling, general and </w:t>
            </w:r>
            <w:r>
              <w:rPr>
                <w:sz w:val="18"/>
                <w:szCs w:val="18"/>
              </w:rPr>
              <w:br/>
              <w:t>   administrative expens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1,97</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5,79</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2,36</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10,13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2,27</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5,79</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2,36</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10,42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08749099"/>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17"/>
            <w:vAlign w:val="bottom"/>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17"/>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9"/>
            <w:vAlign w:val="bottom"/>
            <w:hideMark/>
          </w:tcPr>
          <w:p w:rsidR="00000000" w:rsidRDefault="002D33E3">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2013 pla</w:t>
            </w:r>
            <w:r>
              <w:rPr>
                <w:b/>
                <w:bCs/>
                <w:sz w:val="18"/>
                <w:szCs w:val="18"/>
              </w:rPr>
              <w:t>n</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Restricted Stoc</w:t>
            </w:r>
            <w:r>
              <w:rPr>
                <w:b/>
                <w:bCs/>
                <w:sz w:val="18"/>
                <w:szCs w:val="18"/>
              </w:rPr>
              <w:t>k</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SAR</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Cost of revenu</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60</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61</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Selling, general and </w:t>
            </w:r>
            <w:r>
              <w:rPr>
                <w:sz w:val="18"/>
                <w:szCs w:val="18"/>
              </w:rPr>
              <w:br/>
              <w:t>   administrative expens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1,00</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1,18</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08749099"/>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1,61</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08749099"/>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divId w:val="1338925291"/>
        <w:rPr>
          <w:sz w:val="20"/>
          <w:szCs w:val="20"/>
        </w:rPr>
      </w:pPr>
      <w:r>
        <w:rPr>
          <w:b/>
          <w:bCs/>
          <w:i/>
          <w:iCs/>
          <w:sz w:val="20"/>
          <w:szCs w:val="20"/>
        </w:rPr>
        <w:t xml:space="preserve">Montrose Amended &amp; </w:t>
      </w:r>
      <w:r>
        <w:rPr>
          <w:b/>
          <w:bCs/>
          <w:i/>
          <w:iCs/>
          <w:sz w:val="20"/>
          <w:szCs w:val="20"/>
        </w:rPr>
        <w:t>Restated 2017 Stock Incentive Pla</w:t>
      </w:r>
      <w:r>
        <w:rPr>
          <w:b/>
          <w:bCs/>
          <w:i/>
          <w:iCs/>
          <w:sz w:val="20"/>
          <w:szCs w:val="20"/>
        </w:rPr>
        <w:t>n</w:t>
      </w:r>
    </w:p>
    <w:p w:rsidR="00000000" w:rsidRDefault="002D33E3">
      <w:pPr>
        <w:pStyle w:val="a3"/>
        <w:spacing w:before="240" w:beforeAutospacing="0" w:after="0" w:afterAutospacing="0"/>
        <w:ind w:firstLine="555"/>
        <w:divId w:val="1338925291"/>
        <w:rPr>
          <w:sz w:val="20"/>
          <w:szCs w:val="20"/>
        </w:rPr>
      </w:pPr>
      <w:r>
        <w:rPr>
          <w:b/>
          <w:bCs/>
          <w:i/>
          <w:iCs/>
          <w:sz w:val="20"/>
          <w:szCs w:val="20"/>
        </w:rPr>
        <w:t>Restricted Stock</w:t>
      </w:r>
      <w:r>
        <w:rPr>
          <w:b/>
          <w:bCs/>
          <w:i/>
          <w:iCs/>
          <w:sz w:val="20"/>
          <w:szCs w:val="20"/>
        </w:rPr>
        <w:t>—</w:t>
      </w:r>
      <w:r>
        <w:rPr>
          <w:sz w:val="20"/>
          <w:szCs w:val="20"/>
        </w:rPr>
        <w:t>The Company issues restricted stock to certain 2017 Plan participants as Director’s compensation. These shares of restricted stock granted in the three months ended March 31, 2022 and March 31, 202</w:t>
      </w:r>
      <w:r>
        <w:rPr>
          <w:sz w:val="20"/>
          <w:szCs w:val="20"/>
        </w:rPr>
        <w:t>1</w:t>
      </w:r>
      <w:r>
        <w:rPr>
          <w:sz w:val="20"/>
          <w:szCs w:val="20"/>
        </w:rPr>
        <w:t xml:space="preserve"> vest</w:t>
      </w:r>
      <w:r>
        <w:rPr>
          <w:sz w:val="20"/>
          <w:szCs w:val="20"/>
        </w:rPr>
        <w:t xml:space="preserve"> </w:t>
      </w:r>
      <w:r>
        <w:rPr>
          <w:sz w:val="20"/>
          <w:szCs w:val="20"/>
        </w:rPr>
        <w:t>one yea</w:t>
      </w:r>
      <w:r>
        <w:rPr>
          <w:sz w:val="20"/>
          <w:szCs w:val="20"/>
        </w:rPr>
        <w:t>r</w:t>
      </w:r>
      <w:r>
        <w:rPr>
          <w:sz w:val="20"/>
          <w:szCs w:val="20"/>
        </w:rPr>
        <w:t xml:space="preserve"> from the date of grant, or, in each case, in full upon a change in control, subject to the participant’s continued service as a Director throughout such date, or upon retirement. Members of the Board of Directors that receive stock-based compensat</w:t>
      </w:r>
      <w:r>
        <w:rPr>
          <w:sz w:val="20"/>
          <w:szCs w:val="20"/>
        </w:rPr>
        <w:t>ion are treated as employees for accounting purposes</w:t>
      </w:r>
      <w:r>
        <w:rPr>
          <w:sz w:val="20"/>
          <w:szCs w:val="20"/>
        </w:rPr>
        <w:t>.</w:t>
      </w:r>
      <w:r>
        <w:rPr>
          <w:sz w:val="20"/>
          <w:szCs w:val="20"/>
        </w:rPr>
        <w:t xml:space="preserve"> </w:t>
      </w:r>
    </w:p>
    <w:p w:rsidR="00000000" w:rsidRDefault="002D33E3">
      <w:pPr>
        <w:pStyle w:val="a3"/>
        <w:spacing w:before="240" w:beforeAutospacing="0" w:after="0" w:afterAutospacing="0"/>
        <w:ind w:firstLine="555"/>
        <w:divId w:val="1338925291"/>
        <w:rPr>
          <w:sz w:val="20"/>
          <w:szCs w:val="20"/>
        </w:rPr>
      </w:pPr>
      <w:r>
        <w:rPr>
          <w:sz w:val="20"/>
          <w:szCs w:val="20"/>
        </w:rPr>
        <w:t>During the year ended December 31, 2021, the Board of Directors approved the grant of</w:t>
      </w:r>
      <w:r>
        <w:rPr>
          <w:sz w:val="20"/>
          <w:szCs w:val="20"/>
        </w:rPr>
        <w:t xml:space="preserve"> </w:t>
      </w:r>
      <w:r>
        <w:rPr>
          <w:sz w:val="20"/>
          <w:szCs w:val="20"/>
        </w:rPr>
        <w:t>1,671,39</w:t>
      </w:r>
      <w:r>
        <w:rPr>
          <w:sz w:val="20"/>
          <w:szCs w:val="20"/>
        </w:rPr>
        <w:t>1</w:t>
      </w:r>
      <w:r>
        <w:rPr>
          <w:sz w:val="20"/>
          <w:szCs w:val="20"/>
        </w:rPr>
        <w:t xml:space="preserve"> restricted stock units (“RSUs”) to certain executives and selected employees of the Company under the 201</w:t>
      </w:r>
      <w:r>
        <w:rPr>
          <w:sz w:val="20"/>
          <w:szCs w:val="20"/>
        </w:rPr>
        <w:t>7 Plan.</w:t>
      </w:r>
      <w:r>
        <w:rPr>
          <w:sz w:val="20"/>
          <w:szCs w:val="20"/>
        </w:rPr>
        <w:t xml:space="preserve"> </w:t>
      </w:r>
      <w:r>
        <w:rPr>
          <w:sz w:val="20"/>
          <w:szCs w:val="20"/>
        </w:rPr>
        <w:t>These RSUs represent the right to receive one share of the Company’s common stock upon vesting. These incentives were designed by the Board, in coordination with the Company’s compensation advisors, to (i) retain selected employees of the Company f</w:t>
      </w:r>
      <w:r>
        <w:rPr>
          <w:sz w:val="20"/>
          <w:szCs w:val="20"/>
        </w:rPr>
        <w:t>or a minimum of</w:t>
      </w:r>
      <w:r>
        <w:rPr>
          <w:sz w:val="20"/>
          <w:szCs w:val="20"/>
        </w:rPr>
        <w:t xml:space="preserve"> </w:t>
      </w:r>
      <w:r>
        <w:rPr>
          <w:sz w:val="20"/>
          <w:szCs w:val="20"/>
        </w:rPr>
        <w:t>5 year</w:t>
      </w:r>
      <w:r>
        <w:rPr>
          <w:sz w:val="20"/>
          <w:szCs w:val="20"/>
        </w:rPr>
        <w:t>s</w:t>
      </w:r>
      <w:r>
        <w:rPr>
          <w:sz w:val="20"/>
          <w:szCs w:val="20"/>
        </w:rPr>
        <w:t>, (ii) reward selected employees for the Company’s significant outperformance and stockholder value creation in 2021, and (iii) provide incentives to selected employees of the Company to accelerate value creation for stockholders and</w:t>
      </w:r>
      <w:r>
        <w:rPr>
          <w:sz w:val="20"/>
          <w:szCs w:val="20"/>
        </w:rPr>
        <w:t xml:space="preserve"> other stakeholders over the next five-year perio</w:t>
      </w:r>
      <w:r>
        <w:rPr>
          <w:sz w:val="20"/>
          <w:szCs w:val="20"/>
        </w:rPr>
        <w:t>d</w:t>
      </w:r>
      <w:r>
        <w:rPr>
          <w:sz w:val="20"/>
          <w:szCs w:val="20"/>
        </w:rPr>
        <w:t>. With respect to</w:t>
      </w:r>
      <w:r>
        <w:rPr>
          <w:sz w:val="20"/>
          <w:szCs w:val="20"/>
        </w:rPr>
        <w:t xml:space="preserve"> </w:t>
      </w:r>
      <w:r>
        <w:rPr>
          <w:sz w:val="20"/>
          <w:szCs w:val="20"/>
        </w:rPr>
        <w:t>1,355,18</w:t>
      </w:r>
      <w:r>
        <w:rPr>
          <w:sz w:val="20"/>
          <w:szCs w:val="20"/>
        </w:rPr>
        <w:t>2</w:t>
      </w:r>
      <w:r>
        <w:rPr>
          <w:sz w:val="20"/>
          <w:szCs w:val="20"/>
        </w:rPr>
        <w:t xml:space="preserve"> RSUs,</w:t>
      </w:r>
      <w:r>
        <w:rPr>
          <w:sz w:val="20"/>
          <w:szCs w:val="20"/>
        </w:rPr>
        <w:t xml:space="preserve"> </w:t>
      </w:r>
      <w:r>
        <w:rPr>
          <w:sz w:val="20"/>
          <w:szCs w:val="20"/>
        </w:rPr>
        <w:t>50.</w:t>
      </w:r>
      <w:r>
        <w:rPr>
          <w:sz w:val="20"/>
          <w:szCs w:val="20"/>
        </w:rPr>
        <w:t>0</w:t>
      </w:r>
      <w:r>
        <w:rPr>
          <w:sz w:val="20"/>
          <w:szCs w:val="20"/>
        </w:rPr>
        <w:t>% will vest on each of the 4th and 5th anniversaries of the date of grant, subject to continued service through each such date. With respect to the remaining</w:t>
      </w:r>
      <w:r>
        <w:rPr>
          <w:sz w:val="20"/>
          <w:szCs w:val="20"/>
        </w:rPr>
        <w:t xml:space="preserve"> </w:t>
      </w:r>
      <w:r>
        <w:rPr>
          <w:sz w:val="20"/>
          <w:szCs w:val="20"/>
        </w:rPr>
        <w:t>316,20</w:t>
      </w:r>
      <w:r>
        <w:rPr>
          <w:sz w:val="20"/>
          <w:szCs w:val="20"/>
        </w:rPr>
        <w:t>9</w:t>
      </w:r>
      <w:r>
        <w:rPr>
          <w:sz w:val="20"/>
          <w:szCs w:val="20"/>
        </w:rPr>
        <w:t xml:space="preserve"> RS</w:t>
      </w:r>
      <w:r>
        <w:rPr>
          <w:sz w:val="20"/>
          <w:szCs w:val="20"/>
        </w:rPr>
        <w:t>Us (“The Performance-Vested RSUs”),</w:t>
      </w:r>
      <w:r>
        <w:rPr>
          <w:sz w:val="20"/>
          <w:szCs w:val="20"/>
        </w:rPr>
        <w:t xml:space="preserve"> </w:t>
      </w:r>
      <w:r>
        <w:rPr>
          <w:sz w:val="20"/>
          <w:szCs w:val="20"/>
        </w:rPr>
        <w:t>50.</w:t>
      </w:r>
      <w:r>
        <w:rPr>
          <w:sz w:val="20"/>
          <w:szCs w:val="20"/>
        </w:rPr>
        <w:t>0</w:t>
      </w:r>
      <w:r>
        <w:rPr>
          <w:sz w:val="20"/>
          <w:szCs w:val="20"/>
        </w:rPr>
        <w:t xml:space="preserve">% will vest on each of the 4th and 5th anniversaries of the date of grant, subject to continued service through each such date and further subject to Company achieving </w:t>
      </w:r>
      <w:r>
        <w:rPr>
          <w:sz w:val="20"/>
          <w:szCs w:val="20"/>
        </w:rPr>
        <w:t>$</w:t>
      </w:r>
      <w:r>
        <w:rPr>
          <w:sz w:val="20"/>
          <w:szCs w:val="20"/>
        </w:rPr>
        <w:t>90.</w:t>
      </w:r>
      <w:r>
        <w:rPr>
          <w:sz w:val="20"/>
          <w:szCs w:val="20"/>
        </w:rPr>
        <w:t>0</w:t>
      </w:r>
      <w:r>
        <w:rPr>
          <w:sz w:val="20"/>
          <w:szCs w:val="20"/>
        </w:rPr>
        <w:t xml:space="preserve"> million in adjusted EBITDA (as reported) f</w:t>
      </w:r>
      <w:r>
        <w:rPr>
          <w:sz w:val="20"/>
          <w:szCs w:val="20"/>
        </w:rPr>
        <w:t>or any trailing twelve-month period from and after December 31, 2022. If the Performance Criteria is not met prior to the 4th anniversary of the date of grant, none of the Performance-Vested RSUs will vest at such time, and if the Performance Criteria is s</w:t>
      </w:r>
      <w:r>
        <w:rPr>
          <w:sz w:val="20"/>
          <w:szCs w:val="20"/>
        </w:rPr>
        <w:t>ubsequently met prior to the 5th anniversary of the date of grant, all of the Performance-Vested RSUs will vest at such time, subject to continued service through such date. If the Performance Criteria is not met by the 5th anniversary of the date of grant</w:t>
      </w:r>
      <w:r>
        <w:rPr>
          <w:sz w:val="20"/>
          <w:szCs w:val="20"/>
        </w:rPr>
        <w:t>, all of the Performance-Vested RSUs will be forfeited</w:t>
      </w:r>
      <w:r>
        <w:rPr>
          <w:sz w:val="20"/>
          <w:szCs w:val="20"/>
        </w:rPr>
        <w:t>.</w:t>
      </w:r>
    </w:p>
    <w:p w:rsidR="00000000" w:rsidRDefault="002D33E3">
      <w:pPr>
        <w:pStyle w:val="a3"/>
        <w:spacing w:before="240" w:beforeAutospacing="0" w:after="0" w:afterAutospacing="0"/>
        <w:ind w:firstLine="555"/>
        <w:divId w:val="1338925291"/>
        <w:rPr>
          <w:sz w:val="20"/>
          <w:szCs w:val="20"/>
        </w:rPr>
      </w:pPr>
      <w:r>
        <w:rPr>
          <w:sz w:val="20"/>
          <w:szCs w:val="20"/>
        </w:rPr>
        <w:t>During 2021 and 2022, the Board of Directors approved the creation of certain supplemental incentive plans (“SI Plans”) for selected employees to reward exceptional performance. These SI Plans provide</w:t>
      </w:r>
      <w:r>
        <w:rPr>
          <w:sz w:val="20"/>
          <w:szCs w:val="20"/>
        </w:rPr>
        <w:t xml:space="preserve"> supplemental bonus opportunities payable in RSUs under the 2017 Plan upon meeting certain financial performance targets.</w:t>
      </w:r>
      <w:r>
        <w:rPr>
          <w:sz w:val="20"/>
          <w:szCs w:val="20"/>
        </w:rPr>
        <w:t xml:space="preserve"> </w:t>
      </w:r>
      <w:r>
        <w:rPr>
          <w:sz w:val="20"/>
          <w:szCs w:val="20"/>
        </w:rPr>
        <w:t>N</w:t>
      </w:r>
      <w:r>
        <w:rPr>
          <w:sz w:val="20"/>
          <w:szCs w:val="20"/>
        </w:rPr>
        <w:t>o</w:t>
      </w:r>
      <w:r>
        <w:rPr>
          <w:sz w:val="20"/>
          <w:szCs w:val="20"/>
        </w:rPr>
        <w:t xml:space="preserve"> RSUs were granted under these SI Plans during the three months ended March 31, 2022</w:t>
      </w:r>
      <w:r>
        <w:rPr>
          <w:sz w:val="20"/>
          <w:szCs w:val="20"/>
        </w:rPr>
        <w:t>.</w:t>
      </w:r>
    </w:p>
    <w:p w:rsidR="00000000" w:rsidRDefault="002D33E3">
      <w:pPr>
        <w:pStyle w:val="a3"/>
        <w:spacing w:before="240" w:beforeAutospacing="0" w:after="0" w:afterAutospacing="0"/>
        <w:ind w:firstLine="555"/>
        <w:divId w:val="1338925291"/>
        <w:rPr>
          <w:sz w:val="20"/>
          <w:szCs w:val="20"/>
        </w:rPr>
      </w:pPr>
      <w:r>
        <w:rPr>
          <w:sz w:val="20"/>
          <w:szCs w:val="20"/>
        </w:rPr>
        <w:t>During 2021, the Board approved and reserved f</w:t>
      </w:r>
      <w:r>
        <w:rPr>
          <w:sz w:val="20"/>
          <w:szCs w:val="20"/>
        </w:rPr>
        <w:t>or future issuance an aggregate of</w:t>
      </w:r>
      <w:r>
        <w:rPr>
          <w:sz w:val="20"/>
          <w:szCs w:val="20"/>
        </w:rPr>
        <w:t xml:space="preserve"> </w:t>
      </w:r>
      <w:r>
        <w:rPr>
          <w:sz w:val="20"/>
          <w:szCs w:val="20"/>
        </w:rPr>
        <w:t>135,51</w:t>
      </w:r>
      <w:r>
        <w:rPr>
          <w:sz w:val="20"/>
          <w:szCs w:val="20"/>
        </w:rPr>
        <w:t>7</w:t>
      </w:r>
      <w:r>
        <w:rPr>
          <w:sz w:val="20"/>
          <w:szCs w:val="20"/>
        </w:rPr>
        <w:t xml:space="preserve"> RSUs (the “Future RSU Pool”) to be granted under the 2017 Plan to certain of its executives and selected employees. Final determination and allocation of the awards under the Future RSU Pool will be determined on </w:t>
      </w:r>
      <w:r>
        <w:rPr>
          <w:sz w:val="20"/>
          <w:szCs w:val="20"/>
        </w:rPr>
        <w:t>December 16, 2025 based on individual performance and continued service through such date. Any RSUs granted under the Future RSU Pool will vest on December 16, 2026, subject to continued service through such date</w:t>
      </w:r>
      <w:r>
        <w:rPr>
          <w:sz w:val="20"/>
          <w:szCs w:val="20"/>
        </w:rPr>
        <w:t>.</w:t>
      </w:r>
    </w:p>
    <w:p w:rsidR="00000000" w:rsidRDefault="002D33E3">
      <w:pPr>
        <w:pStyle w:val="a3"/>
        <w:spacing w:before="240" w:beforeAutospacing="0" w:after="0" w:afterAutospacing="0"/>
        <w:jc w:val="center"/>
        <w:divId w:val="1338925291"/>
        <w:rPr>
          <w:sz w:val="20"/>
          <w:szCs w:val="20"/>
        </w:rPr>
      </w:pPr>
      <w:r>
        <w:rPr>
          <w:sz w:val="20"/>
          <w:szCs w:val="20"/>
        </w:rPr>
        <w:t>2</w:t>
      </w:r>
      <w:r>
        <w:rPr>
          <w:sz w:val="20"/>
          <w:szCs w:val="20"/>
        </w:rPr>
        <w:t>2</w:t>
      </w:r>
    </w:p>
    <w:p w:rsidR="00000000" w:rsidRDefault="002D33E3">
      <w:pPr>
        <w:divId w:val="1338925291"/>
        <w:rPr>
          <w:rFonts w:eastAsia="Times New Roman"/>
        </w:rPr>
      </w:pPr>
      <w:r>
        <w:rPr>
          <w:rFonts w:eastAsia="Times New Roman"/>
        </w:rPr>
        <w:pict>
          <v:rect id="_x0000_i1048" style="width:0;height:1.5pt" o:hralign="center" o:hrstd="t" o:hr="t" fillcolor="#a0a0a0" stroked="f"/>
        </w:pict>
      </w:r>
    </w:p>
    <w:p w:rsidR="00000000" w:rsidRDefault="002D33E3">
      <w:pPr>
        <w:pStyle w:val="a3"/>
        <w:spacing w:before="0" w:beforeAutospacing="0" w:after="0" w:afterAutospacing="0"/>
        <w:divId w:val="1338925291"/>
        <w:rPr>
          <w:sz w:val="20"/>
          <w:szCs w:val="20"/>
        </w:rPr>
      </w:pPr>
      <w:r>
        <w:rPr>
          <w:sz w:val="20"/>
          <w:szCs w:val="20"/>
        </w:rPr>
        <w:t> </w:t>
      </w:r>
    </w:p>
    <w:p w:rsidR="00000000" w:rsidRDefault="002D33E3">
      <w:pPr>
        <w:pStyle w:val="a3"/>
        <w:spacing w:before="240" w:beforeAutospacing="0" w:after="0" w:afterAutospacing="0"/>
        <w:ind w:firstLine="555"/>
        <w:divId w:val="352653011"/>
        <w:rPr>
          <w:sz w:val="20"/>
          <w:szCs w:val="20"/>
        </w:rPr>
      </w:pPr>
      <w:r>
        <w:rPr>
          <w:sz w:val="20"/>
          <w:szCs w:val="20"/>
        </w:rPr>
        <w:t>Restricted stock activity was as follows</w:t>
      </w:r>
      <w:r>
        <w:rPr>
          <w:sz w:val="20"/>
          <w:szCs w:val="20"/>
        </w:rPr>
        <w:t>:</w:t>
      </w:r>
      <w:r>
        <w:rPr>
          <w:sz w:val="20"/>
          <w:szCs w:val="20"/>
        </w:rPr>
        <w:t xml:space="preserve"> </w:t>
      </w:r>
    </w:p>
    <w:p w:rsidR="00000000" w:rsidRDefault="002D33E3">
      <w:pPr>
        <w:pStyle w:val="a3"/>
        <w:spacing w:before="0" w:beforeAutospacing="0" w:after="0" w:afterAutospacing="0"/>
        <w:ind w:firstLine="555"/>
        <w:divId w:val="352653011"/>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35"/>
        <w:gridCol w:w="105"/>
        <w:gridCol w:w="645"/>
        <w:gridCol w:w="105"/>
        <w:gridCol w:w="105"/>
        <w:gridCol w:w="151"/>
        <w:gridCol w:w="610"/>
        <w:gridCol w:w="105"/>
        <w:gridCol w:w="105"/>
        <w:gridCol w:w="151"/>
        <w:gridCol w:w="791"/>
        <w:gridCol w:w="105"/>
        <w:gridCol w:w="105"/>
        <w:gridCol w:w="105"/>
        <w:gridCol w:w="603"/>
        <w:gridCol w:w="105"/>
        <w:gridCol w:w="105"/>
        <w:gridCol w:w="151"/>
        <w:gridCol w:w="611"/>
        <w:gridCol w:w="105"/>
        <w:gridCol w:w="105"/>
        <w:gridCol w:w="151"/>
        <w:gridCol w:w="791"/>
        <w:gridCol w:w="105"/>
        <w:gridCol w:w="120"/>
      </w:tblGrid>
      <w:tr w:rsidR="00000000">
        <w:trPr>
          <w:divId w:val="352653011"/>
          <w:tblCellSpacing w:w="15" w:type="dxa"/>
        </w:trPr>
        <w:tc>
          <w:tcPr>
            <w:tcW w:w="1015" w:type="pct"/>
            <w:vAlign w:val="center"/>
            <w:hideMark/>
          </w:tcPr>
          <w:p w:rsidR="00000000" w:rsidRDefault="002D33E3">
            <w:pPr>
              <w:rPr>
                <w:sz w:val="20"/>
                <w:szCs w:val="20"/>
              </w:rPr>
            </w:pPr>
          </w:p>
        </w:tc>
        <w:tc>
          <w:tcPr>
            <w:tcW w:w="27" w:type="pct"/>
            <w:vAlign w:val="center"/>
            <w:hideMark/>
          </w:tcPr>
          <w:p w:rsidR="00000000" w:rsidRDefault="002D33E3">
            <w:pPr>
              <w:rPr>
                <w:rFonts w:eastAsia="Times New Roman"/>
                <w:sz w:val="20"/>
                <w:szCs w:val="20"/>
              </w:rPr>
            </w:pPr>
          </w:p>
        </w:tc>
        <w:tc>
          <w:tcPr>
            <w:tcW w:w="512"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62" w:type="pct"/>
            <w:vAlign w:val="center"/>
            <w:hideMark/>
          </w:tcPr>
          <w:p w:rsidR="00000000" w:rsidRDefault="002D33E3">
            <w:pPr>
              <w:rPr>
                <w:rFonts w:eastAsia="Times New Roman"/>
                <w:sz w:val="20"/>
                <w:szCs w:val="20"/>
              </w:rPr>
            </w:pPr>
          </w:p>
        </w:tc>
        <w:tc>
          <w:tcPr>
            <w:tcW w:w="487"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62" w:type="pct"/>
            <w:vAlign w:val="center"/>
            <w:hideMark/>
          </w:tcPr>
          <w:p w:rsidR="00000000" w:rsidRDefault="002D33E3">
            <w:pPr>
              <w:rPr>
                <w:rFonts w:eastAsia="Times New Roman"/>
                <w:sz w:val="20"/>
                <w:szCs w:val="20"/>
              </w:rPr>
            </w:pPr>
          </w:p>
        </w:tc>
        <w:tc>
          <w:tcPr>
            <w:tcW w:w="593"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29" w:type="pct"/>
            <w:vAlign w:val="center"/>
            <w:hideMark/>
          </w:tcPr>
          <w:p w:rsidR="00000000" w:rsidRDefault="002D33E3">
            <w:pPr>
              <w:rPr>
                <w:rFonts w:eastAsia="Times New Roman"/>
                <w:sz w:val="20"/>
                <w:szCs w:val="20"/>
              </w:rPr>
            </w:pPr>
          </w:p>
        </w:tc>
        <w:tc>
          <w:tcPr>
            <w:tcW w:w="502"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62" w:type="pct"/>
            <w:vAlign w:val="center"/>
            <w:hideMark/>
          </w:tcPr>
          <w:p w:rsidR="00000000" w:rsidRDefault="002D33E3">
            <w:pPr>
              <w:rPr>
                <w:rFonts w:eastAsia="Times New Roman"/>
                <w:sz w:val="20"/>
                <w:szCs w:val="20"/>
              </w:rPr>
            </w:pPr>
          </w:p>
        </w:tc>
        <w:tc>
          <w:tcPr>
            <w:tcW w:w="487"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c>
          <w:tcPr>
            <w:tcW w:w="62" w:type="pct"/>
            <w:vAlign w:val="center"/>
            <w:hideMark/>
          </w:tcPr>
          <w:p w:rsidR="00000000" w:rsidRDefault="002D33E3">
            <w:pPr>
              <w:rPr>
                <w:rFonts w:eastAsia="Times New Roman"/>
                <w:sz w:val="20"/>
                <w:szCs w:val="20"/>
              </w:rPr>
            </w:pPr>
          </w:p>
        </w:tc>
        <w:tc>
          <w:tcPr>
            <w:tcW w:w="593"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55" w:type="pct"/>
            <w:vAlign w:val="center"/>
            <w:hideMark/>
          </w:tcPr>
          <w:p w:rsidR="00000000" w:rsidRDefault="002D33E3">
            <w:pPr>
              <w:rPr>
                <w:rFonts w:eastAsia="Times New Roman"/>
                <w:sz w:val="20"/>
                <w:szCs w:val="20"/>
              </w:rPr>
            </w:pPr>
          </w:p>
        </w:tc>
      </w:tr>
      <w:tr w:rsidR="00000000">
        <w:trPr>
          <w:divId w:val="352653011"/>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2"/>
            <w:vAlign w:val="bottom"/>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52653011"/>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52653011"/>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Fair Value</w:t>
            </w:r>
            <w:r>
              <w:rPr>
                <w:b/>
                <w:bCs/>
                <w:sz w:val="18"/>
                <w:szCs w:val="18"/>
              </w:rPr>
              <w:br/>
              <w:t>(in thousands</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Fair Value</w:t>
            </w:r>
            <w:r>
              <w:rPr>
                <w:b/>
                <w:bCs/>
                <w:sz w:val="18"/>
                <w:szCs w:val="18"/>
              </w:rPr>
              <w:br/>
              <w:t>(in thousands</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52653011"/>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Shares grante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106,32</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46.8</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4,97</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14,53</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1338925291"/>
        <w:rPr>
          <w:sz w:val="20"/>
          <w:szCs w:val="20"/>
        </w:rPr>
      </w:pPr>
      <w:r>
        <w:rPr>
          <w:sz w:val="20"/>
          <w:szCs w:val="20"/>
        </w:rPr>
        <w:t>There were</w:t>
      </w:r>
      <w:r>
        <w:rPr>
          <w:sz w:val="20"/>
          <w:szCs w:val="20"/>
        </w:rPr>
        <w:t xml:space="preserve"> </w:t>
      </w:r>
      <w:r>
        <w:rPr>
          <w:sz w:val="20"/>
          <w:szCs w:val="20"/>
        </w:rPr>
        <w:t>25,28</w:t>
      </w:r>
      <w:r>
        <w:rPr>
          <w:sz w:val="20"/>
          <w:szCs w:val="20"/>
        </w:rPr>
        <w:t>9</w:t>
      </w:r>
      <w:r>
        <w:rPr>
          <w:sz w:val="20"/>
          <w:szCs w:val="20"/>
        </w:rPr>
        <w:t xml:space="preserve"> and</w:t>
      </w:r>
      <w:r>
        <w:rPr>
          <w:sz w:val="20"/>
          <w:szCs w:val="20"/>
        </w:rPr>
        <w:t xml:space="preserve"> </w:t>
      </w:r>
      <w:r>
        <w:rPr>
          <w:sz w:val="20"/>
          <w:szCs w:val="20"/>
        </w:rPr>
        <w:t>36,81</w:t>
      </w:r>
      <w:r>
        <w:rPr>
          <w:sz w:val="20"/>
          <w:szCs w:val="20"/>
        </w:rPr>
        <w:t>7</w:t>
      </w:r>
      <w:r>
        <w:rPr>
          <w:sz w:val="20"/>
          <w:szCs w:val="20"/>
        </w:rPr>
        <w:t xml:space="preserve"> shares of restricted stock that became fully vested and were released as unrestricted shares of common stock during the</w:t>
      </w:r>
      <w:r>
        <w:rPr>
          <w:sz w:val="20"/>
          <w:szCs w:val="20"/>
        </w:rPr>
        <w:t xml:space="preserve"> </w:t>
      </w:r>
      <w:r>
        <w:rPr>
          <w:sz w:val="20"/>
          <w:szCs w:val="20"/>
        </w:rPr>
        <w:t>three months ended March 31, 2022 and March 31, 202</w:t>
      </w:r>
      <w:r>
        <w:rPr>
          <w:sz w:val="20"/>
          <w:szCs w:val="20"/>
        </w:rPr>
        <w:t>1</w:t>
      </w:r>
      <w:r>
        <w:rPr>
          <w:sz w:val="20"/>
          <w:szCs w:val="20"/>
        </w:rPr>
        <w:t>, respectively. There was an aggregate of</w:t>
      </w:r>
      <w:r>
        <w:rPr>
          <w:sz w:val="20"/>
          <w:szCs w:val="20"/>
        </w:rPr>
        <w:t xml:space="preserve"> </w:t>
      </w:r>
      <w:r>
        <w:rPr>
          <w:sz w:val="20"/>
          <w:szCs w:val="20"/>
        </w:rPr>
        <w:t>2,064,19</w:t>
      </w:r>
      <w:r>
        <w:rPr>
          <w:sz w:val="20"/>
          <w:szCs w:val="20"/>
        </w:rPr>
        <w:t>7</w:t>
      </w:r>
      <w:r>
        <w:rPr>
          <w:sz w:val="20"/>
          <w:szCs w:val="20"/>
        </w:rPr>
        <w:t xml:space="preserve"> and</w:t>
      </w:r>
      <w:r>
        <w:rPr>
          <w:sz w:val="20"/>
          <w:szCs w:val="20"/>
        </w:rPr>
        <w:t xml:space="preserve"> </w:t>
      </w:r>
      <w:r>
        <w:rPr>
          <w:sz w:val="20"/>
          <w:szCs w:val="20"/>
        </w:rPr>
        <w:t>281,70</w:t>
      </w:r>
      <w:r>
        <w:rPr>
          <w:sz w:val="20"/>
          <w:szCs w:val="20"/>
        </w:rPr>
        <w:t>5</w:t>
      </w:r>
      <w:r>
        <w:rPr>
          <w:sz w:val="20"/>
          <w:szCs w:val="20"/>
        </w:rPr>
        <w:t xml:space="preserve"> restricted sh</w:t>
      </w:r>
      <w:r>
        <w:rPr>
          <w:sz w:val="20"/>
          <w:szCs w:val="20"/>
        </w:rPr>
        <w:t>ares outstanding as of</w:t>
      </w:r>
      <w:r>
        <w:rPr>
          <w:sz w:val="20"/>
          <w:szCs w:val="20"/>
        </w:rPr>
        <w:t xml:space="preserve"> </w:t>
      </w:r>
      <w:r>
        <w:rPr>
          <w:sz w:val="20"/>
          <w:szCs w:val="20"/>
        </w:rPr>
        <w:t>March 31, 2022 and March 31, 2021, respectively</w:t>
      </w:r>
      <w:r>
        <w:rPr>
          <w:sz w:val="20"/>
          <w:szCs w:val="20"/>
        </w:rPr>
        <w:t>.</w:t>
      </w:r>
    </w:p>
    <w:p w:rsidR="00000000" w:rsidRDefault="002D33E3">
      <w:pPr>
        <w:pStyle w:val="a3"/>
        <w:spacing w:before="240" w:beforeAutospacing="0" w:after="0" w:afterAutospacing="0"/>
        <w:ind w:left="476"/>
        <w:divId w:val="1338925291"/>
        <w:rPr>
          <w:sz w:val="20"/>
          <w:szCs w:val="20"/>
        </w:rPr>
      </w:pPr>
      <w:r>
        <w:rPr>
          <w:sz w:val="20"/>
          <w:szCs w:val="20"/>
        </w:rPr>
        <w:t>There were</w:t>
      </w:r>
      <w:r>
        <w:rPr>
          <w:sz w:val="20"/>
          <w:szCs w:val="20"/>
        </w:rPr>
        <w:t xml:space="preserve"> </w:t>
      </w:r>
      <w:r>
        <w:rPr>
          <w:sz w:val="20"/>
          <w:szCs w:val="20"/>
        </w:rPr>
        <w:t>n</w:t>
      </w:r>
      <w:r>
        <w:rPr>
          <w:sz w:val="20"/>
          <w:szCs w:val="20"/>
        </w:rPr>
        <w:t>o</w:t>
      </w:r>
      <w:r>
        <w:rPr>
          <w:sz w:val="20"/>
          <w:szCs w:val="20"/>
        </w:rPr>
        <w:t xml:space="preserve"> forfeitures of restricted shares during the</w:t>
      </w:r>
      <w:r>
        <w:rPr>
          <w:sz w:val="20"/>
          <w:szCs w:val="20"/>
        </w:rPr>
        <w:t xml:space="preserve"> </w:t>
      </w:r>
      <w:r>
        <w:rPr>
          <w:sz w:val="20"/>
          <w:szCs w:val="20"/>
        </w:rPr>
        <w:t>three months ended March 31, 2022 and March 31, 2021</w:t>
      </w:r>
      <w:r>
        <w:rPr>
          <w:sz w:val="20"/>
          <w:szCs w:val="20"/>
        </w:rPr>
        <w:t>.</w:t>
      </w:r>
      <w:r>
        <w:rPr>
          <w:sz w:val="20"/>
          <w:szCs w:val="20"/>
        </w:rPr>
        <w:t xml:space="preserve"> </w:t>
      </w:r>
    </w:p>
    <w:p w:rsidR="00000000" w:rsidRDefault="002D33E3">
      <w:pPr>
        <w:pStyle w:val="a3"/>
        <w:spacing w:before="240" w:beforeAutospacing="0" w:after="0" w:afterAutospacing="0"/>
        <w:ind w:firstLine="555"/>
        <w:divId w:val="1338925291"/>
        <w:rPr>
          <w:sz w:val="20"/>
          <w:szCs w:val="20"/>
        </w:rPr>
      </w:pPr>
      <w:r>
        <w:rPr>
          <w:b/>
          <w:bCs/>
          <w:i/>
          <w:iCs/>
          <w:sz w:val="20"/>
          <w:szCs w:val="20"/>
        </w:rPr>
        <w:t>Stock Appreciation Rights</w:t>
      </w:r>
      <w:r>
        <w:rPr>
          <w:b/>
          <w:bCs/>
          <w:i/>
          <w:iCs/>
          <w:sz w:val="20"/>
          <w:szCs w:val="20"/>
        </w:rPr>
        <w:t>—</w:t>
      </w:r>
      <w:r>
        <w:rPr>
          <w:sz w:val="20"/>
          <w:szCs w:val="20"/>
        </w:rPr>
        <w:t xml:space="preserve"> </w:t>
      </w:r>
      <w:r>
        <w:rPr>
          <w:sz w:val="20"/>
          <w:szCs w:val="20"/>
        </w:rPr>
        <w:t>During the year ended December 31, 2021, the Board of Directors approved the grant of</w:t>
      </w:r>
      <w:r>
        <w:rPr>
          <w:sz w:val="20"/>
          <w:szCs w:val="20"/>
        </w:rPr>
        <w:t xml:space="preserve"> </w:t>
      </w:r>
      <w:r>
        <w:rPr>
          <w:sz w:val="20"/>
          <w:szCs w:val="20"/>
        </w:rPr>
        <w:t>3,000,00</w:t>
      </w:r>
      <w:r>
        <w:rPr>
          <w:sz w:val="20"/>
          <w:szCs w:val="20"/>
        </w:rPr>
        <w:t>0</w:t>
      </w:r>
      <w:r>
        <w:rPr>
          <w:sz w:val="20"/>
          <w:szCs w:val="20"/>
        </w:rPr>
        <w:t xml:space="preserve"> units of stock appreciation rights (“SARs”) to certain executives and selected employees under the 2017 Plan. These SARs represent the right to receive, upon ex</w:t>
      </w:r>
      <w:r>
        <w:rPr>
          <w:sz w:val="20"/>
          <w:szCs w:val="20"/>
        </w:rPr>
        <w:t xml:space="preserve">ercise, a payment equal to the excess of (a) the fair market value of one share of the Company’s common stock, over (b) an exercise price of </w:t>
      </w:r>
      <w:r>
        <w:rPr>
          <w:sz w:val="20"/>
          <w:szCs w:val="20"/>
        </w:rPr>
        <w:t>$</w:t>
      </w:r>
      <w:r>
        <w:rPr>
          <w:sz w:val="20"/>
          <w:szCs w:val="20"/>
        </w:rPr>
        <w:t>66.7</w:t>
      </w:r>
      <w:r>
        <w:rPr>
          <w:sz w:val="20"/>
          <w:szCs w:val="20"/>
        </w:rPr>
        <w:t>9</w:t>
      </w:r>
      <w:r>
        <w:rPr>
          <w:sz w:val="20"/>
          <w:szCs w:val="20"/>
        </w:rPr>
        <w:t>, payable, at the Company’s election, in cash or shares of common stock. These SARs vest on the 5th anniversa</w:t>
      </w:r>
      <w:r>
        <w:rPr>
          <w:sz w:val="20"/>
          <w:szCs w:val="20"/>
        </w:rPr>
        <w:t xml:space="preserve">ry of the date of grant based on achievement of performance hurdles over </w:t>
      </w:r>
      <w:r>
        <w:rPr>
          <w:sz w:val="20"/>
          <w:szCs w:val="20"/>
        </w:rPr>
        <w:t>a</w:t>
      </w:r>
      <w:r>
        <w:rPr>
          <w:sz w:val="20"/>
          <w:szCs w:val="20"/>
        </w:rPr>
        <w:t xml:space="preserve"> five yea</w:t>
      </w:r>
      <w:r>
        <w:rPr>
          <w:sz w:val="20"/>
          <w:szCs w:val="20"/>
        </w:rPr>
        <w:t>r</w:t>
      </w:r>
      <w:r>
        <w:rPr>
          <w:sz w:val="20"/>
          <w:szCs w:val="20"/>
        </w:rPr>
        <w:t xml:space="preserve"> period, subject to continued service on the vesting date.</w:t>
      </w:r>
      <w:r>
        <w:rPr>
          <w:sz w:val="20"/>
          <w:szCs w:val="20"/>
        </w:rPr>
        <w:t xml:space="preserve"> </w:t>
      </w:r>
      <w:r>
        <w:rPr>
          <w:sz w:val="20"/>
          <w:szCs w:val="20"/>
        </w:rPr>
        <w:t>The performance hurdles shall be deemed achieved if the average trading price per share of the Company’s common s</w:t>
      </w:r>
      <w:r>
        <w:rPr>
          <w:sz w:val="20"/>
          <w:szCs w:val="20"/>
        </w:rPr>
        <w:t>tock equals or exceeds the following stock prices</w:t>
      </w:r>
      <w:r>
        <w:rPr>
          <w:sz w:val="20"/>
          <w:szCs w:val="20"/>
        </w:rPr>
        <w:t>:</w:t>
      </w:r>
    </w:p>
    <w:p w:rsidR="00000000" w:rsidRDefault="002D33E3">
      <w:pPr>
        <w:pStyle w:val="a3"/>
        <w:spacing w:before="0" w:beforeAutospacing="0" w:after="0" w:afterAutospacing="0"/>
        <w:ind w:firstLine="555"/>
        <w:divId w:val="341973214"/>
        <w:rPr>
          <w:sz w:val="20"/>
          <w:szCs w:val="20"/>
        </w:rPr>
      </w:pPr>
      <w:r>
        <w:rPr>
          <w:sz w:val="20"/>
          <w:szCs w:val="20"/>
        </w:rPr>
        <w:t> </w:t>
      </w:r>
    </w:p>
    <w:tbl>
      <w:tblPr>
        <w:tblW w:w="2600" w:type="pct"/>
        <w:tblCellSpacing w:w="15" w:type="dxa"/>
        <w:tblCellMar>
          <w:top w:w="15" w:type="dxa"/>
          <w:left w:w="15" w:type="dxa"/>
          <w:bottom w:w="15" w:type="dxa"/>
          <w:right w:w="15" w:type="dxa"/>
        </w:tblCellMar>
        <w:tblLook w:val="04A0" w:firstRow="1" w:lastRow="0" w:firstColumn="1" w:lastColumn="0" w:noHBand="0" w:noVBand="1"/>
      </w:tblPr>
      <w:tblGrid>
        <w:gridCol w:w="166"/>
        <w:gridCol w:w="1997"/>
        <w:gridCol w:w="105"/>
        <w:gridCol w:w="2051"/>
      </w:tblGrid>
      <w:tr w:rsidR="00000000">
        <w:trPr>
          <w:divId w:val="341973214"/>
          <w:tblCellSpacing w:w="15" w:type="dxa"/>
        </w:trPr>
        <w:tc>
          <w:tcPr>
            <w:tcW w:w="130" w:type="pct"/>
            <w:vAlign w:val="center"/>
            <w:hideMark/>
          </w:tcPr>
          <w:p w:rsidR="00000000" w:rsidRDefault="002D33E3">
            <w:pPr>
              <w:rPr>
                <w:sz w:val="20"/>
                <w:szCs w:val="20"/>
              </w:rPr>
            </w:pPr>
          </w:p>
        </w:tc>
        <w:tc>
          <w:tcPr>
            <w:tcW w:w="2386"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2433" w:type="pct"/>
            <w:vAlign w:val="center"/>
            <w:hideMark/>
          </w:tcPr>
          <w:p w:rsidR="00000000" w:rsidRDefault="002D33E3">
            <w:pPr>
              <w:rPr>
                <w:rFonts w:eastAsia="Times New Roman"/>
                <w:sz w:val="20"/>
                <w:szCs w:val="20"/>
              </w:rPr>
            </w:pPr>
          </w:p>
        </w:tc>
      </w:tr>
      <w:tr w:rsidR="00000000">
        <w:trPr>
          <w:divId w:val="341973214"/>
          <w:trHeight w:val="180"/>
          <w:tblCellSpacing w:w="15" w:type="dxa"/>
        </w:trPr>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SARs Stock Price Performance Hurdl</w:t>
            </w:r>
            <w:r>
              <w:rPr>
                <w:b/>
                <w:bCs/>
                <w:sz w:val="18"/>
                <w:szCs w:val="18"/>
              </w:rPr>
              <w:t>e</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18"/>
                <w:szCs w:val="18"/>
              </w:rPr>
            </w:pPr>
            <w:r>
              <w:rPr>
                <w:b/>
                <w:bCs/>
                <w:sz w:val="18"/>
                <w:szCs w:val="18"/>
              </w:rPr>
              <w:t>Portion of SARs Subject to Performance Hurdl</w:t>
            </w:r>
            <w:r>
              <w:rPr>
                <w:b/>
                <w:bCs/>
                <w:sz w:val="18"/>
                <w:szCs w:val="18"/>
              </w:rPr>
              <w:t>e</w:t>
            </w:r>
          </w:p>
        </w:tc>
      </w:tr>
      <w:tr w:rsidR="00000000">
        <w:trPr>
          <w:divId w:val="341973214"/>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133.5</w:t>
            </w:r>
            <w:r>
              <w:rPr>
                <w:sz w:val="18"/>
                <w:szCs w:val="18"/>
              </w:rPr>
              <w:t>8</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1/</w:t>
            </w:r>
            <w:r>
              <w:rPr>
                <w:sz w:val="18"/>
                <w:szCs w:val="18"/>
              </w:rPr>
              <w:t>3</w:t>
            </w:r>
          </w:p>
        </w:tc>
      </w:tr>
      <w:tr w:rsidR="00000000">
        <w:trPr>
          <w:divId w:val="341973214"/>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166.9</w:t>
            </w:r>
            <w:r>
              <w:rPr>
                <w:sz w:val="18"/>
                <w:szCs w:val="18"/>
              </w:rPr>
              <w:t>8</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1/</w:t>
            </w:r>
            <w:r>
              <w:rPr>
                <w:sz w:val="18"/>
                <w:szCs w:val="18"/>
              </w:rPr>
              <w:t>3</w:t>
            </w:r>
          </w:p>
        </w:tc>
      </w:tr>
      <w:tr w:rsidR="00000000">
        <w:trPr>
          <w:divId w:val="341973214"/>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20"/>
                <w:szCs w:val="20"/>
              </w:rPr>
            </w:pPr>
            <w:r>
              <w:rPr>
                <w:sz w:val="18"/>
                <w:szCs w:val="18"/>
              </w:rPr>
              <w:t>200.3</w:t>
            </w:r>
            <w:r>
              <w:rPr>
                <w:sz w:val="18"/>
                <w:szCs w:val="18"/>
              </w:rPr>
              <w:t>7</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20"/>
                <w:szCs w:val="20"/>
              </w:rPr>
            </w:pPr>
            <w:r>
              <w:rPr>
                <w:sz w:val="18"/>
                <w:szCs w:val="18"/>
              </w:rPr>
              <w:t>1/</w:t>
            </w:r>
            <w:r>
              <w:rPr>
                <w:sz w:val="18"/>
                <w:szCs w:val="18"/>
              </w:rPr>
              <w:t>3</w:t>
            </w:r>
          </w:p>
        </w:tc>
      </w:tr>
    </w:tbl>
    <w:p w:rsidR="00000000" w:rsidRDefault="002D33E3">
      <w:pPr>
        <w:pStyle w:val="a3"/>
        <w:spacing w:before="240" w:beforeAutospacing="0" w:after="0" w:afterAutospacing="0"/>
        <w:ind w:firstLine="555"/>
        <w:divId w:val="1338925291"/>
        <w:rPr>
          <w:sz w:val="20"/>
          <w:szCs w:val="20"/>
        </w:rPr>
      </w:pPr>
      <w:r>
        <w:rPr>
          <w:sz w:val="20"/>
          <w:szCs w:val="20"/>
        </w:rPr>
        <w:t>The performance hurdles shall be deemed achieved if the average trading price per share of the Company’s common stock equals or exceeds the applicable stock price performance hurdle set forth above for the trading days falling in a consecutive 20-day perio</w:t>
      </w:r>
      <w:r>
        <w:rPr>
          <w:sz w:val="20"/>
          <w:szCs w:val="20"/>
        </w:rPr>
        <w:t>d prior to the vesting date. The SARs expire</w:t>
      </w:r>
      <w:r>
        <w:rPr>
          <w:sz w:val="20"/>
          <w:szCs w:val="20"/>
        </w:rPr>
        <w:t xml:space="preserve"> </w:t>
      </w:r>
      <w:r>
        <w:rPr>
          <w:sz w:val="20"/>
          <w:szCs w:val="20"/>
        </w:rPr>
        <w:t>10 year</w:t>
      </w:r>
      <w:r>
        <w:rPr>
          <w:sz w:val="20"/>
          <w:szCs w:val="20"/>
        </w:rPr>
        <w:t>s</w:t>
      </w:r>
      <w:r>
        <w:rPr>
          <w:sz w:val="20"/>
          <w:szCs w:val="20"/>
        </w:rPr>
        <w:t xml:space="preserve"> after the grant date. The fair value of these SARs at the grant date was </w:t>
      </w:r>
      <w:r>
        <w:rPr>
          <w:sz w:val="20"/>
          <w:szCs w:val="20"/>
        </w:rPr>
        <w:t>$</w:t>
      </w:r>
      <w:r>
        <w:rPr>
          <w:sz w:val="20"/>
          <w:szCs w:val="20"/>
        </w:rPr>
        <w:t>46.</w:t>
      </w:r>
      <w:r>
        <w:rPr>
          <w:sz w:val="20"/>
          <w:szCs w:val="20"/>
        </w:rPr>
        <w:t>0</w:t>
      </w:r>
      <w:r>
        <w:rPr>
          <w:sz w:val="20"/>
          <w:szCs w:val="20"/>
        </w:rPr>
        <w:t xml:space="preserve"> million. The weighted average remaining contract life of these SARs as of</w:t>
      </w:r>
      <w:r>
        <w:rPr>
          <w:sz w:val="20"/>
          <w:szCs w:val="20"/>
        </w:rPr>
        <w:t xml:space="preserve"> </w:t>
      </w:r>
      <w:r>
        <w:rPr>
          <w:sz w:val="20"/>
          <w:szCs w:val="20"/>
        </w:rPr>
        <w:t>March 31, 202</w:t>
      </w:r>
      <w:r>
        <w:rPr>
          <w:sz w:val="20"/>
          <w:szCs w:val="20"/>
        </w:rPr>
        <w:t>2</w:t>
      </w:r>
      <w:r>
        <w:rPr>
          <w:sz w:val="20"/>
          <w:szCs w:val="20"/>
        </w:rPr>
        <w:t xml:space="preserve"> was</w:t>
      </w:r>
      <w:r>
        <w:rPr>
          <w:sz w:val="20"/>
          <w:szCs w:val="20"/>
        </w:rPr>
        <w:t xml:space="preserve"> </w:t>
      </w:r>
      <w:r>
        <w:rPr>
          <w:sz w:val="20"/>
          <w:szCs w:val="20"/>
        </w:rPr>
        <w:t>9.7</w:t>
      </w:r>
      <w:r>
        <w:rPr>
          <w:sz w:val="20"/>
          <w:szCs w:val="20"/>
        </w:rPr>
        <w:t>1</w:t>
      </w:r>
      <w:r>
        <w:rPr>
          <w:sz w:val="20"/>
          <w:szCs w:val="20"/>
        </w:rPr>
        <w:t xml:space="preserve"> years</w:t>
      </w:r>
      <w:r>
        <w:rPr>
          <w:sz w:val="20"/>
          <w:szCs w:val="20"/>
        </w:rPr>
        <w:t>.</w:t>
      </w:r>
    </w:p>
    <w:p w:rsidR="00000000" w:rsidRDefault="002D33E3">
      <w:pPr>
        <w:pStyle w:val="a3"/>
        <w:spacing w:before="240" w:beforeAutospacing="0" w:after="0" w:afterAutospacing="0"/>
        <w:ind w:firstLine="555"/>
        <w:divId w:val="1338925291"/>
        <w:rPr>
          <w:sz w:val="20"/>
          <w:szCs w:val="20"/>
        </w:rPr>
      </w:pPr>
      <w:r>
        <w:rPr>
          <w:b/>
          <w:bCs/>
          <w:i/>
          <w:iCs/>
          <w:sz w:val="20"/>
          <w:szCs w:val="20"/>
        </w:rPr>
        <w:t>Option</w:t>
      </w:r>
      <w:r>
        <w:rPr>
          <w:b/>
          <w:bCs/>
          <w:i/>
          <w:iCs/>
          <w:sz w:val="20"/>
          <w:szCs w:val="20"/>
        </w:rPr>
        <w:t>s</w:t>
      </w:r>
      <w:r>
        <w:rPr>
          <w:sz w:val="20"/>
          <w:szCs w:val="20"/>
        </w:rPr>
        <w:t>—</w:t>
      </w:r>
      <w:r>
        <w:rPr>
          <w:sz w:val="20"/>
          <w:szCs w:val="20"/>
        </w:rPr>
        <w:t>Options issued to all optionees under the 2017 Plan vest over</w:t>
      </w:r>
      <w:r>
        <w:rPr>
          <w:sz w:val="20"/>
          <w:szCs w:val="20"/>
        </w:rPr>
        <w:t xml:space="preserve"> </w:t>
      </w:r>
      <w:r>
        <w:rPr>
          <w:sz w:val="20"/>
          <w:szCs w:val="20"/>
        </w:rPr>
        <w:t>four year</w:t>
      </w:r>
      <w:r>
        <w:rPr>
          <w:sz w:val="20"/>
          <w:szCs w:val="20"/>
        </w:rPr>
        <w:t>s</w:t>
      </w:r>
      <w:r>
        <w:rPr>
          <w:sz w:val="20"/>
          <w:szCs w:val="20"/>
        </w:rPr>
        <w:t xml:space="preserve"> from the date of issuance (or earlier vesting start date, as determined by the Board of Directors) as follows: one</w:t>
      </w:r>
      <w:r>
        <w:rPr>
          <w:sz w:val="20"/>
          <w:szCs w:val="20"/>
        </w:rPr>
        <w:t xml:space="preserve"> </w:t>
      </w:r>
      <w:r>
        <w:rPr>
          <w:sz w:val="20"/>
          <w:szCs w:val="20"/>
        </w:rPr>
        <w:t>hal</w:t>
      </w:r>
      <w:r>
        <w:rPr>
          <w:sz w:val="20"/>
          <w:szCs w:val="20"/>
        </w:rPr>
        <w:t>f</w:t>
      </w:r>
      <w:r>
        <w:rPr>
          <w:sz w:val="20"/>
          <w:szCs w:val="20"/>
        </w:rPr>
        <w:t xml:space="preserve"> on the second anniversary of date of grant and the remaining</w:t>
      </w:r>
      <w:r>
        <w:rPr>
          <w:sz w:val="20"/>
          <w:szCs w:val="20"/>
        </w:rPr>
        <w:t xml:space="preserve"> </w:t>
      </w:r>
      <w:r>
        <w:rPr>
          <w:sz w:val="20"/>
          <w:szCs w:val="20"/>
        </w:rPr>
        <w:t>ha</w:t>
      </w:r>
      <w:r>
        <w:rPr>
          <w:sz w:val="20"/>
          <w:szCs w:val="20"/>
        </w:rPr>
        <w:t>l</w:t>
      </w:r>
      <w:r>
        <w:rPr>
          <w:sz w:val="20"/>
          <w:szCs w:val="20"/>
        </w:rPr>
        <w:t>f</w:t>
      </w:r>
      <w:r>
        <w:rPr>
          <w:sz w:val="20"/>
          <w:szCs w:val="20"/>
        </w:rPr>
        <w:t xml:space="preserve"> on the fourth anniversary of the date of grant, with the exception of certain annual grants to certain executive officers, which vest annually over a</w:t>
      </w:r>
      <w:r>
        <w:rPr>
          <w:sz w:val="20"/>
          <w:szCs w:val="20"/>
        </w:rPr>
        <w:t xml:space="preserve"> </w:t>
      </w:r>
      <w:r>
        <w:rPr>
          <w:sz w:val="20"/>
          <w:szCs w:val="20"/>
        </w:rPr>
        <w:t>3-yea</w:t>
      </w:r>
      <w:r>
        <w:rPr>
          <w:sz w:val="20"/>
          <w:szCs w:val="20"/>
        </w:rPr>
        <w:t>r</w:t>
      </w:r>
      <w:r>
        <w:rPr>
          <w:sz w:val="20"/>
          <w:szCs w:val="20"/>
        </w:rPr>
        <w:t xml:space="preserve"> and</w:t>
      </w:r>
      <w:r>
        <w:rPr>
          <w:sz w:val="20"/>
          <w:szCs w:val="20"/>
        </w:rPr>
        <w:t xml:space="preserve"> </w:t>
      </w:r>
      <w:r>
        <w:rPr>
          <w:sz w:val="20"/>
          <w:szCs w:val="20"/>
        </w:rPr>
        <w:t>1-yea</w:t>
      </w:r>
      <w:r>
        <w:rPr>
          <w:sz w:val="20"/>
          <w:szCs w:val="20"/>
        </w:rPr>
        <w:t>r</w:t>
      </w:r>
      <w:r>
        <w:rPr>
          <w:sz w:val="20"/>
          <w:szCs w:val="20"/>
        </w:rPr>
        <w:t xml:space="preserve"> period.</w:t>
      </w:r>
      <w:r>
        <w:rPr>
          <w:sz w:val="20"/>
          <w:szCs w:val="20"/>
        </w:rPr>
        <w:t xml:space="preserve"> </w:t>
      </w:r>
      <w:r>
        <w:rPr>
          <w:sz w:val="20"/>
          <w:szCs w:val="20"/>
        </w:rPr>
        <w:t>The following summarizes the options activity of the 2017 Plan</w:t>
      </w:r>
      <w:r>
        <w:rPr>
          <w:sz w:val="20"/>
          <w:szCs w:val="20"/>
        </w:rPr>
        <w:t>:</w:t>
      </w:r>
    </w:p>
    <w:p w:rsidR="00000000" w:rsidRDefault="002D33E3">
      <w:pPr>
        <w:pStyle w:val="a3"/>
        <w:spacing w:before="0" w:beforeAutospacing="0" w:after="0" w:afterAutospacing="0"/>
        <w:divId w:val="1977299465"/>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883"/>
        <w:gridCol w:w="105"/>
        <w:gridCol w:w="105"/>
        <w:gridCol w:w="780"/>
        <w:gridCol w:w="120"/>
        <w:gridCol w:w="105"/>
        <w:gridCol w:w="151"/>
        <w:gridCol w:w="725"/>
        <w:gridCol w:w="105"/>
        <w:gridCol w:w="105"/>
        <w:gridCol w:w="151"/>
        <w:gridCol w:w="673"/>
        <w:gridCol w:w="105"/>
        <w:gridCol w:w="105"/>
        <w:gridCol w:w="106"/>
        <w:gridCol w:w="825"/>
        <w:gridCol w:w="105"/>
        <w:gridCol w:w="105"/>
        <w:gridCol w:w="151"/>
        <w:gridCol w:w="845"/>
        <w:gridCol w:w="120"/>
      </w:tblGrid>
      <w:tr w:rsidR="00000000">
        <w:trPr>
          <w:divId w:val="1977299465"/>
          <w:tblCellSpacing w:w="15" w:type="dxa"/>
        </w:trPr>
        <w:tc>
          <w:tcPr>
            <w:tcW w:w="1955" w:type="pct"/>
            <w:vAlign w:val="center"/>
            <w:hideMark/>
          </w:tcPr>
          <w:p w:rsidR="00000000" w:rsidRDefault="002D33E3">
            <w:pPr>
              <w:rPr>
                <w:sz w:val="20"/>
                <w:szCs w:val="20"/>
              </w:rPr>
            </w:pPr>
          </w:p>
        </w:tc>
        <w:tc>
          <w:tcPr>
            <w:tcW w:w="46"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443" w:type="pct"/>
            <w:vAlign w:val="center"/>
            <w:hideMark/>
          </w:tcPr>
          <w:p w:rsidR="00000000" w:rsidRDefault="002D33E3">
            <w:pPr>
              <w:rPr>
                <w:rFonts w:eastAsia="Times New Roman"/>
                <w:sz w:val="20"/>
                <w:szCs w:val="20"/>
              </w:rPr>
            </w:pPr>
          </w:p>
        </w:tc>
        <w:tc>
          <w:tcPr>
            <w:tcW w:w="41" w:type="pct"/>
            <w:vAlign w:val="center"/>
            <w:hideMark/>
          </w:tcPr>
          <w:p w:rsidR="00000000" w:rsidRDefault="002D33E3">
            <w:pPr>
              <w:rPr>
                <w:rFonts w:eastAsia="Times New Roman"/>
                <w:sz w:val="20"/>
                <w:szCs w:val="20"/>
              </w:rPr>
            </w:pPr>
          </w:p>
        </w:tc>
        <w:tc>
          <w:tcPr>
            <w:tcW w:w="46"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420"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46"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420"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46" w:type="pct"/>
            <w:vAlign w:val="center"/>
            <w:hideMark/>
          </w:tcPr>
          <w:p w:rsidR="00000000" w:rsidRDefault="002D33E3">
            <w:pPr>
              <w:rPr>
                <w:rFonts w:eastAsia="Times New Roman"/>
                <w:sz w:val="20"/>
                <w:szCs w:val="20"/>
              </w:rPr>
            </w:pPr>
          </w:p>
        </w:tc>
        <w:tc>
          <w:tcPr>
            <w:tcW w:w="31" w:type="pct"/>
            <w:vAlign w:val="center"/>
            <w:hideMark/>
          </w:tcPr>
          <w:p w:rsidR="00000000" w:rsidRDefault="002D33E3">
            <w:pPr>
              <w:rPr>
                <w:rFonts w:eastAsia="Times New Roman"/>
                <w:sz w:val="20"/>
                <w:szCs w:val="20"/>
              </w:rPr>
            </w:pPr>
          </w:p>
        </w:tc>
        <w:tc>
          <w:tcPr>
            <w:tcW w:w="537"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c>
          <w:tcPr>
            <w:tcW w:w="46" w:type="pct"/>
            <w:vAlign w:val="center"/>
            <w:hideMark/>
          </w:tcPr>
          <w:p w:rsidR="00000000" w:rsidRDefault="002D33E3">
            <w:pPr>
              <w:rPr>
                <w:rFonts w:eastAsia="Times New Roman"/>
                <w:sz w:val="20"/>
                <w:szCs w:val="20"/>
              </w:rPr>
            </w:pPr>
          </w:p>
        </w:tc>
        <w:tc>
          <w:tcPr>
            <w:tcW w:w="62" w:type="pct"/>
            <w:vAlign w:val="center"/>
            <w:hideMark/>
          </w:tcPr>
          <w:p w:rsidR="00000000" w:rsidRDefault="002D33E3">
            <w:pPr>
              <w:rPr>
                <w:rFonts w:eastAsia="Times New Roman"/>
                <w:sz w:val="20"/>
                <w:szCs w:val="20"/>
              </w:rPr>
            </w:pPr>
          </w:p>
        </w:tc>
        <w:tc>
          <w:tcPr>
            <w:tcW w:w="589" w:type="pct"/>
            <w:vAlign w:val="center"/>
            <w:hideMark/>
          </w:tcPr>
          <w:p w:rsidR="00000000" w:rsidRDefault="002D33E3">
            <w:pPr>
              <w:rPr>
                <w:rFonts w:eastAsia="Times New Roman"/>
                <w:sz w:val="20"/>
                <w:szCs w:val="20"/>
              </w:rPr>
            </w:pPr>
          </w:p>
        </w:tc>
        <w:tc>
          <w:tcPr>
            <w:tcW w:w="27" w:type="pct"/>
            <w:vAlign w:val="center"/>
            <w:hideMark/>
          </w:tcPr>
          <w:p w:rsidR="00000000" w:rsidRDefault="002D33E3">
            <w:pPr>
              <w:rPr>
                <w:rFonts w:eastAsia="Times New Roman"/>
                <w:sz w:val="20"/>
                <w:szCs w:val="20"/>
              </w:rPr>
            </w:pPr>
          </w:p>
        </w:tc>
      </w:tr>
      <w:tr w:rsidR="00000000">
        <w:trPr>
          <w:divId w:val="1977299465"/>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Options to</w:t>
            </w:r>
            <w:r>
              <w:rPr>
                <w:b/>
                <w:bCs/>
                <w:sz w:val="18"/>
                <w:szCs w:val="18"/>
              </w:rPr>
              <w:br/>
              <w:t>Purchase</w:t>
            </w:r>
            <w:r>
              <w:rPr>
                <w:b/>
                <w:bCs/>
                <w:sz w:val="18"/>
                <w:szCs w:val="18"/>
              </w:rPr>
              <w:br/>
              <w:t>Common</w:t>
            </w:r>
            <w:r>
              <w:rPr>
                <w:b/>
                <w:bCs/>
                <w:sz w:val="18"/>
                <w:szCs w:val="18"/>
              </w:rPr>
              <w:br/>
              <w:t>Stoc</w:t>
            </w:r>
            <w:r>
              <w:rPr>
                <w:b/>
                <w:bCs/>
                <w:sz w:val="18"/>
                <w:szCs w:val="18"/>
              </w:rPr>
              <w:t>k</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Exercise</w:t>
            </w:r>
            <w:r>
              <w:rPr>
                <w:b/>
                <w:bCs/>
                <w:sz w:val="18"/>
                <w:szCs w:val="18"/>
              </w:rPr>
              <w:br/>
              <w:t>Price per</w:t>
            </w:r>
            <w:r>
              <w:rPr>
                <w:b/>
                <w:bCs/>
                <w:sz w:val="18"/>
                <w:szCs w:val="18"/>
              </w:rPr>
              <w:br/>
              <w:t>Shar</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Grant Date</w:t>
            </w:r>
            <w:r>
              <w:rPr>
                <w:b/>
                <w:bCs/>
                <w:sz w:val="18"/>
                <w:szCs w:val="18"/>
              </w:rPr>
              <w:br/>
              <w:t>Fair Value</w:t>
            </w:r>
            <w:r>
              <w:rPr>
                <w:b/>
                <w:bCs/>
                <w:sz w:val="18"/>
                <w:szCs w:val="18"/>
              </w:rPr>
              <w:br/>
              <w:t>per Shar</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Remaining</w:t>
            </w:r>
            <w:r>
              <w:rPr>
                <w:b/>
                <w:bCs/>
                <w:sz w:val="18"/>
                <w:szCs w:val="18"/>
              </w:rPr>
              <w:br/>
              <w:t>Contract Life</w:t>
            </w:r>
            <w:r>
              <w:rPr>
                <w:b/>
                <w:bCs/>
                <w:sz w:val="18"/>
                <w:szCs w:val="18"/>
              </w:rPr>
              <w:br/>
              <w:t>(in Years</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Aggregate</w:t>
            </w:r>
            <w:r>
              <w:rPr>
                <w:b/>
                <w:bCs/>
                <w:sz w:val="18"/>
                <w:szCs w:val="18"/>
              </w:rPr>
              <w:br/>
              <w:t>Intrinsic</w:t>
            </w:r>
            <w:r>
              <w:rPr>
                <w:b/>
                <w:bCs/>
                <w:sz w:val="18"/>
                <w:szCs w:val="18"/>
              </w:rPr>
              <w:br/>
              <w:t>Value</w:t>
            </w:r>
            <w:r>
              <w:rPr>
                <w:b/>
                <w:bCs/>
                <w:sz w:val="18"/>
                <w:szCs w:val="18"/>
              </w:rPr>
              <w:br/>
            </w:r>
            <w:r>
              <w:rPr>
                <w:b/>
                <w:bCs/>
                <w:sz w:val="18"/>
                <w:szCs w:val="18"/>
              </w:rPr>
              <w:t>of In-The-</w:t>
            </w:r>
            <w:r>
              <w:rPr>
                <w:b/>
                <w:bCs/>
                <w:sz w:val="18"/>
                <w:szCs w:val="18"/>
              </w:rPr>
              <w:br/>
              <w:t>Money</w:t>
            </w:r>
            <w:r>
              <w:rPr>
                <w:b/>
                <w:bCs/>
                <w:sz w:val="18"/>
                <w:szCs w:val="18"/>
              </w:rPr>
              <w:br/>
              <w:t>Options (in</w:t>
            </w:r>
            <w:r>
              <w:rPr>
                <w:b/>
                <w:bCs/>
                <w:sz w:val="18"/>
                <w:szCs w:val="18"/>
              </w:rPr>
              <w:br/>
              <w:t>Thousands</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Outstanding at January 1, 202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1,840,22</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9.0</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15,59</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Grante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224,27</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Forfeited/ cancelle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10,00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Expire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1,25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17,18</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51</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Outstanding at March 31, 202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2,036,06</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8.9</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52,31</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Outstanding at January 1, 202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2,036,72</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8.3</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91,03</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Grante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547,88</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Forfeited/ cancelle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23,08</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11,54</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Outstanding at March 31, 202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2,549,98</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8.4</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59,95</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Exercisable at March 31, 202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515,94</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7.4</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12,08</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977299465"/>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Options vested and expected to ves</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2,549,98</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8.4</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59,95</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divId w:val="1977299465"/>
        <w:rPr>
          <w:sz w:val="20"/>
          <w:szCs w:val="20"/>
        </w:rPr>
      </w:pPr>
      <w:r>
        <w:rPr>
          <w:sz w:val="20"/>
          <w:szCs w:val="20"/>
        </w:rPr>
        <w:t> </w:t>
      </w:r>
    </w:p>
    <w:p w:rsidR="00000000" w:rsidRDefault="002D33E3">
      <w:pPr>
        <w:pStyle w:val="a3"/>
        <w:spacing w:before="240" w:beforeAutospacing="0" w:after="0" w:afterAutospacing="0"/>
        <w:jc w:val="center"/>
        <w:divId w:val="1977299465"/>
        <w:rPr>
          <w:sz w:val="20"/>
          <w:szCs w:val="20"/>
        </w:rPr>
      </w:pPr>
      <w:r>
        <w:rPr>
          <w:sz w:val="20"/>
          <w:szCs w:val="20"/>
        </w:rPr>
        <w:t>2</w:t>
      </w:r>
      <w:r>
        <w:rPr>
          <w:sz w:val="20"/>
          <w:szCs w:val="20"/>
        </w:rPr>
        <w:t>3</w:t>
      </w:r>
    </w:p>
    <w:p w:rsidR="00000000" w:rsidRDefault="002D33E3">
      <w:pPr>
        <w:divId w:val="1977299465"/>
        <w:rPr>
          <w:rFonts w:eastAsia="Times New Roman"/>
        </w:rPr>
      </w:pPr>
      <w:r>
        <w:rPr>
          <w:rFonts w:eastAsia="Times New Roman"/>
        </w:rPr>
        <w:pict>
          <v:rect id="_x0000_i1049" style="width:0;height:1.5pt" o:hralign="center" o:hrstd="t" o:hr="t" fillcolor="#a0a0a0" stroked="f"/>
        </w:pict>
      </w:r>
    </w:p>
    <w:p w:rsidR="00000000" w:rsidRDefault="002D33E3">
      <w:pPr>
        <w:pStyle w:val="a3"/>
        <w:spacing w:before="0" w:beforeAutospacing="0" w:after="0" w:afterAutospacing="0"/>
        <w:divId w:val="1977299465"/>
        <w:rPr>
          <w:sz w:val="20"/>
          <w:szCs w:val="20"/>
        </w:rPr>
      </w:pPr>
      <w:r>
        <w:rPr>
          <w:sz w:val="20"/>
          <w:szCs w:val="20"/>
        </w:rPr>
        <w:t> </w:t>
      </w:r>
    </w:p>
    <w:p w:rsidR="00000000" w:rsidRDefault="002D33E3">
      <w:pPr>
        <w:pStyle w:val="a3"/>
        <w:spacing w:before="240" w:beforeAutospacing="0" w:after="0" w:afterAutospacing="0"/>
        <w:ind w:firstLine="555"/>
        <w:divId w:val="472411325"/>
        <w:rPr>
          <w:sz w:val="20"/>
          <w:szCs w:val="20"/>
        </w:rPr>
      </w:pPr>
      <w:r>
        <w:rPr>
          <w:sz w:val="20"/>
          <w:szCs w:val="20"/>
        </w:rPr>
        <w:t>The following weighted-average assumptions were used in the Black-Sholes option-pricing model calculation</w:t>
      </w:r>
      <w:r>
        <w:rPr>
          <w:sz w:val="20"/>
          <w:szCs w:val="20"/>
        </w:rPr>
        <w:t>:</w:t>
      </w:r>
    </w:p>
    <w:p w:rsidR="00000000" w:rsidRDefault="002D33E3">
      <w:pPr>
        <w:pStyle w:val="a3"/>
        <w:spacing w:before="0" w:beforeAutospacing="0" w:after="0" w:afterAutospacing="0"/>
        <w:divId w:val="472411325"/>
        <w:rPr>
          <w:sz w:val="20"/>
          <w:szCs w:val="20"/>
        </w:rPr>
      </w:pPr>
      <w: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59"/>
        <w:gridCol w:w="187"/>
        <w:gridCol w:w="150"/>
        <w:gridCol w:w="1108"/>
        <w:gridCol w:w="210"/>
        <w:gridCol w:w="216"/>
        <w:gridCol w:w="150"/>
        <w:gridCol w:w="1109"/>
        <w:gridCol w:w="225"/>
      </w:tblGrid>
      <w:tr w:rsidR="00000000">
        <w:trPr>
          <w:divId w:val="472411325"/>
          <w:tblCellSpacing w:w="15" w:type="dxa"/>
        </w:trPr>
        <w:tc>
          <w:tcPr>
            <w:tcW w:w="2200" w:type="pct"/>
            <w:vAlign w:val="center"/>
            <w:hideMark/>
          </w:tcPr>
          <w:p w:rsidR="00000000" w:rsidRDefault="002D33E3">
            <w:pPr>
              <w:rPr>
                <w:sz w:val="20"/>
                <w:szCs w:val="20"/>
              </w:rPr>
            </w:pPr>
          </w:p>
        </w:tc>
        <w:tc>
          <w:tcPr>
            <w:tcW w:w="155"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989" w:type="pct"/>
            <w:vAlign w:val="center"/>
            <w:hideMark/>
          </w:tcPr>
          <w:p w:rsidR="00000000" w:rsidRDefault="002D33E3">
            <w:pPr>
              <w:rPr>
                <w:rFonts w:eastAsia="Times New Roman"/>
                <w:sz w:val="20"/>
                <w:szCs w:val="20"/>
              </w:rPr>
            </w:pPr>
          </w:p>
        </w:tc>
        <w:tc>
          <w:tcPr>
            <w:tcW w:w="151" w:type="pct"/>
            <w:vAlign w:val="center"/>
            <w:hideMark/>
          </w:tcPr>
          <w:p w:rsidR="00000000" w:rsidRDefault="002D33E3">
            <w:pPr>
              <w:rPr>
                <w:rFonts w:eastAsia="Times New Roman"/>
                <w:sz w:val="20"/>
                <w:szCs w:val="20"/>
              </w:rPr>
            </w:pPr>
          </w:p>
        </w:tc>
        <w:tc>
          <w:tcPr>
            <w:tcW w:w="181"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989" w:type="pct"/>
            <w:vAlign w:val="center"/>
            <w:hideMark/>
          </w:tcPr>
          <w:p w:rsidR="00000000" w:rsidRDefault="002D33E3">
            <w:pPr>
              <w:rPr>
                <w:rFonts w:eastAsia="Times New Roman"/>
                <w:sz w:val="20"/>
                <w:szCs w:val="20"/>
              </w:rPr>
            </w:pPr>
          </w:p>
        </w:tc>
        <w:tc>
          <w:tcPr>
            <w:tcW w:w="151" w:type="pct"/>
            <w:vAlign w:val="center"/>
            <w:hideMark/>
          </w:tcPr>
          <w:p w:rsidR="00000000" w:rsidRDefault="002D33E3">
            <w:pPr>
              <w:rPr>
                <w:rFonts w:eastAsia="Times New Roman"/>
                <w:sz w:val="20"/>
                <w:szCs w:val="20"/>
              </w:rPr>
            </w:pPr>
          </w:p>
        </w:tc>
      </w:tr>
      <w:tr w:rsidR="00000000">
        <w:trPr>
          <w:divId w:val="472411325"/>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472411325"/>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47241132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Common stock value (per share</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44.1</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37.6</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47241132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Expected volatilit</w:t>
            </w:r>
            <w:r>
              <w:rPr>
                <w:sz w:val="18"/>
                <w:szCs w:val="18"/>
              </w:rPr>
              <w:t>y</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33.4</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58.0</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47241132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Risk-free interest rat</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0.7</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47241132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Expected life (years</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6.3</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6.2</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47241132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Forfeiture rat</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divId w:val="472411325"/>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Dividend rat</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bl>
    <w:p w:rsidR="00000000" w:rsidRDefault="002D33E3">
      <w:pPr>
        <w:pStyle w:val="a3"/>
        <w:spacing w:before="240" w:beforeAutospacing="0" w:after="0" w:afterAutospacing="0"/>
        <w:ind w:firstLine="555"/>
        <w:divId w:val="1338925291"/>
        <w:rPr>
          <w:sz w:val="20"/>
          <w:szCs w:val="20"/>
        </w:rPr>
      </w:pPr>
      <w:r>
        <w:rPr>
          <w:b/>
          <w:bCs/>
          <w:i/>
          <w:iCs/>
          <w:sz w:val="20"/>
          <w:szCs w:val="20"/>
        </w:rPr>
        <w:t>Montrose Amended &amp; Restated 2013 Stock Option Pla</w:t>
      </w:r>
      <w:r>
        <w:rPr>
          <w:b/>
          <w:bCs/>
          <w:i/>
          <w:iCs/>
          <w:sz w:val="20"/>
          <w:szCs w:val="20"/>
        </w:rPr>
        <w:t>n</w:t>
      </w:r>
      <w:r>
        <w:rPr>
          <w:sz w:val="20"/>
          <w:szCs w:val="20"/>
        </w:rPr>
        <w:t>—</w:t>
      </w:r>
      <w:r>
        <w:rPr>
          <w:sz w:val="20"/>
          <w:szCs w:val="20"/>
        </w:rPr>
        <w:t>The following summarizes the activity of the 2013 Plan</w:t>
      </w:r>
      <w:r>
        <w:rPr>
          <w:sz w:val="20"/>
          <w:szCs w:val="20"/>
        </w:rPr>
        <w:t>:</w:t>
      </w:r>
    </w:p>
    <w:p w:rsidR="00000000" w:rsidRDefault="002D33E3">
      <w:pPr>
        <w:pStyle w:val="a3"/>
        <w:spacing w:before="0" w:beforeAutospacing="0" w:after="0" w:afterAutospacing="0"/>
        <w:divId w:val="353002554"/>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9"/>
        <w:gridCol w:w="105"/>
        <w:gridCol w:w="105"/>
        <w:gridCol w:w="780"/>
        <w:gridCol w:w="120"/>
        <w:gridCol w:w="105"/>
        <w:gridCol w:w="151"/>
        <w:gridCol w:w="738"/>
        <w:gridCol w:w="105"/>
        <w:gridCol w:w="105"/>
        <w:gridCol w:w="151"/>
        <w:gridCol w:w="689"/>
        <w:gridCol w:w="105"/>
        <w:gridCol w:w="105"/>
        <w:gridCol w:w="106"/>
        <w:gridCol w:w="824"/>
        <w:gridCol w:w="105"/>
        <w:gridCol w:w="105"/>
        <w:gridCol w:w="151"/>
        <w:gridCol w:w="832"/>
        <w:gridCol w:w="120"/>
      </w:tblGrid>
      <w:tr w:rsidR="00000000">
        <w:trPr>
          <w:divId w:val="353002554"/>
          <w:tblCellSpacing w:w="15" w:type="dxa"/>
        </w:trPr>
        <w:tc>
          <w:tcPr>
            <w:tcW w:w="2213" w:type="pct"/>
            <w:vAlign w:val="center"/>
            <w:hideMark/>
          </w:tcPr>
          <w:p w:rsidR="00000000" w:rsidRDefault="002D33E3">
            <w:pPr>
              <w:rPr>
                <w:sz w:val="20"/>
                <w:szCs w:val="20"/>
              </w:rPr>
            </w:pPr>
          </w:p>
        </w:tc>
        <w:tc>
          <w:tcPr>
            <w:tcW w:w="4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34" w:type="pct"/>
            <w:vAlign w:val="center"/>
            <w:hideMark/>
          </w:tcPr>
          <w:p w:rsidR="00000000" w:rsidRDefault="002D33E3">
            <w:pPr>
              <w:rPr>
                <w:rFonts w:eastAsia="Times New Roman"/>
                <w:sz w:val="20"/>
                <w:szCs w:val="20"/>
              </w:rPr>
            </w:pPr>
          </w:p>
        </w:tc>
        <w:tc>
          <w:tcPr>
            <w:tcW w:w="36"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418"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442"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42"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442"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r>
      <w:tr w:rsidR="00000000">
        <w:trPr>
          <w:divId w:val="35300255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Options to</w:t>
            </w:r>
            <w:r>
              <w:rPr>
                <w:b/>
                <w:bCs/>
                <w:sz w:val="18"/>
                <w:szCs w:val="18"/>
              </w:rPr>
              <w:br/>
              <w:t>Purchase</w:t>
            </w:r>
            <w:r>
              <w:rPr>
                <w:b/>
                <w:bCs/>
                <w:sz w:val="18"/>
                <w:szCs w:val="18"/>
              </w:rPr>
              <w:br/>
              <w:t>Common</w:t>
            </w:r>
            <w:r>
              <w:rPr>
                <w:b/>
                <w:bCs/>
                <w:sz w:val="18"/>
                <w:szCs w:val="18"/>
              </w:rPr>
              <w:br/>
              <w:t>Stoc</w:t>
            </w:r>
            <w:r>
              <w:rPr>
                <w:b/>
                <w:bCs/>
                <w:sz w:val="18"/>
                <w:szCs w:val="18"/>
              </w:rPr>
              <w:t>k</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Exercise</w:t>
            </w:r>
            <w:r>
              <w:rPr>
                <w:b/>
                <w:bCs/>
                <w:sz w:val="18"/>
                <w:szCs w:val="18"/>
              </w:rPr>
              <w:br/>
              <w:t>Price per</w:t>
            </w:r>
            <w:r>
              <w:rPr>
                <w:b/>
                <w:bCs/>
                <w:sz w:val="18"/>
                <w:szCs w:val="18"/>
              </w:rPr>
              <w:br/>
              <w:t>Shar</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Weighted</w:t>
            </w:r>
            <w:r>
              <w:rPr>
                <w:b/>
                <w:bCs/>
                <w:sz w:val="18"/>
                <w:szCs w:val="18"/>
              </w:rPr>
              <w:br/>
            </w:r>
            <w:r>
              <w:rPr>
                <w:b/>
                <w:bCs/>
                <w:sz w:val="18"/>
                <w:szCs w:val="18"/>
              </w:rPr>
              <w:t>Average</w:t>
            </w:r>
            <w:r>
              <w:rPr>
                <w:b/>
                <w:bCs/>
                <w:sz w:val="18"/>
                <w:szCs w:val="18"/>
              </w:rPr>
              <w:br/>
              <w:t>Grant Date</w:t>
            </w:r>
            <w:r>
              <w:rPr>
                <w:b/>
                <w:bCs/>
                <w:sz w:val="18"/>
                <w:szCs w:val="18"/>
              </w:rPr>
              <w:br/>
              <w:t>Fair Value</w:t>
            </w:r>
            <w:r>
              <w:rPr>
                <w:b/>
                <w:bCs/>
                <w:sz w:val="18"/>
                <w:szCs w:val="18"/>
              </w:rPr>
              <w:br/>
              <w:t>per Shar</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Remaining</w:t>
            </w:r>
            <w:r>
              <w:rPr>
                <w:b/>
                <w:bCs/>
                <w:sz w:val="18"/>
                <w:szCs w:val="18"/>
              </w:rPr>
              <w:br/>
              <w:t>Contract Life</w:t>
            </w:r>
            <w:r>
              <w:rPr>
                <w:b/>
                <w:bCs/>
                <w:sz w:val="18"/>
                <w:szCs w:val="18"/>
              </w:rPr>
              <w:br/>
              <w:t>(in Years</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Aggregate</w:t>
            </w:r>
            <w:r>
              <w:rPr>
                <w:b/>
                <w:bCs/>
                <w:sz w:val="18"/>
                <w:szCs w:val="18"/>
              </w:rPr>
              <w:br/>
              <w:t>Intrinsic</w:t>
            </w:r>
            <w:r>
              <w:rPr>
                <w:b/>
                <w:bCs/>
                <w:sz w:val="18"/>
                <w:szCs w:val="18"/>
              </w:rPr>
              <w:br/>
              <w:t>Value</w:t>
            </w:r>
            <w:r>
              <w:rPr>
                <w:b/>
                <w:bCs/>
                <w:sz w:val="18"/>
                <w:szCs w:val="18"/>
              </w:rPr>
              <w:br/>
              <w:t>of In-The-</w:t>
            </w:r>
            <w:r>
              <w:rPr>
                <w:b/>
                <w:bCs/>
                <w:sz w:val="18"/>
                <w:szCs w:val="18"/>
              </w:rPr>
              <w:br/>
              <w:t>Money</w:t>
            </w:r>
            <w:r>
              <w:rPr>
                <w:b/>
                <w:bCs/>
                <w:sz w:val="18"/>
                <w:szCs w:val="18"/>
              </w:rPr>
              <w:br/>
              <w:t>Options (in</w:t>
            </w:r>
            <w:r>
              <w:rPr>
                <w:b/>
                <w:bCs/>
                <w:sz w:val="18"/>
                <w:szCs w:val="18"/>
              </w:rPr>
              <w:br/>
              <w:t>Thousands</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530025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Outstanding at January 1, 202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1,787,86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5.4</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43,86</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530025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311,87</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12,32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530025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Outstanding at March 31, 202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1,475,99</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64,49</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530025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530025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Outstanding at January 1, 202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897,67</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4.3</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57,52</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530025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19,06</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530025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Outstanding at March 31, 202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878,61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40,86</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530025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Exercisable at March 31, 202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878,61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40,86</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530025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Options vested and expected to ves</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878,61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40,86</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1338925291"/>
        <w:rPr>
          <w:sz w:val="20"/>
          <w:szCs w:val="20"/>
        </w:rPr>
      </w:pPr>
      <w:r>
        <w:rPr>
          <w:sz w:val="20"/>
          <w:szCs w:val="20"/>
        </w:rPr>
        <w:t>Total shares outstanding from exercised options were</w:t>
      </w:r>
      <w:r>
        <w:rPr>
          <w:sz w:val="20"/>
          <w:szCs w:val="20"/>
        </w:rPr>
        <w:t xml:space="preserve"> </w:t>
      </w:r>
      <w:r>
        <w:rPr>
          <w:sz w:val="20"/>
          <w:szCs w:val="20"/>
        </w:rPr>
        <w:t>1,239,69</w:t>
      </w:r>
      <w:r>
        <w:rPr>
          <w:sz w:val="20"/>
          <w:szCs w:val="20"/>
        </w:rPr>
        <w:t>7</w:t>
      </w:r>
      <w:r>
        <w:rPr>
          <w:sz w:val="20"/>
          <w:szCs w:val="20"/>
        </w:rPr>
        <w:t xml:space="preserve"> shares and</w:t>
      </w:r>
      <w:r>
        <w:rPr>
          <w:sz w:val="20"/>
          <w:szCs w:val="20"/>
        </w:rPr>
        <w:t xml:space="preserve"> </w:t>
      </w:r>
      <w:r>
        <w:rPr>
          <w:sz w:val="20"/>
          <w:szCs w:val="20"/>
        </w:rPr>
        <w:t>579,26</w:t>
      </w:r>
      <w:r>
        <w:rPr>
          <w:sz w:val="20"/>
          <w:szCs w:val="20"/>
        </w:rPr>
        <w:t>0</w:t>
      </w:r>
      <w:r>
        <w:rPr>
          <w:sz w:val="20"/>
          <w:szCs w:val="20"/>
        </w:rPr>
        <w:t xml:space="preserve"> shares as of</w:t>
      </w:r>
      <w:r>
        <w:rPr>
          <w:sz w:val="20"/>
          <w:szCs w:val="20"/>
        </w:rPr>
        <w:t xml:space="preserve"> </w:t>
      </w:r>
      <w:r>
        <w:rPr>
          <w:sz w:val="20"/>
          <w:szCs w:val="20"/>
        </w:rPr>
        <w:t>March 31, 2022 and March 31, 2021, respectively</w:t>
      </w:r>
      <w:r>
        <w:rPr>
          <w:sz w:val="20"/>
          <w:szCs w:val="20"/>
        </w:rPr>
        <w:t>.</w:t>
      </w:r>
    </w:p>
    <w:p w:rsidR="00000000" w:rsidRDefault="002D33E3">
      <w:pPr>
        <w:pStyle w:val="a3"/>
        <w:spacing w:before="240" w:beforeAutospacing="0" w:after="0" w:afterAutospacing="0"/>
        <w:ind w:firstLine="555"/>
        <w:divId w:val="125314666"/>
        <w:rPr>
          <w:sz w:val="20"/>
          <w:szCs w:val="20"/>
        </w:rPr>
      </w:pPr>
      <w:r>
        <w:rPr>
          <w:b/>
          <w:bCs/>
          <w:sz w:val="20"/>
          <w:szCs w:val="20"/>
        </w:rPr>
        <w:t>Common Stock Reserved for Future Issuance</w:t>
      </w:r>
      <w:r>
        <w:rPr>
          <w:b/>
          <w:bCs/>
          <w:sz w:val="20"/>
          <w:szCs w:val="20"/>
        </w:rPr>
        <w:t>s</w:t>
      </w:r>
      <w:r>
        <w:rPr>
          <w:sz w:val="20"/>
          <w:szCs w:val="20"/>
        </w:rPr>
        <w:t>—The Company has reserved certain stock of its authorized but unissued</w:t>
      </w:r>
      <w:r>
        <w:rPr>
          <w:sz w:val="20"/>
          <w:szCs w:val="20"/>
        </w:rPr>
        <w:t xml:space="preserve"> common stock for possible future issuance in connection with the following</w:t>
      </w:r>
      <w:r>
        <w:rPr>
          <w:sz w:val="20"/>
          <w:szCs w:val="20"/>
        </w:rPr>
        <w:t>:</w:t>
      </w:r>
    </w:p>
    <w:p w:rsidR="00000000" w:rsidRDefault="002D33E3">
      <w:pPr>
        <w:pStyle w:val="a3"/>
        <w:spacing w:before="0" w:beforeAutospacing="0" w:after="0" w:afterAutospacing="0"/>
        <w:divId w:val="125314666"/>
        <w:rPr>
          <w:sz w:val="20"/>
          <w:szCs w:val="20"/>
        </w:rPr>
      </w:pPr>
      <w:r>
        <w:t> </w:t>
      </w:r>
    </w:p>
    <w:tbl>
      <w:tblPr>
        <w:tblW w:w="2900" w:type="pct"/>
        <w:tblCellSpacing w:w="15" w:type="dxa"/>
        <w:tblCellMar>
          <w:top w:w="15" w:type="dxa"/>
          <w:left w:w="15" w:type="dxa"/>
          <w:bottom w:w="15" w:type="dxa"/>
          <w:right w:w="15" w:type="dxa"/>
        </w:tblCellMar>
        <w:tblLook w:val="04A0" w:firstRow="1" w:lastRow="0" w:firstColumn="1" w:lastColumn="0" w:noHBand="0" w:noVBand="1"/>
      </w:tblPr>
      <w:tblGrid>
        <w:gridCol w:w="2022"/>
        <w:gridCol w:w="105"/>
        <w:gridCol w:w="105"/>
        <w:gridCol w:w="1075"/>
        <w:gridCol w:w="105"/>
        <w:gridCol w:w="105"/>
        <w:gridCol w:w="105"/>
        <w:gridCol w:w="1075"/>
        <w:gridCol w:w="120"/>
      </w:tblGrid>
      <w:tr w:rsidR="00000000">
        <w:trPr>
          <w:divId w:val="125314666"/>
          <w:tblCellSpacing w:w="15" w:type="dxa"/>
        </w:trPr>
        <w:tc>
          <w:tcPr>
            <w:tcW w:w="2220" w:type="pct"/>
            <w:vAlign w:val="center"/>
            <w:hideMark/>
          </w:tcPr>
          <w:p w:rsidR="00000000" w:rsidRDefault="002D33E3">
            <w:pPr>
              <w:rPr>
                <w:sz w:val="20"/>
                <w:szCs w:val="20"/>
              </w:rPr>
            </w:pPr>
          </w:p>
        </w:tc>
        <w:tc>
          <w:tcPr>
            <w:tcW w:w="107" w:type="pct"/>
            <w:vAlign w:val="center"/>
            <w:hideMark/>
          </w:tcPr>
          <w:p w:rsidR="00000000" w:rsidRDefault="002D33E3">
            <w:pPr>
              <w:rPr>
                <w:rFonts w:eastAsia="Times New Roman"/>
                <w:sz w:val="20"/>
                <w:szCs w:val="20"/>
              </w:rPr>
            </w:pPr>
          </w:p>
        </w:tc>
        <w:tc>
          <w:tcPr>
            <w:tcW w:w="44" w:type="pct"/>
            <w:vAlign w:val="center"/>
            <w:hideMark/>
          </w:tcPr>
          <w:p w:rsidR="00000000" w:rsidRDefault="002D33E3">
            <w:pPr>
              <w:rPr>
                <w:rFonts w:eastAsia="Times New Roman"/>
                <w:sz w:val="20"/>
                <w:szCs w:val="20"/>
              </w:rPr>
            </w:pPr>
          </w:p>
        </w:tc>
        <w:tc>
          <w:tcPr>
            <w:tcW w:w="1194" w:type="pct"/>
            <w:vAlign w:val="center"/>
            <w:hideMark/>
          </w:tcPr>
          <w:p w:rsidR="00000000" w:rsidRDefault="002D33E3">
            <w:pPr>
              <w:rPr>
                <w:rFonts w:eastAsia="Times New Roman"/>
                <w:sz w:val="20"/>
                <w:szCs w:val="20"/>
              </w:rPr>
            </w:pPr>
          </w:p>
        </w:tc>
        <w:tc>
          <w:tcPr>
            <w:tcW w:w="44" w:type="pct"/>
            <w:vAlign w:val="center"/>
            <w:hideMark/>
          </w:tcPr>
          <w:p w:rsidR="00000000" w:rsidRDefault="002D33E3">
            <w:pPr>
              <w:rPr>
                <w:rFonts w:eastAsia="Times New Roman"/>
                <w:sz w:val="20"/>
                <w:szCs w:val="20"/>
              </w:rPr>
            </w:pPr>
          </w:p>
        </w:tc>
        <w:tc>
          <w:tcPr>
            <w:tcW w:w="107" w:type="pct"/>
            <w:vAlign w:val="center"/>
            <w:hideMark/>
          </w:tcPr>
          <w:p w:rsidR="00000000" w:rsidRDefault="002D33E3">
            <w:pPr>
              <w:rPr>
                <w:rFonts w:eastAsia="Times New Roman"/>
                <w:sz w:val="20"/>
                <w:szCs w:val="20"/>
              </w:rPr>
            </w:pPr>
          </w:p>
        </w:tc>
        <w:tc>
          <w:tcPr>
            <w:tcW w:w="44" w:type="pct"/>
            <w:vAlign w:val="center"/>
            <w:hideMark/>
          </w:tcPr>
          <w:p w:rsidR="00000000" w:rsidRDefault="002D33E3">
            <w:pPr>
              <w:rPr>
                <w:rFonts w:eastAsia="Times New Roman"/>
                <w:sz w:val="20"/>
                <w:szCs w:val="20"/>
              </w:rPr>
            </w:pPr>
          </w:p>
        </w:tc>
        <w:tc>
          <w:tcPr>
            <w:tcW w:w="1194" w:type="pct"/>
            <w:vAlign w:val="center"/>
            <w:hideMark/>
          </w:tcPr>
          <w:p w:rsidR="00000000" w:rsidRDefault="002D33E3">
            <w:pPr>
              <w:rPr>
                <w:rFonts w:eastAsia="Times New Roman"/>
                <w:sz w:val="20"/>
                <w:szCs w:val="20"/>
              </w:rPr>
            </w:pPr>
          </w:p>
        </w:tc>
        <w:tc>
          <w:tcPr>
            <w:tcW w:w="44" w:type="pct"/>
            <w:vAlign w:val="center"/>
            <w:hideMark/>
          </w:tcPr>
          <w:p w:rsidR="00000000" w:rsidRDefault="002D33E3">
            <w:pPr>
              <w:rPr>
                <w:rFonts w:eastAsia="Times New Roman"/>
                <w:sz w:val="20"/>
                <w:szCs w:val="20"/>
              </w:rPr>
            </w:pPr>
          </w:p>
        </w:tc>
      </w:tr>
      <w:tr w:rsidR="00000000">
        <w:trPr>
          <w:divId w:val="125314666"/>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25314666"/>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2531466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Montrose 2013 Stock Incentive Pla</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878,61</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2,047,26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2531466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Montrose 2017 Stock Incentive Pla</w:t>
            </w:r>
            <w:r>
              <w:rPr>
                <w:sz w:val="18"/>
                <w:szCs w:val="18"/>
              </w:rPr>
              <w:t>n</w:t>
            </w:r>
            <w:r>
              <w:rPr>
                <w:sz w:val="12"/>
                <w:szCs w:val="12"/>
              </w:rPr>
              <w:t>(1</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7,893,91</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3,944,75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25314666"/>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8,772,53</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5,992,01</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divId w:val="1338925291"/>
        <w:rPr>
          <w:sz w:val="20"/>
          <w:szCs w:val="20"/>
        </w:rPr>
      </w:pPr>
      <w:r>
        <w:rPr>
          <w:sz w:val="18"/>
          <w:szCs w:val="18"/>
        </w:rPr>
        <w:t> </w:t>
      </w:r>
    </w:p>
    <w:p w:rsidR="00000000" w:rsidRDefault="002D33E3">
      <w:pPr>
        <w:pStyle w:val="a3"/>
        <w:pBdr>
          <w:bottom w:val="single" w:sz="4" w:space="1" w:color="auto"/>
        </w:pBdr>
        <w:spacing w:before="0" w:beforeAutospacing="0" w:after="0" w:afterAutospacing="0"/>
        <w:ind w:right="9167"/>
        <w:divId w:val="1338925291"/>
        <w:rPr>
          <w:sz w:val="20"/>
          <w:szCs w:val="20"/>
        </w:rPr>
      </w:pPr>
      <w:r>
        <w:rPr>
          <w:sz w:val="12"/>
          <w:szCs w:val="12"/>
        </w:rPr>
        <w:t> </w:t>
      </w:r>
    </w:p>
    <w:p w:rsidR="00000000" w:rsidRDefault="002D33E3">
      <w:pPr>
        <w:pStyle w:val="a3"/>
        <w:spacing w:before="0" w:beforeAutospacing="0" w:after="0" w:afterAutospacing="0"/>
        <w:divId w:val="1338925291"/>
        <w:rPr>
          <w:sz w:val="20"/>
          <w:szCs w:val="20"/>
        </w:rPr>
      </w:pPr>
      <w:r>
        <w:rPr>
          <w:sz w:val="16"/>
          <w:szCs w:val="16"/>
        </w:rPr>
        <w:t>(1) In January 2022, the Board of Directors ratified the addition of</w:t>
      </w:r>
      <w:r>
        <w:rPr>
          <w:sz w:val="16"/>
          <w:szCs w:val="16"/>
        </w:rPr>
        <w:t xml:space="preserve"> </w:t>
      </w:r>
      <w:r>
        <w:rPr>
          <w:sz w:val="16"/>
          <w:szCs w:val="16"/>
        </w:rPr>
        <w:t>1,185,11</w:t>
      </w:r>
      <w:r>
        <w:rPr>
          <w:sz w:val="16"/>
          <w:szCs w:val="16"/>
        </w:rPr>
        <w:t>2</w:t>
      </w:r>
      <w:r>
        <w:rPr>
          <w:sz w:val="16"/>
          <w:szCs w:val="16"/>
        </w:rPr>
        <w:t xml:space="preserve"> </w:t>
      </w:r>
      <w:r>
        <w:rPr>
          <w:sz w:val="16"/>
          <w:szCs w:val="16"/>
        </w:rPr>
        <w:t>shares of common stock to the number of shares available for issuance under the 2017 Plan pursuant to the annual increase provision of such plan. Unless the Board of Directors determines otherwise, additional annual increases will be effective on each Janu</w:t>
      </w:r>
      <w:r>
        <w:rPr>
          <w:sz w:val="16"/>
          <w:szCs w:val="16"/>
        </w:rPr>
        <w:t>ary 1, through January 1, 2027. The 2017 Plan permits the company to settle awards, if and when vested, in cash at its discretion. Pursuant to the terms of the 2017 Plan, the number of shares authorized for issuance thereunder will only be reduced with res</w:t>
      </w:r>
      <w:r>
        <w:rPr>
          <w:sz w:val="16"/>
          <w:szCs w:val="16"/>
        </w:rPr>
        <w:t>pect to shares of common stock actually issued upon exercise or settlement of an award. Shares of common stock subject to awards that have been canceled, expired, forfeited or otherwise not issued under an award and shares of common stock subject to awards</w:t>
      </w:r>
      <w:r>
        <w:rPr>
          <w:sz w:val="16"/>
          <w:szCs w:val="16"/>
        </w:rPr>
        <w:t xml:space="preserve"> settled in cash do not count as shares of common stock issued under the 2017 Plan. The Company expects to have sufficient shares available under the 2017 Plan to satisfy the future settlement of outstanding awards. Shares reserved for future issuance incl</w:t>
      </w:r>
      <w:r>
        <w:rPr>
          <w:sz w:val="16"/>
          <w:szCs w:val="16"/>
        </w:rPr>
        <w:t>ude an assumed</w:t>
      </w:r>
      <w:r>
        <w:rPr>
          <w:sz w:val="16"/>
          <w:szCs w:val="16"/>
        </w:rPr>
        <w:t xml:space="preserve"> </w:t>
      </w:r>
      <w:r>
        <w:rPr>
          <w:sz w:val="16"/>
          <w:szCs w:val="16"/>
        </w:rPr>
        <w:t>3,000,00</w:t>
      </w:r>
      <w:r>
        <w:rPr>
          <w:sz w:val="16"/>
          <w:szCs w:val="16"/>
        </w:rPr>
        <w:t>0</w:t>
      </w:r>
      <w:r>
        <w:rPr>
          <w:sz w:val="16"/>
          <w:szCs w:val="16"/>
        </w:rPr>
        <w:t xml:space="preserve"> shares with respect to the stock appreciation rights units grant made in December 2021 at maximum level of achievement, but that are subject to vesting based on the achievement of certain market conditions, which have not yet been,</w:t>
      </w:r>
      <w:r>
        <w:rPr>
          <w:sz w:val="16"/>
          <w:szCs w:val="16"/>
        </w:rPr>
        <w:t xml:space="preserve"> and may not be, achieved</w:t>
      </w:r>
      <w:r>
        <w:rPr>
          <w:sz w:val="16"/>
          <w:szCs w:val="16"/>
        </w:rPr>
        <w:t>.</w:t>
      </w:r>
    </w:p>
    <w:p w:rsidR="00000000" w:rsidRDefault="002D33E3">
      <w:pPr>
        <w:pStyle w:val="a3"/>
        <w:spacing w:before="360" w:beforeAutospacing="0" w:after="0" w:afterAutospacing="0"/>
        <w:divId w:val="1069772286"/>
        <w:rPr>
          <w:sz w:val="20"/>
          <w:szCs w:val="20"/>
        </w:rPr>
      </w:pPr>
      <w:r>
        <w:rPr>
          <w:b/>
          <w:bCs/>
          <w:sz w:val="20"/>
          <w:szCs w:val="20"/>
        </w:rPr>
        <w:t>17. NET LOSS PER SHAR</w:t>
      </w:r>
      <w:r>
        <w:rPr>
          <w:b/>
          <w:bCs/>
          <w:sz w:val="20"/>
          <w:szCs w:val="20"/>
        </w:rPr>
        <w:t>E</w:t>
      </w:r>
    </w:p>
    <w:p w:rsidR="00000000" w:rsidRDefault="002D33E3">
      <w:pPr>
        <w:pStyle w:val="a3"/>
        <w:spacing w:before="240" w:beforeAutospacing="0" w:after="0" w:afterAutospacing="0"/>
        <w:ind w:firstLine="555"/>
        <w:divId w:val="1069772286"/>
        <w:rPr>
          <w:sz w:val="20"/>
          <w:szCs w:val="20"/>
        </w:rPr>
      </w:pPr>
      <w:r>
        <w:rPr>
          <w:sz w:val="20"/>
          <w:szCs w:val="20"/>
        </w:rPr>
        <w:t>Basic net loss per share is computed by dividing net loss attributable to common stockholders by the weighted average number of common shares outstanding during each period. The Convertible and Redeemable S</w:t>
      </w:r>
      <w:r>
        <w:rPr>
          <w:sz w:val="20"/>
          <w:szCs w:val="20"/>
        </w:rPr>
        <w:t>eries A-2 Preferred Stock is considered a participating security during the applicable period. Net losses are not allocated to the Convertible and Redeemable Series A-2 stockholders, as they were not contractually obligated to share in the Company’s losses</w:t>
      </w:r>
      <w:r>
        <w:rPr>
          <w:sz w:val="20"/>
          <w:szCs w:val="20"/>
        </w:rPr>
        <w:t>.</w:t>
      </w:r>
    </w:p>
    <w:p w:rsidR="00000000" w:rsidRDefault="002D33E3">
      <w:pPr>
        <w:pStyle w:val="a3"/>
        <w:spacing w:before="240" w:beforeAutospacing="0" w:after="0" w:afterAutospacing="0"/>
        <w:ind w:firstLine="555"/>
        <w:divId w:val="1069772286"/>
        <w:rPr>
          <w:sz w:val="20"/>
          <w:szCs w:val="20"/>
        </w:rPr>
      </w:pPr>
      <w:r>
        <w:rPr>
          <w:sz w:val="20"/>
          <w:szCs w:val="20"/>
        </w:rPr>
        <w:t>Diluted net loss per share is computed by dividing net loss attributable to common stockholders by the weighted average number of common and dilutive common equivalent shares outstanding for the period using the treasury-stock method or th</w:t>
      </w:r>
      <w:r>
        <w:rPr>
          <w:sz w:val="20"/>
          <w:szCs w:val="20"/>
        </w:rPr>
        <w:t>e</w:t>
      </w:r>
      <w:r>
        <w:rPr>
          <w:sz w:val="20"/>
          <w:szCs w:val="20"/>
        </w:rPr>
        <w:t xml:space="preserve"> </w:t>
      </w:r>
    </w:p>
    <w:p w:rsidR="00000000" w:rsidRDefault="002D33E3">
      <w:pPr>
        <w:pStyle w:val="a3"/>
        <w:spacing w:before="240" w:beforeAutospacing="0" w:after="0" w:afterAutospacing="0"/>
        <w:jc w:val="center"/>
        <w:divId w:val="1069772286"/>
        <w:rPr>
          <w:sz w:val="20"/>
          <w:szCs w:val="20"/>
        </w:rPr>
      </w:pPr>
      <w:r>
        <w:rPr>
          <w:sz w:val="20"/>
          <w:szCs w:val="20"/>
        </w:rPr>
        <w:t>2</w:t>
      </w:r>
      <w:r>
        <w:rPr>
          <w:sz w:val="20"/>
          <w:szCs w:val="20"/>
        </w:rPr>
        <w:t>4</w:t>
      </w:r>
    </w:p>
    <w:p w:rsidR="00000000" w:rsidRDefault="002D33E3">
      <w:pPr>
        <w:divId w:val="1069772286"/>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2D33E3">
      <w:pPr>
        <w:pStyle w:val="a3"/>
        <w:spacing w:before="0" w:beforeAutospacing="0" w:after="0" w:afterAutospacing="0"/>
        <w:divId w:val="1069772286"/>
        <w:rPr>
          <w:sz w:val="20"/>
          <w:szCs w:val="20"/>
        </w:rPr>
      </w:pPr>
      <w:r>
        <w:rPr>
          <w:sz w:val="20"/>
          <w:szCs w:val="20"/>
        </w:rPr>
        <w:t> </w:t>
      </w:r>
    </w:p>
    <w:p w:rsidR="00000000" w:rsidRDefault="002D33E3">
      <w:pPr>
        <w:pStyle w:val="a3"/>
        <w:spacing w:before="240" w:beforeAutospacing="0" w:after="0" w:afterAutospacing="0"/>
        <w:divId w:val="1069772286"/>
        <w:rPr>
          <w:sz w:val="20"/>
          <w:szCs w:val="20"/>
        </w:rPr>
      </w:pPr>
      <w:r>
        <w:rPr>
          <w:sz w:val="20"/>
          <w:szCs w:val="20"/>
        </w:rPr>
        <w:t xml:space="preserve">as-converted method. Potentially dilutive shares are comprised of restricted stock, RSUs, SARs and shares of common stock underlying stock options outstanding under the Plans to purchase common stock. During the three months ended March 31, 2022 and three </w:t>
      </w:r>
      <w:r>
        <w:rPr>
          <w:sz w:val="20"/>
          <w:szCs w:val="20"/>
        </w:rPr>
        <w:t>months ended March 31, 2021, there is no difference in the number of shares used to calculate basic and diluted shares outstanding due to the Company’s net loss and potentially dilutive shares being anti-dilutive</w:t>
      </w:r>
      <w:r>
        <w:rPr>
          <w:sz w:val="20"/>
          <w:szCs w:val="20"/>
        </w:rPr>
        <w:t>.</w:t>
      </w:r>
    </w:p>
    <w:p w:rsidR="00000000" w:rsidRDefault="002D33E3">
      <w:pPr>
        <w:pStyle w:val="a3"/>
        <w:spacing w:before="240" w:beforeAutospacing="0" w:after="0" w:afterAutospacing="0"/>
        <w:ind w:firstLine="555"/>
        <w:divId w:val="1504784543"/>
        <w:rPr>
          <w:sz w:val="20"/>
          <w:szCs w:val="20"/>
        </w:rPr>
      </w:pPr>
      <w:r>
        <w:rPr>
          <w:sz w:val="20"/>
          <w:szCs w:val="20"/>
        </w:rPr>
        <w:t>The following table summarizes the computa</w:t>
      </w:r>
      <w:r>
        <w:rPr>
          <w:sz w:val="20"/>
          <w:szCs w:val="20"/>
        </w:rPr>
        <w:t>tion of basic and diluted net loss per share attributable to common stockholders of the Company</w:t>
      </w:r>
      <w:r>
        <w:rPr>
          <w:sz w:val="20"/>
          <w:szCs w:val="20"/>
        </w:rPr>
        <w:t>:</w:t>
      </w:r>
    </w:p>
    <w:p w:rsidR="00000000" w:rsidRDefault="002D33E3">
      <w:pPr>
        <w:pStyle w:val="a3"/>
        <w:spacing w:before="0" w:beforeAutospacing="0" w:after="0" w:afterAutospacing="0"/>
        <w:divId w:val="1504784543"/>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114"/>
        <w:gridCol w:w="105"/>
        <w:gridCol w:w="150"/>
        <w:gridCol w:w="830"/>
        <w:gridCol w:w="120"/>
        <w:gridCol w:w="105"/>
        <w:gridCol w:w="150"/>
        <w:gridCol w:w="831"/>
        <w:gridCol w:w="120"/>
        <w:gridCol w:w="120"/>
      </w:tblGrid>
      <w:tr w:rsidR="00000000">
        <w:trPr>
          <w:divId w:val="1504784543"/>
          <w:tblCellSpacing w:w="15" w:type="dxa"/>
        </w:trPr>
        <w:tc>
          <w:tcPr>
            <w:tcW w:w="3238" w:type="pct"/>
            <w:vAlign w:val="center"/>
            <w:hideMark/>
          </w:tcPr>
          <w:p w:rsidR="00000000" w:rsidRDefault="002D33E3">
            <w:pPr>
              <w:rPr>
                <w:sz w:val="20"/>
                <w:szCs w:val="20"/>
              </w:rPr>
            </w:pPr>
          </w:p>
        </w:tc>
        <w:tc>
          <w:tcPr>
            <w:tcW w:w="67" w:type="pct"/>
            <w:vAlign w:val="center"/>
            <w:hideMark/>
          </w:tcPr>
          <w:p w:rsidR="00000000" w:rsidRDefault="002D33E3">
            <w:pPr>
              <w:rPr>
                <w:rFonts w:eastAsia="Times New Roman"/>
                <w:sz w:val="20"/>
                <w:szCs w:val="20"/>
              </w:rPr>
            </w:pPr>
          </w:p>
        </w:tc>
        <w:tc>
          <w:tcPr>
            <w:tcW w:w="76" w:type="pct"/>
            <w:vAlign w:val="center"/>
            <w:hideMark/>
          </w:tcPr>
          <w:p w:rsidR="00000000" w:rsidRDefault="002D33E3">
            <w:pPr>
              <w:rPr>
                <w:rFonts w:eastAsia="Times New Roman"/>
                <w:sz w:val="20"/>
                <w:szCs w:val="20"/>
              </w:rPr>
            </w:pPr>
          </w:p>
        </w:tc>
        <w:tc>
          <w:tcPr>
            <w:tcW w:w="655"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67" w:type="pct"/>
            <w:vAlign w:val="center"/>
            <w:hideMark/>
          </w:tcPr>
          <w:p w:rsidR="00000000" w:rsidRDefault="002D33E3">
            <w:pPr>
              <w:rPr>
                <w:rFonts w:eastAsia="Times New Roman"/>
                <w:sz w:val="20"/>
                <w:szCs w:val="20"/>
              </w:rPr>
            </w:pPr>
          </w:p>
        </w:tc>
        <w:tc>
          <w:tcPr>
            <w:tcW w:w="76" w:type="pct"/>
            <w:vAlign w:val="center"/>
            <w:hideMark/>
          </w:tcPr>
          <w:p w:rsidR="00000000" w:rsidRDefault="002D33E3">
            <w:pPr>
              <w:rPr>
                <w:rFonts w:eastAsia="Times New Roman"/>
                <w:sz w:val="20"/>
                <w:szCs w:val="20"/>
              </w:rPr>
            </w:pPr>
          </w:p>
        </w:tc>
        <w:tc>
          <w:tcPr>
            <w:tcW w:w="656"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60" w:type="pct"/>
            <w:vAlign w:val="center"/>
            <w:hideMark/>
          </w:tcPr>
          <w:p w:rsidR="00000000" w:rsidRDefault="002D33E3">
            <w:pPr>
              <w:rPr>
                <w:rFonts w:eastAsia="Times New Roman"/>
                <w:sz w:val="20"/>
                <w:szCs w:val="20"/>
              </w:rPr>
            </w:pPr>
          </w:p>
        </w:tc>
      </w:tr>
      <w:tr w:rsidR="00000000">
        <w:trPr>
          <w:divId w:val="1504784543"/>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Three Months Ende</w:t>
            </w:r>
            <w:r>
              <w:rPr>
                <w:b/>
                <w:bCs/>
                <w:sz w:val="18"/>
                <w:szCs w:val="18"/>
              </w:rPr>
              <w:t>d</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04784543"/>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04784543"/>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(In thousands, except for net loss per share</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0478454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7,53</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12,93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0478454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Convertible and redeemable series A-2 preferred </w:t>
            </w:r>
            <w:r>
              <w:rPr>
                <w:sz w:val="18"/>
                <w:szCs w:val="18"/>
              </w:rPr>
              <w:br/>
              <w:t>   stock dividen</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4,10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4,10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0478454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Net loss attributable to common stockholders </w:t>
            </w:r>
            <w:r>
              <w:rPr>
                <w:sz w:val="18"/>
                <w:szCs w:val="18"/>
              </w:rPr>
              <w:br/>
              <w:t>   –basic and dilute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11,63</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17,03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0478454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Weighted-average common shares outstanding –</w:t>
            </w:r>
            <w:r>
              <w:rPr>
                <w:sz w:val="18"/>
                <w:szCs w:val="18"/>
              </w:rPr>
              <w:br/>
              <w:t>   basic and dilute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29,66</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25,11</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50478454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Net loss per share attributable to common </w:t>
            </w:r>
            <w:r>
              <w:rPr>
                <w:sz w:val="18"/>
                <w:szCs w:val="18"/>
              </w:rPr>
              <w:br/>
              <w:t>   stockholders –basic and dilute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0.3</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0.6</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308440233"/>
        <w:rPr>
          <w:sz w:val="20"/>
          <w:szCs w:val="20"/>
        </w:rPr>
      </w:pPr>
      <w:r>
        <w:rPr>
          <w:sz w:val="20"/>
          <w:szCs w:val="20"/>
        </w:rPr>
        <w:t>The following equity shares were excluded from the calculation of diluted net loss per share attributable to common stockholders because their effect would have been anti-dilutive</w:t>
      </w:r>
      <w:r>
        <w:rPr>
          <w:sz w:val="20"/>
          <w:szCs w:val="20"/>
        </w:rPr>
        <w:t>:</w:t>
      </w:r>
    </w:p>
    <w:p w:rsidR="00000000" w:rsidRDefault="002D33E3">
      <w:pPr>
        <w:pStyle w:val="a3"/>
        <w:spacing w:before="0" w:beforeAutospacing="0" w:after="0" w:afterAutospacing="0"/>
        <w:divId w:val="308440233"/>
        <w:rPr>
          <w:sz w:val="20"/>
          <w:szCs w:val="20"/>
        </w:rPr>
      </w:pPr>
      <w: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1942"/>
        <w:gridCol w:w="158"/>
        <w:gridCol w:w="105"/>
        <w:gridCol w:w="1560"/>
        <w:gridCol w:w="105"/>
        <w:gridCol w:w="158"/>
        <w:gridCol w:w="105"/>
        <w:gridCol w:w="1561"/>
        <w:gridCol w:w="120"/>
      </w:tblGrid>
      <w:tr w:rsidR="00000000">
        <w:trPr>
          <w:divId w:val="308440233"/>
          <w:tblCellSpacing w:w="15" w:type="dxa"/>
        </w:trPr>
        <w:tc>
          <w:tcPr>
            <w:tcW w:w="1743" w:type="pct"/>
            <w:vAlign w:val="center"/>
            <w:hideMark/>
          </w:tcPr>
          <w:p w:rsidR="00000000" w:rsidRDefault="002D33E3">
            <w:pPr>
              <w:rPr>
                <w:sz w:val="20"/>
                <w:szCs w:val="20"/>
              </w:rPr>
            </w:pPr>
          </w:p>
        </w:tc>
        <w:tc>
          <w:tcPr>
            <w:tcW w:w="141"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c>
          <w:tcPr>
            <w:tcW w:w="1410"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c>
          <w:tcPr>
            <w:tcW w:w="141"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c>
          <w:tcPr>
            <w:tcW w:w="1410"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r>
      <w:tr w:rsidR="00000000">
        <w:trPr>
          <w:divId w:val="308440233"/>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08440233"/>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30844023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Stock option</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2,034,04</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3,293,67</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0844023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Restricted stoc</w:t>
            </w:r>
            <w:r>
              <w:rPr>
                <w:sz w:val="18"/>
                <w:szCs w:val="18"/>
              </w:rPr>
              <w:t>k</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1,777,95</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26,20</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308440233"/>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SAR</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3,000,00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divId w:val="1922399525"/>
        <w:rPr>
          <w:sz w:val="20"/>
          <w:szCs w:val="20"/>
        </w:rPr>
      </w:pPr>
      <w:r>
        <w:rPr>
          <w:b/>
          <w:bCs/>
          <w:sz w:val="20"/>
          <w:szCs w:val="20"/>
        </w:rPr>
        <w:t>18. SEGMENT INFORMATIO</w:t>
      </w:r>
      <w:r>
        <w:rPr>
          <w:b/>
          <w:bCs/>
          <w:sz w:val="20"/>
          <w:szCs w:val="20"/>
        </w:rPr>
        <w:t>N</w:t>
      </w:r>
    </w:p>
    <w:p w:rsidR="00000000" w:rsidRDefault="002D33E3">
      <w:pPr>
        <w:pStyle w:val="a3"/>
        <w:spacing w:before="240" w:beforeAutospacing="0" w:after="0" w:afterAutospacing="0"/>
        <w:ind w:firstLine="555"/>
        <w:divId w:val="1922399525"/>
        <w:rPr>
          <w:sz w:val="20"/>
          <w:szCs w:val="20"/>
        </w:rPr>
      </w:pPr>
      <w:r>
        <w:rPr>
          <w:sz w:val="20"/>
          <w:szCs w:val="20"/>
        </w:rPr>
        <w:t>The Company has</w:t>
      </w:r>
      <w:r>
        <w:rPr>
          <w:sz w:val="20"/>
          <w:szCs w:val="20"/>
        </w:rPr>
        <w:t xml:space="preserve"> </w:t>
      </w:r>
      <w:r>
        <w:rPr>
          <w:sz w:val="20"/>
          <w:szCs w:val="20"/>
        </w:rPr>
        <w:t>thre</w:t>
      </w:r>
      <w:r>
        <w:rPr>
          <w:sz w:val="20"/>
          <w:szCs w:val="20"/>
        </w:rPr>
        <w:t>e</w:t>
      </w:r>
      <w:r>
        <w:rPr>
          <w:sz w:val="20"/>
          <w:szCs w:val="20"/>
        </w:rPr>
        <w:t xml:space="preserve"> </w:t>
      </w:r>
      <w:r>
        <w:rPr>
          <w:sz w:val="20"/>
          <w:szCs w:val="20"/>
        </w:rPr>
        <w:t>operating and reportable segments: Assessment, Permitting and Response, Measurement and Analysis and Remediation and Reuse. These segments are monitored separately by management for performance against budget and prior year and are consistent with internal</w:t>
      </w:r>
      <w:r>
        <w:rPr>
          <w:sz w:val="20"/>
          <w:szCs w:val="20"/>
        </w:rPr>
        <w:t xml:space="preserve"> financial reporting. The Company’s operating segments are organized based upon primary services provided, the nature of the production process, their type of customers, methods used to distribute the products and the nature of the regulatory environment</w:t>
      </w:r>
      <w:r>
        <w:rPr>
          <w:sz w:val="20"/>
          <w:szCs w:val="20"/>
        </w:rPr>
        <w:t>.</w:t>
      </w:r>
    </w:p>
    <w:p w:rsidR="00000000" w:rsidRDefault="002D33E3">
      <w:pPr>
        <w:pStyle w:val="a3"/>
        <w:spacing w:before="240" w:beforeAutospacing="0" w:after="0" w:afterAutospacing="0"/>
        <w:ind w:firstLine="555"/>
        <w:divId w:val="1922399525"/>
        <w:rPr>
          <w:sz w:val="20"/>
          <w:szCs w:val="20"/>
        </w:rPr>
      </w:pPr>
      <w:r>
        <w:rPr>
          <w:sz w:val="20"/>
          <w:szCs w:val="20"/>
        </w:rPr>
        <w:t>Segment Adjusted EBITDA is the primary measure of operating performance for all</w:t>
      </w:r>
      <w:r>
        <w:rPr>
          <w:sz w:val="20"/>
          <w:szCs w:val="20"/>
        </w:rPr>
        <w:t xml:space="preserve"> </w:t>
      </w:r>
      <w:r>
        <w:rPr>
          <w:sz w:val="20"/>
          <w:szCs w:val="20"/>
        </w:rPr>
        <w:t>thre</w:t>
      </w:r>
      <w:r>
        <w:rPr>
          <w:sz w:val="20"/>
          <w:szCs w:val="20"/>
        </w:rPr>
        <w:t>e</w:t>
      </w:r>
      <w:r>
        <w:rPr>
          <w:sz w:val="20"/>
          <w:szCs w:val="20"/>
        </w:rPr>
        <w:t xml:space="preserve"> operating segments. Segment Adjusted EBITDA is the calculated Company’s Earnings before Interest, Tax, Depreciation and Amortization (“EBITDA”), adjusted to exclude certa</w:t>
      </w:r>
      <w:r>
        <w:rPr>
          <w:sz w:val="20"/>
          <w:szCs w:val="20"/>
        </w:rPr>
        <w:t>in transactions such as stock-based compensation, acquisition costs and fair value changes in financial instruments, amongst others. The Chief Operating Decision Maker (“CODM”) does not review segment assets as a measure of segment performance</w:t>
      </w:r>
      <w:r>
        <w:rPr>
          <w:sz w:val="20"/>
          <w:szCs w:val="20"/>
        </w:rPr>
        <w:t>.</w:t>
      </w:r>
    </w:p>
    <w:p w:rsidR="00000000" w:rsidRDefault="002D33E3">
      <w:pPr>
        <w:pStyle w:val="a3"/>
        <w:spacing w:before="240" w:beforeAutospacing="0" w:after="0" w:afterAutospacing="0"/>
        <w:ind w:firstLine="555"/>
        <w:divId w:val="1922399525"/>
        <w:rPr>
          <w:sz w:val="20"/>
          <w:szCs w:val="20"/>
        </w:rPr>
      </w:pPr>
      <w:r>
        <w:rPr>
          <w:sz w:val="20"/>
          <w:szCs w:val="20"/>
        </w:rPr>
        <w:t>Corporate a</w:t>
      </w:r>
      <w:r>
        <w:rPr>
          <w:sz w:val="20"/>
          <w:szCs w:val="20"/>
        </w:rPr>
        <w:t>nd Other includes costs associated with general corporate overhead (including executive, legal, finance, safety, human resources, marketing and IT related costs) that are not directly related to supporting operations. Overhead costs that are directly relat</w:t>
      </w:r>
      <w:r>
        <w:rPr>
          <w:sz w:val="20"/>
          <w:szCs w:val="20"/>
        </w:rPr>
        <w:t>ed to supporting operations (such as insurance, software, licenses, shared services and payroll processing costs) are allocated to the operating segments on a basis that reasonably approximates an estimate of the use of these services</w:t>
      </w:r>
      <w:r>
        <w:rPr>
          <w:sz w:val="20"/>
          <w:szCs w:val="20"/>
        </w:rPr>
        <w:t>.</w:t>
      </w:r>
    </w:p>
    <w:p w:rsidR="00000000" w:rsidRDefault="002D33E3">
      <w:pPr>
        <w:pStyle w:val="a3"/>
        <w:spacing w:before="240" w:beforeAutospacing="0" w:after="0" w:afterAutospacing="0"/>
        <w:jc w:val="center"/>
        <w:divId w:val="1922399525"/>
        <w:rPr>
          <w:sz w:val="20"/>
          <w:szCs w:val="20"/>
        </w:rPr>
      </w:pPr>
      <w:r>
        <w:rPr>
          <w:sz w:val="20"/>
          <w:szCs w:val="20"/>
        </w:rPr>
        <w:t>2</w:t>
      </w:r>
      <w:r>
        <w:rPr>
          <w:sz w:val="20"/>
          <w:szCs w:val="20"/>
        </w:rPr>
        <w:t>5</w:t>
      </w:r>
    </w:p>
    <w:p w:rsidR="00000000" w:rsidRDefault="002D33E3">
      <w:pPr>
        <w:divId w:val="1922399525"/>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2D33E3">
      <w:pPr>
        <w:pStyle w:val="a3"/>
        <w:spacing w:before="0" w:beforeAutospacing="0" w:after="0" w:afterAutospacing="0"/>
        <w:divId w:val="1922399525"/>
        <w:rPr>
          <w:sz w:val="20"/>
          <w:szCs w:val="20"/>
        </w:rPr>
      </w:pPr>
      <w:r>
        <w:rPr>
          <w:sz w:val="20"/>
          <w:szCs w:val="20"/>
        </w:rPr>
        <w:t> </w:t>
      </w:r>
    </w:p>
    <w:p w:rsidR="00000000" w:rsidRDefault="002D33E3">
      <w:pPr>
        <w:pStyle w:val="a3"/>
        <w:spacing w:before="240" w:beforeAutospacing="0" w:after="0" w:afterAutospacing="0"/>
        <w:ind w:firstLine="555"/>
        <w:divId w:val="1412852964"/>
        <w:rPr>
          <w:sz w:val="20"/>
          <w:szCs w:val="20"/>
        </w:rPr>
      </w:pPr>
      <w:r>
        <w:rPr>
          <w:sz w:val="20"/>
          <w:szCs w:val="20"/>
        </w:rPr>
        <w:t>Segment revenues and Adjusted EBITDA consisted of the following</w:t>
      </w:r>
      <w:r>
        <w:rPr>
          <w:sz w:val="20"/>
          <w:szCs w:val="20"/>
        </w:rPr>
        <w:t>:</w:t>
      </w:r>
    </w:p>
    <w:p w:rsidR="00000000" w:rsidRDefault="002D33E3">
      <w:pPr>
        <w:pStyle w:val="a3"/>
        <w:spacing w:before="0" w:beforeAutospacing="0" w:after="0" w:afterAutospacing="0"/>
        <w:divId w:val="1412852964"/>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3"/>
        <w:gridCol w:w="105"/>
        <w:gridCol w:w="150"/>
        <w:gridCol w:w="862"/>
        <w:gridCol w:w="105"/>
        <w:gridCol w:w="105"/>
        <w:gridCol w:w="151"/>
        <w:gridCol w:w="861"/>
        <w:gridCol w:w="120"/>
        <w:gridCol w:w="105"/>
        <w:gridCol w:w="150"/>
        <w:gridCol w:w="862"/>
        <w:gridCol w:w="105"/>
        <w:gridCol w:w="105"/>
        <w:gridCol w:w="151"/>
        <w:gridCol w:w="851"/>
        <w:gridCol w:w="135"/>
      </w:tblGrid>
      <w:tr w:rsidR="00000000">
        <w:trPr>
          <w:divId w:val="1412852964"/>
          <w:tblCellSpacing w:w="15" w:type="dxa"/>
        </w:trPr>
        <w:tc>
          <w:tcPr>
            <w:tcW w:w="2167" w:type="pct"/>
            <w:vAlign w:val="center"/>
            <w:hideMark/>
          </w:tcPr>
          <w:p w:rsidR="00000000" w:rsidRDefault="002D33E3">
            <w:pPr>
              <w:rPr>
                <w:sz w:val="20"/>
                <w:szCs w:val="20"/>
              </w:rPr>
            </w:pPr>
          </w:p>
        </w:tc>
        <w:tc>
          <w:tcPr>
            <w:tcW w:w="6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56"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55" w:type="pct"/>
            <w:vAlign w:val="center"/>
            <w:hideMark/>
          </w:tcPr>
          <w:p w:rsidR="00000000" w:rsidRDefault="002D33E3">
            <w:pPr>
              <w:rPr>
                <w:rFonts w:eastAsia="Times New Roman"/>
                <w:sz w:val="20"/>
                <w:szCs w:val="20"/>
              </w:rPr>
            </w:pPr>
          </w:p>
        </w:tc>
        <w:tc>
          <w:tcPr>
            <w:tcW w:w="36" w:type="pct"/>
            <w:vAlign w:val="center"/>
            <w:hideMark/>
          </w:tcPr>
          <w:p w:rsidR="00000000" w:rsidRDefault="002D33E3">
            <w:pPr>
              <w:rPr>
                <w:rFonts w:eastAsia="Times New Roman"/>
                <w:sz w:val="20"/>
                <w:szCs w:val="20"/>
              </w:rPr>
            </w:pPr>
          </w:p>
        </w:tc>
        <w:tc>
          <w:tcPr>
            <w:tcW w:w="6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56"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548" w:type="pct"/>
            <w:vAlign w:val="center"/>
            <w:hideMark/>
          </w:tcPr>
          <w:p w:rsidR="00000000" w:rsidRDefault="002D33E3">
            <w:pPr>
              <w:rPr>
                <w:rFonts w:eastAsia="Times New Roman"/>
                <w:sz w:val="20"/>
                <w:szCs w:val="20"/>
              </w:rPr>
            </w:pPr>
          </w:p>
        </w:tc>
        <w:tc>
          <w:tcPr>
            <w:tcW w:w="36" w:type="pct"/>
            <w:vAlign w:val="center"/>
            <w:hideMark/>
          </w:tcPr>
          <w:p w:rsidR="00000000" w:rsidRDefault="002D33E3">
            <w:pPr>
              <w:rPr>
                <w:rFonts w:eastAsia="Times New Roman"/>
                <w:sz w:val="20"/>
                <w:szCs w:val="20"/>
              </w:rPr>
            </w:pPr>
          </w:p>
        </w:tc>
      </w:tr>
      <w:tr w:rsidR="00000000">
        <w:trPr>
          <w:divId w:val="141285296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14"/>
            <w:vAlign w:val="bottom"/>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41285296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41285296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41285296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Adjuste</w:t>
            </w:r>
            <w:r>
              <w:rPr>
                <w:b/>
                <w:bCs/>
                <w:sz w:val="18"/>
                <w:szCs w:val="18"/>
              </w:rPr>
              <w:t>d</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Adjuste</w:t>
            </w:r>
            <w:r>
              <w:rPr>
                <w:b/>
                <w:bCs/>
                <w:sz w:val="18"/>
                <w:szCs w:val="18"/>
              </w:rPr>
              <w:t>d</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41285296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Revenue</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EBITD</w:t>
            </w:r>
            <w:r>
              <w:rPr>
                <w:b/>
                <w:bCs/>
                <w:sz w:val="18"/>
                <w:szCs w:val="18"/>
              </w:rPr>
              <w:t>A</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Revenue</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EBITD</w:t>
            </w:r>
            <w:r>
              <w:rPr>
                <w:b/>
                <w:bCs/>
                <w:sz w:val="18"/>
                <w:szCs w:val="18"/>
              </w:rPr>
              <w:t>A</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141285296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Assessment, Permitting and Respons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45,60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9,62</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75,26</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15,80</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1285296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Measurement and Analysi</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39,76</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6,32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33,44</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4,86</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1285296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Remediation and Reus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49,31</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7,99</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25,11</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2,48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1285296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Total Operating Segment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134,68</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23,93</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133,81</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23,14</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1285296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Corporate and Othe</w:t>
            </w:r>
            <w:r>
              <w:rPr>
                <w:sz w:val="18"/>
                <w:szCs w:val="18"/>
              </w:rPr>
              <w:t>r</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7,48</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6,34</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141285296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Tota</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134,68</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16,45</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133,81</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16,80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12852964"/>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1412852964"/>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divId w:val="221332754"/>
        <w:rPr>
          <w:sz w:val="20"/>
          <w:szCs w:val="20"/>
        </w:rPr>
      </w:pPr>
      <w:r>
        <w:rPr>
          <w:sz w:val="20"/>
          <w:szCs w:val="20"/>
        </w:rPr>
        <w:t>Presented below is a reconciliation of the Company’s segment measure to net loss</w:t>
      </w:r>
      <w:r>
        <w:rPr>
          <w:sz w:val="20"/>
          <w:szCs w:val="20"/>
        </w:rPr>
        <w:t>:</w:t>
      </w:r>
    </w:p>
    <w:p w:rsidR="00000000" w:rsidRDefault="002D33E3">
      <w:pPr>
        <w:pStyle w:val="a3"/>
        <w:spacing w:before="0" w:beforeAutospacing="0" w:after="0" w:afterAutospacing="0"/>
        <w:divId w:val="221332754"/>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72"/>
        <w:gridCol w:w="160"/>
        <w:gridCol w:w="150"/>
        <w:gridCol w:w="1364"/>
        <w:gridCol w:w="120"/>
        <w:gridCol w:w="160"/>
        <w:gridCol w:w="150"/>
        <w:gridCol w:w="1364"/>
        <w:gridCol w:w="135"/>
      </w:tblGrid>
      <w:tr w:rsidR="00000000">
        <w:trPr>
          <w:divId w:val="221332754"/>
          <w:tblCellSpacing w:w="15" w:type="dxa"/>
        </w:trPr>
        <w:tc>
          <w:tcPr>
            <w:tcW w:w="2682" w:type="pct"/>
            <w:vAlign w:val="center"/>
            <w:hideMark/>
          </w:tcPr>
          <w:p w:rsidR="00000000" w:rsidRDefault="002D33E3">
            <w:pPr>
              <w:rPr>
                <w:sz w:val="20"/>
                <w:szCs w:val="20"/>
              </w:rPr>
            </w:pPr>
          </w:p>
        </w:tc>
        <w:tc>
          <w:tcPr>
            <w:tcW w:w="107"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945" w:type="pct"/>
            <w:vAlign w:val="center"/>
            <w:hideMark/>
          </w:tcPr>
          <w:p w:rsidR="00000000" w:rsidRDefault="002D33E3">
            <w:pPr>
              <w:rPr>
                <w:rFonts w:eastAsia="Times New Roman"/>
                <w:sz w:val="20"/>
                <w:szCs w:val="20"/>
              </w:rPr>
            </w:pPr>
          </w:p>
        </w:tc>
        <w:tc>
          <w:tcPr>
            <w:tcW w:w="42" w:type="pct"/>
            <w:vAlign w:val="center"/>
            <w:hideMark/>
          </w:tcPr>
          <w:p w:rsidR="00000000" w:rsidRDefault="002D33E3">
            <w:pPr>
              <w:rPr>
                <w:rFonts w:eastAsia="Times New Roman"/>
                <w:sz w:val="20"/>
                <w:szCs w:val="20"/>
              </w:rPr>
            </w:pPr>
          </w:p>
        </w:tc>
        <w:tc>
          <w:tcPr>
            <w:tcW w:w="107"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945" w:type="pct"/>
            <w:vAlign w:val="center"/>
            <w:hideMark/>
          </w:tcPr>
          <w:p w:rsidR="00000000" w:rsidRDefault="002D33E3">
            <w:pPr>
              <w:rPr>
                <w:rFonts w:eastAsia="Times New Roman"/>
                <w:sz w:val="20"/>
                <w:szCs w:val="20"/>
              </w:rPr>
            </w:pPr>
          </w:p>
        </w:tc>
        <w:tc>
          <w:tcPr>
            <w:tcW w:w="42" w:type="pct"/>
            <w:vAlign w:val="center"/>
            <w:hideMark/>
          </w:tcPr>
          <w:p w:rsidR="00000000" w:rsidRDefault="002D33E3">
            <w:pPr>
              <w:rPr>
                <w:rFonts w:eastAsia="Times New Roman"/>
                <w:sz w:val="20"/>
                <w:szCs w:val="20"/>
              </w:rPr>
            </w:pPr>
          </w:p>
        </w:tc>
      </w:tr>
      <w:tr w:rsidR="00000000">
        <w:trPr>
          <w:divId w:val="22133275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For the Three Months</w:t>
            </w:r>
            <w:r>
              <w:rPr>
                <w:b/>
                <w:bCs/>
                <w:sz w:val="18"/>
                <w:szCs w:val="18"/>
              </w:rPr>
              <w:br/>
              <w:t>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221332754"/>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16,45</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16,80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Interest expense, ne</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1,09</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2,68</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Income tax expens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1,26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Depreciation and amortizatio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12,14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11,79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Stock-based compensatio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10,42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1,80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Start-up losses and investment in new service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78</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96</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Acquisition cost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46</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23</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Fair value changes in financial instrument</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2,44</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60</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Fair value changes in business acquisitions contingent consideratio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11,06</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Expenses related to financing transaction</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Other losses or expense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26</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51</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7,53</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20"/>
                <w:szCs w:val="20"/>
              </w:rPr>
            </w:pPr>
            <w:r>
              <w:rPr>
                <w:sz w:val="18"/>
                <w:szCs w:val="18"/>
              </w:rPr>
              <w:t>(</w:t>
            </w:r>
            <w:r>
              <w:rPr>
                <w:sz w:val="18"/>
                <w:szCs w:val="18"/>
              </w:rPr>
              <w:t>12,93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divId w:val="221332754"/>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0" w:beforeAutospacing="0" w:after="0" w:afterAutospacing="0"/>
        <w:ind w:left="476"/>
        <w:rPr>
          <w:sz w:val="20"/>
          <w:szCs w:val="20"/>
        </w:rPr>
      </w:pPr>
      <w:r>
        <w:rPr>
          <w:sz w:val="16"/>
          <w:szCs w:val="16"/>
        </w:rPr>
        <w:t> </w:t>
      </w:r>
    </w:p>
    <w:p w:rsidR="00000000" w:rsidRDefault="002D33E3">
      <w:pPr>
        <w:pStyle w:val="a3"/>
        <w:spacing w:before="360" w:beforeAutospacing="0" w:after="0" w:afterAutospacing="0"/>
        <w:divId w:val="405154466"/>
        <w:rPr>
          <w:sz w:val="20"/>
          <w:szCs w:val="20"/>
        </w:rPr>
      </w:pPr>
      <w:r>
        <w:rPr>
          <w:b/>
          <w:bCs/>
          <w:sz w:val="20"/>
          <w:szCs w:val="20"/>
        </w:rPr>
        <w:t>19. RELATED-PARTY TRANSACTION</w:t>
      </w:r>
      <w:r>
        <w:rPr>
          <w:b/>
          <w:bCs/>
          <w:sz w:val="20"/>
          <w:szCs w:val="20"/>
        </w:rPr>
        <w:t>S</w:t>
      </w:r>
    </w:p>
    <w:p w:rsidR="00000000" w:rsidRDefault="002D33E3">
      <w:pPr>
        <w:pStyle w:val="a3"/>
        <w:spacing w:before="240" w:beforeAutospacing="0" w:after="0" w:afterAutospacing="0"/>
        <w:ind w:firstLine="555"/>
        <w:divId w:val="405154466"/>
        <w:rPr>
          <w:sz w:val="20"/>
          <w:szCs w:val="20"/>
        </w:rPr>
      </w:pPr>
      <w:r>
        <w:rPr>
          <w:sz w:val="20"/>
          <w:szCs w:val="20"/>
        </w:rPr>
        <w:t>The Company did</w:t>
      </w:r>
      <w:r>
        <w:rPr>
          <w:sz w:val="20"/>
          <w:szCs w:val="20"/>
        </w:rPr>
        <w:t xml:space="preserve"> </w:t>
      </w:r>
      <w:r>
        <w:rPr>
          <w:sz w:val="20"/>
          <w:szCs w:val="20"/>
        </w:rPr>
        <w:t>n</w:t>
      </w:r>
      <w:r>
        <w:rPr>
          <w:sz w:val="20"/>
          <w:szCs w:val="20"/>
        </w:rPr>
        <w:t>o</w:t>
      </w:r>
      <w:r>
        <w:rPr>
          <w:sz w:val="20"/>
          <w:szCs w:val="20"/>
        </w:rPr>
        <w:t>t have any related party transactions during the</w:t>
      </w:r>
      <w:r>
        <w:rPr>
          <w:sz w:val="20"/>
          <w:szCs w:val="20"/>
        </w:rPr>
        <w:t xml:space="preserve"> </w:t>
      </w:r>
      <w:r>
        <w:rPr>
          <w:sz w:val="20"/>
          <w:szCs w:val="20"/>
        </w:rPr>
        <w:t>three months ended March 31, 2022 or during the year ended December 31, 202</w:t>
      </w:r>
      <w:r>
        <w:rPr>
          <w:sz w:val="20"/>
          <w:szCs w:val="20"/>
        </w:rPr>
        <w:t>1</w:t>
      </w:r>
      <w:r>
        <w:rPr>
          <w:sz w:val="20"/>
          <w:szCs w:val="20"/>
        </w:rPr>
        <w:t>.</w:t>
      </w:r>
    </w:p>
    <w:p w:rsidR="00000000" w:rsidRDefault="002D33E3">
      <w:pPr>
        <w:pStyle w:val="a3"/>
        <w:spacing w:before="360" w:beforeAutospacing="0" w:after="0" w:afterAutospacing="0"/>
        <w:divId w:val="350028948"/>
        <w:rPr>
          <w:sz w:val="20"/>
          <w:szCs w:val="20"/>
        </w:rPr>
      </w:pPr>
      <w:r>
        <w:rPr>
          <w:b/>
          <w:bCs/>
          <w:sz w:val="20"/>
          <w:szCs w:val="20"/>
        </w:rPr>
        <w:t>20. DEFINED CONTRIBUTION PLA</w:t>
      </w:r>
      <w:r>
        <w:rPr>
          <w:b/>
          <w:bCs/>
          <w:sz w:val="20"/>
          <w:szCs w:val="20"/>
        </w:rPr>
        <w:t>N</w:t>
      </w:r>
    </w:p>
    <w:p w:rsidR="00000000" w:rsidRDefault="002D33E3">
      <w:pPr>
        <w:pStyle w:val="a3"/>
        <w:spacing w:before="240" w:beforeAutospacing="0" w:after="0" w:afterAutospacing="0"/>
        <w:ind w:firstLine="555"/>
        <w:divId w:val="350028948"/>
        <w:rPr>
          <w:sz w:val="20"/>
          <w:szCs w:val="20"/>
        </w:rPr>
      </w:pPr>
      <w:r>
        <w:rPr>
          <w:sz w:val="20"/>
          <w:szCs w:val="20"/>
        </w:rPr>
        <w:t>On January 1, 2014, the Company established the Montrose Environmental Group</w:t>
      </w:r>
      <w:r>
        <w:rPr>
          <w:sz w:val="20"/>
          <w:szCs w:val="20"/>
        </w:rPr>
        <w:t xml:space="preserve"> </w:t>
      </w:r>
      <w:r>
        <w:rPr>
          <w:sz w:val="20"/>
          <w:szCs w:val="20"/>
        </w:rPr>
        <w:t>401(k) Savings Pla</w:t>
      </w:r>
      <w:r>
        <w:rPr>
          <w:sz w:val="20"/>
          <w:szCs w:val="20"/>
        </w:rPr>
        <w:t>n</w:t>
      </w:r>
      <w:r>
        <w:rPr>
          <w:sz w:val="20"/>
          <w:szCs w:val="20"/>
        </w:rPr>
        <w:t xml:space="preserve"> (the “401(k) Savings Plan”). As of</w:t>
      </w:r>
      <w:r>
        <w:rPr>
          <w:sz w:val="20"/>
          <w:szCs w:val="20"/>
        </w:rPr>
        <w:t xml:space="preserve"> </w:t>
      </w:r>
      <w:r>
        <w:rPr>
          <w:sz w:val="20"/>
          <w:szCs w:val="20"/>
        </w:rPr>
        <w:t>March 31, 2022, and December 31, 202</w:t>
      </w:r>
      <w:r>
        <w:rPr>
          <w:sz w:val="20"/>
          <w:szCs w:val="20"/>
        </w:rPr>
        <w:t>1</w:t>
      </w:r>
      <w:r>
        <w:rPr>
          <w:sz w:val="20"/>
          <w:szCs w:val="20"/>
        </w:rPr>
        <w:t>, plan participants may defer up to</w:t>
      </w:r>
      <w:r>
        <w:rPr>
          <w:sz w:val="20"/>
          <w:szCs w:val="20"/>
        </w:rPr>
        <w:t xml:space="preserve"> </w:t>
      </w:r>
      <w:r>
        <w:rPr>
          <w:sz w:val="20"/>
          <w:szCs w:val="20"/>
        </w:rPr>
        <w:t>85.</w:t>
      </w:r>
      <w:r>
        <w:rPr>
          <w:sz w:val="20"/>
          <w:szCs w:val="20"/>
        </w:rPr>
        <w:t>0</w:t>
      </w:r>
      <w:r>
        <w:rPr>
          <w:sz w:val="20"/>
          <w:szCs w:val="20"/>
        </w:rPr>
        <w:t>% of their eligible wages for the year, up to t</w:t>
      </w:r>
      <w:r>
        <w:rPr>
          <w:sz w:val="20"/>
          <w:szCs w:val="20"/>
        </w:rPr>
        <w:t>he Internal Revenue Service dollar limit and catch-up contribution allowed by law. Prior to May 22, 2020, the Company provided employer matching contributions equal to</w:t>
      </w:r>
      <w:r>
        <w:rPr>
          <w:sz w:val="20"/>
          <w:szCs w:val="20"/>
        </w:rPr>
        <w:t xml:space="preserve"> </w:t>
      </w:r>
      <w:r>
        <w:rPr>
          <w:sz w:val="20"/>
          <w:szCs w:val="20"/>
        </w:rPr>
        <w:t>100.</w:t>
      </w:r>
      <w:r>
        <w:rPr>
          <w:sz w:val="20"/>
          <w:szCs w:val="20"/>
        </w:rPr>
        <w:t>0</w:t>
      </w:r>
      <w:r>
        <w:rPr>
          <w:sz w:val="20"/>
          <w:szCs w:val="20"/>
        </w:rPr>
        <w:t>% of the first</w:t>
      </w:r>
      <w:r>
        <w:rPr>
          <w:sz w:val="20"/>
          <w:szCs w:val="20"/>
        </w:rPr>
        <w:t xml:space="preserve"> </w:t>
      </w:r>
      <w:r>
        <w:rPr>
          <w:sz w:val="20"/>
          <w:szCs w:val="20"/>
        </w:rPr>
        <w:t>3.</w:t>
      </w:r>
      <w:r>
        <w:rPr>
          <w:sz w:val="20"/>
          <w:szCs w:val="20"/>
        </w:rPr>
        <w:t>0</w:t>
      </w:r>
      <w:r>
        <w:rPr>
          <w:sz w:val="20"/>
          <w:szCs w:val="20"/>
        </w:rPr>
        <w:t>% of the participant’s compensation and</w:t>
      </w:r>
      <w:r>
        <w:rPr>
          <w:sz w:val="20"/>
          <w:szCs w:val="20"/>
        </w:rPr>
        <w:t xml:space="preserve"> </w:t>
      </w:r>
      <w:r>
        <w:rPr>
          <w:sz w:val="20"/>
          <w:szCs w:val="20"/>
        </w:rPr>
        <w:t>50.</w:t>
      </w:r>
      <w:r>
        <w:rPr>
          <w:sz w:val="20"/>
          <w:szCs w:val="20"/>
        </w:rPr>
        <w:t>0</w:t>
      </w:r>
      <w:r>
        <w:rPr>
          <w:sz w:val="20"/>
          <w:szCs w:val="20"/>
        </w:rPr>
        <w:t>% of the participant’</w:t>
      </w:r>
      <w:r>
        <w:rPr>
          <w:sz w:val="20"/>
          <w:szCs w:val="20"/>
        </w:rPr>
        <w:t>s elective deferrals that exceed</w:t>
      </w:r>
      <w:r>
        <w:rPr>
          <w:sz w:val="20"/>
          <w:szCs w:val="20"/>
        </w:rPr>
        <w:t xml:space="preserve"> </w:t>
      </w:r>
      <w:r>
        <w:rPr>
          <w:sz w:val="20"/>
          <w:szCs w:val="20"/>
        </w:rPr>
        <w:t>3.</w:t>
      </w:r>
      <w:r>
        <w:rPr>
          <w:sz w:val="20"/>
          <w:szCs w:val="20"/>
        </w:rPr>
        <w:t>0</w:t>
      </w:r>
      <w:r>
        <w:rPr>
          <w:sz w:val="20"/>
          <w:szCs w:val="20"/>
        </w:rPr>
        <w:t>% but do not exceed</w:t>
      </w:r>
      <w:r>
        <w:rPr>
          <w:sz w:val="20"/>
          <w:szCs w:val="20"/>
        </w:rPr>
        <w:t xml:space="preserve"> </w:t>
      </w:r>
      <w:r>
        <w:rPr>
          <w:sz w:val="20"/>
          <w:szCs w:val="20"/>
        </w:rPr>
        <w:t>4.</w:t>
      </w:r>
      <w:r>
        <w:rPr>
          <w:sz w:val="20"/>
          <w:szCs w:val="20"/>
        </w:rPr>
        <w:t>0</w:t>
      </w:r>
      <w:r>
        <w:rPr>
          <w:sz w:val="20"/>
          <w:szCs w:val="20"/>
        </w:rPr>
        <w:t>% of the participant’s compensation. Beginning on May 22, 2020, the Company temporarily ceased making employer contributions. Employer contributions were reinstated beginning on April 23, 2021. Emp</w:t>
      </w:r>
      <w:r>
        <w:rPr>
          <w:sz w:val="20"/>
          <w:szCs w:val="20"/>
        </w:rPr>
        <w:t xml:space="preserve">loyer contributions under the 401(k) Savings Plan were </w:t>
      </w:r>
      <w:r>
        <w:rPr>
          <w:sz w:val="20"/>
          <w:szCs w:val="20"/>
        </w:rPr>
        <w:t>$</w:t>
      </w:r>
      <w:r>
        <w:rPr>
          <w:sz w:val="20"/>
          <w:szCs w:val="20"/>
        </w:rPr>
        <w:t>1.</w:t>
      </w:r>
      <w:r>
        <w:rPr>
          <w:sz w:val="20"/>
          <w:szCs w:val="20"/>
        </w:rPr>
        <w:t>7</w:t>
      </w:r>
      <w:r>
        <w:rPr>
          <w:sz w:val="20"/>
          <w:szCs w:val="20"/>
        </w:rPr>
        <w:t xml:space="preserve"> million and</w:t>
      </w:r>
      <w:r>
        <w:rPr>
          <w:sz w:val="20"/>
          <w:szCs w:val="20"/>
        </w:rPr>
        <w:t xml:space="preserve"> </w:t>
      </w:r>
      <w:r>
        <w:rPr>
          <w:sz w:val="20"/>
          <w:szCs w:val="20"/>
        </w:rPr>
        <w:t>zer</w:t>
      </w:r>
      <w:r>
        <w:rPr>
          <w:sz w:val="20"/>
          <w:szCs w:val="20"/>
        </w:rPr>
        <w:t>o</w:t>
      </w:r>
      <w:r>
        <w:rPr>
          <w:sz w:val="20"/>
          <w:szCs w:val="20"/>
        </w:rPr>
        <w:t xml:space="preserve"> for the</w:t>
      </w:r>
      <w:r>
        <w:rPr>
          <w:sz w:val="20"/>
          <w:szCs w:val="20"/>
        </w:rPr>
        <w:t xml:space="preserve"> </w:t>
      </w:r>
      <w:r>
        <w:rPr>
          <w:sz w:val="20"/>
          <w:szCs w:val="20"/>
        </w:rPr>
        <w:t>three months ended March 31, 2022 and March 31, 202</w:t>
      </w:r>
      <w:r>
        <w:rPr>
          <w:sz w:val="20"/>
          <w:szCs w:val="20"/>
        </w:rPr>
        <w:t>1</w:t>
      </w:r>
      <w:r>
        <w:rPr>
          <w:sz w:val="20"/>
          <w:szCs w:val="20"/>
        </w:rPr>
        <w:t>, respectively, and are included within selling, general, and administrative expense on the unaudited condensed consoli</w:t>
      </w:r>
      <w:r>
        <w:rPr>
          <w:sz w:val="20"/>
          <w:szCs w:val="20"/>
        </w:rPr>
        <w:t>dated statements of operations</w:t>
      </w:r>
      <w:r>
        <w:rPr>
          <w:sz w:val="20"/>
          <w:szCs w:val="20"/>
        </w:rPr>
        <w:t>.</w:t>
      </w:r>
    </w:p>
    <w:p w:rsidR="00000000" w:rsidRDefault="002D33E3">
      <w:pPr>
        <w:pStyle w:val="a3"/>
        <w:spacing w:before="240" w:beforeAutospacing="0" w:after="0" w:afterAutospacing="0"/>
        <w:jc w:val="center"/>
        <w:rPr>
          <w:sz w:val="20"/>
          <w:szCs w:val="20"/>
        </w:rPr>
      </w:pPr>
      <w:r>
        <w:rPr>
          <w:sz w:val="20"/>
          <w:szCs w:val="20"/>
        </w:rPr>
        <w:t>2</w:t>
      </w:r>
      <w:r>
        <w:rPr>
          <w:sz w:val="20"/>
          <w:szCs w:val="20"/>
        </w:rPr>
        <w:t>6</w:t>
      </w:r>
    </w:p>
    <w:p w:rsidR="00000000" w:rsidRDefault="002D33E3">
      <w:pPr>
        <w:rPr>
          <w:rFonts w:eastAsia="Times New Roman"/>
        </w:rPr>
      </w:pPr>
      <w:r>
        <w:rPr>
          <w:rFonts w:eastAsia="Times New Roman"/>
        </w:rPr>
        <w:pict>
          <v:rect id="_x0000_i1052"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jc w:val="center"/>
        <w:rPr>
          <w:sz w:val="20"/>
          <w:szCs w:val="20"/>
        </w:rPr>
      </w:pPr>
      <w:r>
        <w:rPr>
          <w:b/>
          <w:bCs/>
          <w:sz w:val="20"/>
          <w:szCs w:val="20"/>
        </w:rPr>
        <w:t>FORWARD-LOOKING STATEMENT</w:t>
      </w:r>
      <w:r>
        <w:rPr>
          <w:b/>
          <w:bCs/>
          <w:sz w:val="20"/>
          <w:szCs w:val="20"/>
        </w:rPr>
        <w:t>S</w:t>
      </w:r>
    </w:p>
    <w:p w:rsidR="00000000" w:rsidRDefault="002D33E3">
      <w:pPr>
        <w:pStyle w:val="a3"/>
        <w:spacing w:before="240" w:beforeAutospacing="0" w:after="0" w:afterAutospacing="0"/>
        <w:ind w:firstLine="555"/>
        <w:rPr>
          <w:sz w:val="20"/>
          <w:szCs w:val="20"/>
        </w:rPr>
      </w:pPr>
      <w:r>
        <w:rPr>
          <w:sz w:val="20"/>
          <w:szCs w:val="20"/>
        </w:rPr>
        <w:t>This Quarterly Report on Form 10-Q contains “forward-looking statements” within the meaning of Section 27A of the Securities Act of 1933, as amended, or th</w:t>
      </w:r>
      <w:r>
        <w:rPr>
          <w:sz w:val="20"/>
          <w:szCs w:val="20"/>
        </w:rPr>
        <w:t>e Securities Act, and Section 21E of the Securities Exchange Act of 1934, as amended, or the Exchange Act. These forward-looking statements relate to matters such as our industry, business strategy, goals and expectations concerning our market position, fu</w:t>
      </w:r>
      <w:r>
        <w:rPr>
          <w:sz w:val="20"/>
          <w:szCs w:val="20"/>
        </w:rPr>
        <w:t>ture operations, margins, profitability, capital expenditures, liquidity, capital resources and other financial and operating information. We use words such as “anticipate,” “assume,” “believe,” “contemplate,” “continue,” “could,” “estimate,” “expect,” “fu</w:t>
      </w:r>
      <w:r>
        <w:rPr>
          <w:sz w:val="20"/>
          <w:szCs w:val="20"/>
        </w:rPr>
        <w:t>ture,” “intend,” “may,” “plan,” “position,” “potential,” “predict,” “project,” “seek,” “should,” “target,” “will” and similar terms and phrases to identify forward-looking statements in this filing. All of our forward-looking statements are subject to risk</w:t>
      </w:r>
      <w:r>
        <w:rPr>
          <w:sz w:val="20"/>
          <w:szCs w:val="20"/>
        </w:rPr>
        <w:t>s and uncertainties that may cause actual results to differ materially from those that we are expecting, including</w:t>
      </w:r>
      <w:r>
        <w:rPr>
          <w:sz w:val="20"/>
          <w:szCs w:val="20"/>
        </w:rPr>
        <w:t>:</w:t>
      </w:r>
    </w:p>
    <w:p w:rsidR="00000000" w:rsidRDefault="002D33E3">
      <w:pPr>
        <w:divId w:val="1361970630"/>
        <w:rPr>
          <w:rFonts w:eastAsia="Times New Roman"/>
        </w:rPr>
      </w:pPr>
      <w:r>
        <w:rPr>
          <w:rFonts w:eastAsia="Times New Roman"/>
          <w:sz w:val="20"/>
          <w:szCs w:val="20"/>
        </w:rPr>
        <w:t>•</w:t>
      </w:r>
    </w:p>
    <w:p w:rsidR="00000000" w:rsidRDefault="002D33E3">
      <w:pPr>
        <w:divId w:val="1016426506"/>
        <w:rPr>
          <w:rFonts w:eastAsia="Times New Roman"/>
        </w:rPr>
      </w:pPr>
      <w:r>
        <w:rPr>
          <w:rFonts w:eastAsia="Times New Roman"/>
          <w:sz w:val="20"/>
          <w:szCs w:val="20"/>
        </w:rPr>
        <w:t>our limited operating history</w:t>
      </w:r>
      <w:r>
        <w:rPr>
          <w:rFonts w:eastAsia="Times New Roman"/>
          <w:sz w:val="20"/>
          <w:szCs w:val="20"/>
        </w:rPr>
        <w:t>;</w:t>
      </w:r>
    </w:p>
    <w:p w:rsidR="00000000" w:rsidRDefault="002D33E3">
      <w:pPr>
        <w:divId w:val="33777696"/>
        <w:rPr>
          <w:rFonts w:eastAsia="Times New Roman"/>
        </w:rPr>
      </w:pPr>
      <w:r>
        <w:rPr>
          <w:rFonts w:eastAsia="Times New Roman"/>
          <w:sz w:val="20"/>
          <w:szCs w:val="20"/>
        </w:rPr>
        <w:t>•</w:t>
      </w:r>
    </w:p>
    <w:p w:rsidR="00000000" w:rsidRDefault="002D33E3">
      <w:pPr>
        <w:divId w:val="2088336119"/>
        <w:rPr>
          <w:rFonts w:eastAsia="Times New Roman"/>
        </w:rPr>
      </w:pPr>
      <w:r>
        <w:rPr>
          <w:rFonts w:eastAsia="Times New Roman"/>
          <w:sz w:val="20"/>
          <w:szCs w:val="20"/>
        </w:rPr>
        <w:t>our history of losses and ability to achieve profitability;</w:t>
      </w:r>
      <w:r>
        <w:rPr>
          <w:rFonts w:eastAsia="Times New Roman"/>
          <w:sz w:val="20"/>
          <w:szCs w:val="20"/>
        </w:rPr>
        <w:t xml:space="preserve"> </w:t>
      </w:r>
    </w:p>
    <w:p w:rsidR="00000000" w:rsidRDefault="002D33E3">
      <w:pPr>
        <w:divId w:val="489560949"/>
        <w:rPr>
          <w:rFonts w:eastAsia="Times New Roman"/>
        </w:rPr>
      </w:pPr>
      <w:r>
        <w:rPr>
          <w:rFonts w:eastAsia="Times New Roman"/>
          <w:sz w:val="20"/>
          <w:szCs w:val="20"/>
        </w:rPr>
        <w:t>•</w:t>
      </w:r>
    </w:p>
    <w:p w:rsidR="00000000" w:rsidRDefault="002D33E3">
      <w:pPr>
        <w:divId w:val="820925607"/>
        <w:rPr>
          <w:rFonts w:eastAsia="Times New Roman"/>
        </w:rPr>
      </w:pPr>
      <w:r>
        <w:rPr>
          <w:rFonts w:eastAsia="Times New Roman"/>
          <w:sz w:val="20"/>
          <w:szCs w:val="20"/>
        </w:rPr>
        <w:t>general global economic, business and other conditions, the cyclical nature of our industry and the significant fluctuations in events that impact our business</w:t>
      </w:r>
      <w:r>
        <w:rPr>
          <w:rFonts w:eastAsia="Times New Roman"/>
          <w:sz w:val="20"/>
          <w:szCs w:val="20"/>
        </w:rPr>
        <w:t>;</w:t>
      </w:r>
    </w:p>
    <w:p w:rsidR="00000000" w:rsidRDefault="002D33E3">
      <w:pPr>
        <w:divId w:val="574046688"/>
        <w:rPr>
          <w:rFonts w:eastAsia="Times New Roman"/>
        </w:rPr>
      </w:pPr>
      <w:r>
        <w:rPr>
          <w:rFonts w:eastAsia="Times New Roman"/>
          <w:sz w:val="20"/>
          <w:szCs w:val="20"/>
        </w:rPr>
        <w:t>•</w:t>
      </w:r>
    </w:p>
    <w:p w:rsidR="00000000" w:rsidRDefault="002D33E3">
      <w:pPr>
        <w:divId w:val="1952399442"/>
        <w:rPr>
          <w:rFonts w:eastAsia="Times New Roman"/>
        </w:rPr>
      </w:pPr>
      <w:r>
        <w:rPr>
          <w:rFonts w:eastAsia="Times New Roman"/>
          <w:sz w:val="20"/>
          <w:szCs w:val="20"/>
        </w:rPr>
        <w:t>the impact of the COVID-19 pan</w:t>
      </w:r>
      <w:r>
        <w:rPr>
          <w:rFonts w:eastAsia="Times New Roman"/>
          <w:sz w:val="20"/>
          <w:szCs w:val="20"/>
        </w:rPr>
        <w:t>demic on our business operations and on local, national and global economies</w:t>
      </w:r>
      <w:r>
        <w:rPr>
          <w:rFonts w:eastAsia="Times New Roman"/>
          <w:sz w:val="20"/>
          <w:szCs w:val="20"/>
        </w:rPr>
        <w:t>;</w:t>
      </w:r>
    </w:p>
    <w:p w:rsidR="00000000" w:rsidRDefault="002D33E3">
      <w:pPr>
        <w:divId w:val="354766911"/>
        <w:rPr>
          <w:rFonts w:eastAsia="Times New Roman"/>
        </w:rPr>
      </w:pPr>
      <w:r>
        <w:rPr>
          <w:rFonts w:eastAsia="Times New Roman"/>
          <w:sz w:val="20"/>
          <w:szCs w:val="20"/>
        </w:rPr>
        <w:t>•</w:t>
      </w:r>
    </w:p>
    <w:p w:rsidR="00000000" w:rsidRDefault="002D33E3">
      <w:pPr>
        <w:divId w:val="1433821481"/>
        <w:rPr>
          <w:rFonts w:eastAsia="Times New Roman"/>
        </w:rPr>
      </w:pPr>
      <w:r>
        <w:rPr>
          <w:rFonts w:eastAsia="Times New Roman"/>
          <w:sz w:val="20"/>
          <w:szCs w:val="20"/>
        </w:rPr>
        <w:t>the parts of our business that depend on difficult to predict natural or manmade events and the fluctuations in our revenue and customer concentration as a result thereof</w:t>
      </w:r>
      <w:r>
        <w:rPr>
          <w:rFonts w:eastAsia="Times New Roman"/>
          <w:sz w:val="20"/>
          <w:szCs w:val="20"/>
        </w:rPr>
        <w:t>;</w:t>
      </w:r>
    </w:p>
    <w:p w:rsidR="00000000" w:rsidRDefault="002D33E3">
      <w:pPr>
        <w:divId w:val="380790705"/>
        <w:rPr>
          <w:rFonts w:eastAsia="Times New Roman"/>
        </w:rPr>
      </w:pPr>
      <w:r>
        <w:rPr>
          <w:rFonts w:eastAsia="Times New Roman"/>
          <w:sz w:val="20"/>
          <w:szCs w:val="20"/>
        </w:rPr>
        <w:t>•</w:t>
      </w:r>
    </w:p>
    <w:p w:rsidR="00000000" w:rsidRDefault="002D33E3">
      <w:pPr>
        <w:divId w:val="261499057"/>
        <w:rPr>
          <w:rFonts w:eastAsia="Times New Roman"/>
        </w:rPr>
      </w:pPr>
      <w:r>
        <w:rPr>
          <w:rFonts w:eastAsia="Times New Roman"/>
          <w:sz w:val="20"/>
          <w:szCs w:val="20"/>
        </w:rPr>
        <w:t>th</w:t>
      </w:r>
      <w:r>
        <w:rPr>
          <w:rFonts w:eastAsia="Times New Roman"/>
          <w:sz w:val="20"/>
          <w:szCs w:val="20"/>
        </w:rPr>
        <w:t>e highly competitive nature of our business</w:t>
      </w:r>
      <w:r>
        <w:rPr>
          <w:rFonts w:eastAsia="Times New Roman"/>
          <w:sz w:val="20"/>
          <w:szCs w:val="20"/>
        </w:rPr>
        <w:t>;</w:t>
      </w:r>
    </w:p>
    <w:p w:rsidR="00000000" w:rsidRDefault="002D33E3">
      <w:pPr>
        <w:divId w:val="478302466"/>
        <w:rPr>
          <w:rFonts w:eastAsia="Times New Roman"/>
        </w:rPr>
      </w:pPr>
      <w:r>
        <w:rPr>
          <w:rFonts w:eastAsia="Times New Roman"/>
          <w:sz w:val="20"/>
          <w:szCs w:val="20"/>
        </w:rPr>
        <w:t>•</w:t>
      </w:r>
    </w:p>
    <w:p w:rsidR="00000000" w:rsidRDefault="002D33E3">
      <w:pPr>
        <w:divId w:val="167251823"/>
        <w:rPr>
          <w:rFonts w:eastAsia="Times New Roman"/>
        </w:rPr>
      </w:pPr>
      <w:r>
        <w:rPr>
          <w:rFonts w:eastAsia="Times New Roman"/>
          <w:sz w:val="20"/>
          <w:szCs w:val="20"/>
        </w:rPr>
        <w:t>our ability to execute on our acquisition strategy and successfully integrate and realize benefits of our acquisitions</w:t>
      </w:r>
      <w:r>
        <w:rPr>
          <w:rFonts w:eastAsia="Times New Roman"/>
          <w:sz w:val="20"/>
          <w:szCs w:val="20"/>
        </w:rPr>
        <w:t>;</w:t>
      </w:r>
    </w:p>
    <w:p w:rsidR="00000000" w:rsidRDefault="002D33E3">
      <w:pPr>
        <w:divId w:val="1050804254"/>
        <w:rPr>
          <w:rFonts w:eastAsia="Times New Roman"/>
        </w:rPr>
      </w:pPr>
      <w:r>
        <w:rPr>
          <w:rFonts w:eastAsia="Times New Roman"/>
          <w:sz w:val="20"/>
          <w:szCs w:val="20"/>
        </w:rPr>
        <w:t>•</w:t>
      </w:r>
    </w:p>
    <w:p w:rsidR="00000000" w:rsidRDefault="002D33E3">
      <w:pPr>
        <w:divId w:val="1655446902"/>
        <w:rPr>
          <w:rFonts w:eastAsia="Times New Roman"/>
        </w:rPr>
      </w:pPr>
      <w:r>
        <w:rPr>
          <w:rFonts w:eastAsia="Times New Roman"/>
          <w:sz w:val="20"/>
          <w:szCs w:val="20"/>
        </w:rPr>
        <w:t>our ability to promote and develop our brands</w:t>
      </w:r>
      <w:r>
        <w:rPr>
          <w:rFonts w:eastAsia="Times New Roman"/>
          <w:sz w:val="20"/>
          <w:szCs w:val="20"/>
        </w:rPr>
        <w:t>;</w:t>
      </w:r>
    </w:p>
    <w:p w:rsidR="00000000" w:rsidRDefault="002D33E3">
      <w:pPr>
        <w:divId w:val="1392578992"/>
        <w:rPr>
          <w:rFonts w:eastAsia="Times New Roman"/>
        </w:rPr>
      </w:pPr>
      <w:r>
        <w:rPr>
          <w:rFonts w:eastAsia="Times New Roman"/>
          <w:sz w:val="20"/>
          <w:szCs w:val="20"/>
        </w:rPr>
        <w:t>•</w:t>
      </w:r>
    </w:p>
    <w:p w:rsidR="00000000" w:rsidRDefault="002D33E3">
      <w:pPr>
        <w:divId w:val="2014607360"/>
        <w:rPr>
          <w:rFonts w:eastAsia="Times New Roman"/>
        </w:rPr>
      </w:pPr>
      <w:r>
        <w:rPr>
          <w:rFonts w:eastAsia="Times New Roman"/>
          <w:sz w:val="20"/>
          <w:szCs w:val="20"/>
        </w:rPr>
        <w:t>our ability to maintain and expand our</w:t>
      </w:r>
      <w:r>
        <w:rPr>
          <w:rFonts w:eastAsia="Times New Roman"/>
          <w:sz w:val="20"/>
          <w:szCs w:val="20"/>
        </w:rPr>
        <w:t xml:space="preserve"> client base</w:t>
      </w:r>
      <w:r>
        <w:rPr>
          <w:rFonts w:eastAsia="Times New Roman"/>
          <w:sz w:val="20"/>
          <w:szCs w:val="20"/>
        </w:rPr>
        <w:t>;</w:t>
      </w:r>
    </w:p>
    <w:p w:rsidR="00000000" w:rsidRDefault="002D33E3">
      <w:pPr>
        <w:divId w:val="769741291"/>
        <w:rPr>
          <w:rFonts w:eastAsia="Times New Roman"/>
        </w:rPr>
      </w:pPr>
      <w:r>
        <w:rPr>
          <w:rFonts w:eastAsia="Times New Roman"/>
          <w:sz w:val="20"/>
          <w:szCs w:val="20"/>
        </w:rPr>
        <w:t>•</w:t>
      </w:r>
    </w:p>
    <w:p w:rsidR="00000000" w:rsidRDefault="002D33E3">
      <w:pPr>
        <w:divId w:val="744573061"/>
        <w:rPr>
          <w:rFonts w:eastAsia="Times New Roman"/>
        </w:rPr>
      </w:pPr>
      <w:r>
        <w:rPr>
          <w:rFonts w:eastAsia="Times New Roman"/>
          <w:sz w:val="20"/>
          <w:szCs w:val="20"/>
        </w:rPr>
        <w:t>our ability to maintain necessary accreditations and other authorizations in varying jurisdictions</w:t>
      </w:r>
      <w:r>
        <w:rPr>
          <w:rFonts w:eastAsia="Times New Roman"/>
          <w:sz w:val="20"/>
          <w:szCs w:val="20"/>
        </w:rPr>
        <w:t>;</w:t>
      </w:r>
    </w:p>
    <w:p w:rsidR="00000000" w:rsidRDefault="002D33E3">
      <w:pPr>
        <w:divId w:val="1173372682"/>
        <w:rPr>
          <w:rFonts w:eastAsia="Times New Roman"/>
        </w:rPr>
      </w:pPr>
      <w:r>
        <w:rPr>
          <w:rFonts w:eastAsia="Times New Roman"/>
          <w:sz w:val="20"/>
          <w:szCs w:val="20"/>
        </w:rPr>
        <w:t>•</w:t>
      </w:r>
    </w:p>
    <w:p w:rsidR="00000000" w:rsidRDefault="002D33E3">
      <w:pPr>
        <w:divId w:val="1119493094"/>
        <w:rPr>
          <w:rFonts w:eastAsia="Times New Roman"/>
        </w:rPr>
      </w:pPr>
      <w:r>
        <w:rPr>
          <w:rFonts w:eastAsia="Times New Roman"/>
          <w:sz w:val="20"/>
          <w:szCs w:val="20"/>
        </w:rPr>
        <w:t>significant environmental governmental regulation</w:t>
      </w:r>
      <w:r>
        <w:rPr>
          <w:rFonts w:eastAsia="Times New Roman"/>
          <w:sz w:val="20"/>
          <w:szCs w:val="20"/>
        </w:rPr>
        <w:t>;</w:t>
      </w:r>
    </w:p>
    <w:p w:rsidR="00000000" w:rsidRDefault="002D33E3">
      <w:pPr>
        <w:divId w:val="934359949"/>
        <w:rPr>
          <w:rFonts w:eastAsia="Times New Roman"/>
        </w:rPr>
      </w:pPr>
      <w:r>
        <w:rPr>
          <w:rFonts w:eastAsia="Times New Roman"/>
          <w:sz w:val="20"/>
          <w:szCs w:val="20"/>
        </w:rPr>
        <w:t>•</w:t>
      </w:r>
    </w:p>
    <w:p w:rsidR="00000000" w:rsidRDefault="002D33E3">
      <w:pPr>
        <w:divId w:val="2084060189"/>
        <w:rPr>
          <w:rFonts w:eastAsia="Times New Roman"/>
        </w:rPr>
      </w:pPr>
      <w:r>
        <w:rPr>
          <w:rFonts w:eastAsia="Times New Roman"/>
          <w:sz w:val="20"/>
          <w:szCs w:val="20"/>
        </w:rPr>
        <w:t>our ability to attract and retain qualified managerial and skilled technical personne</w:t>
      </w:r>
      <w:r>
        <w:rPr>
          <w:rFonts w:eastAsia="Times New Roman"/>
          <w:sz w:val="20"/>
          <w:szCs w:val="20"/>
        </w:rPr>
        <w:t>l</w:t>
      </w:r>
      <w:r>
        <w:rPr>
          <w:rFonts w:eastAsia="Times New Roman"/>
          <w:sz w:val="20"/>
          <w:szCs w:val="20"/>
        </w:rPr>
        <w:t>;</w:t>
      </w:r>
    </w:p>
    <w:p w:rsidR="00000000" w:rsidRDefault="002D33E3">
      <w:pPr>
        <w:divId w:val="601842392"/>
        <w:rPr>
          <w:rFonts w:eastAsia="Times New Roman"/>
        </w:rPr>
      </w:pPr>
      <w:r>
        <w:rPr>
          <w:rFonts w:eastAsia="Times New Roman"/>
          <w:sz w:val="20"/>
          <w:szCs w:val="20"/>
        </w:rPr>
        <w:t>•</w:t>
      </w:r>
    </w:p>
    <w:p w:rsidR="00000000" w:rsidRDefault="002D33E3">
      <w:pPr>
        <w:divId w:val="842669853"/>
        <w:rPr>
          <w:rFonts w:eastAsia="Times New Roman"/>
        </w:rPr>
      </w:pPr>
      <w:r>
        <w:rPr>
          <w:rFonts w:eastAsia="Times New Roman"/>
          <w:sz w:val="20"/>
          <w:szCs w:val="20"/>
        </w:rPr>
        <w:t>safety-related issues</w:t>
      </w:r>
      <w:r>
        <w:rPr>
          <w:rFonts w:eastAsia="Times New Roman"/>
          <w:sz w:val="20"/>
          <w:szCs w:val="20"/>
        </w:rPr>
        <w:t>;</w:t>
      </w:r>
    </w:p>
    <w:p w:rsidR="00000000" w:rsidRDefault="002D33E3">
      <w:pPr>
        <w:divId w:val="1752121633"/>
        <w:rPr>
          <w:rFonts w:eastAsia="Times New Roman"/>
        </w:rPr>
      </w:pPr>
      <w:r>
        <w:rPr>
          <w:rFonts w:eastAsia="Times New Roman"/>
          <w:sz w:val="20"/>
          <w:szCs w:val="20"/>
        </w:rPr>
        <w:t>•</w:t>
      </w:r>
    </w:p>
    <w:p w:rsidR="00000000" w:rsidRDefault="002D33E3">
      <w:pPr>
        <w:divId w:val="589123429"/>
        <w:rPr>
          <w:rFonts w:eastAsia="Times New Roman"/>
        </w:rPr>
      </w:pPr>
      <w:r>
        <w:rPr>
          <w:rFonts w:eastAsia="Times New Roman"/>
          <w:sz w:val="20"/>
          <w:szCs w:val="20"/>
        </w:rPr>
        <w:t>allegations regarding compliance with professional standards, duties and statutory obligations and our ability to provide accurate results</w:t>
      </w:r>
      <w:r>
        <w:rPr>
          <w:rFonts w:eastAsia="Times New Roman"/>
          <w:sz w:val="20"/>
          <w:szCs w:val="20"/>
        </w:rPr>
        <w:t>;</w:t>
      </w:r>
    </w:p>
    <w:p w:rsidR="00000000" w:rsidRDefault="002D33E3">
      <w:pPr>
        <w:divId w:val="923958695"/>
        <w:rPr>
          <w:rFonts w:eastAsia="Times New Roman"/>
        </w:rPr>
      </w:pPr>
      <w:r>
        <w:rPr>
          <w:rFonts w:eastAsia="Times New Roman"/>
          <w:sz w:val="20"/>
          <w:szCs w:val="20"/>
        </w:rPr>
        <w:t>•</w:t>
      </w:r>
    </w:p>
    <w:p w:rsidR="00000000" w:rsidRDefault="002D33E3">
      <w:pPr>
        <w:divId w:val="619380747"/>
        <w:rPr>
          <w:rFonts w:eastAsia="Times New Roman"/>
        </w:rPr>
      </w:pPr>
      <w:r>
        <w:rPr>
          <w:rFonts w:eastAsia="Times New Roman"/>
          <w:sz w:val="20"/>
          <w:szCs w:val="20"/>
        </w:rPr>
        <w:t>the lack of formal long-term agreements with many of our clients</w:t>
      </w:r>
      <w:r>
        <w:rPr>
          <w:rFonts w:eastAsia="Times New Roman"/>
          <w:sz w:val="20"/>
          <w:szCs w:val="20"/>
        </w:rPr>
        <w:t>;</w:t>
      </w:r>
    </w:p>
    <w:p w:rsidR="00000000" w:rsidRDefault="002D33E3">
      <w:pPr>
        <w:divId w:val="2031102268"/>
        <w:rPr>
          <w:rFonts w:eastAsia="Times New Roman"/>
        </w:rPr>
      </w:pPr>
      <w:r>
        <w:rPr>
          <w:rFonts w:eastAsia="Times New Roman"/>
          <w:sz w:val="20"/>
          <w:szCs w:val="20"/>
        </w:rPr>
        <w:t>•</w:t>
      </w:r>
    </w:p>
    <w:p w:rsidR="00000000" w:rsidRDefault="002D33E3">
      <w:pPr>
        <w:divId w:val="609431855"/>
        <w:rPr>
          <w:rFonts w:eastAsia="Times New Roman"/>
        </w:rPr>
      </w:pPr>
      <w:r>
        <w:rPr>
          <w:rFonts w:eastAsia="Times New Roman"/>
          <w:sz w:val="20"/>
          <w:szCs w:val="20"/>
        </w:rPr>
        <w:t>our ability to a</w:t>
      </w:r>
      <w:r>
        <w:rPr>
          <w:rFonts w:eastAsia="Times New Roman"/>
          <w:sz w:val="20"/>
          <w:szCs w:val="20"/>
        </w:rPr>
        <w:t>dapt to changing technology, industry standards or regulatory requirements</w:t>
      </w:r>
      <w:r>
        <w:rPr>
          <w:rFonts w:eastAsia="Times New Roman"/>
          <w:sz w:val="20"/>
          <w:szCs w:val="20"/>
        </w:rPr>
        <w:t>;</w:t>
      </w:r>
    </w:p>
    <w:p w:rsidR="00000000" w:rsidRDefault="002D33E3">
      <w:pPr>
        <w:divId w:val="668141492"/>
        <w:rPr>
          <w:rFonts w:eastAsia="Times New Roman"/>
        </w:rPr>
      </w:pPr>
      <w:r>
        <w:rPr>
          <w:rFonts w:eastAsia="Times New Roman"/>
          <w:sz w:val="20"/>
          <w:szCs w:val="20"/>
        </w:rPr>
        <w:t>•</w:t>
      </w:r>
    </w:p>
    <w:p w:rsidR="00000000" w:rsidRDefault="002D33E3">
      <w:pPr>
        <w:divId w:val="69274432"/>
        <w:rPr>
          <w:rFonts w:eastAsia="Times New Roman"/>
        </w:rPr>
      </w:pPr>
      <w:r>
        <w:rPr>
          <w:rFonts w:eastAsia="Times New Roman"/>
          <w:sz w:val="20"/>
          <w:szCs w:val="20"/>
        </w:rPr>
        <w:t>government clients and contracts</w:t>
      </w:r>
      <w:r>
        <w:rPr>
          <w:rFonts w:eastAsia="Times New Roman"/>
          <w:sz w:val="20"/>
          <w:szCs w:val="20"/>
        </w:rPr>
        <w:t>;</w:t>
      </w:r>
    </w:p>
    <w:p w:rsidR="00000000" w:rsidRDefault="002D33E3">
      <w:pPr>
        <w:divId w:val="1366297934"/>
        <w:rPr>
          <w:rFonts w:eastAsia="Times New Roman"/>
        </w:rPr>
      </w:pPr>
      <w:r>
        <w:rPr>
          <w:rFonts w:eastAsia="Times New Roman"/>
          <w:sz w:val="20"/>
          <w:szCs w:val="20"/>
        </w:rPr>
        <w:t>•</w:t>
      </w:r>
    </w:p>
    <w:p w:rsidR="00000000" w:rsidRDefault="002D33E3">
      <w:pPr>
        <w:divId w:val="561451732"/>
        <w:rPr>
          <w:rFonts w:eastAsia="Times New Roman"/>
        </w:rPr>
      </w:pPr>
      <w:r>
        <w:rPr>
          <w:rFonts w:eastAsia="Times New Roman"/>
          <w:sz w:val="20"/>
          <w:szCs w:val="20"/>
        </w:rPr>
        <w:t>our ability to maintain our prices and manage costs;</w:t>
      </w:r>
      <w:r>
        <w:rPr>
          <w:rFonts w:eastAsia="Times New Roman"/>
          <w:sz w:val="20"/>
          <w:szCs w:val="20"/>
        </w:rPr>
        <w:t xml:space="preserve"> </w:t>
      </w:r>
    </w:p>
    <w:p w:rsidR="00000000" w:rsidRDefault="002D33E3">
      <w:pPr>
        <w:divId w:val="1652978897"/>
        <w:rPr>
          <w:rFonts w:eastAsia="Times New Roman"/>
        </w:rPr>
      </w:pPr>
      <w:r>
        <w:rPr>
          <w:rFonts w:eastAsia="Times New Roman"/>
          <w:sz w:val="20"/>
          <w:szCs w:val="20"/>
        </w:rPr>
        <w:t>•</w:t>
      </w:r>
    </w:p>
    <w:p w:rsidR="00000000" w:rsidRDefault="002D33E3">
      <w:pPr>
        <w:divId w:val="1923953703"/>
        <w:rPr>
          <w:rFonts w:eastAsia="Times New Roman"/>
        </w:rPr>
      </w:pPr>
      <w:r>
        <w:rPr>
          <w:rFonts w:eastAsia="Times New Roman"/>
          <w:sz w:val="20"/>
          <w:szCs w:val="20"/>
        </w:rPr>
        <w:t>our ability to protect our intellectual property or claims that we infringe on the intellectual property rights of others</w:t>
      </w:r>
      <w:r>
        <w:rPr>
          <w:rFonts w:eastAsia="Times New Roman"/>
          <w:sz w:val="20"/>
          <w:szCs w:val="20"/>
        </w:rPr>
        <w:t>;</w:t>
      </w:r>
    </w:p>
    <w:p w:rsidR="00000000" w:rsidRDefault="002D33E3">
      <w:pPr>
        <w:divId w:val="1815290691"/>
        <w:rPr>
          <w:rFonts w:eastAsia="Times New Roman"/>
        </w:rPr>
      </w:pPr>
      <w:r>
        <w:rPr>
          <w:rFonts w:eastAsia="Times New Roman"/>
          <w:sz w:val="20"/>
          <w:szCs w:val="20"/>
        </w:rPr>
        <w:t>•</w:t>
      </w:r>
    </w:p>
    <w:p w:rsidR="00000000" w:rsidRDefault="002D33E3">
      <w:pPr>
        <w:divId w:val="377437795"/>
        <w:rPr>
          <w:rFonts w:eastAsia="Times New Roman"/>
        </w:rPr>
      </w:pPr>
      <w:r>
        <w:rPr>
          <w:rFonts w:eastAsia="Times New Roman"/>
          <w:sz w:val="20"/>
          <w:szCs w:val="20"/>
        </w:rPr>
        <w:t>laws and regulations regarding handling of confidential information</w:t>
      </w:r>
      <w:r>
        <w:rPr>
          <w:rFonts w:eastAsia="Times New Roman"/>
          <w:sz w:val="20"/>
          <w:szCs w:val="20"/>
        </w:rPr>
        <w:t>;</w:t>
      </w:r>
    </w:p>
    <w:p w:rsidR="00000000" w:rsidRDefault="002D33E3">
      <w:pPr>
        <w:divId w:val="909386414"/>
        <w:rPr>
          <w:rFonts w:eastAsia="Times New Roman"/>
        </w:rPr>
      </w:pPr>
      <w:r>
        <w:rPr>
          <w:rFonts w:eastAsia="Times New Roman"/>
          <w:sz w:val="20"/>
          <w:szCs w:val="20"/>
        </w:rPr>
        <w:t>•</w:t>
      </w:r>
    </w:p>
    <w:p w:rsidR="00000000" w:rsidRDefault="002D33E3">
      <w:pPr>
        <w:divId w:val="1217661063"/>
        <w:rPr>
          <w:rFonts w:eastAsia="Times New Roman"/>
        </w:rPr>
      </w:pPr>
      <w:r>
        <w:rPr>
          <w:rFonts w:eastAsia="Times New Roman"/>
          <w:sz w:val="20"/>
          <w:szCs w:val="20"/>
        </w:rPr>
        <w:t>any failure in or breach of our networks and systems</w:t>
      </w:r>
      <w:r>
        <w:rPr>
          <w:rFonts w:eastAsia="Times New Roman"/>
          <w:sz w:val="20"/>
          <w:szCs w:val="20"/>
        </w:rPr>
        <w:t>;</w:t>
      </w:r>
    </w:p>
    <w:p w:rsidR="00000000" w:rsidRDefault="002D33E3">
      <w:pPr>
        <w:divId w:val="309402165"/>
        <w:rPr>
          <w:rFonts w:eastAsia="Times New Roman"/>
        </w:rPr>
      </w:pPr>
      <w:r>
        <w:rPr>
          <w:rFonts w:eastAsia="Times New Roman"/>
          <w:sz w:val="20"/>
          <w:szCs w:val="20"/>
        </w:rPr>
        <w:t>•</w:t>
      </w:r>
    </w:p>
    <w:p w:rsidR="00000000" w:rsidRDefault="002D33E3">
      <w:pPr>
        <w:divId w:val="1958171207"/>
        <w:rPr>
          <w:rFonts w:eastAsia="Times New Roman"/>
        </w:rPr>
      </w:pPr>
      <w:r>
        <w:rPr>
          <w:rFonts w:eastAsia="Times New Roman"/>
          <w:sz w:val="20"/>
          <w:szCs w:val="20"/>
        </w:rPr>
        <w:t>our international operations</w:t>
      </w:r>
      <w:r>
        <w:rPr>
          <w:rFonts w:eastAsia="Times New Roman"/>
          <w:sz w:val="20"/>
          <w:szCs w:val="20"/>
        </w:rPr>
        <w:t>;</w:t>
      </w:r>
    </w:p>
    <w:p w:rsidR="00000000" w:rsidRDefault="002D33E3">
      <w:pPr>
        <w:divId w:val="1089037648"/>
        <w:rPr>
          <w:rFonts w:eastAsia="Times New Roman"/>
        </w:rPr>
      </w:pPr>
      <w:r>
        <w:rPr>
          <w:rFonts w:eastAsia="Times New Roman"/>
          <w:sz w:val="20"/>
          <w:szCs w:val="20"/>
        </w:rPr>
        <w:t>•</w:t>
      </w:r>
    </w:p>
    <w:p w:rsidR="00000000" w:rsidRDefault="002D33E3">
      <w:pPr>
        <w:divId w:val="1840805624"/>
        <w:rPr>
          <w:rFonts w:eastAsia="Times New Roman"/>
        </w:rPr>
      </w:pPr>
      <w:r>
        <w:rPr>
          <w:rFonts w:eastAsia="Times New Roman"/>
          <w:sz w:val="20"/>
          <w:szCs w:val="20"/>
        </w:rPr>
        <w:t>product related risks</w:t>
      </w:r>
      <w:r>
        <w:rPr>
          <w:rFonts w:eastAsia="Times New Roman"/>
          <w:sz w:val="20"/>
          <w:szCs w:val="20"/>
        </w:rPr>
        <w:t>;</w:t>
      </w:r>
    </w:p>
    <w:p w:rsidR="00000000" w:rsidRDefault="002D33E3">
      <w:pPr>
        <w:divId w:val="59377261"/>
        <w:rPr>
          <w:rFonts w:eastAsia="Times New Roman"/>
        </w:rPr>
      </w:pPr>
      <w:r>
        <w:rPr>
          <w:rFonts w:eastAsia="Times New Roman"/>
          <w:sz w:val="20"/>
          <w:szCs w:val="20"/>
        </w:rPr>
        <w:t>•</w:t>
      </w:r>
    </w:p>
    <w:p w:rsidR="00000000" w:rsidRDefault="002D33E3">
      <w:pPr>
        <w:divId w:val="1616790883"/>
        <w:rPr>
          <w:rFonts w:eastAsia="Times New Roman"/>
        </w:rPr>
      </w:pPr>
      <w:r>
        <w:rPr>
          <w:rFonts w:eastAsia="Times New Roman"/>
          <w:sz w:val="20"/>
          <w:szCs w:val="20"/>
        </w:rPr>
        <w:t>environmental regulations and liabilities; an</w:t>
      </w:r>
      <w:r>
        <w:rPr>
          <w:rFonts w:eastAsia="Times New Roman"/>
          <w:sz w:val="20"/>
          <w:szCs w:val="20"/>
        </w:rPr>
        <w:t>d</w:t>
      </w:r>
    </w:p>
    <w:p w:rsidR="00000000" w:rsidRDefault="002D33E3">
      <w:pPr>
        <w:divId w:val="291136991"/>
        <w:rPr>
          <w:rFonts w:eastAsia="Times New Roman"/>
        </w:rPr>
      </w:pPr>
      <w:r>
        <w:rPr>
          <w:rFonts w:eastAsia="Times New Roman"/>
          <w:sz w:val="20"/>
          <w:szCs w:val="20"/>
        </w:rPr>
        <w:t>•</w:t>
      </w:r>
    </w:p>
    <w:p w:rsidR="00000000" w:rsidRDefault="002D33E3">
      <w:pPr>
        <w:divId w:val="2101246361"/>
        <w:rPr>
          <w:rFonts w:eastAsia="Times New Roman"/>
        </w:rPr>
      </w:pPr>
      <w:r>
        <w:rPr>
          <w:rFonts w:eastAsia="Times New Roman"/>
          <w:sz w:val="20"/>
          <w:szCs w:val="20"/>
        </w:rPr>
        <w:t>additional factors discussed in our filings with the Securities and Exchange Commission, or the SEC</w:t>
      </w:r>
      <w:r>
        <w:rPr>
          <w:rFonts w:eastAsia="Times New Roman"/>
          <w:sz w:val="20"/>
          <w:szCs w:val="20"/>
        </w:rPr>
        <w:t>.</w:t>
      </w:r>
    </w:p>
    <w:p w:rsidR="00000000" w:rsidRDefault="002D33E3">
      <w:pPr>
        <w:pStyle w:val="a3"/>
        <w:spacing w:before="240" w:beforeAutospacing="0" w:after="0" w:afterAutospacing="0"/>
        <w:jc w:val="center"/>
        <w:rPr>
          <w:sz w:val="20"/>
          <w:szCs w:val="20"/>
        </w:rPr>
      </w:pPr>
      <w:r>
        <w:rPr>
          <w:sz w:val="20"/>
          <w:szCs w:val="20"/>
        </w:rPr>
        <w:t>2</w:t>
      </w:r>
      <w:r>
        <w:rPr>
          <w:sz w:val="20"/>
          <w:szCs w:val="20"/>
        </w:rPr>
        <w:t>7</w:t>
      </w:r>
    </w:p>
    <w:p w:rsidR="00000000" w:rsidRDefault="002D33E3">
      <w:pPr>
        <w:rPr>
          <w:rFonts w:eastAsia="Times New Roman"/>
        </w:rPr>
      </w:pPr>
      <w:r>
        <w:rPr>
          <w:rFonts w:eastAsia="Times New Roman"/>
        </w:rPr>
        <w:pict>
          <v:rect id="_x0000_i1053"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ind w:firstLine="555"/>
        <w:rPr>
          <w:sz w:val="20"/>
          <w:szCs w:val="20"/>
        </w:rPr>
      </w:pPr>
      <w:r>
        <w:rPr>
          <w:sz w:val="20"/>
          <w:szCs w:val="20"/>
        </w:rPr>
        <w:t>The forw</w:t>
      </w:r>
      <w:r>
        <w:rPr>
          <w:sz w:val="20"/>
          <w:szCs w:val="20"/>
        </w:rPr>
        <w:t>ard-looking statements in this Quarterly Report on Form 10-Q are based on historical performance and management’s current plans, estimates and expectations in light of information currently available to us and are subject to uncertainty and changes in circ</w:t>
      </w:r>
      <w:r>
        <w:rPr>
          <w:sz w:val="20"/>
          <w:szCs w:val="20"/>
        </w:rPr>
        <w:t>umstances. There can be no assurance that future developments affecting us will be those that we have anticipated. Actual results or outcomes may differ materially from these expectations due to changes in global, regional or local political, economic, bus</w:t>
      </w:r>
      <w:r>
        <w:rPr>
          <w:sz w:val="20"/>
          <w:szCs w:val="20"/>
        </w:rPr>
        <w:t>iness, competitive, market, regulatory and other factors, many of which are beyond our control, as well as the other factors described in Item 1A. “Risk Factors” in our Annual Report on Form 10-K for the year ended December 31, 2021 filed with the SEC on M</w:t>
      </w:r>
      <w:r>
        <w:rPr>
          <w:sz w:val="20"/>
          <w:szCs w:val="20"/>
        </w:rPr>
        <w:t>arch 1, 2022, or the 2021 Form 10-K. Further, many of these factors are, and may continue to be, amplified by the COVID-19 pandemic</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 xml:space="preserve">Additional factors or events that could cause our actual results or outcomes to differ may also emerge from time to time, </w:t>
      </w:r>
      <w:r>
        <w:rPr>
          <w:sz w:val="20"/>
          <w:szCs w:val="20"/>
        </w:rPr>
        <w:t>and it is not possible for us to predict all of them. In addition, historical, current and forward-looking sustainability-related statements may be based on standards for measuring progress that are still developing, internal controls and processes that co</w:t>
      </w:r>
      <w:r>
        <w:rPr>
          <w:sz w:val="20"/>
          <w:szCs w:val="20"/>
        </w:rPr>
        <w:t>ntinue to evolve, and assumptions that are subject to change in the future. Should one or more of these risks or uncertainties materialize, or should any of our assumptions prove to be incorrect, our actual results or outcomes may vary in material respects</w:t>
      </w:r>
      <w:r>
        <w:rPr>
          <w:sz w:val="20"/>
          <w:szCs w:val="20"/>
        </w:rPr>
        <w:t xml:space="preserve"> from what we may have expressed or implied by any forward-looking statement and, therefore, you should not regard any forward-looking statement as a representation or warranty by us or any other person that we will successfully achieve the expectation, pl</w:t>
      </w:r>
      <w:r>
        <w:rPr>
          <w:sz w:val="20"/>
          <w:szCs w:val="20"/>
        </w:rPr>
        <w:t>an or objective expressed in such forward-looking statement in any specified time frame, or at all. We caution that you should not place undue reliance on any of our forward-looking statements. Any forward-looking statement made by us speaks only as of the</w:t>
      </w:r>
      <w:r>
        <w:rPr>
          <w:sz w:val="20"/>
          <w:szCs w:val="20"/>
        </w:rPr>
        <w:t xml:space="preserve"> date on which we make it. We undertake no obligation to publicly update any forward-looking statement, whether as a result of new information, future developments or otherwise, except as may be required by applicable securities laws</w:t>
      </w:r>
      <w:r>
        <w:rPr>
          <w:sz w:val="20"/>
          <w:szCs w:val="20"/>
        </w:rPr>
        <w:t>.</w: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jc w:val="center"/>
        <w:rPr>
          <w:sz w:val="20"/>
          <w:szCs w:val="20"/>
        </w:rPr>
      </w:pPr>
      <w:r>
        <w:rPr>
          <w:sz w:val="20"/>
          <w:szCs w:val="20"/>
        </w:rPr>
        <w:t>2</w:t>
      </w:r>
      <w:r>
        <w:rPr>
          <w:sz w:val="20"/>
          <w:szCs w:val="20"/>
        </w:rPr>
        <w:t>8</w:t>
      </w:r>
    </w:p>
    <w:p w:rsidR="00000000" w:rsidRDefault="002D33E3">
      <w:pPr>
        <w:rPr>
          <w:rFonts w:eastAsia="Times New Roman"/>
        </w:rPr>
      </w:pPr>
      <w:r>
        <w:rPr>
          <w:rFonts w:eastAsia="Times New Roman"/>
        </w:rPr>
        <w:pict>
          <v:rect id="_x0000_i1054"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Operations</w:t>
      </w:r>
      <w:r>
        <w:rPr>
          <w:b/>
          <w:bCs/>
          <w:sz w:val="20"/>
          <w:szCs w:val="20"/>
        </w:rPr>
        <w:t>.</w:t>
      </w:r>
    </w:p>
    <w:p w:rsidR="00000000" w:rsidRDefault="002D33E3">
      <w:pPr>
        <w:pStyle w:val="a3"/>
        <w:spacing w:before="120" w:beforeAutospacing="0" w:after="0" w:afterAutospacing="0"/>
        <w:ind w:firstLine="555"/>
        <w:rPr>
          <w:sz w:val="20"/>
          <w:szCs w:val="20"/>
        </w:rPr>
      </w:pPr>
      <w:r>
        <w:rPr>
          <w:i/>
          <w:iCs/>
          <w:sz w:val="20"/>
          <w:szCs w:val="20"/>
        </w:rPr>
        <w:t>The following discussion and analysis of our financial condition and results of operations should be read in conjunction wi</w:t>
      </w:r>
      <w:r>
        <w:rPr>
          <w:i/>
          <w:iCs/>
          <w:sz w:val="20"/>
          <w:szCs w:val="20"/>
        </w:rPr>
        <w:t xml:space="preserve">th our historical audited and unaudited consolidated financial statements and related notes and other information included elsewhere in this filing and our other filings with the SEC, including our unaudited condensed consolidated financial statements and </w:t>
      </w:r>
      <w:r>
        <w:rPr>
          <w:i/>
          <w:iCs/>
          <w:sz w:val="20"/>
          <w:szCs w:val="20"/>
        </w:rPr>
        <w:t>the accompanying notes as of and for the three months ended March 31, 2022 and March 31, 2021 included in Part I, Item 1. “Financial Statements” in this Quarterly Report on Form 10-Q. This discussion contains forward-looking statements that involve risks a</w:t>
      </w:r>
      <w:r>
        <w:rPr>
          <w:i/>
          <w:iCs/>
          <w:sz w:val="20"/>
          <w:szCs w:val="20"/>
        </w:rPr>
        <w:t>nd uncertainties. Our actual results could differ materially from such forward-looking statements. Factors that could cause or contribute to those differences include, but are not limited to, those identified below and those discussed in the section entitl</w:t>
      </w:r>
      <w:r>
        <w:rPr>
          <w:i/>
          <w:iCs/>
          <w:sz w:val="20"/>
          <w:szCs w:val="20"/>
        </w:rPr>
        <w:t>ed “Forward-Looking Statements”, and elsewhere in this filing and our other filings with the SEC, including in Item 1A. Risk Factors in the 2021 Form 10-K</w:t>
      </w:r>
      <w:r>
        <w:rPr>
          <w:i/>
          <w:iCs/>
          <w:sz w:val="20"/>
          <w:szCs w:val="20"/>
        </w:rPr>
        <w:t>.</w:t>
      </w:r>
      <w:r>
        <w:rPr>
          <w:i/>
          <w:iCs/>
          <w:sz w:val="20"/>
          <w:szCs w:val="20"/>
        </w:rPr>
        <w:t xml:space="preserve"> </w:t>
      </w:r>
    </w:p>
    <w:p w:rsidR="00000000" w:rsidRDefault="002D33E3">
      <w:pPr>
        <w:pStyle w:val="a3"/>
        <w:spacing w:before="360" w:beforeAutospacing="0" w:after="0" w:afterAutospacing="0"/>
        <w:rPr>
          <w:sz w:val="20"/>
          <w:szCs w:val="20"/>
        </w:rPr>
      </w:pPr>
      <w:r>
        <w:rPr>
          <w:b/>
          <w:bCs/>
          <w:sz w:val="20"/>
          <w:szCs w:val="20"/>
        </w:rPr>
        <w:t>Overvie</w:t>
      </w:r>
      <w:r>
        <w:rPr>
          <w:b/>
          <w:bCs/>
          <w:sz w:val="20"/>
          <w:szCs w:val="20"/>
        </w:rPr>
        <w:t>w</w:t>
      </w:r>
    </w:p>
    <w:p w:rsidR="00000000" w:rsidRDefault="002D33E3">
      <w:pPr>
        <w:pStyle w:val="a3"/>
        <w:spacing w:before="240" w:beforeAutospacing="0" w:after="0" w:afterAutospacing="0"/>
        <w:ind w:firstLine="555"/>
        <w:rPr>
          <w:sz w:val="20"/>
          <w:szCs w:val="20"/>
        </w:rPr>
      </w:pPr>
      <w:r>
        <w:rPr>
          <w:sz w:val="20"/>
          <w:szCs w:val="20"/>
        </w:rPr>
        <w:t>Since our inception in 2012, our mission has been to help clients and communities meet the</w:t>
      </w:r>
      <w:r>
        <w:rPr>
          <w:sz w:val="20"/>
          <w:szCs w:val="20"/>
        </w:rPr>
        <w:t>ir environmental goals and needs. Today, we have emerged as one of the fastest growing companies in a highly fragmented and growing $1.3 trillion global environmental industry</w:t>
      </w:r>
      <w:r>
        <w:rPr>
          <w:sz w:val="20"/>
          <w:szCs w:val="20"/>
        </w:rPr>
        <w:t>.</w:t>
      </w:r>
    </w:p>
    <w:p w:rsidR="00000000" w:rsidRDefault="002D33E3">
      <w:pPr>
        <w:pStyle w:val="a3"/>
        <w:spacing w:before="360" w:beforeAutospacing="0" w:after="0" w:afterAutospacing="0"/>
        <w:rPr>
          <w:sz w:val="20"/>
          <w:szCs w:val="20"/>
        </w:rPr>
      </w:pPr>
      <w:r>
        <w:rPr>
          <w:b/>
          <w:bCs/>
          <w:i/>
          <w:iCs/>
          <w:sz w:val="20"/>
          <w:szCs w:val="20"/>
        </w:rPr>
        <w:t>Our Segment</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We provide environmental services to our clients through three bus</w:t>
      </w:r>
      <w:r>
        <w:rPr>
          <w:sz w:val="20"/>
          <w:szCs w:val="20"/>
        </w:rPr>
        <w:t>iness segments—Assessment, Permitting and Response, Measurement and Analysis and Remediation and Reuse. For more information on each of our operating segments, see Item 1. “Business” in the 2021 Form 10-K</w:t>
      </w:r>
      <w:r>
        <w:rPr>
          <w:sz w:val="20"/>
          <w:szCs w:val="20"/>
        </w:rPr>
        <w:t>.</w:t>
      </w:r>
    </w:p>
    <w:p w:rsidR="00000000" w:rsidRDefault="002D33E3">
      <w:pPr>
        <w:pStyle w:val="a3"/>
        <w:spacing w:before="360" w:beforeAutospacing="0" w:after="0" w:afterAutospacing="0"/>
        <w:ind w:firstLine="555"/>
        <w:rPr>
          <w:sz w:val="20"/>
          <w:szCs w:val="20"/>
        </w:rPr>
      </w:pPr>
      <w:r>
        <w:rPr>
          <w:b/>
          <w:bCs/>
          <w:i/>
          <w:iCs/>
          <w:sz w:val="20"/>
          <w:szCs w:val="20"/>
        </w:rPr>
        <w:t>Assessment, Permitting and Respons</w:t>
      </w:r>
      <w:r>
        <w:rPr>
          <w:b/>
          <w:bCs/>
          <w:i/>
          <w:iCs/>
          <w:sz w:val="20"/>
          <w:szCs w:val="20"/>
        </w:rPr>
        <w:t>e</w:t>
      </w:r>
    </w:p>
    <w:p w:rsidR="00000000" w:rsidRDefault="002D33E3">
      <w:pPr>
        <w:pStyle w:val="a3"/>
        <w:spacing w:before="120" w:beforeAutospacing="0" w:after="0" w:afterAutospacing="0"/>
        <w:ind w:firstLine="555"/>
        <w:rPr>
          <w:sz w:val="20"/>
          <w:szCs w:val="20"/>
        </w:rPr>
      </w:pPr>
      <w:r>
        <w:rPr>
          <w:sz w:val="20"/>
          <w:szCs w:val="20"/>
        </w:rPr>
        <w:t>Through our As</w:t>
      </w:r>
      <w:r>
        <w:rPr>
          <w:sz w:val="20"/>
          <w:szCs w:val="20"/>
        </w:rPr>
        <w:t>sessment, Permitting and Response segment, we provide scientific advisory and consulting services to support environmental assessments, environmental emergency response, and environmental audits and permits for current operations, facility upgrades, new pr</w:t>
      </w:r>
      <w:r>
        <w:rPr>
          <w:sz w:val="20"/>
          <w:szCs w:val="20"/>
        </w:rPr>
        <w:t>ojects, decommissioning projects and development projects. Our technical advisory and consulting offerings include regulatory compliance support and planning, environmental, ecosystem and toxicological assessments and support during responses to environmen</w:t>
      </w:r>
      <w:r>
        <w:rPr>
          <w:sz w:val="20"/>
          <w:szCs w:val="20"/>
        </w:rPr>
        <w:t>tal disruption. We help clients navigate regulations at the local, state, provincial and federal levels. In addition to environmental toxicology, and given our expertise in helping businesses plan for and respond to disruptions, our scientists and response</w:t>
      </w:r>
      <w:r>
        <w:rPr>
          <w:sz w:val="20"/>
          <w:szCs w:val="20"/>
        </w:rPr>
        <w:t xml:space="preserve"> teams have helped clients navigate their preparation for and response to the COVID-19 pandemic</w:t>
      </w:r>
      <w:r>
        <w:rPr>
          <w:sz w:val="20"/>
          <w:szCs w:val="20"/>
        </w:rPr>
        <w:t>.</w:t>
      </w:r>
      <w:r>
        <w:rPr>
          <w:sz w:val="20"/>
          <w:szCs w:val="20"/>
        </w:rPr>
        <w:t xml:space="preserve"> </w:t>
      </w:r>
    </w:p>
    <w:p w:rsidR="00000000" w:rsidRDefault="002D33E3">
      <w:pPr>
        <w:pStyle w:val="a3"/>
        <w:spacing w:before="360" w:beforeAutospacing="0" w:after="0" w:afterAutospacing="0"/>
        <w:ind w:firstLine="555"/>
        <w:rPr>
          <w:sz w:val="20"/>
          <w:szCs w:val="20"/>
        </w:rPr>
      </w:pPr>
      <w:r>
        <w:rPr>
          <w:b/>
          <w:bCs/>
          <w:i/>
          <w:iCs/>
          <w:sz w:val="20"/>
          <w:szCs w:val="20"/>
        </w:rPr>
        <w:t>Measurement and Analysi</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Through our Measurement and Analysis segment, our highly credentialed teams test and analyze air, water and soil to determine concent</w:t>
      </w:r>
      <w:r>
        <w:rPr>
          <w:sz w:val="20"/>
          <w:szCs w:val="20"/>
        </w:rPr>
        <w:t>rations of contaminants, as well as the toxicological impact of contaminants on flora, fauna and human health. Our offerings include source and ambient air testing and monitoring, leak detection and advanced analytical laboratory services such as air, stor</w:t>
      </w:r>
      <w:r>
        <w:rPr>
          <w:sz w:val="20"/>
          <w:szCs w:val="20"/>
        </w:rPr>
        <w:t>m water, wastewater and drinking water analysis</w:t>
      </w:r>
      <w:r>
        <w:rPr>
          <w:sz w:val="20"/>
          <w:szCs w:val="20"/>
        </w:rPr>
        <w:t>.</w:t>
      </w:r>
      <w:r>
        <w:rPr>
          <w:sz w:val="20"/>
          <w:szCs w:val="20"/>
        </w:rPr>
        <w:t xml:space="preserve"> </w:t>
      </w:r>
    </w:p>
    <w:p w:rsidR="00000000" w:rsidRDefault="002D33E3">
      <w:pPr>
        <w:pStyle w:val="a3"/>
        <w:spacing w:before="360" w:beforeAutospacing="0" w:after="0" w:afterAutospacing="0"/>
        <w:ind w:firstLine="555"/>
        <w:rPr>
          <w:sz w:val="20"/>
          <w:szCs w:val="20"/>
        </w:rPr>
      </w:pPr>
      <w:r>
        <w:rPr>
          <w:b/>
          <w:bCs/>
          <w:i/>
          <w:iCs/>
          <w:sz w:val="20"/>
          <w:szCs w:val="20"/>
        </w:rPr>
        <w:t>Remediation and Reus</w:t>
      </w:r>
      <w:r>
        <w:rPr>
          <w:b/>
          <w:bCs/>
          <w:i/>
          <w:iCs/>
          <w:sz w:val="20"/>
          <w:szCs w:val="20"/>
        </w:rPr>
        <w:t>e</w:t>
      </w:r>
    </w:p>
    <w:p w:rsidR="00000000" w:rsidRDefault="002D33E3">
      <w:pPr>
        <w:pStyle w:val="a3"/>
        <w:spacing w:before="120" w:beforeAutospacing="0" w:after="0" w:afterAutospacing="0"/>
        <w:ind w:firstLine="555"/>
        <w:rPr>
          <w:sz w:val="20"/>
          <w:szCs w:val="20"/>
        </w:rPr>
      </w:pPr>
      <w:r>
        <w:rPr>
          <w:sz w:val="20"/>
          <w:szCs w:val="20"/>
        </w:rPr>
        <w:t>Through our Remediation and Reuse segment, we provide clients with engineering, design, implementation and operations and maintenance services, primarily to treat contaminated water, r</w:t>
      </w:r>
      <w:r>
        <w:rPr>
          <w:sz w:val="20"/>
          <w:szCs w:val="20"/>
        </w:rPr>
        <w:t>emove contaminants from soil or create biogas from waste. We do not own the properties or facilities at which we implement these projects or the underlying liabilities, nor do we own material amounts of the equipment used in projects; instead, we assist ou</w:t>
      </w:r>
      <w:r>
        <w:rPr>
          <w:sz w:val="20"/>
          <w:szCs w:val="20"/>
        </w:rPr>
        <w:t>r clients in designing solutions, managing projects and mitigating their environmental risks and liabilities</w:t>
      </w:r>
      <w:r>
        <w:rPr>
          <w:sz w:val="20"/>
          <w:szCs w:val="20"/>
        </w:rPr>
        <w:t>.</w:t>
      </w:r>
    </w:p>
    <w:p w:rsidR="00000000" w:rsidRDefault="002D33E3">
      <w:pPr>
        <w:pStyle w:val="a3"/>
        <w:spacing w:before="240" w:beforeAutospacing="0" w:after="0" w:afterAutospacing="0"/>
        <w:ind w:firstLine="555"/>
        <w:rPr>
          <w:sz w:val="20"/>
          <w:szCs w:val="20"/>
        </w:rPr>
      </w:pPr>
      <w:r>
        <w:rPr>
          <w:sz w:val="20"/>
          <w:szCs w:val="20"/>
        </w:rPr>
        <w:t>These operating segments have been structured and organized to align with how we view and manage the business with the full lifecycle of our clien</w:t>
      </w:r>
      <w:r>
        <w:rPr>
          <w:sz w:val="20"/>
          <w:szCs w:val="20"/>
        </w:rPr>
        <w:t>ts’ targeted environmental concerns and needs in mind. Within each segment, we cover similar service offerings, regulatory frameworks, internal operating structures and client types. Corporate activities not directly related to segment performance, includi</w:t>
      </w:r>
      <w:r>
        <w:rPr>
          <w:sz w:val="20"/>
          <w:szCs w:val="20"/>
        </w:rPr>
        <w:t>ng general corporate expenses, interest and taxes, are reported separately</w:t>
      </w:r>
      <w:r>
        <w:rPr>
          <w:sz w:val="20"/>
          <w:szCs w:val="20"/>
        </w:rPr>
        <w:t>.</w:t>
      </w:r>
      <w:r>
        <w:rPr>
          <w:sz w:val="20"/>
          <w:szCs w:val="20"/>
        </w:rPr>
        <w:t xml:space="preserve"> </w:t>
      </w:r>
    </w:p>
    <w:p w:rsidR="00000000" w:rsidRDefault="002D33E3">
      <w:pPr>
        <w:pStyle w:val="a3"/>
        <w:spacing w:before="240" w:beforeAutospacing="0" w:after="0" w:afterAutospacing="0"/>
        <w:jc w:val="center"/>
        <w:rPr>
          <w:sz w:val="20"/>
          <w:szCs w:val="20"/>
        </w:rPr>
      </w:pPr>
      <w:r>
        <w:rPr>
          <w:sz w:val="20"/>
          <w:szCs w:val="20"/>
        </w:rPr>
        <w:t>2</w:t>
      </w:r>
      <w:r>
        <w:rPr>
          <w:sz w:val="20"/>
          <w:szCs w:val="20"/>
        </w:rPr>
        <w:t>9</w:t>
      </w:r>
    </w:p>
    <w:p w:rsidR="00000000" w:rsidRDefault="002D33E3">
      <w:pPr>
        <w:rPr>
          <w:rFonts w:eastAsia="Times New Roman"/>
        </w:rPr>
      </w:pPr>
      <w:r>
        <w:rPr>
          <w:rFonts w:eastAsia="Times New Roman"/>
        </w:rPr>
        <w:pict>
          <v:rect id="_x0000_i1055"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rPr>
          <w:sz w:val="20"/>
          <w:szCs w:val="20"/>
        </w:rPr>
      </w:pPr>
      <w:r>
        <w:rPr>
          <w:b/>
          <w:bCs/>
          <w:i/>
          <w:iCs/>
          <w:sz w:val="20"/>
          <w:szCs w:val="20"/>
        </w:rPr>
        <w:t>COVID-1</w:t>
      </w:r>
      <w:r>
        <w:rPr>
          <w:b/>
          <w:bCs/>
          <w:i/>
          <w:iCs/>
          <w:sz w:val="20"/>
          <w:szCs w:val="20"/>
        </w:rPr>
        <w:t>9</w:t>
      </w:r>
    </w:p>
    <w:p w:rsidR="00000000" w:rsidRDefault="002D33E3">
      <w:pPr>
        <w:pStyle w:val="a3"/>
        <w:spacing w:before="120" w:beforeAutospacing="0" w:after="0" w:afterAutospacing="0"/>
        <w:ind w:firstLine="555"/>
        <w:rPr>
          <w:sz w:val="20"/>
          <w:szCs w:val="20"/>
        </w:rPr>
      </w:pPr>
      <w:r>
        <w:rPr>
          <w:sz w:val="20"/>
          <w:szCs w:val="20"/>
        </w:rPr>
        <w:t>To date, COVID-19 related adverse impacts such as temporarily delayed project start dates, particularly within our Remediation an</w:t>
      </w:r>
      <w:r>
        <w:rPr>
          <w:sz w:val="20"/>
          <w:szCs w:val="20"/>
        </w:rPr>
        <w:t xml:space="preserve">d Reuse segment, exiting certain service lines and employee quarantines have not had a material adverse effect on our reported results. On the other hand, we have seen benefits from COVID-19 given client demand for CTEH’s toxicology and response services, </w:t>
      </w:r>
      <w:r>
        <w:rPr>
          <w:sz w:val="20"/>
          <w:szCs w:val="20"/>
        </w:rPr>
        <w:t>which represented a</w:t>
      </w:r>
      <w:r>
        <w:rPr>
          <w:sz w:val="20"/>
          <w:szCs w:val="20"/>
        </w:rPr>
        <w:t xml:space="preserve"> </w:t>
      </w:r>
      <w:r>
        <w:rPr>
          <w:sz w:val="20"/>
          <w:szCs w:val="20"/>
        </w:rPr>
        <w:t>meaningful, although declining</w:t>
      </w:r>
      <w:r>
        <w:rPr>
          <w:sz w:val="20"/>
          <w:szCs w:val="20"/>
        </w:rPr>
        <w:t>,</w:t>
      </w:r>
      <w:r>
        <w:rPr>
          <w:sz w:val="20"/>
          <w:szCs w:val="20"/>
        </w:rPr>
        <w:t xml:space="preserve"> revenue stream in the three months ended March 31, 2022 and March 31, 2021, and that, once the pandemic subsides, we may not be able to replace in future periods. Although many parts of our business saw s</w:t>
      </w:r>
      <w:r>
        <w:rPr>
          <w:sz w:val="20"/>
          <w:szCs w:val="20"/>
        </w:rPr>
        <w:t>ome impact from COVID-19, i</w:t>
      </w:r>
      <w:r>
        <w:rPr>
          <w:sz w:val="20"/>
          <w:szCs w:val="20"/>
        </w:rPr>
        <w:t>n</w:t>
      </w:r>
      <w:r>
        <w:t xml:space="preserve"> </w:t>
      </w:r>
      <w:r>
        <w:rPr>
          <w:sz w:val="20"/>
          <w:szCs w:val="20"/>
        </w:rPr>
        <w:t>the aggregate, our overall busines</w:t>
      </w:r>
      <w:r>
        <w:rPr>
          <w:sz w:val="20"/>
          <w:szCs w:val="20"/>
        </w:rPr>
        <w:t>s</w:t>
      </w:r>
      <w:r>
        <w:rPr>
          <w:sz w:val="16"/>
          <w:szCs w:val="16"/>
        </w:rPr>
        <w:t xml:space="preserve"> </w:t>
      </w:r>
      <w:r>
        <w:rPr>
          <w:sz w:val="20"/>
          <w:szCs w:val="20"/>
        </w:rPr>
        <w:t>benefitted from COVID-1</w:t>
      </w:r>
      <w:r>
        <w:rPr>
          <w:sz w:val="20"/>
          <w:szCs w:val="20"/>
        </w:rPr>
        <w:t>9</w:t>
      </w:r>
      <w:r>
        <w:rPr>
          <w:sz w:val="16"/>
          <w:szCs w:val="16"/>
        </w:rPr>
        <w:t xml:space="preserve"> </w:t>
      </w:r>
      <w:r>
        <w:rPr>
          <w:sz w:val="20"/>
          <w:szCs w:val="20"/>
        </w:rPr>
        <w:t>during the three months ended March 31, 2022 and March 31, 2021, primarily as a result of COVID-19 response work performed by CTEH. For additional information regardi</w:t>
      </w:r>
      <w:r>
        <w:rPr>
          <w:sz w:val="20"/>
          <w:szCs w:val="20"/>
        </w:rPr>
        <w:t>ng the historical impacts of COVID-19 on our business, see Item 7. Management’s Discussion and Analysis of Financial Condition and Results of Operations in the 2021 Form 10-K</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COVID-19 has had an impact on our historical seasonality trends. We have not ex</w:t>
      </w:r>
      <w:r>
        <w:rPr>
          <w:sz w:val="20"/>
          <w:szCs w:val="20"/>
        </w:rPr>
        <w:t>perienced a significant slowdown in cash collections, and as a result cash flow from operations has not been materially adversely impacted</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On March 27, 2020, the Coronavirus Aid, Relief, and Economic Security Act, or the CARES Act, was enacted. The CARES Act includes several significant provisions for corporations, including those pertaining to net operating losses, interest deductions and pa</w:t>
      </w:r>
      <w:r>
        <w:rPr>
          <w:sz w:val="20"/>
          <w:szCs w:val="20"/>
        </w:rPr>
        <w:t>yroll tax benefits. We utilized certain of these provisions in 2020, including the deferral of the employer side social security payments for payroll for the eligible portion of the year. In total, we deferred approximately $5.0 million of 2020 payments to</w:t>
      </w:r>
      <w:r>
        <w:rPr>
          <w:sz w:val="20"/>
          <w:szCs w:val="20"/>
        </w:rPr>
        <w:t xml:space="preserve"> 2021 and 2022, of which $2.5 million was repaid in December 2021 and we expect to pay the remaining $2.3 million in the fourth quarter of 2022</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It is difficult to predict the future impact COVID-19 may have on our business, results of operations, financi</w:t>
      </w:r>
      <w:r>
        <w:rPr>
          <w:sz w:val="20"/>
          <w:szCs w:val="20"/>
        </w:rPr>
        <w:t>al position, or cash flows. The extent to which we may be impacted will depend largely on future and rapidly evolving developments, including new information on the severity of new strains, the roll-out and long-term efficacy of vaccines, and actions by va</w:t>
      </w:r>
      <w:r>
        <w:rPr>
          <w:sz w:val="20"/>
          <w:szCs w:val="20"/>
        </w:rPr>
        <w:t>rious government authorities to contain the pandemic and mitigate its impact. We intend to closely monitor the impact of COVID-19 on our business and will respond as we believe is appropriate</w:t>
      </w:r>
      <w:r>
        <w:rPr>
          <w:sz w:val="20"/>
          <w:szCs w:val="20"/>
        </w:rPr>
        <w:t>.</w:t>
      </w:r>
    </w:p>
    <w:p w:rsidR="00000000" w:rsidRDefault="002D33E3">
      <w:pPr>
        <w:pStyle w:val="a3"/>
        <w:spacing w:before="360" w:beforeAutospacing="0" w:after="0" w:afterAutospacing="0"/>
        <w:rPr>
          <w:sz w:val="20"/>
          <w:szCs w:val="20"/>
        </w:rPr>
      </w:pPr>
      <w:r>
        <w:rPr>
          <w:b/>
          <w:bCs/>
          <w:i/>
          <w:iCs/>
          <w:sz w:val="20"/>
          <w:szCs w:val="20"/>
        </w:rPr>
        <w:t>Key Factors that Affect Our Business and Our Result</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Our operat</w:t>
      </w:r>
      <w:r>
        <w:rPr>
          <w:sz w:val="20"/>
          <w:szCs w:val="20"/>
        </w:rPr>
        <w:t>ing results and financial performance are influenced by a variety of internal and external trends and other factors. Some of the more important factors are discussed briefly below</w:t>
      </w:r>
      <w:r>
        <w:rPr>
          <w:sz w:val="20"/>
          <w:szCs w:val="20"/>
        </w:rPr>
        <w:t>.</w:t>
      </w:r>
    </w:p>
    <w:p w:rsidR="00000000" w:rsidRDefault="002D33E3">
      <w:pPr>
        <w:pStyle w:val="a3"/>
        <w:spacing w:before="360" w:beforeAutospacing="0" w:after="0" w:afterAutospacing="0"/>
        <w:ind w:firstLine="555"/>
        <w:rPr>
          <w:sz w:val="20"/>
          <w:szCs w:val="20"/>
        </w:rPr>
      </w:pPr>
      <w:r>
        <w:rPr>
          <w:b/>
          <w:bCs/>
          <w:i/>
          <w:iCs/>
          <w:sz w:val="20"/>
          <w:szCs w:val="20"/>
        </w:rPr>
        <w:t>Acquisition</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We have been, and expect to continue to be, an acquisitive com</w:t>
      </w:r>
      <w:r>
        <w:rPr>
          <w:sz w:val="20"/>
          <w:szCs w:val="20"/>
        </w:rPr>
        <w:t>pany. Acquisitions have expanded our environmental service capabilities across all three segments, our access to technology, as well as our geographic reach in the United States, Canada and Australia. The table below sets forth the number of acquisitions c</w:t>
      </w:r>
      <w:r>
        <w:rPr>
          <w:sz w:val="20"/>
          <w:szCs w:val="20"/>
        </w:rPr>
        <w:t>ompleted, revenues generated by and the percentage of total revenues attributable to those acquisitions completed during the three months ended March 31, 2022 and March 31, 2021</w:t>
      </w:r>
      <w:r>
        <w:rPr>
          <w:sz w:val="20"/>
          <w:szCs w:val="20"/>
        </w:rPr>
        <w:t>:</w:t>
      </w:r>
    </w:p>
    <w:p w:rsidR="00000000" w:rsidRDefault="002D33E3">
      <w:pPr>
        <w:pStyle w:val="a3"/>
        <w:spacing w:before="0" w:beforeAutospacing="0" w:after="0" w:afterAutospacing="0"/>
        <w:ind w:firstLine="55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871"/>
        <w:gridCol w:w="147"/>
        <w:gridCol w:w="105"/>
        <w:gridCol w:w="1002"/>
        <w:gridCol w:w="210"/>
        <w:gridCol w:w="147"/>
        <w:gridCol w:w="105"/>
        <w:gridCol w:w="1002"/>
        <w:gridCol w:w="225"/>
      </w:tblGrid>
      <w:tr w:rsidR="00000000">
        <w:trPr>
          <w:tblCellSpacing w:w="15" w:type="dxa"/>
        </w:trPr>
        <w:tc>
          <w:tcPr>
            <w:tcW w:w="2578" w:type="pct"/>
            <w:vAlign w:val="center"/>
            <w:hideMark/>
          </w:tcPr>
          <w:p w:rsidR="00000000" w:rsidRDefault="002D33E3">
            <w:pPr>
              <w:rPr>
                <w:sz w:val="20"/>
                <w:szCs w:val="20"/>
              </w:rPr>
            </w:pPr>
          </w:p>
        </w:tc>
        <w:tc>
          <w:tcPr>
            <w:tcW w:w="123"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c>
          <w:tcPr>
            <w:tcW w:w="898" w:type="pct"/>
            <w:vAlign w:val="center"/>
            <w:hideMark/>
          </w:tcPr>
          <w:p w:rsidR="00000000" w:rsidRDefault="002D33E3">
            <w:pPr>
              <w:rPr>
                <w:rFonts w:eastAsia="Times New Roman"/>
                <w:sz w:val="20"/>
                <w:szCs w:val="20"/>
              </w:rPr>
            </w:pPr>
          </w:p>
        </w:tc>
        <w:tc>
          <w:tcPr>
            <w:tcW w:w="151" w:type="pct"/>
            <w:vAlign w:val="center"/>
            <w:hideMark/>
          </w:tcPr>
          <w:p w:rsidR="00000000" w:rsidRDefault="002D33E3">
            <w:pPr>
              <w:rPr>
                <w:rFonts w:eastAsia="Times New Roman"/>
                <w:sz w:val="20"/>
                <w:szCs w:val="20"/>
              </w:rPr>
            </w:pPr>
          </w:p>
        </w:tc>
        <w:tc>
          <w:tcPr>
            <w:tcW w:w="123"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c>
          <w:tcPr>
            <w:tcW w:w="898" w:type="pct"/>
            <w:vAlign w:val="center"/>
            <w:hideMark/>
          </w:tcPr>
          <w:p w:rsidR="00000000" w:rsidRDefault="002D33E3">
            <w:pPr>
              <w:rPr>
                <w:rFonts w:eastAsia="Times New Roman"/>
                <w:sz w:val="20"/>
                <w:szCs w:val="20"/>
              </w:rPr>
            </w:pPr>
          </w:p>
        </w:tc>
        <w:tc>
          <w:tcPr>
            <w:tcW w:w="151" w:type="pct"/>
            <w:vAlign w:val="center"/>
            <w:hideMark/>
          </w:tcPr>
          <w:p w:rsidR="00000000" w:rsidRDefault="002D33E3">
            <w:pPr>
              <w:rPr>
                <w:rFonts w:eastAsia="Times New Roman"/>
                <w:sz w:val="20"/>
                <w:szCs w:val="20"/>
              </w:rPr>
            </w:pP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(Revenues in thousands</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Acquisitions complete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2</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1</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Revenues attributable to acquisitions</w:t>
            </w:r>
            <w:r>
              <w:rPr>
                <w:sz w:val="18"/>
                <w:szCs w:val="18"/>
              </w:rPr>
              <w:br/>
              <w:t>    in the perio</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3,33</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3,98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Percentage of revenue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3.</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bl>
    <w:p w:rsidR="00000000" w:rsidRDefault="002D33E3">
      <w:pPr>
        <w:pStyle w:val="a3"/>
        <w:spacing w:before="240" w:beforeAutospacing="0" w:after="0" w:afterAutospacing="0"/>
        <w:ind w:firstLine="555"/>
        <w:rPr>
          <w:sz w:val="20"/>
          <w:szCs w:val="20"/>
        </w:rPr>
      </w:pPr>
      <w:r>
        <w:rPr>
          <w:sz w:val="20"/>
          <w:szCs w:val="20"/>
        </w:rPr>
        <w:t>Revenues from acquired companies exclude intercompany revenues from revenue synergies realized between business lines within operating segments, as these are eliminated at the consolidated segment and Company level. We expect our revenue growth to continue</w:t>
      </w:r>
      <w:r>
        <w:rPr>
          <w:sz w:val="20"/>
          <w:szCs w:val="20"/>
        </w:rPr>
        <w:t xml:space="preserve"> to be driven in significant part by acquisitions</w:t>
      </w:r>
      <w:r>
        <w:rPr>
          <w:sz w:val="20"/>
          <w:szCs w:val="20"/>
        </w:rPr>
        <w:t>.</w:t>
      </w:r>
    </w:p>
    <w:p w:rsidR="00000000" w:rsidRDefault="002D33E3">
      <w:pPr>
        <w:pStyle w:val="a3"/>
        <w:spacing w:before="240" w:beforeAutospacing="0" w:after="0" w:afterAutospacing="0"/>
        <w:ind w:firstLine="555"/>
        <w:rPr>
          <w:sz w:val="20"/>
          <w:szCs w:val="20"/>
        </w:rPr>
      </w:pPr>
      <w:r>
        <w:rPr>
          <w:sz w:val="20"/>
          <w:szCs w:val="20"/>
        </w:rPr>
        <w:t>As a result of our acquisitions, goodwill and other intangible assets represent a significant proportion of our total assets, and amortization of intangible assets has historically been a significant expen</w:t>
      </w:r>
      <w:r>
        <w:rPr>
          <w:sz w:val="20"/>
          <w:szCs w:val="20"/>
        </w:rPr>
        <w:t>se. Our historical financial statements also include other acquisition-related costs, including costs relating to external legal support, diligence and valuation services and other transaction and integration-related matters. In addition, in any year gains</w:t>
      </w:r>
      <w:r>
        <w:rPr>
          <w:sz w:val="20"/>
          <w:szCs w:val="20"/>
        </w:rPr>
        <w:t xml:space="preserve"> and losses from changes in the fair value of earn-out related contingent consideration related to acquisitions could be significant. The amount of each for the three months ended March 31, 2022 and March 31, 2021, was</w:t>
      </w:r>
      <w:r>
        <w:rPr>
          <w:sz w:val="20"/>
          <w:szCs w:val="20"/>
        </w:rPr>
        <w:t>:</w:t>
      </w:r>
    </w:p>
    <w:p w:rsidR="00000000" w:rsidRDefault="002D33E3">
      <w:pPr>
        <w:pStyle w:val="a3"/>
        <w:spacing w:before="0" w:beforeAutospacing="0" w:after="0" w:afterAutospacing="0"/>
        <w:ind w:firstLine="726"/>
        <w:rPr>
          <w:sz w:val="20"/>
          <w:szCs w:val="20"/>
        </w:rPr>
      </w:pPr>
      <w:r>
        <w:rPr>
          <w:sz w:val="20"/>
          <w:szCs w:val="20"/>
        </w:rPr>
        <w:t> </w:t>
      </w:r>
    </w:p>
    <w:p w:rsidR="00000000" w:rsidRDefault="002D33E3">
      <w:pPr>
        <w:pStyle w:val="a3"/>
        <w:spacing w:before="240" w:beforeAutospacing="0" w:after="0" w:afterAutospacing="0"/>
        <w:jc w:val="center"/>
        <w:rPr>
          <w:sz w:val="20"/>
          <w:szCs w:val="20"/>
        </w:rPr>
      </w:pPr>
      <w:r>
        <w:rPr>
          <w:sz w:val="20"/>
          <w:szCs w:val="20"/>
        </w:rPr>
        <w:t>3</w:t>
      </w:r>
      <w:r>
        <w:rPr>
          <w:sz w:val="20"/>
          <w:szCs w:val="20"/>
        </w:rPr>
        <w:t>0</w:t>
      </w:r>
    </w:p>
    <w:p w:rsidR="00000000" w:rsidRDefault="002D33E3">
      <w:pPr>
        <w:rPr>
          <w:rFonts w:eastAsia="Times New Roman"/>
        </w:rPr>
      </w:pPr>
      <w:r>
        <w:rPr>
          <w:rFonts w:eastAsia="Times New Roman"/>
        </w:rPr>
        <w:pict>
          <v:rect id="_x0000_i1056"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895"/>
        <w:gridCol w:w="146"/>
        <w:gridCol w:w="150"/>
        <w:gridCol w:w="1027"/>
        <w:gridCol w:w="120"/>
        <w:gridCol w:w="146"/>
        <w:gridCol w:w="150"/>
        <w:gridCol w:w="1060"/>
        <w:gridCol w:w="120"/>
      </w:tblGrid>
      <w:tr w:rsidR="00000000">
        <w:trPr>
          <w:tblCellSpacing w:w="15" w:type="dxa"/>
        </w:trPr>
        <w:tc>
          <w:tcPr>
            <w:tcW w:w="2601" w:type="pct"/>
            <w:vAlign w:val="center"/>
            <w:hideMark/>
          </w:tcPr>
          <w:p w:rsidR="00000000" w:rsidRDefault="002D33E3">
            <w:pPr>
              <w:rPr>
                <w:sz w:val="20"/>
                <w:szCs w:val="20"/>
              </w:rPr>
            </w:pPr>
          </w:p>
        </w:tc>
        <w:tc>
          <w:tcPr>
            <w:tcW w:w="123"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921" w:type="pct"/>
            <w:vAlign w:val="center"/>
            <w:hideMark/>
          </w:tcPr>
          <w:p w:rsidR="00000000" w:rsidRDefault="002D33E3">
            <w:pPr>
              <w:rPr>
                <w:rFonts w:eastAsia="Times New Roman"/>
                <w:sz w:val="20"/>
                <w:szCs w:val="20"/>
              </w:rPr>
            </w:pPr>
          </w:p>
        </w:tc>
        <w:tc>
          <w:tcPr>
            <w:tcW w:w="61" w:type="pct"/>
            <w:vAlign w:val="center"/>
            <w:hideMark/>
          </w:tcPr>
          <w:p w:rsidR="00000000" w:rsidRDefault="002D33E3">
            <w:pPr>
              <w:rPr>
                <w:rFonts w:eastAsia="Times New Roman"/>
                <w:sz w:val="20"/>
                <w:szCs w:val="20"/>
              </w:rPr>
            </w:pPr>
          </w:p>
        </w:tc>
        <w:tc>
          <w:tcPr>
            <w:tcW w:w="123" w:type="pct"/>
            <w:vAlign w:val="center"/>
            <w:hideMark/>
          </w:tcPr>
          <w:p w:rsidR="00000000" w:rsidRDefault="002D33E3">
            <w:pPr>
              <w:rPr>
                <w:rFonts w:eastAsia="Times New Roman"/>
                <w:sz w:val="20"/>
                <w:szCs w:val="20"/>
              </w:rPr>
            </w:pPr>
          </w:p>
        </w:tc>
        <w:tc>
          <w:tcPr>
            <w:tcW w:w="90" w:type="pct"/>
            <w:vAlign w:val="center"/>
            <w:hideMark/>
          </w:tcPr>
          <w:p w:rsidR="00000000" w:rsidRDefault="002D33E3">
            <w:pPr>
              <w:rPr>
                <w:rFonts w:eastAsia="Times New Roman"/>
                <w:sz w:val="20"/>
                <w:szCs w:val="20"/>
              </w:rPr>
            </w:pPr>
          </w:p>
        </w:tc>
        <w:tc>
          <w:tcPr>
            <w:tcW w:w="951" w:type="pct"/>
            <w:vAlign w:val="center"/>
            <w:hideMark/>
          </w:tcPr>
          <w:p w:rsidR="00000000" w:rsidRDefault="002D33E3">
            <w:pPr>
              <w:rPr>
                <w:rFonts w:eastAsia="Times New Roman"/>
                <w:sz w:val="20"/>
                <w:szCs w:val="20"/>
              </w:rPr>
            </w:pPr>
          </w:p>
        </w:tc>
        <w:tc>
          <w:tcPr>
            <w:tcW w:w="37" w:type="pct"/>
            <w:vAlign w:val="center"/>
            <w:hideMark/>
          </w:tcPr>
          <w:p w:rsidR="00000000" w:rsidRDefault="002D33E3">
            <w:pPr>
              <w:rPr>
                <w:rFonts w:eastAsia="Times New Roman"/>
                <w:sz w:val="20"/>
                <w:szCs w:val="20"/>
              </w:rPr>
            </w:pPr>
          </w:p>
        </w:tc>
      </w:tr>
      <w:tr w:rsidR="00000000">
        <w:trPr>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Amortization expens</w:t>
            </w:r>
            <w:r>
              <w:rPr>
                <w:sz w:val="18"/>
                <w:szCs w:val="18"/>
              </w:rPr>
              <w:t>e</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9,41</w:t>
            </w:r>
            <w:r>
              <w:rPr>
                <w:sz w:val="18"/>
                <w:szCs w:val="18"/>
              </w:rPr>
              <w:t>9</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8,59</w:t>
            </w:r>
            <w:r>
              <w:rPr>
                <w:sz w:val="18"/>
                <w:szCs w:val="18"/>
              </w:rPr>
              <w:t>5</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Acquisition-related cost</w:t>
            </w:r>
            <w:r>
              <w:rPr>
                <w:sz w:val="18"/>
                <w:szCs w:val="18"/>
              </w:rPr>
              <w:t>s</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46</w:t>
            </w:r>
            <w:r>
              <w:rPr>
                <w:sz w:val="18"/>
                <w:szCs w:val="18"/>
              </w:rPr>
              <w:t>7</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23</w:t>
            </w:r>
            <w:r>
              <w:rPr>
                <w:sz w:val="18"/>
                <w:szCs w:val="18"/>
              </w:rPr>
              <w:t>7</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sz w:val="18"/>
                <w:szCs w:val="18"/>
              </w:rPr>
              <w:t>Fair value changes in business acquisitions</w:t>
            </w:r>
            <w:r>
              <w:rPr>
                <w:sz w:val="18"/>
                <w:szCs w:val="18"/>
              </w:rPr>
              <w:br/>
              <w:t>   contingent consideratio</w:t>
            </w:r>
            <w:r>
              <w:rPr>
                <w:sz w:val="18"/>
                <w:szCs w:val="18"/>
              </w:rPr>
              <w:t>n</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(2</w:t>
            </w:r>
            <w:r>
              <w:rPr>
                <w:sz w:val="18"/>
                <w:szCs w:val="18"/>
              </w:rPr>
              <w:t>1</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c>
          <w:tcPr>
            <w:tcW w:w="0" w:type="auto"/>
            <w:vAlign w:val="center"/>
            <w:hideMark/>
          </w:tcPr>
          <w:p w:rsidR="00000000" w:rsidRDefault="002D33E3">
            <w:pPr>
              <w:pStyle w:val="a3"/>
              <w:spacing w:before="0" w:beforeAutospacing="0" w:after="0" w:afterAutospacing="0"/>
              <w:jc w:val="right"/>
              <w:rPr>
                <w:sz w:val="18"/>
                <w:szCs w:val="18"/>
              </w:rPr>
            </w:pPr>
            <w:r>
              <w:rPr>
                <w:sz w:val="18"/>
                <w:szCs w:val="18"/>
              </w:rPr>
              <w:t>11,06</w:t>
            </w:r>
            <w:r>
              <w:rPr>
                <w:sz w:val="18"/>
                <w:szCs w:val="18"/>
              </w:rPr>
              <w:t>4</w:t>
            </w:r>
          </w:p>
        </w:tc>
        <w:tc>
          <w:tcPr>
            <w:tcW w:w="0" w:type="auto"/>
            <w:vAlign w:val="center"/>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spacing w:before="240" w:beforeAutospacing="0" w:after="0" w:afterAutospacing="0"/>
        <w:ind w:firstLine="555"/>
        <w:rPr>
          <w:sz w:val="20"/>
          <w:szCs w:val="20"/>
        </w:rPr>
      </w:pPr>
      <w:r>
        <w:rPr>
          <w:sz w:val="20"/>
          <w:szCs w:val="20"/>
        </w:rPr>
        <w:t>We expect that amortization of identifiable intangible assets and other acquisition-related costs, assuming we continue to acquire, will continue to be significant</w:t>
      </w:r>
      <w:r>
        <w:rPr>
          <w:sz w:val="20"/>
          <w:szCs w:val="20"/>
        </w:rPr>
        <w:t>.</w:t>
      </w:r>
    </w:p>
    <w:p w:rsidR="00000000" w:rsidRDefault="002D33E3">
      <w:pPr>
        <w:pStyle w:val="a3"/>
        <w:spacing w:before="240" w:beforeAutospacing="0" w:after="0" w:afterAutospacing="0"/>
        <w:ind w:firstLine="555"/>
        <w:rPr>
          <w:sz w:val="20"/>
          <w:szCs w:val="20"/>
        </w:rPr>
      </w:pPr>
      <w:r>
        <w:rPr>
          <w:sz w:val="20"/>
          <w:szCs w:val="20"/>
        </w:rPr>
        <w:t>Additionally, we made earn-out payments of $30.0 million and $50.0 million in March 2022 an</w:t>
      </w:r>
      <w:r>
        <w:rPr>
          <w:sz w:val="20"/>
          <w:szCs w:val="20"/>
        </w:rPr>
        <w:t xml:space="preserve">d April 2021, respectively, in connection with our CTEH acquisition. $25.0 million of the 2021 CTEH earn-out payment was made in the form of shares of our common stock. In connection with our Vista, Sensible, ECI and EnvStd acquisitions, we may make up to </w:t>
      </w:r>
      <w:r>
        <w:rPr>
          <w:sz w:val="20"/>
          <w:szCs w:val="20"/>
        </w:rPr>
        <w:t>$8.7 million in aggregate earn-out payments between the years 2022 and 2025. See Note 7 to our unaudited condensed consolidated financial statements included in Part I, Item 1. “Financial Statements.</w:t>
      </w:r>
      <w:r>
        <w:rPr>
          <w:sz w:val="20"/>
          <w:szCs w:val="20"/>
        </w:rPr>
        <w:t>”</w:t>
      </w:r>
    </w:p>
    <w:p w:rsidR="00000000" w:rsidRDefault="002D33E3">
      <w:pPr>
        <w:pStyle w:val="a3"/>
        <w:spacing w:before="360" w:beforeAutospacing="0" w:after="0" w:afterAutospacing="0"/>
        <w:ind w:firstLine="555"/>
        <w:rPr>
          <w:sz w:val="20"/>
          <w:szCs w:val="20"/>
        </w:rPr>
      </w:pPr>
      <w:r>
        <w:rPr>
          <w:b/>
          <w:bCs/>
          <w:i/>
          <w:iCs/>
          <w:sz w:val="20"/>
          <w:szCs w:val="20"/>
        </w:rPr>
        <w:t>Organic Growt</w:t>
      </w:r>
      <w:r>
        <w:rPr>
          <w:b/>
          <w:bCs/>
          <w:i/>
          <w:iCs/>
          <w:sz w:val="20"/>
          <w:szCs w:val="20"/>
        </w:rPr>
        <w:t>h</w:t>
      </w:r>
    </w:p>
    <w:p w:rsidR="00000000" w:rsidRDefault="002D33E3">
      <w:pPr>
        <w:pStyle w:val="a3"/>
        <w:spacing w:before="120" w:beforeAutospacing="0" w:after="0" w:afterAutospacing="0"/>
        <w:ind w:firstLine="555"/>
        <w:rPr>
          <w:sz w:val="20"/>
          <w:szCs w:val="20"/>
        </w:rPr>
      </w:pPr>
      <w:r>
        <w:rPr>
          <w:sz w:val="20"/>
          <w:szCs w:val="20"/>
        </w:rPr>
        <w:t>We define organic growth as the change i</w:t>
      </w:r>
      <w:r>
        <w:rPr>
          <w:sz w:val="20"/>
          <w:szCs w:val="20"/>
        </w:rPr>
        <w:t>n revenues excluding revenues from acquisitions for the first twelve months following the date of acquisition and excluding revenues from businesses disposed of or discontinued. As a result of the potential annual volatility in CTEH’s revenues due to the e</w:t>
      </w:r>
      <w:r>
        <w:rPr>
          <w:sz w:val="20"/>
          <w:szCs w:val="20"/>
        </w:rPr>
        <w:t>mergency response aspect of their business, we also disclose organic growth without the annual organic revenue growth of CTEH. We expect to continue to disclose organic revenue growth with and without CTEH. Management uses organic growth as one of the mean</w:t>
      </w:r>
      <w:r>
        <w:rPr>
          <w:sz w:val="20"/>
          <w:szCs w:val="20"/>
        </w:rPr>
        <w:t xml:space="preserve">s by which it assesses our results of operations. Organic growth is not, however, a measure of revenue growth calculated in accordance with U.S. generally accepted accounting principles, or GAAP, and should be considered in conjunction with revenue growth </w:t>
      </w:r>
      <w:r>
        <w:rPr>
          <w:sz w:val="20"/>
          <w:szCs w:val="20"/>
        </w:rPr>
        <w:t>calculated in accordance with GAAP. We have grown organically and expect to continue to do so</w:t>
      </w:r>
      <w:r>
        <w:rPr>
          <w:sz w:val="20"/>
          <w:szCs w:val="20"/>
        </w:rPr>
        <w:t>.</w:t>
      </w:r>
      <w:r>
        <w:rPr>
          <w:sz w:val="20"/>
          <w:szCs w:val="20"/>
        </w:rPr>
        <w:t xml:space="preserve"> </w:t>
      </w:r>
    </w:p>
    <w:p w:rsidR="00000000" w:rsidRDefault="002D33E3">
      <w:pPr>
        <w:pStyle w:val="a3"/>
        <w:spacing w:before="360" w:beforeAutospacing="0" w:after="0" w:afterAutospacing="0"/>
        <w:ind w:firstLine="555"/>
        <w:rPr>
          <w:sz w:val="20"/>
          <w:szCs w:val="20"/>
        </w:rPr>
      </w:pPr>
      <w:r>
        <w:rPr>
          <w:b/>
          <w:bCs/>
          <w:i/>
          <w:iCs/>
          <w:sz w:val="20"/>
          <w:szCs w:val="20"/>
        </w:rPr>
        <w:t>Revenue Mi</w:t>
      </w:r>
      <w:r>
        <w:rPr>
          <w:b/>
          <w:bCs/>
          <w:i/>
          <w:iCs/>
          <w:sz w:val="20"/>
          <w:szCs w:val="20"/>
        </w:rPr>
        <w:t>x</w:t>
      </w:r>
    </w:p>
    <w:p w:rsidR="00000000" w:rsidRDefault="002D33E3">
      <w:pPr>
        <w:pStyle w:val="a3"/>
        <w:spacing w:before="120" w:beforeAutospacing="0" w:after="0" w:afterAutospacing="0"/>
        <w:ind w:firstLine="555"/>
        <w:rPr>
          <w:sz w:val="20"/>
          <w:szCs w:val="20"/>
        </w:rPr>
      </w:pPr>
      <w:r>
        <w:rPr>
          <w:sz w:val="20"/>
          <w:szCs w:val="20"/>
        </w:rPr>
        <w:t>Our segments generate different levels of profitability and, accordingly, shifts in the mix of revenues between segments can impact our consolidated</w:t>
      </w:r>
      <w:r>
        <w:rPr>
          <w:sz w:val="20"/>
          <w:szCs w:val="20"/>
        </w:rPr>
        <w:t xml:space="preserve"> reported net income, net loss margin, Adjusted EBITDA and Adjusted EBITDA margin from quarter to quarter and year to year. Inter-company revenues between business lines within segments have been eliminated. See Note 18 to our unaudited condensed consolida</w:t>
      </w:r>
      <w:r>
        <w:rPr>
          <w:sz w:val="20"/>
          <w:szCs w:val="20"/>
        </w:rPr>
        <w:t>ted financial statements included in Part 1, Item 1 “Financial Statements.</w:t>
      </w:r>
      <w:r>
        <w:rPr>
          <w:sz w:val="20"/>
          <w:szCs w:val="20"/>
        </w:rPr>
        <w:t>”</w:t>
      </w:r>
      <w:r>
        <w:rPr>
          <w:sz w:val="20"/>
          <w:szCs w:val="20"/>
        </w:rPr>
        <w:t xml:space="preserve"> </w:t>
      </w:r>
    </w:p>
    <w:p w:rsidR="00000000" w:rsidRDefault="002D33E3">
      <w:pPr>
        <w:pStyle w:val="a3"/>
        <w:spacing w:before="360" w:beforeAutospacing="0" w:after="0" w:afterAutospacing="0"/>
        <w:ind w:firstLine="555"/>
        <w:rPr>
          <w:sz w:val="20"/>
          <w:szCs w:val="20"/>
        </w:rPr>
      </w:pPr>
      <w:r>
        <w:rPr>
          <w:b/>
          <w:bCs/>
          <w:i/>
          <w:iCs/>
          <w:sz w:val="20"/>
          <w:szCs w:val="20"/>
        </w:rPr>
        <w:t>Financing Cost</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Financing costs, relating primarily to interest expense on our debt, continue to be a significant component of our results of operations. We incurred interest expe</w:t>
      </w:r>
      <w:r>
        <w:rPr>
          <w:sz w:val="20"/>
          <w:szCs w:val="20"/>
        </w:rPr>
        <w:t>nse of $1.1 million and $2.7 million during the three months ended March 31, 2022 and March 31, 2021, respectively</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On April 27, 2021, we entered into the 2021 Credit Facility and repaid all amounts outstanding under the prior Credit Facility. The 2021 Cr</w:t>
      </w:r>
      <w:r>
        <w:rPr>
          <w:sz w:val="20"/>
          <w:szCs w:val="20"/>
        </w:rPr>
        <w:t>edit Facility consists of a $175.0 million term loan and a $125.0 million revolving credit facility. The interest rate on the 2021 Credit Facility varies depending on leverage, with a minimum of LIBOR plus 1.5% and a maximum of LIBOR plus 2.5%. We incurred</w:t>
      </w:r>
      <w:r>
        <w:rPr>
          <w:sz w:val="20"/>
          <w:szCs w:val="20"/>
        </w:rPr>
        <w:t xml:space="preserve"> debt extinguishment costs of $4.1 million in connection with this refinancing</w:t>
      </w:r>
      <w:r>
        <w:rPr>
          <w:sz w:val="20"/>
          <w:szCs w:val="20"/>
        </w:rPr>
        <w:t>.</w:t>
      </w:r>
    </w:p>
    <w:p w:rsidR="00000000" w:rsidRDefault="002D33E3">
      <w:pPr>
        <w:pStyle w:val="a3"/>
        <w:spacing w:before="240" w:beforeAutospacing="0" w:after="0" w:afterAutospacing="0"/>
        <w:ind w:firstLine="555"/>
        <w:rPr>
          <w:sz w:val="20"/>
          <w:szCs w:val="20"/>
        </w:rPr>
      </w:pPr>
      <w:r>
        <w:rPr>
          <w:sz w:val="20"/>
          <w:szCs w:val="20"/>
        </w:rPr>
        <w:t>Furthermore, effective January 27, 2022, we entered into an interest rate swap transaction fixing the floating component of the interest rate on $100.0 million of borrowings to 1.39% until January 27, 2025</w:t>
      </w:r>
      <w:r>
        <w:rPr>
          <w:sz w:val="20"/>
          <w:szCs w:val="20"/>
        </w:rPr>
        <w:t>.</w:t>
      </w:r>
    </w:p>
    <w:p w:rsidR="00000000" w:rsidRDefault="002D33E3">
      <w:pPr>
        <w:pStyle w:val="a3"/>
        <w:spacing w:before="240" w:beforeAutospacing="0" w:after="0" w:afterAutospacing="0"/>
        <w:ind w:firstLine="555"/>
        <w:rPr>
          <w:sz w:val="20"/>
          <w:szCs w:val="20"/>
        </w:rPr>
      </w:pPr>
      <w:r>
        <w:rPr>
          <w:sz w:val="20"/>
          <w:szCs w:val="20"/>
        </w:rPr>
        <w:t>We expect interest expense to remain a significan</w:t>
      </w:r>
      <w:r>
        <w:rPr>
          <w:sz w:val="20"/>
          <w:szCs w:val="20"/>
        </w:rPr>
        <w:t>t cost as we continue to leverage our credit facility to support our operations and future acquisitions</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 xml:space="preserve">See Note 12 to our unaudited condensed consolidated financial statements included in Part 1, Item 1 “Financial Statements” and “Liquidity and Capital </w:t>
      </w:r>
      <w:r>
        <w:rPr>
          <w:sz w:val="20"/>
          <w:szCs w:val="20"/>
        </w:rPr>
        <w:t>Resources.</w:t>
      </w:r>
      <w:r>
        <w:rPr>
          <w:sz w:val="20"/>
          <w:szCs w:val="20"/>
        </w:rPr>
        <w:t>”</w:t>
      </w:r>
    </w:p>
    <w:p w:rsidR="00000000" w:rsidRDefault="002D33E3">
      <w:pPr>
        <w:pStyle w:val="a3"/>
        <w:spacing w:before="360" w:beforeAutospacing="0" w:after="0" w:afterAutospacing="0"/>
        <w:ind w:firstLine="555"/>
        <w:rPr>
          <w:sz w:val="20"/>
          <w:szCs w:val="20"/>
        </w:rPr>
      </w:pPr>
      <w:r>
        <w:rPr>
          <w:b/>
          <w:bCs/>
          <w:i/>
          <w:iCs/>
          <w:sz w:val="20"/>
          <w:szCs w:val="20"/>
        </w:rPr>
        <w:t>Corporate and Operational Infrastructure Investment</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Our historical operating results reflect the impact of our ongoing investments in our corporate infrastructure to support our growth. We have made and expect to continue to make investments i</w:t>
      </w:r>
      <w:r>
        <w:rPr>
          <w:sz w:val="20"/>
          <w:szCs w:val="20"/>
        </w:rPr>
        <w:t>n our business platform that we believe have laid the foundation for continued growth. Investments in logistics, quality, risk management, sales and marketing, safety, human resources, research an</w:t>
      </w:r>
      <w:r>
        <w:rPr>
          <w:sz w:val="20"/>
          <w:szCs w:val="20"/>
        </w:rPr>
        <w:t>d</w:t>
      </w:r>
      <w:r>
        <w:rPr>
          <w:sz w:val="20"/>
          <w:szCs w:val="20"/>
        </w:rPr>
        <w:t xml:space="preserve"> </w:t>
      </w:r>
    </w:p>
    <w:p w:rsidR="00000000" w:rsidRDefault="002D33E3">
      <w:pPr>
        <w:pStyle w:val="a3"/>
        <w:spacing w:before="240" w:beforeAutospacing="0" w:after="0" w:afterAutospacing="0"/>
        <w:jc w:val="center"/>
        <w:rPr>
          <w:sz w:val="20"/>
          <w:szCs w:val="20"/>
        </w:rPr>
      </w:pPr>
      <w:r>
        <w:rPr>
          <w:sz w:val="20"/>
          <w:szCs w:val="20"/>
        </w:rPr>
        <w:t>3</w:t>
      </w:r>
      <w:r>
        <w:rPr>
          <w:sz w:val="20"/>
          <w:szCs w:val="20"/>
        </w:rPr>
        <w:t>1</w:t>
      </w:r>
    </w:p>
    <w:p w:rsidR="00000000" w:rsidRDefault="002D33E3">
      <w:pPr>
        <w:rPr>
          <w:rFonts w:eastAsia="Times New Roman"/>
        </w:rPr>
      </w:pPr>
      <w:r>
        <w:rPr>
          <w:rFonts w:eastAsia="Times New Roman"/>
        </w:rPr>
        <w:pict>
          <v:rect id="_x0000_i1057"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120" w:beforeAutospacing="0" w:after="0" w:afterAutospacing="0"/>
        <w:rPr>
          <w:sz w:val="20"/>
          <w:szCs w:val="20"/>
        </w:rPr>
      </w:pPr>
      <w:r>
        <w:rPr>
          <w:sz w:val="20"/>
          <w:szCs w:val="20"/>
        </w:rPr>
        <w:t>development, fin</w:t>
      </w:r>
      <w:r>
        <w:rPr>
          <w:sz w:val="20"/>
          <w:szCs w:val="20"/>
        </w:rPr>
        <w:t>ance and information technology and other areas enable us to support continued growth. These investments have allowed us to improve our margins</w:t>
      </w:r>
      <w:r>
        <w:rPr>
          <w:sz w:val="20"/>
          <w:szCs w:val="20"/>
        </w:rPr>
        <w:t>.</w:t>
      </w:r>
    </w:p>
    <w:p w:rsidR="00000000" w:rsidRDefault="002D33E3">
      <w:pPr>
        <w:pStyle w:val="a3"/>
        <w:spacing w:before="360" w:beforeAutospacing="0" w:after="0" w:afterAutospacing="0"/>
        <w:ind w:firstLine="555"/>
        <w:rPr>
          <w:sz w:val="20"/>
          <w:szCs w:val="20"/>
        </w:rPr>
      </w:pPr>
      <w:r>
        <w:rPr>
          <w:b/>
          <w:bCs/>
          <w:i/>
          <w:iCs/>
          <w:sz w:val="20"/>
          <w:szCs w:val="20"/>
        </w:rPr>
        <w:t>Seasonalit</w:t>
      </w:r>
      <w:r>
        <w:rPr>
          <w:b/>
          <w:bCs/>
          <w:i/>
          <w:iCs/>
          <w:sz w:val="20"/>
          <w:szCs w:val="20"/>
        </w:rPr>
        <w:t>y</w:t>
      </w:r>
    </w:p>
    <w:p w:rsidR="00000000" w:rsidRDefault="002D33E3">
      <w:pPr>
        <w:pStyle w:val="a3"/>
        <w:spacing w:before="120" w:beforeAutospacing="0" w:after="0" w:afterAutospacing="0"/>
        <w:ind w:firstLine="555"/>
        <w:rPr>
          <w:sz w:val="20"/>
          <w:szCs w:val="20"/>
        </w:rPr>
      </w:pPr>
      <w:r>
        <w:rPr>
          <w:sz w:val="20"/>
          <w:szCs w:val="20"/>
        </w:rPr>
        <w:t>Due to the field-based nature of certain of our services, weather patterns generally impact our fie</w:t>
      </w:r>
      <w:r>
        <w:rPr>
          <w:sz w:val="20"/>
          <w:szCs w:val="20"/>
        </w:rPr>
        <w:t xml:space="preserve">ld-based teams’ ability to operate in the winter months. As a result, our operating results in our Measurement and Analysis segment experience some quarterly variability with generally lower revenues and lower earnings in the first and fourth quarters and </w:t>
      </w:r>
      <w:r>
        <w:rPr>
          <w:sz w:val="20"/>
          <w:szCs w:val="20"/>
        </w:rPr>
        <w:t>higher overall revenues and earnings in the second and third quarters. As we continue to grow and expand into new geographies and service lines, quarterly variability in our Measurement and Analysis segment may deviate from historical trends</w:t>
      </w:r>
      <w:r>
        <w:rPr>
          <w:sz w:val="20"/>
          <w:szCs w:val="20"/>
        </w:rPr>
        <w:t>.</w:t>
      </w:r>
    </w:p>
    <w:p w:rsidR="00000000" w:rsidRDefault="002D33E3">
      <w:pPr>
        <w:pStyle w:val="a3"/>
        <w:spacing w:before="360" w:beforeAutospacing="0" w:after="0" w:afterAutospacing="0"/>
        <w:ind w:firstLine="555"/>
        <w:rPr>
          <w:sz w:val="20"/>
          <w:szCs w:val="20"/>
        </w:rPr>
      </w:pPr>
      <w:r>
        <w:rPr>
          <w:b/>
          <w:bCs/>
          <w:i/>
          <w:iCs/>
          <w:sz w:val="20"/>
          <w:szCs w:val="20"/>
        </w:rPr>
        <w:t>Earnings Vola</w:t>
      </w:r>
      <w:r>
        <w:rPr>
          <w:b/>
          <w:bCs/>
          <w:i/>
          <w:iCs/>
          <w:sz w:val="20"/>
          <w:szCs w:val="20"/>
        </w:rPr>
        <w:t>tilit</w:t>
      </w:r>
      <w:r>
        <w:rPr>
          <w:b/>
          <w:bCs/>
          <w:i/>
          <w:iCs/>
          <w:sz w:val="20"/>
          <w:szCs w:val="20"/>
        </w:rPr>
        <w:t>y</w:t>
      </w:r>
    </w:p>
    <w:p w:rsidR="00000000" w:rsidRDefault="002D33E3">
      <w:pPr>
        <w:pStyle w:val="a3"/>
        <w:spacing w:before="120" w:beforeAutospacing="0" w:after="0" w:afterAutospacing="0"/>
        <w:ind w:firstLine="555"/>
        <w:rPr>
          <w:sz w:val="20"/>
          <w:szCs w:val="20"/>
        </w:rPr>
      </w:pPr>
      <w:r>
        <w:rPr>
          <w:sz w:val="20"/>
          <w:szCs w:val="20"/>
        </w:rPr>
        <w:t>In addition to the impact of seasonality on earnings, the acquisition of CTEH exposes us to potentially significant revenue and earnings fluctuations tied both to the timing of large environmental emergency response projects following an incident or</w:t>
      </w:r>
      <w:r>
        <w:rPr>
          <w:sz w:val="20"/>
          <w:szCs w:val="20"/>
        </w:rPr>
        <w:t xml:space="preserve"> natural disaster, and more recently, the benefit from COVID related work. The benefit from COVID related work began in the third quarter of 2020, peaked in the first quarter of 2021 and has declined each subsequent quarter, although demand has continued t</w:t>
      </w:r>
      <w:r>
        <w:rPr>
          <w:sz w:val="20"/>
          <w:szCs w:val="20"/>
        </w:rPr>
        <w:t>hrough March 31, 2022. Demand for COVID-19 related or environmental emergency response services provided by CTEH remains difficult to predict and as a result, we may have experienced revenues and earnings in both the three months ended March 31, 2022 and M</w:t>
      </w:r>
      <w:r>
        <w:rPr>
          <w:sz w:val="20"/>
          <w:szCs w:val="20"/>
        </w:rPr>
        <w:t>arch 31, 2021 that are not indicative of future results, making those periods particularly difficult comparisons for future periods. We do however expect that a portion of the lost COVID-19 response revenues will be offset by other CTEH service line revenu</w:t>
      </w:r>
      <w:r>
        <w:rPr>
          <w:sz w:val="20"/>
          <w:szCs w:val="20"/>
        </w:rPr>
        <w:t xml:space="preserve">es as internal resources are freed up from the COVID-19 response work. Earnings volatility is also driven by the timing of large projects, particularly in our Remediation and Reuse segment, and the impact of acquisitions. As a result of these factors, and </w:t>
      </w:r>
      <w:r>
        <w:rPr>
          <w:sz w:val="20"/>
          <w:szCs w:val="20"/>
        </w:rPr>
        <w:t>because demand for environmental services is not driven by specific or predictable patterns in one or more fiscal quarters, our business is better assessed based on yearly results</w:t>
      </w:r>
      <w:r>
        <w:rPr>
          <w:sz w:val="20"/>
          <w:szCs w:val="20"/>
        </w:rPr>
        <w:t>.</w:t>
      </w:r>
      <w:r>
        <w:rPr>
          <w:sz w:val="20"/>
          <w:szCs w:val="20"/>
        </w:rPr>
        <w:t xml:space="preserve"> </w:t>
      </w:r>
    </w:p>
    <w:p w:rsidR="00000000" w:rsidRDefault="002D33E3">
      <w:pPr>
        <w:pStyle w:val="a3"/>
        <w:spacing w:before="240" w:beforeAutospacing="0" w:after="0" w:afterAutospacing="0"/>
        <w:jc w:val="center"/>
        <w:rPr>
          <w:sz w:val="20"/>
          <w:szCs w:val="20"/>
        </w:rPr>
      </w:pPr>
      <w:r>
        <w:rPr>
          <w:sz w:val="20"/>
          <w:szCs w:val="20"/>
        </w:rPr>
        <w:t>3</w:t>
      </w:r>
      <w:r>
        <w:rPr>
          <w:sz w:val="20"/>
          <w:szCs w:val="20"/>
        </w:rPr>
        <w:t>2</w:t>
      </w:r>
    </w:p>
    <w:p w:rsidR="00000000" w:rsidRDefault="002D33E3">
      <w:pPr>
        <w:rPr>
          <w:rFonts w:eastAsia="Times New Roman"/>
        </w:rPr>
      </w:pPr>
      <w:r>
        <w:rPr>
          <w:rFonts w:eastAsia="Times New Roman"/>
        </w:rPr>
        <w:pict>
          <v:rect id="_x0000_i1058"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rPr>
          <w:sz w:val="20"/>
          <w:szCs w:val="20"/>
        </w:rPr>
      </w:pPr>
      <w:r>
        <w:rPr>
          <w:b/>
          <w:bCs/>
          <w:sz w:val="20"/>
          <w:szCs w:val="20"/>
        </w:rPr>
        <w:t>Results of Operation</w:t>
      </w:r>
      <w:r>
        <w:rPr>
          <w:b/>
          <w:bCs/>
          <w:sz w:val="20"/>
          <w:szCs w:val="20"/>
        </w:rPr>
        <w:t>s</w:t>
      </w:r>
    </w:p>
    <w:p w:rsidR="00000000" w:rsidRDefault="002D33E3">
      <w:pPr>
        <w:pStyle w:val="a3"/>
        <w:spacing w:before="120" w:beforeAutospacing="0" w:after="0" w:afterAutospacing="0"/>
        <w:rPr>
          <w:sz w:val="20"/>
          <w:szCs w:val="20"/>
        </w:rPr>
      </w:pPr>
      <w:r>
        <w:rPr>
          <w:b/>
          <w:bCs/>
          <w:i/>
          <w:iCs/>
          <w:sz w:val="20"/>
          <w:szCs w:val="20"/>
        </w:rPr>
        <w:t>Three Mont</w:t>
      </w:r>
      <w:r>
        <w:rPr>
          <w:b/>
          <w:bCs/>
          <w:i/>
          <w:iCs/>
          <w:sz w:val="20"/>
          <w:szCs w:val="20"/>
        </w:rPr>
        <w:t>hs Ended March 31, 2022 Compared to the Three Months Ended March 31, 202</w:t>
      </w:r>
      <w:r>
        <w:rPr>
          <w:b/>
          <w:bCs/>
          <w:i/>
          <w:iCs/>
          <w:sz w:val="20"/>
          <w:szCs w:val="20"/>
        </w:rPr>
        <w:t>1</w:t>
      </w:r>
    </w:p>
    <w:p w:rsidR="00000000" w:rsidRDefault="002D33E3">
      <w:pPr>
        <w:pStyle w:val="a3"/>
        <w:spacing w:before="0" w:beforeAutospacing="0" w:after="0" w:afterAutospacing="0"/>
        <w:rPr>
          <w:sz w:val="20"/>
          <w:szCs w:val="20"/>
        </w:rPr>
      </w:pPr>
      <w: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95"/>
        <w:gridCol w:w="105"/>
        <w:gridCol w:w="150"/>
        <w:gridCol w:w="697"/>
        <w:gridCol w:w="300"/>
        <w:gridCol w:w="105"/>
        <w:gridCol w:w="150"/>
        <w:gridCol w:w="697"/>
        <w:gridCol w:w="315"/>
      </w:tblGrid>
      <w:tr w:rsidR="00000000">
        <w:trPr>
          <w:tblCellSpacing w:w="15" w:type="dxa"/>
        </w:trPr>
        <w:tc>
          <w:tcPr>
            <w:tcW w:w="2979" w:type="pct"/>
            <w:vAlign w:val="center"/>
            <w:hideMark/>
          </w:tcPr>
          <w:p w:rsidR="00000000" w:rsidRDefault="002D33E3">
            <w:pPr>
              <w:rPr>
                <w:sz w:val="20"/>
                <w:szCs w:val="20"/>
              </w:rPr>
            </w:pPr>
          </w:p>
        </w:tc>
        <w:tc>
          <w:tcPr>
            <w:tcW w:w="68" w:type="pct"/>
            <w:vAlign w:val="center"/>
            <w:hideMark/>
          </w:tcPr>
          <w:p w:rsidR="00000000" w:rsidRDefault="002D33E3">
            <w:pPr>
              <w:rPr>
                <w:rFonts w:eastAsia="Times New Roman"/>
                <w:sz w:val="20"/>
                <w:szCs w:val="20"/>
              </w:rPr>
            </w:pPr>
          </w:p>
        </w:tc>
        <w:tc>
          <w:tcPr>
            <w:tcW w:w="87" w:type="pct"/>
            <w:vAlign w:val="center"/>
            <w:hideMark/>
          </w:tcPr>
          <w:p w:rsidR="00000000" w:rsidRDefault="002D33E3">
            <w:pPr>
              <w:rPr>
                <w:rFonts w:eastAsia="Times New Roman"/>
                <w:sz w:val="20"/>
                <w:szCs w:val="20"/>
              </w:rPr>
            </w:pPr>
          </w:p>
        </w:tc>
        <w:tc>
          <w:tcPr>
            <w:tcW w:w="639" w:type="pct"/>
            <w:vAlign w:val="center"/>
            <w:hideMark/>
          </w:tcPr>
          <w:p w:rsidR="00000000" w:rsidRDefault="002D33E3">
            <w:pPr>
              <w:rPr>
                <w:rFonts w:eastAsia="Times New Roman"/>
                <w:sz w:val="20"/>
                <w:szCs w:val="20"/>
              </w:rPr>
            </w:pPr>
          </w:p>
        </w:tc>
        <w:tc>
          <w:tcPr>
            <w:tcW w:w="214" w:type="pct"/>
            <w:vAlign w:val="center"/>
            <w:hideMark/>
          </w:tcPr>
          <w:p w:rsidR="00000000" w:rsidRDefault="002D33E3">
            <w:pPr>
              <w:rPr>
                <w:rFonts w:eastAsia="Times New Roman"/>
                <w:sz w:val="20"/>
                <w:szCs w:val="20"/>
              </w:rPr>
            </w:pPr>
          </w:p>
        </w:tc>
        <w:tc>
          <w:tcPr>
            <w:tcW w:w="68" w:type="pct"/>
            <w:vAlign w:val="center"/>
            <w:hideMark/>
          </w:tcPr>
          <w:p w:rsidR="00000000" w:rsidRDefault="002D33E3">
            <w:pPr>
              <w:rPr>
                <w:rFonts w:eastAsia="Times New Roman"/>
                <w:sz w:val="20"/>
                <w:szCs w:val="20"/>
              </w:rPr>
            </w:pPr>
          </w:p>
        </w:tc>
        <w:tc>
          <w:tcPr>
            <w:tcW w:w="87" w:type="pct"/>
            <w:vAlign w:val="center"/>
            <w:hideMark/>
          </w:tcPr>
          <w:p w:rsidR="00000000" w:rsidRDefault="002D33E3">
            <w:pPr>
              <w:rPr>
                <w:rFonts w:eastAsia="Times New Roman"/>
                <w:sz w:val="20"/>
                <w:szCs w:val="20"/>
              </w:rPr>
            </w:pPr>
          </w:p>
        </w:tc>
        <w:tc>
          <w:tcPr>
            <w:tcW w:w="639" w:type="pct"/>
            <w:vAlign w:val="center"/>
            <w:hideMark/>
          </w:tcPr>
          <w:p w:rsidR="00000000" w:rsidRDefault="002D33E3">
            <w:pPr>
              <w:rPr>
                <w:rFonts w:eastAsia="Times New Roman"/>
                <w:sz w:val="20"/>
                <w:szCs w:val="20"/>
              </w:rPr>
            </w:pPr>
          </w:p>
        </w:tc>
        <w:tc>
          <w:tcPr>
            <w:tcW w:w="214" w:type="pct"/>
            <w:vAlign w:val="center"/>
            <w:hideMark/>
          </w:tcPr>
          <w:p w:rsidR="00000000" w:rsidRDefault="002D33E3">
            <w:pPr>
              <w:rPr>
                <w:rFonts w:eastAsia="Times New Roman"/>
                <w:sz w:val="20"/>
                <w:szCs w:val="20"/>
              </w:rPr>
            </w:pP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(in thousands, except per share and percentage data</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Statements of operations data</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Revenue</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134,68</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133,81</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Cost of revenues (exclusive of depreciation and amortization</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88,38</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95,31</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41,80</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25,00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Fair value changes in business acquisitions </w:t>
            </w:r>
            <w:r>
              <w:rPr>
                <w:sz w:val="18"/>
                <w:szCs w:val="18"/>
              </w:rPr>
              <w:br/>
              <w:t>   contingent consideratio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11,06</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12,14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11,79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Loss from operation</w:t>
            </w:r>
            <w:r>
              <w:rPr>
                <w:b/>
                <w:bCs/>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(7,63</w:t>
            </w:r>
            <w:r>
              <w:rPr>
                <w:b/>
                <w:bCs/>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(9,35</w:t>
            </w:r>
            <w:r>
              <w:rPr>
                <w:b/>
                <w:bCs/>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Other income (expense</w:t>
            </w: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2,46</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(88</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Interest expense, ne</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(1,09</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(2,68</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Loss before income taxe</w:t>
            </w:r>
            <w:r>
              <w:rPr>
                <w:b/>
                <w:bCs/>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(6,26</w:t>
            </w:r>
            <w:r>
              <w:rPr>
                <w:b/>
                <w:bCs/>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(12,92</w:t>
            </w:r>
            <w:r>
              <w:rPr>
                <w:b/>
                <w:bCs/>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Income tax expens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1,26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Net los</w:t>
            </w:r>
            <w:r>
              <w:rPr>
                <w:b/>
                <w:bCs/>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(7,53</w:t>
            </w:r>
            <w:r>
              <w:rPr>
                <w:b/>
                <w:bCs/>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(12,93</w:t>
            </w:r>
            <w:r>
              <w:rPr>
                <w:b/>
                <w:bCs/>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ind w:left="200"/>
              <w:rPr>
                <w:sz w:val="18"/>
                <w:szCs w:val="18"/>
              </w:rPr>
            </w:pPr>
            <w:r>
              <w:rPr>
                <w:sz w:val="18"/>
                <w:szCs w:val="18"/>
              </w:rPr>
              <w:t>Series A-2 dividend paymen</w:t>
            </w:r>
            <w:r>
              <w:rPr>
                <w:sz w:val="18"/>
                <w:szCs w:val="18"/>
              </w:rPr>
              <w:t>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(4,10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(4,10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Net loss attributable to common stockholder</w:t>
            </w:r>
            <w:r>
              <w:rPr>
                <w:b/>
                <w:bCs/>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(11,63</w:t>
            </w:r>
            <w:r>
              <w:rPr>
                <w:b/>
                <w:bCs/>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(17,03</w:t>
            </w:r>
            <w:r>
              <w:rPr>
                <w:b/>
                <w:bCs/>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Weighted average number of shares — basic and dilute</w:t>
            </w:r>
            <w:r>
              <w:rPr>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29,66</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25,11</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Loss per share — basic and dilute</w:t>
            </w:r>
            <w:r>
              <w:rPr>
                <w:b/>
                <w:bCs/>
                <w:sz w:val="18"/>
                <w:szCs w:val="18"/>
              </w:rPr>
              <w:t>d</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(0.3</w:t>
            </w:r>
            <w:r>
              <w:rPr>
                <w:b/>
                <w:bCs/>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(0.6</w:t>
            </w:r>
            <w:r>
              <w:rPr>
                <w:b/>
                <w:bCs/>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Other financial data</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Net loss margi</w:t>
            </w:r>
            <w:r>
              <w:rPr>
                <w:b/>
                <w:bCs/>
                <w:sz w:val="18"/>
                <w:szCs w:val="18"/>
              </w:rPr>
              <w:t>n</w:t>
            </w:r>
            <w:r>
              <w:rPr>
                <w:b/>
                <w:bCs/>
                <w:sz w:val="12"/>
                <w:szCs w:val="12"/>
              </w:rPr>
              <w:t>(1</w:t>
            </w:r>
            <w:r>
              <w:rPr>
                <w:b/>
                <w:bCs/>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(5.</w:t>
            </w:r>
            <w:r>
              <w:rPr>
                <w:b/>
                <w:bCs/>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(9.</w:t>
            </w:r>
            <w:r>
              <w:rPr>
                <w:b/>
                <w:bCs/>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r>
              <w:rPr>
                <w:b/>
                <w:bCs/>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Adjusted EBITDA</w:t>
            </w:r>
            <w:r>
              <w:rPr>
                <w:b/>
                <w:bCs/>
                <w:sz w:val="18"/>
                <w:szCs w:val="18"/>
              </w:rPr>
              <w:t xml:space="preserve"> </w:t>
            </w:r>
            <w:r>
              <w:rPr>
                <w:b/>
                <w:bCs/>
                <w:sz w:val="12"/>
                <w:szCs w:val="12"/>
              </w:rPr>
              <w:t>(2</w:t>
            </w:r>
            <w:r>
              <w:rPr>
                <w:b/>
                <w:bCs/>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16,45</w:t>
            </w:r>
            <w:r>
              <w:rPr>
                <w:b/>
                <w:bCs/>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16,80</w:t>
            </w:r>
            <w:r>
              <w:rPr>
                <w:b/>
                <w:bCs/>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Adjusted EBITDA margin</w:t>
            </w:r>
            <w:r>
              <w:rPr>
                <w:b/>
                <w:bCs/>
                <w:sz w:val="18"/>
                <w:szCs w:val="18"/>
              </w:rPr>
              <w:t xml:space="preserve"> </w:t>
            </w:r>
            <w:r>
              <w:rPr>
                <w:b/>
                <w:bCs/>
                <w:sz w:val="12"/>
                <w:szCs w:val="12"/>
              </w:rPr>
              <w:t>(2</w:t>
            </w:r>
            <w:r>
              <w:rPr>
                <w:b/>
                <w:bCs/>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12.</w:t>
            </w:r>
            <w:r>
              <w:rPr>
                <w:b/>
                <w:bCs/>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12.</w:t>
            </w:r>
            <w:r>
              <w:rPr>
                <w:b/>
                <w:bCs/>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r>
    </w:tbl>
    <w:p w:rsidR="00000000" w:rsidRDefault="002D33E3">
      <w:pPr>
        <w:pStyle w:val="a3"/>
        <w:pBdr>
          <w:bottom w:val="single" w:sz="4" w:space="1" w:color="auto"/>
        </w:pBdr>
        <w:spacing w:before="0" w:beforeAutospacing="0" w:after="0" w:afterAutospacing="0"/>
        <w:ind w:right="9167"/>
        <w:rPr>
          <w:sz w:val="20"/>
          <w:szCs w:val="20"/>
        </w:rPr>
      </w:pPr>
      <w:r>
        <w:rPr>
          <w:sz w:val="20"/>
          <w:szCs w:val="20"/>
        </w:rPr>
        <w:t> </w:t>
      </w:r>
    </w:p>
    <w:p w:rsidR="00000000" w:rsidRDefault="002D33E3">
      <w:pPr>
        <w:divId w:val="487675467"/>
        <w:rPr>
          <w:rFonts w:eastAsia="Times New Roman"/>
        </w:rPr>
      </w:pPr>
      <w:r>
        <w:rPr>
          <w:rFonts w:eastAsia="Times New Roman"/>
          <w:sz w:val="16"/>
          <w:szCs w:val="16"/>
        </w:rPr>
        <w:t>(1</w:t>
      </w:r>
      <w:r>
        <w:rPr>
          <w:rFonts w:eastAsia="Times New Roman"/>
          <w:sz w:val="16"/>
          <w:szCs w:val="16"/>
        </w:rPr>
        <w:t>)</w:t>
      </w:r>
    </w:p>
    <w:p w:rsidR="00000000" w:rsidRDefault="002D33E3">
      <w:pPr>
        <w:divId w:val="170918179"/>
        <w:rPr>
          <w:rFonts w:eastAsia="Times New Roman"/>
        </w:rPr>
      </w:pPr>
      <w:r>
        <w:rPr>
          <w:rFonts w:eastAsia="Times New Roman"/>
          <w:sz w:val="16"/>
          <w:szCs w:val="16"/>
        </w:rPr>
        <w:t>Net loss margin represents net loss as a percentage of revenues</w:t>
      </w:r>
      <w:r>
        <w:rPr>
          <w:rFonts w:eastAsia="Times New Roman"/>
          <w:sz w:val="16"/>
          <w:szCs w:val="16"/>
        </w:rPr>
        <w:t>.</w:t>
      </w:r>
    </w:p>
    <w:p w:rsidR="00000000" w:rsidRDefault="002D33E3">
      <w:pPr>
        <w:divId w:val="1088305971"/>
        <w:rPr>
          <w:rFonts w:eastAsia="Times New Roman"/>
        </w:rPr>
      </w:pPr>
      <w:r>
        <w:rPr>
          <w:rFonts w:eastAsia="Times New Roman"/>
          <w:sz w:val="16"/>
          <w:szCs w:val="16"/>
        </w:rPr>
        <w:t>(2</w:t>
      </w:r>
      <w:r>
        <w:rPr>
          <w:rFonts w:eastAsia="Times New Roman"/>
          <w:sz w:val="16"/>
          <w:szCs w:val="16"/>
        </w:rPr>
        <w:t>)</w:t>
      </w:r>
    </w:p>
    <w:p w:rsidR="00000000" w:rsidRDefault="002D33E3">
      <w:pPr>
        <w:divId w:val="678700900"/>
        <w:rPr>
          <w:rFonts w:eastAsia="Times New Roman"/>
        </w:rPr>
      </w:pPr>
      <w:r>
        <w:rPr>
          <w:rFonts w:eastAsia="Times New Roman"/>
          <w:sz w:val="16"/>
          <w:szCs w:val="16"/>
        </w:rPr>
        <w:t>Non-GAAP measure. See “—Non-GAAP Financial Information” for a discussion of non-GAAP measures and a reconciliation thereof to the most directly comparable GAAP measure</w:t>
      </w:r>
      <w:r>
        <w:rPr>
          <w:rFonts w:eastAsia="Times New Roman"/>
          <w:sz w:val="16"/>
          <w:szCs w:val="16"/>
        </w:rPr>
        <w:t>.</w:t>
      </w:r>
    </w:p>
    <w:p w:rsidR="00000000" w:rsidRDefault="002D33E3">
      <w:pPr>
        <w:pStyle w:val="a3"/>
        <w:spacing w:before="0" w:beforeAutospacing="0" w:after="0" w:afterAutospacing="0"/>
        <w:ind w:left="476"/>
        <w:rPr>
          <w:sz w:val="20"/>
          <w:szCs w:val="20"/>
        </w:rPr>
      </w:pPr>
      <w:r>
        <w:t> </w:t>
      </w:r>
    </w:p>
    <w:p w:rsidR="00000000" w:rsidRDefault="002D33E3">
      <w:pPr>
        <w:pStyle w:val="a3"/>
        <w:spacing w:before="0" w:beforeAutospacing="0" w:after="0" w:afterAutospacing="0"/>
        <w:ind w:left="476"/>
        <w:rPr>
          <w:sz w:val="20"/>
          <w:szCs w:val="20"/>
        </w:rPr>
      </w:pPr>
      <w:r>
        <w:rPr>
          <w:b/>
          <w:bCs/>
          <w:i/>
          <w:iCs/>
          <w:sz w:val="20"/>
          <w:szCs w:val="20"/>
        </w:rPr>
        <w:t>Revenue</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For the</w:t>
      </w:r>
      <w:r>
        <w:rPr>
          <w:sz w:val="20"/>
          <w:szCs w:val="20"/>
        </w:rPr>
        <w:t xml:space="preserve"> three months ended March 31, 2022, we had revenues of $134.7 million, an increase of $0.9 million, or 0.6% over the three months ended March 31, 2021. The period over period increase in revenues was driven by organic growth in our Measurement and Analysis</w:t>
      </w:r>
      <w:r>
        <w:rPr>
          <w:sz w:val="20"/>
          <w:szCs w:val="20"/>
        </w:rPr>
        <w:t xml:space="preserve"> and Remediation and Reuse segments, and acquisitions completed subsequent to the quarter ended March 31, 2021, which contributed revenues of $13.6 million. These increases were partially offset by significantly lower COVID-19 related services provided by </w:t>
      </w:r>
      <w:r>
        <w:rPr>
          <w:sz w:val="20"/>
          <w:szCs w:val="20"/>
        </w:rPr>
        <w:t>CTEH. Revenue from CTEH was $29.9 million in the three months ended March 31, 2022 compared to $70.4 million in the three months ended March 31, 2021. Revenue by segment and as a percentage of total revenues was as follows</w:t>
      </w:r>
      <w:r>
        <w:rPr>
          <w:sz w:val="20"/>
          <w:szCs w:val="20"/>
        </w:rPr>
        <w:t>:</w:t>
      </w:r>
    </w:p>
    <w:p w:rsidR="00000000" w:rsidRDefault="002D33E3">
      <w:pPr>
        <w:pStyle w:val="a3"/>
        <w:spacing w:before="0" w:beforeAutospacing="0" w:after="0" w:afterAutospacing="0"/>
        <w:ind w:firstLine="55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80"/>
        <w:gridCol w:w="176"/>
        <w:gridCol w:w="187"/>
        <w:gridCol w:w="110"/>
        <w:gridCol w:w="753"/>
        <w:gridCol w:w="110"/>
        <w:gridCol w:w="176"/>
        <w:gridCol w:w="110"/>
        <w:gridCol w:w="731"/>
        <w:gridCol w:w="110"/>
        <w:gridCol w:w="227"/>
        <w:gridCol w:w="176"/>
        <w:gridCol w:w="187"/>
        <w:gridCol w:w="110"/>
        <w:gridCol w:w="753"/>
        <w:gridCol w:w="110"/>
        <w:gridCol w:w="176"/>
        <w:gridCol w:w="110"/>
        <w:gridCol w:w="731"/>
        <w:gridCol w:w="110"/>
        <w:gridCol w:w="242"/>
      </w:tblGrid>
      <w:tr w:rsidR="00000000">
        <w:trPr>
          <w:tblCellSpacing w:w="15" w:type="dxa"/>
        </w:trPr>
        <w:tc>
          <w:tcPr>
            <w:tcW w:w="1510" w:type="pct"/>
            <w:vAlign w:val="center"/>
            <w:hideMark/>
          </w:tcPr>
          <w:p w:rsidR="00000000" w:rsidRDefault="002D33E3">
            <w:pPr>
              <w:rPr>
                <w:sz w:val="20"/>
                <w:szCs w:val="20"/>
              </w:rPr>
            </w:pPr>
          </w:p>
        </w:tc>
        <w:tc>
          <w:tcPr>
            <w:tcW w:w="127" w:type="pct"/>
            <w:vAlign w:val="center"/>
            <w:hideMark/>
          </w:tcPr>
          <w:p w:rsidR="00000000" w:rsidRDefault="002D33E3">
            <w:pPr>
              <w:rPr>
                <w:rFonts w:eastAsia="Times New Roman"/>
                <w:sz w:val="20"/>
                <w:szCs w:val="20"/>
              </w:rPr>
            </w:pPr>
          </w:p>
        </w:tc>
        <w:tc>
          <w:tcPr>
            <w:tcW w:w="135" w:type="pct"/>
            <w:vAlign w:val="center"/>
            <w:hideMark/>
          </w:tcPr>
          <w:p w:rsidR="00000000" w:rsidRDefault="002D33E3">
            <w:pPr>
              <w:rPr>
                <w:rFonts w:eastAsia="Times New Roman"/>
                <w:sz w:val="20"/>
                <w:szCs w:val="20"/>
              </w:rPr>
            </w:pPr>
          </w:p>
        </w:tc>
        <w:tc>
          <w:tcPr>
            <w:tcW w:w="31" w:type="pct"/>
            <w:vAlign w:val="center"/>
            <w:hideMark/>
          </w:tcPr>
          <w:p w:rsidR="00000000" w:rsidRDefault="002D33E3">
            <w:pPr>
              <w:rPr>
                <w:rFonts w:eastAsia="Times New Roman"/>
                <w:sz w:val="20"/>
                <w:szCs w:val="20"/>
              </w:rPr>
            </w:pPr>
          </w:p>
        </w:tc>
        <w:tc>
          <w:tcPr>
            <w:tcW w:w="549" w:type="pct"/>
            <w:vAlign w:val="center"/>
            <w:hideMark/>
          </w:tcPr>
          <w:p w:rsidR="00000000" w:rsidRDefault="002D33E3">
            <w:pPr>
              <w:rPr>
                <w:rFonts w:eastAsia="Times New Roman"/>
                <w:sz w:val="20"/>
                <w:szCs w:val="20"/>
              </w:rPr>
            </w:pPr>
          </w:p>
        </w:tc>
        <w:tc>
          <w:tcPr>
            <w:tcW w:w="31" w:type="pct"/>
            <w:vAlign w:val="center"/>
            <w:hideMark/>
          </w:tcPr>
          <w:p w:rsidR="00000000" w:rsidRDefault="002D33E3">
            <w:pPr>
              <w:rPr>
                <w:rFonts w:eastAsia="Times New Roman"/>
                <w:sz w:val="20"/>
                <w:szCs w:val="20"/>
              </w:rPr>
            </w:pPr>
          </w:p>
        </w:tc>
        <w:tc>
          <w:tcPr>
            <w:tcW w:w="127"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533"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141" w:type="pct"/>
            <w:vAlign w:val="center"/>
            <w:hideMark/>
          </w:tcPr>
          <w:p w:rsidR="00000000" w:rsidRDefault="002D33E3">
            <w:pPr>
              <w:rPr>
                <w:rFonts w:eastAsia="Times New Roman"/>
                <w:sz w:val="20"/>
                <w:szCs w:val="20"/>
              </w:rPr>
            </w:pPr>
          </w:p>
        </w:tc>
        <w:tc>
          <w:tcPr>
            <w:tcW w:w="127" w:type="pct"/>
            <w:vAlign w:val="center"/>
            <w:hideMark/>
          </w:tcPr>
          <w:p w:rsidR="00000000" w:rsidRDefault="002D33E3">
            <w:pPr>
              <w:rPr>
                <w:rFonts w:eastAsia="Times New Roman"/>
                <w:sz w:val="20"/>
                <w:szCs w:val="20"/>
              </w:rPr>
            </w:pPr>
          </w:p>
        </w:tc>
        <w:tc>
          <w:tcPr>
            <w:tcW w:w="135" w:type="pct"/>
            <w:vAlign w:val="center"/>
            <w:hideMark/>
          </w:tcPr>
          <w:p w:rsidR="00000000" w:rsidRDefault="002D33E3">
            <w:pPr>
              <w:rPr>
                <w:rFonts w:eastAsia="Times New Roman"/>
                <w:sz w:val="20"/>
                <w:szCs w:val="20"/>
              </w:rPr>
            </w:pPr>
          </w:p>
        </w:tc>
        <w:tc>
          <w:tcPr>
            <w:tcW w:w="31" w:type="pct"/>
            <w:vAlign w:val="center"/>
            <w:hideMark/>
          </w:tcPr>
          <w:p w:rsidR="00000000" w:rsidRDefault="002D33E3">
            <w:pPr>
              <w:rPr>
                <w:rFonts w:eastAsia="Times New Roman"/>
                <w:sz w:val="20"/>
                <w:szCs w:val="20"/>
              </w:rPr>
            </w:pPr>
          </w:p>
        </w:tc>
        <w:tc>
          <w:tcPr>
            <w:tcW w:w="549" w:type="pct"/>
            <w:vAlign w:val="center"/>
            <w:hideMark/>
          </w:tcPr>
          <w:p w:rsidR="00000000" w:rsidRDefault="002D33E3">
            <w:pPr>
              <w:rPr>
                <w:rFonts w:eastAsia="Times New Roman"/>
                <w:sz w:val="20"/>
                <w:szCs w:val="20"/>
              </w:rPr>
            </w:pPr>
          </w:p>
        </w:tc>
        <w:tc>
          <w:tcPr>
            <w:tcW w:w="31" w:type="pct"/>
            <w:vAlign w:val="center"/>
            <w:hideMark/>
          </w:tcPr>
          <w:p w:rsidR="00000000" w:rsidRDefault="002D33E3">
            <w:pPr>
              <w:rPr>
                <w:rFonts w:eastAsia="Times New Roman"/>
                <w:sz w:val="20"/>
                <w:szCs w:val="20"/>
              </w:rPr>
            </w:pPr>
          </w:p>
        </w:tc>
        <w:tc>
          <w:tcPr>
            <w:tcW w:w="127"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533" w:type="pct"/>
            <w:vAlign w:val="center"/>
            <w:hideMark/>
          </w:tcPr>
          <w:p w:rsidR="00000000" w:rsidRDefault="002D33E3">
            <w:pPr>
              <w:rPr>
                <w:rFonts w:eastAsia="Times New Roman"/>
                <w:sz w:val="20"/>
                <w:szCs w:val="20"/>
              </w:rPr>
            </w:pPr>
          </w:p>
        </w:tc>
        <w:tc>
          <w:tcPr>
            <w:tcW w:w="33" w:type="pct"/>
            <w:vAlign w:val="center"/>
            <w:hideMark/>
          </w:tcPr>
          <w:p w:rsidR="00000000" w:rsidRDefault="002D33E3">
            <w:pPr>
              <w:rPr>
                <w:rFonts w:eastAsia="Times New Roman"/>
                <w:sz w:val="20"/>
                <w:szCs w:val="20"/>
              </w:rPr>
            </w:pPr>
          </w:p>
        </w:tc>
        <w:tc>
          <w:tcPr>
            <w:tcW w:w="141" w:type="pct"/>
            <w:vAlign w:val="center"/>
            <w:hideMark/>
          </w:tcPr>
          <w:p w:rsidR="00000000" w:rsidRDefault="002D33E3">
            <w:pPr>
              <w:rPr>
                <w:rFonts w:eastAsia="Times New Roman"/>
                <w:sz w:val="20"/>
                <w:szCs w:val="20"/>
              </w:rPr>
            </w:pPr>
          </w:p>
        </w:tc>
      </w:tr>
      <w:tr w:rsidR="00000000">
        <w:trPr>
          <w:trHeight w:val="160"/>
          <w:tblCellSpacing w:w="15" w:type="dxa"/>
        </w:trPr>
        <w:tc>
          <w:tcPr>
            <w:tcW w:w="0" w:type="auto"/>
            <w:vAlign w:val="center"/>
            <w:hideMark/>
          </w:tcPr>
          <w:p w:rsidR="00000000" w:rsidRDefault="002D33E3">
            <w:pPr>
              <w:pStyle w:val="a3"/>
              <w:spacing w:before="0" w:beforeAutospacing="0" w:after="0" w:afterAutospacing="0"/>
              <w:rPr>
                <w:sz w:val="16"/>
                <w:szCs w:val="16"/>
              </w:rPr>
            </w:pPr>
            <w:r>
              <w:rPr>
                <w:sz w:val="16"/>
                <w:szCs w:val="16"/>
              </w:rPr>
              <w:t> </w:t>
            </w:r>
          </w:p>
        </w:tc>
        <w:tc>
          <w:tcPr>
            <w:tcW w:w="0" w:type="auto"/>
            <w:vAlign w:val="center"/>
            <w:hideMark/>
          </w:tcPr>
          <w:p w:rsidR="00000000" w:rsidRDefault="002D33E3">
            <w:pPr>
              <w:pStyle w:val="a3"/>
              <w:spacing w:before="0" w:beforeAutospacing="0" w:after="0" w:afterAutospacing="0"/>
              <w:rPr>
                <w:sz w:val="16"/>
                <w:szCs w:val="16"/>
              </w:rPr>
            </w:pPr>
            <w:r>
              <w:rPr>
                <w:sz w:val="16"/>
                <w:szCs w:val="16"/>
              </w:rPr>
              <w:t> </w:t>
            </w:r>
          </w:p>
        </w:tc>
        <w:tc>
          <w:tcPr>
            <w:tcW w:w="0" w:type="auto"/>
            <w:gridSpan w:val="19"/>
            <w:vAlign w:val="center"/>
            <w:hideMark/>
          </w:tcPr>
          <w:p w:rsidR="00000000" w:rsidRDefault="002D33E3">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r>
      <w:tr w:rsidR="00000000">
        <w:trPr>
          <w:trHeight w:val="160"/>
          <w:tblCellSpacing w:w="15" w:type="dxa"/>
        </w:trPr>
        <w:tc>
          <w:tcPr>
            <w:tcW w:w="0" w:type="auto"/>
            <w:vAlign w:val="bottom"/>
            <w:hideMark/>
          </w:tcPr>
          <w:p w:rsidR="00000000" w:rsidRDefault="002D33E3">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D33E3">
            <w:pPr>
              <w:pStyle w:val="a3"/>
              <w:spacing w:before="0" w:beforeAutospacing="0" w:after="0" w:afterAutospacing="0"/>
              <w:rPr>
                <w:sz w:val="22"/>
                <w:szCs w:val="22"/>
              </w:rPr>
            </w:pPr>
            <w:r>
              <w:rPr>
                <w:rFonts w:ascii="Calibri" w:hAnsi="Calibri" w:cs="Calibri"/>
                <w:sz w:val="22"/>
                <w:szCs w:val="22"/>
              </w:rPr>
              <w:t> </w:t>
            </w:r>
          </w:p>
        </w:tc>
        <w:tc>
          <w:tcPr>
            <w:tcW w:w="0" w:type="auto"/>
            <w:gridSpan w:val="9"/>
            <w:vAlign w:val="center"/>
            <w:hideMark/>
          </w:tcPr>
          <w:p w:rsidR="00000000" w:rsidRDefault="002D33E3">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2D33E3">
            <w:pPr>
              <w:pStyle w:val="a3"/>
              <w:spacing w:before="0" w:beforeAutospacing="0" w:after="0" w:afterAutospacing="0"/>
              <w:jc w:val="center"/>
              <w:rPr>
                <w:sz w:val="16"/>
                <w:szCs w:val="16"/>
              </w:rPr>
            </w:pPr>
            <w:r>
              <w:rPr>
                <w:sz w:val="16"/>
                <w:szCs w:val="16"/>
              </w:rPr>
              <w:t> </w:t>
            </w:r>
          </w:p>
        </w:tc>
        <w:tc>
          <w:tcPr>
            <w:tcW w:w="0" w:type="auto"/>
            <w:gridSpan w:val="9"/>
            <w:vAlign w:val="center"/>
            <w:hideMark/>
          </w:tcPr>
          <w:p w:rsidR="00000000" w:rsidRDefault="002D33E3">
            <w:pPr>
              <w:pStyle w:val="a3"/>
              <w:spacing w:before="0" w:beforeAutospacing="0" w:after="0" w:afterAutospacing="0"/>
              <w:jc w:val="center"/>
              <w:rPr>
                <w:sz w:val="16"/>
                <w:szCs w:val="16"/>
              </w:rPr>
            </w:pPr>
            <w:r>
              <w:rPr>
                <w:b/>
                <w:bCs/>
                <w:sz w:val="16"/>
                <w:szCs w:val="16"/>
              </w:rPr>
              <w:t>202</w:t>
            </w:r>
            <w:r>
              <w:rPr>
                <w:b/>
                <w:bCs/>
                <w:sz w:val="16"/>
                <w:szCs w:val="16"/>
              </w:rPr>
              <w:t>1</w:t>
            </w:r>
          </w:p>
        </w:tc>
      </w:tr>
      <w:tr w:rsidR="00000000">
        <w:trPr>
          <w:trHeight w:val="160"/>
          <w:tblCellSpacing w:w="15" w:type="dxa"/>
        </w:trPr>
        <w:tc>
          <w:tcPr>
            <w:tcW w:w="0" w:type="auto"/>
            <w:vAlign w:val="center"/>
            <w:hideMark/>
          </w:tcPr>
          <w:p w:rsidR="00000000" w:rsidRDefault="002D33E3">
            <w:pPr>
              <w:pStyle w:val="a3"/>
              <w:spacing w:before="0" w:beforeAutospacing="0" w:after="0" w:afterAutospacing="0"/>
              <w:rPr>
                <w:sz w:val="16"/>
                <w:szCs w:val="16"/>
              </w:rPr>
            </w:pPr>
            <w:r>
              <w:rPr>
                <w:b/>
                <w:bCs/>
                <w:sz w:val="16"/>
                <w:szCs w:val="16"/>
              </w:rPr>
              <w:t>(Revenues in thousands</w:t>
            </w:r>
            <w:r>
              <w:rPr>
                <w:b/>
                <w:bCs/>
                <w:sz w:val="16"/>
                <w:szCs w:val="16"/>
              </w:rPr>
              <w:t>)</w:t>
            </w:r>
          </w:p>
        </w:tc>
        <w:tc>
          <w:tcPr>
            <w:tcW w:w="0" w:type="auto"/>
            <w:vAlign w:val="bottom"/>
            <w:hideMark/>
          </w:tcPr>
          <w:p w:rsidR="00000000" w:rsidRDefault="002D33E3">
            <w:pPr>
              <w:pStyle w:val="a3"/>
              <w:spacing w:before="0" w:beforeAutospacing="0" w:after="0" w:afterAutospacing="0"/>
              <w:rPr>
                <w:sz w:val="22"/>
                <w:szCs w:val="22"/>
              </w:rPr>
            </w:pPr>
            <w:r>
              <w:rPr>
                <w:rFonts w:ascii="Calibri" w:hAnsi="Calibri" w:cs="Calibri"/>
                <w:sz w:val="22"/>
                <w:szCs w:val="22"/>
              </w:rPr>
              <w:t> </w:t>
            </w:r>
          </w:p>
        </w:tc>
        <w:tc>
          <w:tcPr>
            <w:tcW w:w="0" w:type="auto"/>
            <w:gridSpan w:val="3"/>
            <w:vAlign w:val="center"/>
            <w:hideMark/>
          </w:tcPr>
          <w:p w:rsidR="00000000" w:rsidRDefault="002D33E3">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center"/>
            <w:hideMark/>
          </w:tcPr>
          <w:p w:rsidR="00000000" w:rsidRDefault="002D33E3">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2D33E3">
            <w:pPr>
              <w:pStyle w:val="a3"/>
              <w:spacing w:before="0" w:beforeAutospacing="0" w:after="0" w:afterAutospacing="0"/>
              <w:rPr>
                <w:sz w:val="16"/>
                <w:szCs w:val="16"/>
              </w:rPr>
            </w:pPr>
            <w:r>
              <w:rPr>
                <w:sz w:val="16"/>
                <w:szCs w:val="16"/>
              </w:rPr>
              <w:t> </w:t>
            </w:r>
          </w:p>
        </w:tc>
        <w:tc>
          <w:tcPr>
            <w:tcW w:w="0" w:type="auto"/>
            <w:gridSpan w:val="4"/>
            <w:vAlign w:val="center"/>
            <w:hideMark/>
          </w:tcPr>
          <w:p w:rsidR="00000000" w:rsidRDefault="002D33E3">
            <w:pPr>
              <w:pStyle w:val="a3"/>
              <w:spacing w:before="0" w:beforeAutospacing="0" w:after="0" w:afterAutospacing="0"/>
              <w:jc w:val="center"/>
              <w:rPr>
                <w:sz w:val="16"/>
                <w:szCs w:val="16"/>
              </w:rPr>
            </w:pPr>
            <w:r>
              <w:rPr>
                <w:b/>
                <w:bCs/>
                <w:sz w:val="16"/>
                <w:szCs w:val="16"/>
              </w:rPr>
              <w:t>% of Total Revenue</w:t>
            </w:r>
            <w:r>
              <w:rPr>
                <w:b/>
                <w:bCs/>
                <w:sz w:val="16"/>
                <w:szCs w:val="16"/>
              </w:rPr>
              <w:t>s</w:t>
            </w:r>
          </w:p>
        </w:tc>
        <w:tc>
          <w:tcPr>
            <w:tcW w:w="0" w:type="auto"/>
            <w:vAlign w:val="center"/>
            <w:hideMark/>
          </w:tcPr>
          <w:p w:rsidR="00000000" w:rsidRDefault="002D33E3">
            <w:pPr>
              <w:pStyle w:val="a3"/>
              <w:spacing w:before="0" w:beforeAutospacing="0" w:after="0" w:afterAutospacing="0"/>
              <w:jc w:val="center"/>
              <w:rPr>
                <w:sz w:val="16"/>
                <w:szCs w:val="16"/>
              </w:rPr>
            </w:pPr>
            <w:r>
              <w:rPr>
                <w:sz w:val="16"/>
                <w:szCs w:val="16"/>
              </w:rPr>
              <w:t> </w:t>
            </w:r>
          </w:p>
        </w:tc>
        <w:tc>
          <w:tcPr>
            <w:tcW w:w="0" w:type="auto"/>
            <w:gridSpan w:val="3"/>
            <w:vAlign w:val="center"/>
            <w:hideMark/>
          </w:tcPr>
          <w:p w:rsidR="00000000" w:rsidRDefault="002D33E3">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center"/>
            <w:hideMark/>
          </w:tcPr>
          <w:p w:rsidR="00000000" w:rsidRDefault="002D33E3">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2D33E3">
            <w:pPr>
              <w:pStyle w:val="a3"/>
              <w:spacing w:before="0" w:beforeAutospacing="0" w:after="0" w:afterAutospacing="0"/>
              <w:jc w:val="center"/>
              <w:rPr>
                <w:sz w:val="20"/>
                <w:szCs w:val="20"/>
              </w:rPr>
            </w:pPr>
            <w:r>
              <w:rPr>
                <w:sz w:val="20"/>
                <w:szCs w:val="20"/>
              </w:rPr>
              <w:t> </w:t>
            </w:r>
          </w:p>
        </w:tc>
        <w:tc>
          <w:tcPr>
            <w:tcW w:w="0" w:type="auto"/>
            <w:gridSpan w:val="4"/>
            <w:vAlign w:val="center"/>
            <w:hideMark/>
          </w:tcPr>
          <w:p w:rsidR="00000000" w:rsidRDefault="002D33E3">
            <w:pPr>
              <w:pStyle w:val="a3"/>
              <w:spacing w:before="0" w:beforeAutospacing="0" w:after="0" w:afterAutospacing="0"/>
              <w:jc w:val="center"/>
              <w:rPr>
                <w:sz w:val="16"/>
                <w:szCs w:val="16"/>
              </w:rPr>
            </w:pPr>
            <w:r>
              <w:rPr>
                <w:b/>
                <w:bCs/>
                <w:sz w:val="16"/>
                <w:szCs w:val="16"/>
              </w:rPr>
              <w:t>% of Total Revenue</w:t>
            </w:r>
            <w:r>
              <w:rPr>
                <w:b/>
                <w:bCs/>
                <w:sz w:val="16"/>
                <w:szCs w:val="16"/>
              </w:rPr>
              <w:t>s</w:t>
            </w:r>
          </w:p>
        </w:tc>
      </w:tr>
      <w:tr w:rsidR="00000000">
        <w:trPr>
          <w:trHeight w:val="200"/>
          <w:tblCellSpacing w:w="15" w:type="dxa"/>
        </w:trPr>
        <w:tc>
          <w:tcPr>
            <w:tcW w:w="0" w:type="auto"/>
            <w:vAlign w:val="center"/>
            <w:hideMark/>
          </w:tcPr>
          <w:p w:rsidR="00000000" w:rsidRDefault="002D33E3">
            <w:pPr>
              <w:pStyle w:val="a3"/>
              <w:spacing w:before="0" w:beforeAutospacing="0" w:after="0" w:afterAutospacing="0"/>
              <w:rPr>
                <w:sz w:val="20"/>
                <w:szCs w:val="20"/>
              </w:rPr>
            </w:pPr>
            <w:r>
              <w:rPr>
                <w:sz w:val="20"/>
                <w:szCs w:val="20"/>
              </w:rPr>
              <w:t xml:space="preserve">Assessment, Permitting and </w:t>
            </w:r>
            <w:r>
              <w:rPr>
                <w:sz w:val="20"/>
                <w:szCs w:val="20"/>
              </w:rPr>
              <w:br/>
              <w:t>   Respons</w:t>
            </w:r>
            <w:r>
              <w:rPr>
                <w:sz w:val="20"/>
                <w:szCs w:val="20"/>
              </w:rPr>
              <w:t>e</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45,60</w:t>
            </w:r>
            <w:r>
              <w:rPr>
                <w:sz w:val="20"/>
                <w:szCs w:val="20"/>
              </w:rPr>
              <w:t>0</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33.</w:t>
            </w:r>
            <w:r>
              <w:rPr>
                <w:sz w:val="20"/>
                <w:szCs w:val="20"/>
              </w:rPr>
              <w:t>9</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75,26</w:t>
            </w:r>
            <w:r>
              <w:rPr>
                <w:sz w:val="20"/>
                <w:szCs w:val="20"/>
              </w:rPr>
              <w:t>2</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56.</w:t>
            </w:r>
            <w:r>
              <w:rPr>
                <w:sz w:val="20"/>
                <w:szCs w:val="20"/>
              </w:rPr>
              <w:t>2</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2D33E3">
            <w:pPr>
              <w:pStyle w:val="a3"/>
              <w:spacing w:before="0" w:beforeAutospacing="0" w:after="0" w:afterAutospacing="0"/>
              <w:rPr>
                <w:sz w:val="20"/>
                <w:szCs w:val="20"/>
              </w:rPr>
            </w:pPr>
            <w:r>
              <w:rPr>
                <w:sz w:val="20"/>
                <w:szCs w:val="20"/>
              </w:rPr>
              <w:t>Measurement and Analysi</w:t>
            </w:r>
            <w:r>
              <w:rPr>
                <w:sz w:val="20"/>
                <w:szCs w:val="20"/>
              </w:rPr>
              <w:t>s</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39,76</w:t>
            </w:r>
            <w:r>
              <w:rPr>
                <w:sz w:val="20"/>
                <w:szCs w:val="20"/>
              </w:rPr>
              <w:t>1</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29.</w:t>
            </w:r>
            <w:r>
              <w:rPr>
                <w:sz w:val="20"/>
                <w:szCs w:val="20"/>
              </w:rPr>
              <w:t>5</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33,44</w:t>
            </w:r>
            <w:r>
              <w:rPr>
                <w:sz w:val="20"/>
                <w:szCs w:val="20"/>
              </w:rPr>
              <w:t>0</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25.</w:t>
            </w:r>
            <w:r>
              <w:rPr>
                <w:sz w:val="20"/>
                <w:szCs w:val="20"/>
              </w:rPr>
              <w:t>0</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D33E3">
            <w:pPr>
              <w:pStyle w:val="a3"/>
              <w:spacing w:before="0" w:beforeAutospacing="0" w:after="0" w:afterAutospacing="0"/>
              <w:rPr>
                <w:sz w:val="20"/>
                <w:szCs w:val="20"/>
              </w:rPr>
            </w:pPr>
            <w:r>
              <w:rPr>
                <w:sz w:val="20"/>
                <w:szCs w:val="20"/>
              </w:rPr>
              <w:t>Remediation and Reus</w:t>
            </w:r>
            <w:r>
              <w:rPr>
                <w:sz w:val="20"/>
                <w:szCs w:val="20"/>
              </w:rPr>
              <w:t>e</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49,31</w:t>
            </w:r>
            <w:r>
              <w:rPr>
                <w:sz w:val="20"/>
                <w:szCs w:val="20"/>
              </w:rPr>
              <w:t>9</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36.</w:t>
            </w:r>
            <w:r>
              <w:rPr>
                <w:sz w:val="20"/>
                <w:szCs w:val="20"/>
              </w:rPr>
              <w:t>6</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25,11</w:t>
            </w:r>
            <w:r>
              <w:rPr>
                <w:sz w:val="20"/>
                <w:szCs w:val="20"/>
              </w:rPr>
              <w:t>5</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18.</w:t>
            </w:r>
            <w:r>
              <w:rPr>
                <w:sz w:val="20"/>
                <w:szCs w:val="20"/>
              </w:rPr>
              <w:t>8</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
                <w:szCs w:val="2"/>
              </w:rPr>
            </w:pPr>
            <w:r>
              <w:rPr>
                <w:sz w:val="2"/>
                <w:szCs w:val="2"/>
              </w:rPr>
              <w:t> </w:t>
            </w:r>
          </w:p>
        </w:tc>
      </w:tr>
      <w:tr w:rsidR="00000000">
        <w:trPr>
          <w:trHeight w:val="200"/>
          <w:tblCellSpacing w:w="15" w:type="dxa"/>
        </w:trPr>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134,68</w:t>
            </w:r>
            <w:r>
              <w:rPr>
                <w:sz w:val="20"/>
                <w:szCs w:val="20"/>
              </w:rPr>
              <w:t>0</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jc w:val="right"/>
              <w:rPr>
                <w:sz w:val="20"/>
                <w:szCs w:val="20"/>
              </w:rPr>
            </w:pPr>
            <w:r>
              <w:rPr>
                <w:sz w:val="20"/>
                <w:szCs w:val="20"/>
              </w:rPr>
              <w:t>133,81</w:t>
            </w:r>
            <w:r>
              <w:rPr>
                <w:sz w:val="20"/>
                <w:szCs w:val="20"/>
              </w:rPr>
              <w:t>7</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vAlign w:val="center"/>
            <w:hideMark/>
          </w:tcPr>
          <w:p w:rsidR="00000000" w:rsidRDefault="002D33E3">
            <w:pPr>
              <w:pStyle w:val="a3"/>
              <w:spacing w:before="0" w:beforeAutospacing="0" w:after="0" w:afterAutospacing="0"/>
              <w:rPr>
                <w:sz w:val="2"/>
                <w:szCs w:val="2"/>
              </w:rPr>
            </w:pPr>
            <w:r>
              <w:rPr>
                <w:sz w:val="2"/>
                <w:szCs w:val="2"/>
              </w:rPr>
              <w:t> </w:t>
            </w:r>
          </w:p>
        </w:tc>
      </w:tr>
    </w:tbl>
    <w:p w:rsidR="00000000" w:rsidRDefault="002D33E3">
      <w:pPr>
        <w:pStyle w:val="a3"/>
        <w:spacing w:before="240" w:beforeAutospacing="0" w:after="0" w:afterAutospacing="0"/>
        <w:ind w:firstLine="555"/>
        <w:rPr>
          <w:sz w:val="20"/>
          <w:szCs w:val="20"/>
        </w:rPr>
      </w:pPr>
      <w:r>
        <w:rPr>
          <w:sz w:val="20"/>
          <w:szCs w:val="20"/>
        </w:rPr>
        <w:t>See “—</w:t>
      </w:r>
      <w:r>
        <w:rPr>
          <w:sz w:val="20"/>
          <w:szCs w:val="20"/>
        </w:rPr>
        <w:t>Segment Results of Operations” below</w:t>
      </w:r>
      <w:r>
        <w:rPr>
          <w:sz w:val="20"/>
          <w:szCs w:val="20"/>
        </w:rPr>
        <w:t>.</w:t>
      </w:r>
    </w:p>
    <w:p w:rsidR="00000000" w:rsidRDefault="002D33E3">
      <w:pPr>
        <w:pStyle w:val="a3"/>
        <w:spacing w:before="360" w:beforeAutospacing="0" w:after="0" w:afterAutospacing="0"/>
        <w:ind w:left="476"/>
        <w:rPr>
          <w:sz w:val="20"/>
          <w:szCs w:val="20"/>
        </w:rPr>
      </w:pPr>
      <w:r>
        <w:rPr>
          <w:b/>
          <w:bCs/>
          <w:i/>
          <w:iCs/>
          <w:sz w:val="20"/>
          <w:szCs w:val="20"/>
        </w:rPr>
        <w:t>Cost of Revenue</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Cost of revenues consists of all direct costs required to provide services, including fixed and variable direct labor costs, equipment rental and other outside services, field and lab supplies, vehicle</w:t>
      </w:r>
      <w:r>
        <w:rPr>
          <w:sz w:val="20"/>
          <w:szCs w:val="20"/>
        </w:rPr>
        <w:t xml:space="preserve"> costs and travel-related expenses. Variable costs of revenues generally follow the same trends as revenue, while fixed costs tend to change primarily as a result of acquisitions</w:t>
      </w:r>
      <w:r>
        <w:rPr>
          <w:sz w:val="20"/>
          <w:szCs w:val="20"/>
        </w:rPr>
        <w:t>.</w:t>
      </w:r>
    </w:p>
    <w:p w:rsidR="00000000" w:rsidRDefault="002D33E3">
      <w:pPr>
        <w:pStyle w:val="a3"/>
        <w:spacing w:before="240" w:beforeAutospacing="0" w:after="0" w:afterAutospacing="0"/>
        <w:ind w:firstLine="555"/>
        <w:rPr>
          <w:sz w:val="20"/>
          <w:szCs w:val="20"/>
        </w:rPr>
      </w:pPr>
      <w:r>
        <w:rPr>
          <w:sz w:val="20"/>
          <w:szCs w:val="20"/>
        </w:rPr>
        <w:t>For the three months ended March 31, 2022, cost of revenues was $88.4 millio</w:t>
      </w:r>
      <w:r>
        <w:rPr>
          <w:sz w:val="20"/>
          <w:szCs w:val="20"/>
        </w:rPr>
        <w:t>n or 65.6% of revenues, and was comprised of direct labor of $38.8 million, outside services (including contracted labor, laboratory, shipping and freight and other outside services</w:t>
      </w:r>
      <w:r>
        <w:rPr>
          <w:sz w:val="20"/>
          <w:szCs w:val="20"/>
        </w:rPr>
        <w:t>)</w:t>
      </w:r>
      <w:r>
        <w:rPr>
          <w:sz w:val="20"/>
          <w:szCs w:val="20"/>
        </w:rPr>
        <w:t xml:space="preserve"> </w:t>
      </w:r>
    </w:p>
    <w:p w:rsidR="00000000" w:rsidRDefault="002D33E3">
      <w:pPr>
        <w:pStyle w:val="a3"/>
        <w:spacing w:before="240" w:beforeAutospacing="0" w:after="0" w:afterAutospacing="0"/>
        <w:jc w:val="center"/>
        <w:rPr>
          <w:sz w:val="20"/>
          <w:szCs w:val="20"/>
        </w:rPr>
      </w:pPr>
      <w:r>
        <w:rPr>
          <w:sz w:val="20"/>
          <w:szCs w:val="20"/>
        </w:rPr>
        <w:t>3</w:t>
      </w:r>
      <w:r>
        <w:rPr>
          <w:sz w:val="20"/>
          <w:szCs w:val="20"/>
        </w:rPr>
        <w:t>3</w:t>
      </w:r>
    </w:p>
    <w:p w:rsidR="00000000" w:rsidRDefault="002D33E3">
      <w:pPr>
        <w:rPr>
          <w:rFonts w:eastAsia="Times New Roman"/>
        </w:rPr>
      </w:pPr>
      <w:r>
        <w:rPr>
          <w:rFonts w:eastAsia="Times New Roman"/>
        </w:rPr>
        <w:pict>
          <v:rect id="_x0000_i1059"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rPr>
          <w:sz w:val="20"/>
          <w:szCs w:val="20"/>
        </w:rPr>
      </w:pPr>
      <w:r>
        <w:rPr>
          <w:sz w:val="20"/>
          <w:szCs w:val="20"/>
        </w:rPr>
        <w:t>of $19.1 million, field suppli</w:t>
      </w:r>
      <w:r>
        <w:rPr>
          <w:sz w:val="20"/>
          <w:szCs w:val="20"/>
        </w:rPr>
        <w:t>es, testing supplies and equipment rental of $21.8 million, project-related travel expenses of $4.0 million and other direct costs of $4.7 million</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For the three months ended March 31, 2021, cost of revenues was $95.3 million or 71.2% of revenues, and was</w:t>
      </w:r>
      <w:r>
        <w:rPr>
          <w:sz w:val="20"/>
          <w:szCs w:val="20"/>
        </w:rPr>
        <w:t xml:space="preserve"> comprised of direct labor of $36.1 million, outside services (including contracted labor, laboratory, shipping and freight and other outside services) of $41.0 million, field supplies, testing supplies and equipment rental of $11.1 million, project-relate</w:t>
      </w:r>
      <w:r>
        <w:rPr>
          <w:sz w:val="20"/>
          <w:szCs w:val="20"/>
        </w:rPr>
        <w:t>d travel expenses of $5.1 million and other direct costs of $2.0 million</w:t>
      </w:r>
      <w:r>
        <w:rPr>
          <w:sz w:val="20"/>
          <w:szCs w:val="20"/>
        </w:rPr>
        <w:t>.</w:t>
      </w:r>
    </w:p>
    <w:p w:rsidR="00000000" w:rsidRDefault="002D33E3">
      <w:pPr>
        <w:pStyle w:val="a3"/>
        <w:spacing w:before="240" w:beforeAutospacing="0" w:after="0" w:afterAutospacing="0"/>
        <w:ind w:firstLine="555"/>
        <w:rPr>
          <w:sz w:val="20"/>
          <w:szCs w:val="20"/>
        </w:rPr>
      </w:pPr>
      <w:r>
        <w:rPr>
          <w:sz w:val="20"/>
          <w:szCs w:val="20"/>
        </w:rPr>
        <w:t>For the three months ended March 31, 2022, cost of revenues as a percentage of revenue decreased 5.6% from the three months ended March 31, 2021, as a result of significantly lower outside service costs in 2022 when compared to 2021 driven primarily by a d</w:t>
      </w:r>
      <w:r>
        <w:rPr>
          <w:sz w:val="20"/>
          <w:szCs w:val="20"/>
        </w:rPr>
        <w:t>ecrease in external lab expenses needed to support CTEH’s COVID-19 response work during 2022</w:t>
      </w:r>
      <w:r>
        <w:rPr>
          <w:sz w:val="20"/>
          <w:szCs w:val="20"/>
        </w:rPr>
        <w:t>.</w:t>
      </w:r>
    </w:p>
    <w:p w:rsidR="00000000" w:rsidRDefault="002D33E3">
      <w:pPr>
        <w:pStyle w:val="a3"/>
        <w:spacing w:before="360" w:beforeAutospacing="0" w:after="0" w:afterAutospacing="0"/>
        <w:ind w:left="476"/>
        <w:rPr>
          <w:sz w:val="20"/>
          <w:szCs w:val="20"/>
        </w:rPr>
      </w:pPr>
      <w:r>
        <w:rPr>
          <w:b/>
          <w:bCs/>
          <w:i/>
          <w:iCs/>
          <w:sz w:val="20"/>
          <w:szCs w:val="20"/>
        </w:rPr>
        <w:t>Selling, General and Administrative Expens</w:t>
      </w:r>
      <w:r>
        <w:rPr>
          <w:b/>
          <w:bCs/>
          <w:i/>
          <w:iCs/>
          <w:sz w:val="20"/>
          <w:szCs w:val="20"/>
        </w:rPr>
        <w:t>e</w:t>
      </w:r>
    </w:p>
    <w:p w:rsidR="00000000" w:rsidRDefault="002D33E3">
      <w:pPr>
        <w:pStyle w:val="a3"/>
        <w:spacing w:before="120" w:beforeAutospacing="0" w:after="0" w:afterAutospacing="0"/>
        <w:ind w:firstLine="555"/>
        <w:rPr>
          <w:sz w:val="20"/>
          <w:szCs w:val="20"/>
        </w:rPr>
      </w:pPr>
      <w:r>
        <w:rPr>
          <w:sz w:val="20"/>
          <w:szCs w:val="20"/>
        </w:rPr>
        <w:t>Selling, general and administrative expense consists of general corporate overhead, including executive, legal, financ</w:t>
      </w:r>
      <w:r>
        <w:rPr>
          <w:sz w:val="20"/>
          <w:szCs w:val="20"/>
        </w:rPr>
        <w:t>e, safety, risk management, human resource, marketing and information technology related costs, as well as indirect operational costs of labor, rent, insurance and stock-based compensation</w:t>
      </w:r>
      <w:r>
        <w:rPr>
          <w:sz w:val="20"/>
          <w:szCs w:val="20"/>
        </w:rPr>
        <w:t>.</w:t>
      </w:r>
    </w:p>
    <w:p w:rsidR="00000000" w:rsidRDefault="002D33E3">
      <w:pPr>
        <w:pStyle w:val="a3"/>
        <w:spacing w:before="240" w:beforeAutospacing="0" w:after="0" w:afterAutospacing="0"/>
        <w:ind w:firstLine="555"/>
        <w:rPr>
          <w:sz w:val="20"/>
          <w:szCs w:val="20"/>
        </w:rPr>
      </w:pPr>
      <w:r>
        <w:rPr>
          <w:sz w:val="20"/>
          <w:szCs w:val="20"/>
        </w:rPr>
        <w:t>For the three months ended March 31, 2022, selling, general and ad</w:t>
      </w:r>
      <w:r>
        <w:rPr>
          <w:sz w:val="20"/>
          <w:szCs w:val="20"/>
        </w:rPr>
        <w:t>ministrative expense was $41.8 million, an increase of $16.8 million or 67.2% versus the three months ended March 31, 2021, of which $8.9 was related to an increase in stock compensation expense, $2.6 million was from selling, general and administrative ex</w:t>
      </w:r>
      <w:r>
        <w:rPr>
          <w:sz w:val="20"/>
          <w:szCs w:val="20"/>
        </w:rPr>
        <w:t>pense pertaining to companies we acquired subsequent to the first quarter of 202</w:t>
      </w:r>
      <w:r>
        <w:rPr>
          <w:sz w:val="20"/>
          <w:szCs w:val="20"/>
        </w:rPr>
        <w:t>1</w:t>
      </w:r>
      <w:r>
        <w:rPr>
          <w:sz w:val="20"/>
          <w:szCs w:val="20"/>
        </w:rPr>
        <w:t>, an increase in the defined contribution plan employer contributions of $1.7 million, an increase in acquisition costs of $0.2 million, as well as the impact of an increase i</w:t>
      </w:r>
      <w:r>
        <w:rPr>
          <w:sz w:val="20"/>
          <w:szCs w:val="20"/>
        </w:rPr>
        <w:t>n investments in corporate infrastructure (primarily administrative, sales and marketing, finance, IT, legal and human resources)</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For the three months ended March 31, 2022, selling, general and administrative expense was comprised of indirect labor of $1</w:t>
      </w:r>
      <w:r>
        <w:rPr>
          <w:sz w:val="20"/>
          <w:szCs w:val="20"/>
        </w:rPr>
        <w:t>9.5 million, stock-based compensation of $10.1 million, facilities costs of $4.4 million, acquisition-related costs of $0.5 million, a bad debt credit of $0.5 million, and other costs (including software, travel, insurance, legal, consulting and a</w:t>
      </w:r>
      <w:r>
        <w:rPr>
          <w:sz w:val="20"/>
          <w:szCs w:val="20"/>
        </w:rPr>
        <w:t>u</w:t>
      </w:r>
      <w:r>
        <w:rPr>
          <w:sz w:val="20"/>
          <w:szCs w:val="20"/>
        </w:rPr>
        <w:t>dit serv</w:t>
      </w:r>
      <w:r>
        <w:rPr>
          <w:sz w:val="20"/>
          <w:szCs w:val="20"/>
        </w:rPr>
        <w:t>ices) of</w:t>
      </w:r>
      <w:r>
        <w:rPr>
          <w:sz w:val="20"/>
          <w:szCs w:val="20"/>
        </w:rPr>
        <w:t xml:space="preserve"> </w:t>
      </w:r>
      <w:r>
        <w:rPr>
          <w:sz w:val="20"/>
          <w:szCs w:val="20"/>
        </w:rPr>
        <w:t>$7.8</w:t>
      </w:r>
      <w:r>
        <w:rPr>
          <w:sz w:val="20"/>
          <w:szCs w:val="20"/>
        </w:rPr>
        <w:t xml:space="preserve"> </w:t>
      </w:r>
      <w:r>
        <w:rPr>
          <w:sz w:val="20"/>
          <w:szCs w:val="20"/>
        </w:rPr>
        <w:t>million</w:t>
      </w:r>
      <w:r>
        <w:rPr>
          <w:sz w:val="20"/>
          <w:szCs w:val="20"/>
        </w:rPr>
        <w:t>.</w:t>
      </w:r>
    </w:p>
    <w:p w:rsidR="00000000" w:rsidRDefault="002D33E3">
      <w:pPr>
        <w:pStyle w:val="a3"/>
        <w:spacing w:before="240" w:beforeAutospacing="0" w:after="0" w:afterAutospacing="0"/>
        <w:ind w:firstLine="555"/>
        <w:rPr>
          <w:sz w:val="20"/>
          <w:szCs w:val="20"/>
        </w:rPr>
      </w:pPr>
      <w:r>
        <w:rPr>
          <w:sz w:val="20"/>
          <w:szCs w:val="20"/>
        </w:rPr>
        <w:t>For the three months ended March 31, 2021, selling, general and administrative expense was $25.0 million, and was comprised of indirect labor of $13.9 million, facilities costs of $3.5 million, stock-based compensation of $1.2 millio</w:t>
      </w:r>
      <w:r>
        <w:rPr>
          <w:sz w:val="20"/>
          <w:szCs w:val="20"/>
        </w:rPr>
        <w:t>n, acquisition-related costs of $0.2 million, bad debt expense of $0.5 million, and other costs (including software, travel, insurance, legal, consulting and audit services) of $5.7 million</w:t>
      </w:r>
      <w:r>
        <w:rPr>
          <w:sz w:val="20"/>
          <w:szCs w:val="20"/>
        </w:rPr>
        <w:t>.</w:t>
      </w:r>
    </w:p>
    <w:p w:rsidR="00000000" w:rsidRDefault="002D33E3">
      <w:pPr>
        <w:pStyle w:val="a3"/>
        <w:spacing w:before="360" w:beforeAutospacing="0" w:after="0" w:afterAutospacing="0"/>
        <w:ind w:left="476"/>
        <w:rPr>
          <w:sz w:val="20"/>
          <w:szCs w:val="20"/>
        </w:rPr>
      </w:pPr>
      <w:r>
        <w:rPr>
          <w:b/>
          <w:bCs/>
          <w:i/>
          <w:iCs/>
          <w:sz w:val="20"/>
          <w:szCs w:val="20"/>
        </w:rPr>
        <w:t>Fair Value Changes in Business Acquisitions Contingent Considerat</w:t>
      </w:r>
      <w:r>
        <w:rPr>
          <w:b/>
          <w:bCs/>
          <w:i/>
          <w:iCs/>
          <w:sz w:val="20"/>
          <w:szCs w:val="20"/>
        </w:rPr>
        <w:t>io</w:t>
      </w:r>
      <w:r>
        <w:rPr>
          <w:b/>
          <w:bCs/>
          <w:i/>
          <w:iCs/>
          <w:sz w:val="20"/>
          <w:szCs w:val="20"/>
        </w:rPr>
        <w:t>n</w:t>
      </w:r>
    </w:p>
    <w:p w:rsidR="00000000" w:rsidRDefault="002D33E3">
      <w:pPr>
        <w:pStyle w:val="a3"/>
        <w:spacing w:before="120" w:beforeAutospacing="0" w:after="0" w:afterAutospacing="0"/>
        <w:ind w:firstLine="555"/>
        <w:rPr>
          <w:sz w:val="20"/>
          <w:szCs w:val="20"/>
        </w:rPr>
      </w:pPr>
      <w:r>
        <w:rPr>
          <w:sz w:val="20"/>
          <w:szCs w:val="20"/>
        </w:rPr>
        <w:t>For the three months ended March 31, 2022, fair value changes in business acquisitions contingent consideration were not material when compared to $11.1 million for the three months ended March 31, 2021. The majority of the change in value in the three</w:t>
      </w:r>
      <w:r>
        <w:rPr>
          <w:sz w:val="20"/>
          <w:szCs w:val="20"/>
        </w:rPr>
        <w:t xml:space="preserve"> months ended March 31, 2021 period was attributable to the CTEH earn-outs. See “—Key Factors that Affect Our Business and Our Results—Acquisitions” and Note 7 and 13 to our unaudited condensed consolidated financial statements included in Part I, Item 1. </w:t>
      </w:r>
      <w:r>
        <w:rPr>
          <w:sz w:val="20"/>
          <w:szCs w:val="20"/>
        </w:rPr>
        <w:t>“Financial Statements.”</w:t>
      </w:r>
      <w:r>
        <w:rPr>
          <w:sz w:val="20"/>
          <w:szCs w:val="20"/>
        </w:rPr>
        <w:t>.</w:t>
      </w:r>
    </w:p>
    <w:p w:rsidR="00000000" w:rsidRDefault="002D33E3">
      <w:pPr>
        <w:pStyle w:val="a3"/>
        <w:spacing w:before="360" w:beforeAutospacing="0" w:after="0" w:afterAutospacing="0"/>
        <w:ind w:left="476"/>
        <w:rPr>
          <w:sz w:val="20"/>
          <w:szCs w:val="20"/>
        </w:rPr>
      </w:pPr>
      <w:r>
        <w:rPr>
          <w:b/>
          <w:bCs/>
          <w:i/>
          <w:iCs/>
          <w:sz w:val="20"/>
          <w:szCs w:val="20"/>
        </w:rPr>
        <w:t>Depreciation and Amortizatio</w:t>
      </w:r>
      <w:r>
        <w:rPr>
          <w:b/>
          <w:bCs/>
          <w:i/>
          <w:iCs/>
          <w:sz w:val="20"/>
          <w:szCs w:val="20"/>
        </w:rPr>
        <w:t>n</w:t>
      </w:r>
    </w:p>
    <w:p w:rsidR="00000000" w:rsidRDefault="002D33E3">
      <w:pPr>
        <w:pStyle w:val="a3"/>
        <w:spacing w:before="120" w:beforeAutospacing="0" w:after="0" w:afterAutospacing="0"/>
        <w:ind w:firstLine="555"/>
        <w:rPr>
          <w:sz w:val="20"/>
          <w:szCs w:val="20"/>
        </w:rPr>
      </w:pPr>
      <w:r>
        <w:rPr>
          <w:sz w:val="20"/>
          <w:szCs w:val="20"/>
        </w:rPr>
        <w:t xml:space="preserve">Depreciation and amortization expense for the three months ended March 31, 2022, was $12.1 million and was comprised of amortization of finite lived intangibles of $9.4 million, arising as a result of </w:t>
      </w:r>
      <w:r>
        <w:rPr>
          <w:sz w:val="20"/>
          <w:szCs w:val="20"/>
        </w:rPr>
        <w:t>our acquisition activity, depreciation of property and equipment of $1.8 million and finance leases right-of-use asset amortization of $0.9 million</w:t>
      </w:r>
      <w:r>
        <w:rPr>
          <w:sz w:val="20"/>
          <w:szCs w:val="20"/>
        </w:rPr>
        <w:t>.</w:t>
      </w:r>
    </w:p>
    <w:p w:rsidR="00000000" w:rsidRDefault="002D33E3">
      <w:pPr>
        <w:pStyle w:val="a3"/>
        <w:spacing w:before="240" w:beforeAutospacing="0" w:after="0" w:afterAutospacing="0"/>
        <w:ind w:firstLine="555"/>
        <w:rPr>
          <w:sz w:val="20"/>
          <w:szCs w:val="20"/>
        </w:rPr>
      </w:pPr>
      <w:r>
        <w:rPr>
          <w:sz w:val="20"/>
          <w:szCs w:val="20"/>
        </w:rPr>
        <w:t xml:space="preserve">Depreciation and amortization expense for the three months ended March 31, 2021, was $11.8 million and was </w:t>
      </w:r>
      <w:r>
        <w:rPr>
          <w:sz w:val="20"/>
          <w:szCs w:val="20"/>
        </w:rPr>
        <w:t>comprised of amortization of finite lived intangibles of $8.6 million, depreciation of property and equipment of $2.4 million and finance leases right-of-use asset amortization of $0.8 million</w:t>
      </w:r>
      <w:r>
        <w:rPr>
          <w:sz w:val="20"/>
          <w:szCs w:val="20"/>
        </w:rPr>
        <w:t>.</w:t>
      </w:r>
    </w:p>
    <w:p w:rsidR="00000000" w:rsidRDefault="002D33E3">
      <w:pPr>
        <w:pStyle w:val="a3"/>
        <w:spacing w:before="240" w:beforeAutospacing="0" w:after="0" w:afterAutospacing="0"/>
        <w:ind w:firstLine="555"/>
        <w:rPr>
          <w:sz w:val="20"/>
          <w:szCs w:val="20"/>
        </w:rPr>
      </w:pPr>
      <w:r>
        <w:rPr>
          <w:sz w:val="20"/>
          <w:szCs w:val="20"/>
        </w:rPr>
        <w:t xml:space="preserve">The increase in amortization for the three months ended March </w:t>
      </w:r>
      <w:r>
        <w:rPr>
          <w:sz w:val="20"/>
          <w:szCs w:val="20"/>
        </w:rPr>
        <w:t>31, 2022 versus the three months ended March 31, 2021, was primarily a result of acquisitions. The change in depreciation of property and equipment, and the amortization of finance lease</w:t>
      </w:r>
      <w:r>
        <w:rPr>
          <w:sz w:val="20"/>
          <w:szCs w:val="20"/>
        </w:rPr>
        <w:t>s</w:t>
      </w:r>
      <w:r>
        <w:rPr>
          <w:sz w:val="20"/>
          <w:szCs w:val="20"/>
        </w:rPr>
        <w:t xml:space="preserve"> </w:t>
      </w:r>
    </w:p>
    <w:p w:rsidR="00000000" w:rsidRDefault="002D33E3">
      <w:pPr>
        <w:pStyle w:val="a3"/>
        <w:spacing w:before="240" w:beforeAutospacing="0" w:after="0" w:afterAutospacing="0"/>
        <w:jc w:val="center"/>
        <w:rPr>
          <w:sz w:val="20"/>
          <w:szCs w:val="20"/>
        </w:rPr>
      </w:pPr>
      <w:r>
        <w:rPr>
          <w:sz w:val="20"/>
          <w:szCs w:val="20"/>
        </w:rPr>
        <w:t>3</w:t>
      </w:r>
      <w:r>
        <w:rPr>
          <w:sz w:val="20"/>
          <w:szCs w:val="20"/>
        </w:rPr>
        <w:t>4</w:t>
      </w:r>
    </w:p>
    <w:p w:rsidR="00000000" w:rsidRDefault="002D33E3">
      <w:pPr>
        <w:rPr>
          <w:rFonts w:eastAsia="Times New Roman"/>
        </w:rPr>
      </w:pPr>
      <w:r>
        <w:rPr>
          <w:rFonts w:eastAsia="Times New Roman"/>
        </w:rPr>
        <w:pict>
          <v:rect id="_x0000_i1060"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rPr>
          <w:sz w:val="20"/>
          <w:szCs w:val="20"/>
        </w:rPr>
      </w:pPr>
      <w:r>
        <w:rPr>
          <w:sz w:val="20"/>
          <w:szCs w:val="20"/>
        </w:rPr>
        <w:t>right-of-use asset, is pri</w:t>
      </w:r>
      <w:r>
        <w:rPr>
          <w:sz w:val="20"/>
          <w:szCs w:val="20"/>
        </w:rPr>
        <w:t>marily a result of the adoption of ASC 842, partially offset by the impact of acquisitions on depreciation. See Notes 5 and 6 to our unaudited condensed consolidated financial statements included in Part 1, Item 1. “Financial Statements.</w:t>
      </w:r>
      <w:r>
        <w:rPr>
          <w:sz w:val="20"/>
          <w:szCs w:val="20"/>
        </w:rPr>
        <w:t>”</w:t>
      </w:r>
    </w:p>
    <w:p w:rsidR="00000000" w:rsidRDefault="002D33E3">
      <w:pPr>
        <w:pStyle w:val="a3"/>
        <w:spacing w:before="360" w:beforeAutospacing="0" w:after="0" w:afterAutospacing="0"/>
        <w:ind w:left="476"/>
        <w:rPr>
          <w:sz w:val="20"/>
          <w:szCs w:val="20"/>
        </w:rPr>
      </w:pPr>
      <w:r>
        <w:rPr>
          <w:b/>
          <w:bCs/>
          <w:i/>
          <w:iCs/>
          <w:sz w:val="20"/>
          <w:szCs w:val="20"/>
        </w:rPr>
        <w:t>Other Income (Exp</w:t>
      </w:r>
      <w:r>
        <w:rPr>
          <w:b/>
          <w:bCs/>
          <w:i/>
          <w:iCs/>
          <w:sz w:val="20"/>
          <w:szCs w:val="20"/>
        </w:rPr>
        <w:t>ense</w:t>
      </w:r>
      <w:r>
        <w:rPr>
          <w:b/>
          <w:bCs/>
          <w:i/>
          <w:iCs/>
          <w:sz w:val="20"/>
          <w:szCs w:val="20"/>
        </w:rPr>
        <w:t>)</w:t>
      </w:r>
    </w:p>
    <w:p w:rsidR="00000000" w:rsidRDefault="002D33E3">
      <w:pPr>
        <w:pStyle w:val="a3"/>
        <w:spacing w:before="120" w:beforeAutospacing="0" w:after="0" w:afterAutospacing="0"/>
        <w:ind w:firstLine="555"/>
        <w:rPr>
          <w:sz w:val="20"/>
          <w:szCs w:val="20"/>
        </w:rPr>
      </w:pPr>
      <w:r>
        <w:rPr>
          <w:sz w:val="20"/>
          <w:szCs w:val="20"/>
        </w:rPr>
        <w:t>Other income for the three months ended March 31, 2022 of $2.5 million was driven by a gain related to the fair value adjustment on our interest rate swap of $3.0 million, which was partially offset by an expense of $0.6 million related to the fair v</w:t>
      </w:r>
      <w:r>
        <w:rPr>
          <w:sz w:val="20"/>
          <w:szCs w:val="20"/>
        </w:rPr>
        <w:t>alue adjustment of the Series A-2 preferred stock conversion option. Other expense of $0.9 million for the three months ended March 31, 2021 was driven by fair value adjustments related to the Series A-2 preferred stock conversion option. See Note 12 and 1</w:t>
      </w:r>
      <w:r>
        <w:rPr>
          <w:sz w:val="20"/>
          <w:szCs w:val="20"/>
        </w:rPr>
        <w:t>5 to our unaudited condensed consolidated financial statements included in Part 1, Item 1. “Financial Statements.</w:t>
      </w:r>
      <w:r>
        <w:rPr>
          <w:sz w:val="20"/>
          <w:szCs w:val="20"/>
        </w:rPr>
        <w:t>”</w:t>
      </w:r>
    </w:p>
    <w:p w:rsidR="00000000" w:rsidRDefault="002D33E3">
      <w:pPr>
        <w:pStyle w:val="a3"/>
        <w:spacing w:before="360" w:beforeAutospacing="0" w:after="0" w:afterAutospacing="0"/>
        <w:ind w:left="476"/>
        <w:rPr>
          <w:sz w:val="20"/>
          <w:szCs w:val="20"/>
        </w:rPr>
      </w:pPr>
      <w:r>
        <w:rPr>
          <w:b/>
          <w:bCs/>
          <w:i/>
          <w:iCs/>
          <w:sz w:val="20"/>
          <w:szCs w:val="20"/>
        </w:rPr>
        <w:t>Interest Expense, Ne</w:t>
      </w:r>
      <w:r>
        <w:rPr>
          <w:b/>
          <w:bCs/>
          <w:i/>
          <w:iCs/>
          <w:sz w:val="20"/>
          <w:szCs w:val="20"/>
        </w:rPr>
        <w:t>t</w:t>
      </w:r>
    </w:p>
    <w:p w:rsidR="00000000" w:rsidRDefault="002D33E3">
      <w:pPr>
        <w:pStyle w:val="a3"/>
        <w:spacing w:before="120" w:beforeAutospacing="0" w:after="0" w:afterAutospacing="0"/>
        <w:ind w:firstLine="555"/>
        <w:rPr>
          <w:sz w:val="20"/>
          <w:szCs w:val="20"/>
        </w:rPr>
      </w:pPr>
      <w:r>
        <w:rPr>
          <w:sz w:val="20"/>
          <w:szCs w:val="20"/>
        </w:rPr>
        <w:t>Interest expense, net incurred in the three months ended March 31, 2022, was $1.1 million, compared to $2.7 million for</w:t>
      </w:r>
      <w:r>
        <w:rPr>
          <w:sz w:val="20"/>
          <w:szCs w:val="20"/>
        </w:rPr>
        <w:t xml:space="preserve"> the three months ended March 31, 2021. The decrease in interest expense was driven by lower average interest rates under the 2021 Credit Facility as compared to the prior facility which was still in place in the first quarter of 2021. See “—Key Factors th</w:t>
      </w:r>
      <w:r>
        <w:rPr>
          <w:sz w:val="20"/>
          <w:szCs w:val="20"/>
        </w:rPr>
        <w:t>at Affect Our Business and Our Results—Financing Costs” and Note 12 to our unaudited condensed consolidated financial statements included in Part I, Item 1. “Financial Statements.</w:t>
      </w:r>
      <w:r>
        <w:rPr>
          <w:sz w:val="20"/>
          <w:szCs w:val="20"/>
        </w:rPr>
        <w:t>”</w:t>
      </w:r>
    </w:p>
    <w:p w:rsidR="00000000" w:rsidRDefault="002D33E3">
      <w:pPr>
        <w:pStyle w:val="a3"/>
        <w:spacing w:before="360" w:beforeAutospacing="0" w:after="0" w:afterAutospacing="0"/>
        <w:ind w:left="476"/>
        <w:rPr>
          <w:sz w:val="20"/>
          <w:szCs w:val="20"/>
        </w:rPr>
      </w:pPr>
      <w:r>
        <w:rPr>
          <w:b/>
          <w:bCs/>
          <w:i/>
          <w:iCs/>
          <w:sz w:val="20"/>
          <w:szCs w:val="20"/>
        </w:rPr>
        <w:t>Income Ta</w:t>
      </w:r>
      <w:r>
        <w:rPr>
          <w:b/>
          <w:bCs/>
          <w:i/>
          <w:iCs/>
          <w:sz w:val="20"/>
          <w:szCs w:val="20"/>
        </w:rPr>
        <w:t>x</w:t>
      </w:r>
      <w:r>
        <w:rPr>
          <w:b/>
          <w:bCs/>
          <w:i/>
          <w:iCs/>
          <w:sz w:val="20"/>
          <w:szCs w:val="20"/>
        </w:rPr>
        <w:t xml:space="preserve"> Expens</w:t>
      </w:r>
      <w:r>
        <w:rPr>
          <w:b/>
          <w:bCs/>
          <w:i/>
          <w:iCs/>
          <w:sz w:val="20"/>
          <w:szCs w:val="20"/>
        </w:rPr>
        <w:t>e</w:t>
      </w:r>
    </w:p>
    <w:p w:rsidR="00000000" w:rsidRDefault="002D33E3">
      <w:pPr>
        <w:pStyle w:val="a3"/>
        <w:spacing w:before="120" w:beforeAutospacing="0" w:after="0" w:afterAutospacing="0"/>
        <w:ind w:firstLine="555"/>
        <w:rPr>
          <w:sz w:val="20"/>
          <w:szCs w:val="20"/>
        </w:rPr>
      </w:pPr>
      <w:r>
        <w:rPr>
          <w:sz w:val="20"/>
          <w:szCs w:val="20"/>
        </w:rPr>
        <w:t>Income tax expense was</w:t>
      </w:r>
      <w:r>
        <w:rPr>
          <w:sz w:val="20"/>
          <w:szCs w:val="20"/>
        </w:rPr>
        <w:t xml:space="preserve"> </w:t>
      </w:r>
      <w:r>
        <w:rPr>
          <w:sz w:val="20"/>
          <w:szCs w:val="20"/>
        </w:rPr>
        <w:t>$1.3 million</w:t>
      </w:r>
      <w:r>
        <w:rPr>
          <w:sz w:val="20"/>
          <w:szCs w:val="20"/>
        </w:rPr>
        <w:t xml:space="preserve"> </w:t>
      </w:r>
      <w:r>
        <w:rPr>
          <w:sz w:val="20"/>
          <w:szCs w:val="20"/>
        </w:rPr>
        <w:t>during th</w:t>
      </w:r>
      <w:r>
        <w:rPr>
          <w:sz w:val="20"/>
          <w:szCs w:val="20"/>
        </w:rPr>
        <w:t>e three months ended March 31, 2022. Income tax expense was immaterial for the three months ended March 31, 2021</w:t>
      </w:r>
      <w:r>
        <w:rPr>
          <w:sz w:val="20"/>
          <w:szCs w:val="20"/>
        </w:rPr>
        <w:t>.</w:t>
      </w:r>
      <w:r>
        <w:rPr>
          <w:sz w:val="20"/>
          <w:szCs w:val="20"/>
        </w:rPr>
        <w:t xml:space="preserve"> </w:t>
      </w:r>
    </w:p>
    <w:p w:rsidR="00000000" w:rsidRDefault="002D33E3">
      <w:pPr>
        <w:pStyle w:val="a3"/>
        <w:spacing w:before="360" w:beforeAutospacing="0" w:after="0" w:afterAutospacing="0"/>
        <w:rPr>
          <w:sz w:val="20"/>
          <w:szCs w:val="20"/>
        </w:rPr>
      </w:pPr>
      <w:r>
        <w:rPr>
          <w:b/>
          <w:bCs/>
          <w:i/>
          <w:iCs/>
          <w:sz w:val="20"/>
          <w:szCs w:val="20"/>
        </w:rPr>
        <w:t>Segment Results of Operation</w:t>
      </w:r>
      <w:r>
        <w:rPr>
          <w:b/>
          <w:bCs/>
          <w:i/>
          <w:iCs/>
          <w:sz w:val="20"/>
          <w:szCs w:val="20"/>
        </w:rPr>
        <w:t>s</w:t>
      </w:r>
      <w:r>
        <w:rPr>
          <w:b/>
          <w:bCs/>
          <w:i/>
          <w:iCs/>
          <w:sz w:val="20"/>
          <w:szCs w:val="20"/>
        </w:rPr>
        <w:t xml:space="preserve"> </w:t>
      </w:r>
    </w:p>
    <w:p w:rsidR="00000000" w:rsidRDefault="002D33E3">
      <w:pPr>
        <w:pStyle w:val="a3"/>
        <w:spacing w:before="120" w:beforeAutospacing="0" w:after="0" w:afterAutospacing="0"/>
        <w:rPr>
          <w:sz w:val="20"/>
          <w:szCs w:val="20"/>
        </w:rPr>
      </w:pPr>
      <w:r>
        <w:rPr>
          <w:b/>
          <w:bCs/>
          <w:i/>
          <w:iCs/>
          <w:sz w:val="20"/>
          <w:szCs w:val="20"/>
        </w:rPr>
        <w:t>Three Months Ended March 31, 2022 Compared to the Three Months Ended March 31, 202</w:t>
      </w:r>
      <w:r>
        <w:rPr>
          <w:b/>
          <w:bCs/>
          <w:i/>
          <w:iCs/>
          <w:sz w:val="20"/>
          <w:szCs w:val="20"/>
        </w:rPr>
        <w:t>1</w:t>
      </w:r>
    </w:p>
    <w:p w:rsidR="00000000" w:rsidRDefault="002D33E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8"/>
        <w:gridCol w:w="105"/>
        <w:gridCol w:w="150"/>
        <w:gridCol w:w="645"/>
        <w:gridCol w:w="105"/>
        <w:gridCol w:w="105"/>
        <w:gridCol w:w="151"/>
        <w:gridCol w:w="671"/>
        <w:gridCol w:w="120"/>
        <w:gridCol w:w="105"/>
        <w:gridCol w:w="106"/>
        <w:gridCol w:w="700"/>
        <w:gridCol w:w="105"/>
        <w:gridCol w:w="240"/>
        <w:gridCol w:w="105"/>
        <w:gridCol w:w="150"/>
        <w:gridCol w:w="645"/>
        <w:gridCol w:w="105"/>
        <w:gridCol w:w="105"/>
        <w:gridCol w:w="151"/>
        <w:gridCol w:w="768"/>
        <w:gridCol w:w="120"/>
        <w:gridCol w:w="105"/>
        <w:gridCol w:w="106"/>
        <w:gridCol w:w="700"/>
        <w:gridCol w:w="105"/>
        <w:gridCol w:w="255"/>
      </w:tblGrid>
      <w:tr w:rsidR="00000000">
        <w:trPr>
          <w:tblCellSpacing w:w="15" w:type="dxa"/>
        </w:trPr>
        <w:tc>
          <w:tcPr>
            <w:tcW w:w="1799" w:type="pct"/>
            <w:vAlign w:val="center"/>
            <w:hideMark/>
          </w:tcPr>
          <w:p w:rsidR="00000000" w:rsidRDefault="002D33E3">
            <w:pPr>
              <w:rPr>
                <w:sz w:val="20"/>
                <w:szCs w:val="20"/>
              </w:rPr>
            </w:pPr>
          </w:p>
        </w:tc>
        <w:tc>
          <w:tcPr>
            <w:tcW w:w="4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293"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576" w:type="pct"/>
            <w:vAlign w:val="center"/>
            <w:hideMark/>
          </w:tcPr>
          <w:p w:rsidR="00000000" w:rsidRDefault="002D33E3">
            <w:pPr>
              <w:rPr>
                <w:rFonts w:eastAsia="Times New Roman"/>
                <w:sz w:val="20"/>
                <w:szCs w:val="20"/>
              </w:rPr>
            </w:pPr>
          </w:p>
        </w:tc>
        <w:tc>
          <w:tcPr>
            <w:tcW w:w="35"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350"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83"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54" w:type="pct"/>
            <w:vAlign w:val="center"/>
            <w:hideMark/>
          </w:tcPr>
          <w:p w:rsidR="00000000" w:rsidRDefault="002D33E3">
            <w:pPr>
              <w:rPr>
                <w:rFonts w:eastAsia="Times New Roman"/>
                <w:sz w:val="20"/>
                <w:szCs w:val="20"/>
              </w:rPr>
            </w:pPr>
          </w:p>
        </w:tc>
        <w:tc>
          <w:tcPr>
            <w:tcW w:w="301"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53" w:type="pct"/>
            <w:vAlign w:val="center"/>
            <w:hideMark/>
          </w:tcPr>
          <w:p w:rsidR="00000000" w:rsidRDefault="002D33E3">
            <w:pPr>
              <w:rPr>
                <w:rFonts w:eastAsia="Times New Roman"/>
                <w:sz w:val="20"/>
                <w:szCs w:val="20"/>
              </w:rPr>
            </w:pPr>
          </w:p>
        </w:tc>
        <w:tc>
          <w:tcPr>
            <w:tcW w:w="423" w:type="pct"/>
            <w:vAlign w:val="center"/>
            <w:hideMark/>
          </w:tcPr>
          <w:p w:rsidR="00000000" w:rsidRDefault="002D33E3">
            <w:pPr>
              <w:rPr>
                <w:rFonts w:eastAsia="Times New Roman"/>
                <w:sz w:val="20"/>
                <w:szCs w:val="20"/>
              </w:rPr>
            </w:pPr>
          </w:p>
        </w:tc>
        <w:tc>
          <w:tcPr>
            <w:tcW w:w="35"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350"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83" w:type="pct"/>
            <w:vAlign w:val="center"/>
            <w:hideMark/>
          </w:tcPr>
          <w:p w:rsidR="00000000" w:rsidRDefault="002D33E3">
            <w:pPr>
              <w:rPr>
                <w:rFonts w:eastAsia="Times New Roman"/>
                <w:sz w:val="20"/>
                <w:szCs w:val="20"/>
              </w:rPr>
            </w:pP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3"/>
            <w:vAlign w:val="bottom"/>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Segment Revenue</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t xml:space="preserve"> </w:t>
            </w:r>
            <w:r>
              <w:rPr>
                <w:b/>
                <w:bCs/>
                <w:sz w:val="12"/>
                <w:szCs w:val="12"/>
              </w:rPr>
              <w:t>(1</w:t>
            </w:r>
            <w:r>
              <w:rPr>
                <w:b/>
                <w:bCs/>
                <w:sz w:val="12"/>
                <w:szCs w:val="12"/>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br/>
              <w:t>Margi</w:t>
            </w:r>
            <w:r>
              <w:rPr>
                <w:b/>
                <w:bCs/>
                <w:sz w:val="18"/>
                <w:szCs w:val="18"/>
              </w:rPr>
              <w:t>n</w:t>
            </w:r>
            <w:r>
              <w:rPr>
                <w:b/>
                <w:bCs/>
                <w:sz w:val="12"/>
                <w:szCs w:val="12"/>
              </w:rPr>
              <w:t>(2</w:t>
            </w:r>
            <w:r>
              <w:rPr>
                <w:b/>
                <w:bCs/>
                <w:sz w:val="12"/>
                <w:szCs w:val="12"/>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Segment Revenue</w:t>
            </w:r>
            <w:r>
              <w:rPr>
                <w:b/>
                <w:bCs/>
                <w:sz w:val="18"/>
                <w:szCs w:val="18"/>
              </w:rPr>
              <w:t>s</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Segment</w:t>
            </w:r>
            <w:r>
              <w:rPr>
                <w:b/>
                <w:bCs/>
                <w:sz w:val="18"/>
                <w:szCs w:val="18"/>
              </w:rPr>
              <w:br/>
              <w:t>Adjusted</w:t>
            </w:r>
            <w:r>
              <w:rPr>
                <w:b/>
                <w:bCs/>
                <w:sz w:val="18"/>
                <w:szCs w:val="18"/>
              </w:rPr>
              <w:br/>
              <w:t>EBITD</w:t>
            </w:r>
            <w:r>
              <w:rPr>
                <w:b/>
                <w:bCs/>
                <w:sz w:val="18"/>
                <w:szCs w:val="18"/>
              </w:rPr>
              <w:t>A</w:t>
            </w:r>
            <w:r>
              <w:rPr>
                <w:b/>
                <w:bCs/>
                <w:sz w:val="12"/>
                <w:szCs w:val="12"/>
              </w:rPr>
              <w:t>(1</w:t>
            </w:r>
            <w:r>
              <w:rPr>
                <w:b/>
                <w:bCs/>
                <w:sz w:val="12"/>
                <w:szCs w:val="12"/>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br/>
              <w:t>Margi</w:t>
            </w:r>
            <w:r>
              <w:rPr>
                <w:b/>
                <w:bCs/>
                <w:sz w:val="18"/>
                <w:szCs w:val="18"/>
              </w:rPr>
              <w:t>n</w:t>
            </w:r>
            <w:r>
              <w:rPr>
                <w:b/>
                <w:bCs/>
                <w:sz w:val="12"/>
                <w:szCs w:val="12"/>
              </w:rPr>
              <w:t>(2</w:t>
            </w:r>
            <w:r>
              <w:rPr>
                <w:b/>
                <w:bCs/>
                <w:sz w:val="12"/>
                <w:szCs w:val="12"/>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Assessment, Permitting and Respons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45,60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9,62</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21.</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75,26</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15,80</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21.</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Measurement and Analysi</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39,76</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6,32</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15.</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33,44</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4,86</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14.</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Remediation and Reus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49,31</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7,99</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16.</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25,11</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2,48</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9.</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Total Operating Segment</w:t>
            </w:r>
            <w:r>
              <w:rPr>
                <w:b/>
                <w:bCs/>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134,68</w:t>
            </w:r>
            <w:r>
              <w:rPr>
                <w:b/>
                <w:bCs/>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23,93</w:t>
            </w:r>
            <w:r>
              <w:rPr>
                <w:b/>
                <w:bCs/>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17.</w:t>
            </w:r>
            <w:r>
              <w:rPr>
                <w:b/>
                <w:bCs/>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133,81</w:t>
            </w:r>
            <w:r>
              <w:rPr>
                <w:b/>
                <w:bCs/>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23,14</w:t>
            </w:r>
            <w:r>
              <w:rPr>
                <w:b/>
                <w:bCs/>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17.</w:t>
            </w:r>
            <w:r>
              <w:rPr>
                <w:b/>
                <w:bCs/>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Corporate and Othe</w:t>
            </w:r>
            <w:r>
              <w:rPr>
                <w:sz w:val="18"/>
                <w:szCs w:val="18"/>
              </w:rPr>
              <w:t>r</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(7,48</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n/</w:t>
            </w:r>
            <w:r>
              <w:rPr>
                <w:sz w:val="18"/>
                <w:szCs w:val="18"/>
              </w:rPr>
              <w:t>a</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(6,34</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n/</w:t>
            </w:r>
            <w:r>
              <w:rPr>
                <w:sz w:val="18"/>
                <w:szCs w:val="18"/>
              </w:rPr>
              <w:t>a</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pBdr>
          <w:bottom w:val="single" w:sz="4" w:space="1" w:color="auto"/>
        </w:pBdr>
        <w:spacing w:before="0" w:beforeAutospacing="0" w:after="0" w:afterAutospacing="0"/>
        <w:ind w:right="9167"/>
        <w:rPr>
          <w:sz w:val="20"/>
          <w:szCs w:val="20"/>
        </w:rPr>
      </w:pPr>
      <w:r>
        <w:rPr>
          <w:sz w:val="20"/>
          <w:szCs w:val="20"/>
        </w:rPr>
        <w:t> </w:t>
      </w:r>
    </w:p>
    <w:p w:rsidR="00000000" w:rsidRDefault="002D33E3">
      <w:pPr>
        <w:rPr>
          <w:rFonts w:eastAsia="Times New Roman"/>
        </w:rPr>
      </w:pPr>
      <w:r>
        <w:rPr>
          <w:rFonts w:eastAsia="Times New Roman"/>
          <w:sz w:val="16"/>
          <w:szCs w:val="16"/>
        </w:rPr>
        <w:t>(1</w:t>
      </w:r>
      <w:r>
        <w:rPr>
          <w:rFonts w:eastAsia="Times New Roman"/>
          <w:sz w:val="16"/>
          <w:szCs w:val="16"/>
        </w:rPr>
        <w:t>)</w:t>
      </w:r>
    </w:p>
    <w:p w:rsidR="00000000" w:rsidRDefault="002D33E3">
      <w:pPr>
        <w:divId w:val="2023772562"/>
        <w:rPr>
          <w:rFonts w:eastAsia="Times New Roman"/>
        </w:rPr>
      </w:pPr>
      <w:r>
        <w:rPr>
          <w:rFonts w:eastAsia="Times New Roman"/>
          <w:sz w:val="16"/>
          <w:szCs w:val="16"/>
        </w:rPr>
        <w:t>For purposes of evaluating segment profit, the Company’</w:t>
      </w:r>
      <w:r>
        <w:rPr>
          <w:rFonts w:eastAsia="Times New Roman"/>
          <w:sz w:val="16"/>
          <w:szCs w:val="16"/>
        </w:rPr>
        <w:t>s chief operating decision maker reviews Segment Adjusted EBITDA as a basis for making the decisions to allocate resources and assess performance. See Note 18 to our unaudited condensed consolidated financial statements included in Part I, Item 1. “Financi</w:t>
      </w:r>
      <w:r>
        <w:rPr>
          <w:rFonts w:eastAsia="Times New Roman"/>
          <w:sz w:val="16"/>
          <w:szCs w:val="16"/>
        </w:rPr>
        <w:t>al Statements.</w:t>
      </w:r>
      <w:r>
        <w:rPr>
          <w:rFonts w:eastAsia="Times New Roman"/>
          <w:sz w:val="16"/>
          <w:szCs w:val="16"/>
        </w:rPr>
        <w:t>”</w:t>
      </w:r>
    </w:p>
    <w:p w:rsidR="00000000" w:rsidRDefault="002D33E3">
      <w:pPr>
        <w:rPr>
          <w:rFonts w:eastAsia="Times New Roman"/>
        </w:rPr>
      </w:pPr>
      <w:r>
        <w:rPr>
          <w:rFonts w:eastAsia="Times New Roman"/>
          <w:sz w:val="16"/>
          <w:szCs w:val="16"/>
        </w:rPr>
        <w:t>(2</w:t>
      </w:r>
      <w:r>
        <w:rPr>
          <w:rFonts w:eastAsia="Times New Roman"/>
          <w:sz w:val="16"/>
          <w:szCs w:val="16"/>
        </w:rPr>
        <w:t>)</w:t>
      </w:r>
    </w:p>
    <w:p w:rsidR="00000000" w:rsidRDefault="002D33E3">
      <w:pPr>
        <w:divId w:val="1785883194"/>
        <w:rPr>
          <w:rFonts w:eastAsia="Times New Roman"/>
        </w:rPr>
      </w:pPr>
      <w:r>
        <w:rPr>
          <w:rFonts w:eastAsia="Times New Roman"/>
          <w:sz w:val="16"/>
          <w:szCs w:val="16"/>
        </w:rPr>
        <w:t>Represents Segment Adjusted EBITDA as a percentage of segment revenues</w:t>
      </w:r>
      <w:r>
        <w:rPr>
          <w:rFonts w:eastAsia="Times New Roman"/>
          <w:sz w:val="16"/>
          <w:szCs w:val="16"/>
        </w:rPr>
        <w:t>.</w:t>
      </w:r>
    </w:p>
    <w:p w:rsidR="00000000" w:rsidRDefault="002D33E3">
      <w:pPr>
        <w:pStyle w:val="a3"/>
        <w:spacing w:before="240" w:beforeAutospacing="0" w:after="0" w:afterAutospacing="0"/>
        <w:jc w:val="center"/>
        <w:rPr>
          <w:sz w:val="20"/>
          <w:szCs w:val="20"/>
        </w:rPr>
      </w:pPr>
      <w:r>
        <w:rPr>
          <w:sz w:val="20"/>
          <w:szCs w:val="20"/>
        </w:rPr>
        <w:t>3</w:t>
      </w:r>
      <w:r>
        <w:rPr>
          <w:sz w:val="20"/>
          <w:szCs w:val="20"/>
        </w:rPr>
        <w:t>5</w:t>
      </w:r>
    </w:p>
    <w:p w:rsidR="00000000" w:rsidRDefault="002D33E3">
      <w:pPr>
        <w:rPr>
          <w:rFonts w:eastAsia="Times New Roman"/>
        </w:rPr>
      </w:pPr>
      <w:r>
        <w:rPr>
          <w:rFonts w:eastAsia="Times New Roman"/>
        </w:rPr>
        <w:pict>
          <v:rect id="_x0000_i1061"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ind w:firstLine="555"/>
        <w:rPr>
          <w:sz w:val="20"/>
          <w:szCs w:val="20"/>
        </w:rPr>
      </w:pPr>
      <w:r>
        <w:rPr>
          <w:b/>
          <w:bCs/>
          <w:i/>
          <w:iCs/>
          <w:sz w:val="20"/>
          <w:szCs w:val="20"/>
        </w:rPr>
        <w:t>Revenue</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Assessment, Permitting and Response segment revenues for the three months ended March 31, 2022 were $45.6 million, compared to $75.3 million for the three months ended March 31, 2021. The decrease was driven b</w:t>
      </w:r>
      <w:r>
        <w:rPr>
          <w:sz w:val="20"/>
          <w:szCs w:val="20"/>
        </w:rPr>
        <w:t>y significantly lower CTEH revenues in the first quarter of 2022 when compared to the first quarter of 2021, as a result of lower revenue from COVID-19 related services, partially offset by revenues of $11.4 million from acquisitions completed subsequent t</w:t>
      </w:r>
      <w:r>
        <w:rPr>
          <w:sz w:val="20"/>
          <w:szCs w:val="20"/>
        </w:rPr>
        <w:t>o the quarter ended March 31, 2021. CTEH revenues were $29.9 million in the three months ended March 31, 2022 compared to $70.4 million in the three months ended March 31, 2021</w:t>
      </w:r>
      <w:r>
        <w:rPr>
          <w:sz w:val="20"/>
          <w:szCs w:val="20"/>
        </w:rPr>
        <w:t>.</w:t>
      </w:r>
    </w:p>
    <w:p w:rsidR="00000000" w:rsidRDefault="002D33E3">
      <w:pPr>
        <w:pStyle w:val="a3"/>
        <w:spacing w:before="240" w:beforeAutospacing="0" w:after="0" w:afterAutospacing="0"/>
        <w:ind w:firstLine="555"/>
        <w:rPr>
          <w:sz w:val="20"/>
          <w:szCs w:val="20"/>
        </w:rPr>
      </w:pPr>
      <w:r>
        <w:rPr>
          <w:sz w:val="20"/>
          <w:szCs w:val="20"/>
        </w:rPr>
        <w:t>Measurement and Analysis segment revenues for the three months ended March 31,</w:t>
      </w:r>
      <w:r>
        <w:rPr>
          <w:sz w:val="20"/>
          <w:szCs w:val="20"/>
        </w:rPr>
        <w:t xml:space="preserve"> 2022 were $39.8 million, an increase of $6.4 million or 18.9% compared to revenues for the three months ended March 31, 2021 of $33.4 million. The increase was driven primarily by organic growth, as well as by revenues </w:t>
      </w:r>
      <w:r>
        <w:rPr>
          <w:sz w:val="20"/>
          <w:szCs w:val="20"/>
        </w:rPr>
        <w:t>o</w:t>
      </w:r>
      <w:r>
        <w:rPr>
          <w:sz w:val="20"/>
          <w:szCs w:val="20"/>
        </w:rPr>
        <w:t>f $2.2 mil</w:t>
      </w:r>
      <w:r>
        <w:rPr>
          <w:sz w:val="20"/>
          <w:szCs w:val="20"/>
        </w:rPr>
        <w:t>l</w:t>
      </w:r>
      <w:r>
        <w:rPr>
          <w:sz w:val="20"/>
          <w:szCs w:val="20"/>
        </w:rPr>
        <w:t>ion from acquisitions co</w:t>
      </w:r>
      <w:r>
        <w:rPr>
          <w:sz w:val="20"/>
          <w:szCs w:val="20"/>
        </w:rPr>
        <w:t>mpleted subsequent to the quarter ended March 31, 2021</w:t>
      </w:r>
      <w:r>
        <w:rPr>
          <w:sz w:val="20"/>
          <w:szCs w:val="20"/>
        </w:rPr>
        <w:t>.</w:t>
      </w:r>
    </w:p>
    <w:p w:rsidR="00000000" w:rsidRDefault="002D33E3">
      <w:pPr>
        <w:pStyle w:val="a3"/>
        <w:spacing w:before="240" w:beforeAutospacing="0" w:after="0" w:afterAutospacing="0"/>
        <w:ind w:firstLine="555"/>
        <w:rPr>
          <w:sz w:val="20"/>
          <w:szCs w:val="20"/>
        </w:rPr>
      </w:pPr>
      <w:r>
        <w:rPr>
          <w:sz w:val="20"/>
          <w:szCs w:val="20"/>
        </w:rPr>
        <w:t>Remediation and Reuse segment revenues for the three months ended March 31, 2022 were $49.3 million, an increase of $24.2 million or 96.4% compared to revenues for the three months ended March 31, 202</w:t>
      </w:r>
      <w:r>
        <w:rPr>
          <w:sz w:val="20"/>
          <w:szCs w:val="20"/>
        </w:rPr>
        <w:t>1 of $25.1 million. The increase was driven by organic growth. This organic revenue growth was driven by increases in demand for our water treatment technology (PFAS removal) and waste-to-resources (agricultural waste to biogas) services</w:t>
      </w:r>
      <w:r>
        <w:rPr>
          <w:sz w:val="20"/>
          <w:szCs w:val="20"/>
        </w:rPr>
        <w:t>.</w:t>
      </w:r>
    </w:p>
    <w:p w:rsidR="00000000" w:rsidRDefault="002D33E3">
      <w:pPr>
        <w:pStyle w:val="a3"/>
        <w:spacing w:before="360" w:beforeAutospacing="0" w:after="0" w:afterAutospacing="0"/>
        <w:ind w:firstLine="555"/>
        <w:rPr>
          <w:sz w:val="20"/>
          <w:szCs w:val="20"/>
        </w:rPr>
      </w:pPr>
      <w:r>
        <w:rPr>
          <w:b/>
          <w:bCs/>
          <w:i/>
          <w:iCs/>
          <w:sz w:val="20"/>
          <w:szCs w:val="20"/>
        </w:rPr>
        <w:t xml:space="preserve">Segment Adjusted </w:t>
      </w:r>
      <w:r>
        <w:rPr>
          <w:b/>
          <w:bCs/>
          <w:i/>
          <w:iCs/>
          <w:sz w:val="20"/>
          <w:szCs w:val="20"/>
        </w:rPr>
        <w:t>EBITD</w:t>
      </w:r>
      <w:r>
        <w:rPr>
          <w:b/>
          <w:bCs/>
          <w:i/>
          <w:iCs/>
          <w:sz w:val="20"/>
          <w:szCs w:val="20"/>
        </w:rPr>
        <w:t>A</w:t>
      </w:r>
    </w:p>
    <w:p w:rsidR="00000000" w:rsidRDefault="002D33E3">
      <w:pPr>
        <w:pStyle w:val="a3"/>
        <w:spacing w:before="120" w:beforeAutospacing="0" w:after="0" w:afterAutospacing="0"/>
        <w:ind w:firstLine="555"/>
        <w:rPr>
          <w:sz w:val="20"/>
          <w:szCs w:val="20"/>
        </w:rPr>
      </w:pPr>
      <w:r>
        <w:rPr>
          <w:sz w:val="20"/>
          <w:szCs w:val="20"/>
        </w:rPr>
        <w:t>Assessment, Permitting and Response Segment Adjusted EBITDA was $9.6 million for the three months ended March 31, 2022, compared to $15.8 million for the three months ended March 31, 2021. For the three months ended March 31, 2022 and March 31, 2021</w:t>
      </w:r>
      <w:r>
        <w:rPr>
          <w:sz w:val="20"/>
          <w:szCs w:val="20"/>
        </w:rPr>
        <w:t>, Segment Adjusted EBITDA margin was 21.1% and 21.0%, respectively. The decrease in Segment Adjusted EBITDA was a result of a decrease in CTEH COVID-19 related revenues during the three months ended March 31, 2022 when compared to the three months ended Ma</w:t>
      </w:r>
      <w:r>
        <w:rPr>
          <w:sz w:val="20"/>
          <w:szCs w:val="20"/>
        </w:rPr>
        <w:t>rch 31, 2021. Segment Adjusted EBITDA margin was flat despite the decrease in revenues primarily due to CTEH COVID-19 related services' comparatively lower margin profile</w:t>
      </w:r>
      <w:r>
        <w:rPr>
          <w:sz w:val="20"/>
          <w:szCs w:val="20"/>
        </w:rPr>
        <w:t>.</w:t>
      </w:r>
    </w:p>
    <w:p w:rsidR="00000000" w:rsidRDefault="002D33E3">
      <w:pPr>
        <w:pStyle w:val="a3"/>
        <w:spacing w:before="240" w:beforeAutospacing="0" w:after="0" w:afterAutospacing="0"/>
        <w:ind w:firstLine="555"/>
        <w:rPr>
          <w:sz w:val="20"/>
          <w:szCs w:val="20"/>
        </w:rPr>
      </w:pPr>
      <w:r>
        <w:rPr>
          <w:sz w:val="20"/>
          <w:szCs w:val="20"/>
        </w:rPr>
        <w:t>Measurement and Analysis Segment Adjusted EBITDA for the three months ended March 31</w:t>
      </w:r>
      <w:r>
        <w:rPr>
          <w:sz w:val="20"/>
          <w:szCs w:val="20"/>
        </w:rPr>
        <w:t>, 2022 was $6.3 million, an increase of $1.4 million compared to Segment Adjusted EBITDA for the three months ended March 31, 2021 of $4.9 million. For the three months ended March 31, 2022 and March 31, 2021 Segment Adjusted EBITDA margin was 15.9% and 14</w:t>
      </w:r>
      <w:r>
        <w:rPr>
          <w:sz w:val="20"/>
          <w:szCs w:val="20"/>
        </w:rPr>
        <w:t>.5%, respectively. The increase in both Segment Adjusted EBITDA and Segment Adjusted EBITDA margin was a result of higher revenues. Segment Adjusted EBITDA margins benefit from higher revenues due the benefit of operating leverage once fixed costs are cove</w:t>
      </w:r>
      <w:r>
        <w:rPr>
          <w:sz w:val="20"/>
          <w:szCs w:val="20"/>
        </w:rPr>
        <w:t>red</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 xml:space="preserve">Remediation and Reuse Segment Adjusted EBITDA for the three months ended March 31, 2022 was $8.0 million, an increase of $5.5 million compared to Segment Adjusted EBITDA for the three months ended March 31, 2021 of $2.5 million. For the three months </w:t>
      </w:r>
      <w:r>
        <w:rPr>
          <w:sz w:val="20"/>
          <w:szCs w:val="20"/>
        </w:rPr>
        <w:t>ended March 31, 2022 and March 31, 2021 Segment Adjusted EBITDA margin was 16.2% and 9.9%, respectively. The increase in both Segment Adjusted EBITDA and Segment Adjusted EBITDA margin was a result of significantly higher revenues despite our continued inv</w:t>
      </w:r>
      <w:r>
        <w:rPr>
          <w:sz w:val="20"/>
          <w:szCs w:val="20"/>
        </w:rPr>
        <w:t>estments in operating infrastructure in this segment which temporarily impact margins</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Corporate and other costs were $7.5 million for the three months ended March 31, 2022 compared to $6.3 million for the three months ended March 31, 2021. The cost incre</w:t>
      </w:r>
      <w:r>
        <w:rPr>
          <w:sz w:val="20"/>
          <w:szCs w:val="20"/>
        </w:rPr>
        <w:t>ase was primarily driven by continued investment in corporate support functions to support anticipated future growth. Corporate and other costs were 5.6% and 4.7% of revenues for the three months ended March 31, 2022 and March 31, 2021, respectively</w:t>
      </w:r>
      <w:r>
        <w:rPr>
          <w:sz w:val="20"/>
          <w:szCs w:val="20"/>
        </w:rPr>
        <w:t>.</w:t>
      </w:r>
    </w:p>
    <w:p w:rsidR="00000000" w:rsidRDefault="002D33E3">
      <w:pPr>
        <w:pStyle w:val="a3"/>
        <w:spacing w:before="360" w:beforeAutospacing="0" w:after="0" w:afterAutospacing="0"/>
        <w:rPr>
          <w:sz w:val="20"/>
          <w:szCs w:val="20"/>
        </w:rPr>
      </w:pPr>
      <w:r>
        <w:rPr>
          <w:b/>
          <w:bCs/>
          <w:sz w:val="20"/>
          <w:szCs w:val="20"/>
        </w:rPr>
        <w:t>Liqui</w:t>
      </w:r>
      <w:r>
        <w:rPr>
          <w:b/>
          <w:bCs/>
          <w:sz w:val="20"/>
          <w:szCs w:val="20"/>
        </w:rPr>
        <w:t>dity and Capital Resource</w:t>
      </w:r>
      <w:r>
        <w:rPr>
          <w:b/>
          <w:bCs/>
          <w:sz w:val="20"/>
          <w:szCs w:val="20"/>
        </w:rPr>
        <w:t>s</w:t>
      </w:r>
    </w:p>
    <w:p w:rsidR="00000000" w:rsidRDefault="002D33E3">
      <w:pPr>
        <w:pStyle w:val="a3"/>
        <w:spacing w:before="120" w:beforeAutospacing="0" w:after="0" w:afterAutospacing="0"/>
        <w:ind w:firstLine="555"/>
        <w:rPr>
          <w:sz w:val="20"/>
          <w:szCs w:val="20"/>
        </w:rPr>
      </w:pPr>
      <w:r>
        <w:rPr>
          <w:sz w:val="20"/>
          <w:szCs w:val="20"/>
        </w:rPr>
        <w:t>Liquidity describes the ability of a company to generate sufficient cash flows to meet the cash requirements of its business operations, including working capital needs, debt service, acquisitions, other commitments and contractu</w:t>
      </w:r>
      <w:r>
        <w:rPr>
          <w:sz w:val="20"/>
          <w:szCs w:val="20"/>
        </w:rPr>
        <w:t>al obligations. We consider liquidity in terms of cash flows from operations and other sources, including availability under our credit facility, and their sufficiency to fund our operating and investing activities</w:t>
      </w:r>
      <w:r>
        <w:rPr>
          <w:sz w:val="20"/>
          <w:szCs w:val="20"/>
        </w:rPr>
        <w:t>.</w:t>
      </w:r>
    </w:p>
    <w:p w:rsidR="00000000" w:rsidRDefault="002D33E3">
      <w:pPr>
        <w:pStyle w:val="a3"/>
        <w:spacing w:before="240" w:beforeAutospacing="0" w:after="0" w:afterAutospacing="0"/>
        <w:ind w:firstLine="555"/>
        <w:rPr>
          <w:sz w:val="20"/>
          <w:szCs w:val="20"/>
        </w:rPr>
      </w:pPr>
      <w:r>
        <w:rPr>
          <w:sz w:val="20"/>
          <w:szCs w:val="20"/>
        </w:rPr>
        <w:t xml:space="preserve">Our principal sources of liquidity have </w:t>
      </w:r>
      <w:r>
        <w:rPr>
          <w:sz w:val="20"/>
          <w:szCs w:val="20"/>
        </w:rPr>
        <w:t>been borrowings under our credit facilities, other borrowing arrangements, proceeds from the issuance of common and preferred stock and cash generated by operating activities. Historically, we have financed our operations and acquisitions from a combinatio</w:t>
      </w:r>
      <w:r>
        <w:rPr>
          <w:sz w:val="20"/>
          <w:szCs w:val="20"/>
        </w:rPr>
        <w:t>n of cash generated from operations, periodic borrowings under senior secured credit facilities, other prior secured and unsecured borrowings and proceeds from the issuance of common and preferred stock. Our primary cash needs are for day to day operations</w:t>
      </w:r>
      <w:r>
        <w:rPr>
          <w:sz w:val="20"/>
          <w:szCs w:val="20"/>
        </w:rPr>
        <w:t>, to fund working capital requirements, to fund our acquisition strategy, to pay interest and principal on our indebtedness and dividends on our Series A-2 preferred stock, and to make capital expenditures. Additionally, in connection with certain acquisit</w:t>
      </w:r>
      <w:r>
        <w:rPr>
          <w:sz w:val="20"/>
          <w:szCs w:val="20"/>
        </w:rPr>
        <w:t>ions, we agree to earn-out provisions and other purchase price adjustments that may require futur</w:t>
      </w:r>
      <w:r>
        <w:rPr>
          <w:sz w:val="20"/>
          <w:szCs w:val="20"/>
        </w:rPr>
        <w:t>e</w:t>
      </w:r>
      <w:r>
        <w:rPr>
          <w:sz w:val="20"/>
          <w:szCs w:val="20"/>
        </w:rPr>
        <w:t xml:space="preserve"> </w:t>
      </w:r>
    </w:p>
    <w:p w:rsidR="00000000" w:rsidRDefault="002D33E3">
      <w:pPr>
        <w:pStyle w:val="a3"/>
        <w:spacing w:before="240" w:beforeAutospacing="0" w:after="0" w:afterAutospacing="0"/>
        <w:jc w:val="center"/>
        <w:rPr>
          <w:sz w:val="20"/>
          <w:szCs w:val="20"/>
        </w:rPr>
      </w:pPr>
      <w:r>
        <w:rPr>
          <w:sz w:val="20"/>
          <w:szCs w:val="20"/>
        </w:rPr>
        <w:t>3</w:t>
      </w:r>
      <w:r>
        <w:rPr>
          <w:sz w:val="20"/>
          <w:szCs w:val="20"/>
        </w:rPr>
        <w:t>6</w:t>
      </w:r>
    </w:p>
    <w:p w:rsidR="00000000" w:rsidRDefault="002D33E3">
      <w:pPr>
        <w:rPr>
          <w:rFonts w:eastAsia="Times New Roman"/>
        </w:rPr>
      </w:pPr>
      <w:r>
        <w:rPr>
          <w:rFonts w:eastAsia="Times New Roman"/>
        </w:rPr>
        <w:pict>
          <v:rect id="_x0000_i1062"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rPr>
          <w:sz w:val="20"/>
          <w:szCs w:val="20"/>
        </w:rPr>
      </w:pPr>
      <w:r>
        <w:rPr>
          <w:sz w:val="20"/>
          <w:szCs w:val="20"/>
        </w:rPr>
        <w:t>payments. For example, the CTEH acquisition agreement included an earn-out provision that provided for the payment</w:t>
      </w:r>
      <w:r>
        <w:rPr>
          <w:sz w:val="20"/>
          <w:szCs w:val="20"/>
        </w:rPr>
        <w:t xml:space="preserve"> of contingent consideration based on CTEH’s 2021 results in an aggregate amount not to exceed $30.0 million, with the earn-out payment equal to a specified multiple of CTEH’s EBITDA for 2021 in excess of a specified target. CTEH fully achieved the target </w:t>
      </w:r>
      <w:r>
        <w:rPr>
          <w:sz w:val="20"/>
          <w:szCs w:val="20"/>
        </w:rPr>
        <w:t xml:space="preserve">in 2021 and the $30.0 million payment was paid in cash in the first quarter of 2022. We may also be required to make up to $8.7 million in aggregate earn-out payments between the years 2022 and 2025 in connection with certain of our business acquisitions. </w:t>
      </w:r>
      <w:r>
        <w:rPr>
          <w:sz w:val="20"/>
          <w:szCs w:val="20"/>
        </w:rPr>
        <w:t>See Note 7 to our unaudited condensed consolidated financial statements included in Part 1, Item 1. “Financial Statements.</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We expect to continue to fund our liquidity requirements, including any cash earn-out payments that may be required in connection w</w:t>
      </w:r>
      <w:r>
        <w:rPr>
          <w:sz w:val="20"/>
          <w:szCs w:val="20"/>
        </w:rPr>
        <w:t xml:space="preserve">ith acquisitions, through cash generated from operations and borrowings under our credit facility. We believe these sources will be sufficient to fund our cash needs for the short- and long-term. See “—COVID-19” above for a discussion of the impact of the </w:t>
      </w:r>
      <w:r>
        <w:rPr>
          <w:sz w:val="20"/>
          <w:szCs w:val="20"/>
        </w:rPr>
        <w:t>pandemic on our liquidity</w:t>
      </w:r>
      <w:r>
        <w:rPr>
          <w:sz w:val="20"/>
          <w:szCs w:val="20"/>
        </w:rPr>
        <w:t>.</w:t>
      </w:r>
      <w:r>
        <w:rPr>
          <w:sz w:val="20"/>
          <w:szCs w:val="20"/>
        </w:rPr>
        <w:t xml:space="preserve"> </w:t>
      </w:r>
    </w:p>
    <w:p w:rsidR="00000000" w:rsidRDefault="002D33E3">
      <w:pPr>
        <w:pStyle w:val="a3"/>
        <w:spacing w:before="360" w:beforeAutospacing="0" w:after="0" w:afterAutospacing="0"/>
        <w:rPr>
          <w:sz w:val="20"/>
          <w:szCs w:val="20"/>
        </w:rPr>
      </w:pPr>
      <w:r>
        <w:rPr>
          <w:b/>
          <w:bCs/>
          <w:i/>
          <w:iCs/>
          <w:sz w:val="20"/>
          <w:szCs w:val="20"/>
        </w:rPr>
        <w:t>Cash Flow</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The following table summarizes our cash flows for the periods presented</w:t>
      </w:r>
      <w:r>
        <w:rPr>
          <w:sz w:val="20"/>
          <w:szCs w:val="20"/>
        </w:rPr>
        <w:t>:</w:t>
      </w:r>
    </w:p>
    <w:p w:rsidR="00000000" w:rsidRDefault="002D33E3">
      <w:pPr>
        <w:pStyle w:val="a3"/>
        <w:spacing w:before="0" w:beforeAutospacing="0" w:after="0" w:afterAutospacing="0"/>
        <w:rPr>
          <w:sz w:val="20"/>
          <w:szCs w:val="20"/>
        </w:rPr>
      </w:pPr>
      <w: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68"/>
        <w:gridCol w:w="105"/>
        <w:gridCol w:w="150"/>
        <w:gridCol w:w="794"/>
        <w:gridCol w:w="120"/>
        <w:gridCol w:w="105"/>
        <w:gridCol w:w="150"/>
        <w:gridCol w:w="787"/>
        <w:gridCol w:w="135"/>
      </w:tblGrid>
      <w:tr w:rsidR="00000000">
        <w:trPr>
          <w:tblCellSpacing w:w="15" w:type="dxa"/>
        </w:trPr>
        <w:tc>
          <w:tcPr>
            <w:tcW w:w="3118" w:type="pct"/>
            <w:vAlign w:val="center"/>
            <w:hideMark/>
          </w:tcPr>
          <w:p w:rsidR="00000000" w:rsidRDefault="002D33E3">
            <w:pPr>
              <w:rPr>
                <w:sz w:val="20"/>
                <w:szCs w:val="20"/>
              </w:rPr>
            </w:pPr>
          </w:p>
        </w:tc>
        <w:tc>
          <w:tcPr>
            <w:tcW w:w="72" w:type="pct"/>
            <w:vAlign w:val="center"/>
            <w:hideMark/>
          </w:tcPr>
          <w:p w:rsidR="00000000" w:rsidRDefault="002D33E3">
            <w:pPr>
              <w:rPr>
                <w:rFonts w:eastAsia="Times New Roman"/>
                <w:sz w:val="20"/>
                <w:szCs w:val="20"/>
              </w:rPr>
            </w:pPr>
          </w:p>
        </w:tc>
        <w:tc>
          <w:tcPr>
            <w:tcW w:w="89" w:type="pct"/>
            <w:vAlign w:val="center"/>
            <w:hideMark/>
          </w:tcPr>
          <w:p w:rsidR="00000000" w:rsidRDefault="002D33E3">
            <w:pPr>
              <w:rPr>
                <w:rFonts w:eastAsia="Times New Roman"/>
                <w:sz w:val="20"/>
                <w:szCs w:val="20"/>
              </w:rPr>
            </w:pPr>
          </w:p>
        </w:tc>
        <w:tc>
          <w:tcPr>
            <w:tcW w:w="721" w:type="pct"/>
            <w:vAlign w:val="center"/>
            <w:hideMark/>
          </w:tcPr>
          <w:p w:rsidR="00000000" w:rsidRDefault="002D33E3">
            <w:pPr>
              <w:rPr>
                <w:rFonts w:eastAsia="Times New Roman"/>
                <w:sz w:val="20"/>
                <w:szCs w:val="20"/>
              </w:rPr>
            </w:pPr>
          </w:p>
        </w:tc>
        <w:tc>
          <w:tcPr>
            <w:tcW w:w="60" w:type="pct"/>
            <w:vAlign w:val="center"/>
            <w:hideMark/>
          </w:tcPr>
          <w:p w:rsidR="00000000" w:rsidRDefault="002D33E3">
            <w:pPr>
              <w:rPr>
                <w:rFonts w:eastAsia="Times New Roman"/>
                <w:sz w:val="20"/>
                <w:szCs w:val="20"/>
              </w:rPr>
            </w:pPr>
          </w:p>
        </w:tc>
        <w:tc>
          <w:tcPr>
            <w:tcW w:w="72" w:type="pct"/>
            <w:vAlign w:val="center"/>
            <w:hideMark/>
          </w:tcPr>
          <w:p w:rsidR="00000000" w:rsidRDefault="002D33E3">
            <w:pPr>
              <w:rPr>
                <w:rFonts w:eastAsia="Times New Roman"/>
                <w:sz w:val="20"/>
                <w:szCs w:val="20"/>
              </w:rPr>
            </w:pPr>
          </w:p>
        </w:tc>
        <w:tc>
          <w:tcPr>
            <w:tcW w:w="89" w:type="pct"/>
            <w:vAlign w:val="center"/>
            <w:hideMark/>
          </w:tcPr>
          <w:p w:rsidR="00000000" w:rsidRDefault="002D33E3">
            <w:pPr>
              <w:rPr>
                <w:rFonts w:eastAsia="Times New Roman"/>
                <w:sz w:val="20"/>
                <w:szCs w:val="20"/>
              </w:rPr>
            </w:pPr>
          </w:p>
        </w:tc>
        <w:tc>
          <w:tcPr>
            <w:tcW w:w="714" w:type="pct"/>
            <w:vAlign w:val="center"/>
            <w:hideMark/>
          </w:tcPr>
          <w:p w:rsidR="00000000" w:rsidRDefault="002D33E3">
            <w:pPr>
              <w:rPr>
                <w:rFonts w:eastAsia="Times New Roman"/>
                <w:sz w:val="20"/>
                <w:szCs w:val="20"/>
              </w:rPr>
            </w:pPr>
          </w:p>
        </w:tc>
        <w:tc>
          <w:tcPr>
            <w:tcW w:w="60" w:type="pct"/>
            <w:vAlign w:val="center"/>
            <w:hideMark/>
          </w:tcPr>
          <w:p w:rsidR="00000000" w:rsidRDefault="002D33E3">
            <w:pPr>
              <w:rPr>
                <w:rFonts w:eastAsia="Times New Roman"/>
                <w:sz w:val="20"/>
                <w:szCs w:val="20"/>
              </w:rPr>
            </w:pP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Consolidated Statement of Cash Flows Data</w:t>
            </w: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Net cash used in operating activitie</w:t>
            </w:r>
            <w:r>
              <w:rPr>
                <w:sz w:val="18"/>
                <w:szCs w:val="18"/>
              </w:rPr>
              <w:t>s</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(18,32</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(13,91</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Net cash used in investing activitie</w:t>
            </w:r>
            <w:r>
              <w:rPr>
                <w:sz w:val="18"/>
                <w:szCs w:val="18"/>
              </w:rPr>
              <w:t>s</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(15,00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(7,39</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Net cash used in financing activitie</w:t>
            </w:r>
            <w:r>
              <w:rPr>
                <w:sz w:val="18"/>
                <w:szCs w:val="18"/>
              </w:rPr>
              <w:t>s</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(19,71</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(3,08</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Change in cash, cash equivalents and restricted cas</w:t>
            </w:r>
            <w:r>
              <w:rPr>
                <w:b/>
                <w:bCs/>
                <w:sz w:val="18"/>
                <w:szCs w:val="18"/>
              </w:rPr>
              <w:t>h</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(53,04</w:t>
            </w:r>
            <w:r>
              <w:rPr>
                <w:b/>
                <w:bCs/>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(24,39</w:t>
            </w:r>
            <w:r>
              <w:rPr>
                <w:b/>
                <w:bCs/>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r>
    </w:tbl>
    <w:p w:rsidR="00000000" w:rsidRDefault="002D33E3">
      <w:pPr>
        <w:pStyle w:val="a3"/>
        <w:spacing w:before="360" w:beforeAutospacing="0" w:after="0" w:afterAutospacing="0"/>
        <w:ind w:left="476"/>
        <w:rPr>
          <w:sz w:val="20"/>
          <w:szCs w:val="20"/>
        </w:rPr>
      </w:pPr>
      <w:r>
        <w:rPr>
          <w:b/>
          <w:bCs/>
          <w:i/>
          <w:iCs/>
          <w:sz w:val="20"/>
          <w:szCs w:val="20"/>
        </w:rPr>
        <w:t>Operating Activitie</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Cash flows from operating activities can fluctuate from period-to-period as earnings, working capital needs and the timing of payments for contingent consideration, taxes, bonus payments and other operating items impact reported cash flows</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For the three months ended March 31, 2022, net cash used in operating activities was $18.3 million compared to net cash used in operating activities of $13.9 million for the three months ended March 31, 2021. Cash used in operations includes payment of con</w:t>
      </w:r>
      <w:r>
        <w:rPr>
          <w:sz w:val="20"/>
          <w:szCs w:val="20"/>
        </w:rPr>
        <w:t>tingent consideration of $19.5 million and zero in the three months ended March 31, 2022 and March 31, 2021, respectively. Excluding payment of contingent consideration, cash provided by operating activities was $1.2 million, compared to cash used in opera</w:t>
      </w:r>
      <w:r>
        <w:rPr>
          <w:sz w:val="20"/>
          <w:szCs w:val="20"/>
        </w:rPr>
        <w:t>ting activities of $13.9 million in the prior year, an increase of $15.1 million. The period-over-period increase excluding the impact of contingent consideration was primarily due to an increase in working capital in the current year of $12.5 million vers</w:t>
      </w:r>
      <w:r>
        <w:rPr>
          <w:sz w:val="20"/>
          <w:szCs w:val="20"/>
        </w:rPr>
        <w:t>us an increase in working capital in the prior year of $27.1 million</w:t>
      </w:r>
      <w:r>
        <w:rPr>
          <w:sz w:val="20"/>
          <w:szCs w:val="20"/>
        </w:rPr>
        <w:t>.</w:t>
      </w:r>
    </w:p>
    <w:p w:rsidR="00000000" w:rsidRDefault="002D33E3">
      <w:pPr>
        <w:pStyle w:val="a3"/>
        <w:spacing w:before="240" w:beforeAutospacing="0" w:after="0" w:afterAutospacing="0"/>
        <w:ind w:firstLine="555"/>
        <w:rPr>
          <w:sz w:val="20"/>
          <w:szCs w:val="20"/>
        </w:rPr>
      </w:pPr>
      <w:r>
        <w:rPr>
          <w:sz w:val="20"/>
          <w:szCs w:val="20"/>
        </w:rPr>
        <w:t>Working capital increased by $12.5 million in the three months ended March 31, 2022, primarily due to a decrease in accounts payable and other accrued liabilities of $20.7 million and an</w:t>
      </w:r>
      <w:r>
        <w:rPr>
          <w:sz w:val="20"/>
          <w:szCs w:val="20"/>
        </w:rPr>
        <w:t xml:space="preserve"> increase in prepaid expenses and other current assets of </w:t>
      </w:r>
      <w:r>
        <w:rPr>
          <w:sz w:val="20"/>
          <w:szCs w:val="20"/>
        </w:rPr>
        <w:t>$</w:t>
      </w:r>
      <w:r>
        <w:rPr>
          <w:sz w:val="20"/>
          <w:szCs w:val="20"/>
        </w:rPr>
        <w:t>1.8</w:t>
      </w:r>
      <w:r>
        <w:rPr>
          <w:sz w:val="20"/>
          <w:szCs w:val="20"/>
        </w:rPr>
        <w:t xml:space="preserve"> </w:t>
      </w:r>
      <w:r>
        <w:rPr>
          <w:sz w:val="20"/>
          <w:szCs w:val="20"/>
        </w:rPr>
        <w:t>million, partially offset by a decrease in accounts receivable and contract assets of $10.0 million (as a result of higher cash collections in the three months ended March 31, 2022 when compare</w:t>
      </w:r>
      <w:r>
        <w:rPr>
          <w:sz w:val="20"/>
          <w:szCs w:val="20"/>
        </w:rPr>
        <w:t>d to the three months ended March 31, 2021). The increase in working capital of $27.1 million in the three months ended March 31, 2021, was driven by an increase in accounts receivable and contract assets of $29.0 million, partially offset by an increase i</w:t>
      </w:r>
      <w:r>
        <w:rPr>
          <w:sz w:val="20"/>
          <w:szCs w:val="20"/>
        </w:rPr>
        <w:t>n accounts payable and accrued payroll and benefits of $1.1 million</w:t>
      </w:r>
      <w:r>
        <w:rPr>
          <w:sz w:val="20"/>
          <w:szCs w:val="20"/>
        </w:rPr>
        <w:t>.</w:t>
      </w:r>
    </w:p>
    <w:p w:rsidR="00000000" w:rsidRDefault="002D33E3">
      <w:pPr>
        <w:pStyle w:val="a3"/>
        <w:spacing w:before="360" w:beforeAutospacing="0" w:after="0" w:afterAutospacing="0"/>
        <w:ind w:firstLine="555"/>
        <w:rPr>
          <w:sz w:val="20"/>
          <w:szCs w:val="20"/>
        </w:rPr>
      </w:pPr>
      <w:r>
        <w:rPr>
          <w:b/>
          <w:bCs/>
          <w:i/>
          <w:iCs/>
          <w:sz w:val="20"/>
          <w:szCs w:val="20"/>
        </w:rPr>
        <w:t>Investing Activitie</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For the three months ended March 31, 2022, net cash used in investing activities was $15.0 million, primarily driven by cash paid for the acquisitions of EnvStd and IAG, net of cash acquired, of $14.3 million, as well as payment of assumed purchase price o</w:t>
      </w:r>
      <w:r>
        <w:rPr>
          <w:sz w:val="20"/>
          <w:szCs w:val="20"/>
        </w:rPr>
        <w:t>bligations of $0.6 million, and purchases of property and equipment for cash consideration of $0.3 million</w:t>
      </w:r>
      <w:r>
        <w:rPr>
          <w:sz w:val="20"/>
          <w:szCs w:val="20"/>
        </w:rPr>
        <w:t>.</w:t>
      </w:r>
    </w:p>
    <w:p w:rsidR="00000000" w:rsidRDefault="002D33E3">
      <w:pPr>
        <w:pStyle w:val="a3"/>
        <w:spacing w:before="240" w:beforeAutospacing="0" w:after="0" w:afterAutospacing="0"/>
        <w:ind w:firstLine="555"/>
        <w:rPr>
          <w:sz w:val="20"/>
          <w:szCs w:val="20"/>
        </w:rPr>
      </w:pPr>
      <w:r>
        <w:rPr>
          <w:sz w:val="20"/>
          <w:szCs w:val="20"/>
        </w:rPr>
        <w:t>For the three months ended March 31, 2021, net cash used in investing activities was $7.4 million, primarily driven by cash paid for the acquisition</w:t>
      </w:r>
      <w:r>
        <w:rPr>
          <w:sz w:val="20"/>
          <w:szCs w:val="20"/>
        </w:rPr>
        <w:t xml:space="preserve"> of MSE, net of cash acquired, of $6.3 million, as well as purchases of property and equipment for cash consideration of $0.9 million</w:t>
      </w:r>
      <w:r>
        <w:rPr>
          <w:sz w:val="20"/>
          <w:szCs w:val="20"/>
        </w:rPr>
        <w:t>.</w:t>
      </w:r>
    </w:p>
    <w:p w:rsidR="00000000" w:rsidRDefault="002D33E3">
      <w:pPr>
        <w:pStyle w:val="a3"/>
        <w:spacing w:before="360" w:beforeAutospacing="0" w:after="0" w:afterAutospacing="0"/>
        <w:ind w:left="476"/>
        <w:rPr>
          <w:sz w:val="20"/>
          <w:szCs w:val="20"/>
        </w:rPr>
      </w:pPr>
      <w:r>
        <w:rPr>
          <w:b/>
          <w:bCs/>
          <w:i/>
          <w:iCs/>
          <w:sz w:val="20"/>
          <w:szCs w:val="20"/>
        </w:rPr>
        <w:t>Financing Activitie</w:t>
      </w:r>
      <w:r>
        <w:rPr>
          <w:b/>
          <w:bCs/>
          <w:i/>
          <w:iCs/>
          <w:sz w:val="20"/>
          <w:szCs w:val="20"/>
        </w:rPr>
        <w:t>s</w:t>
      </w:r>
    </w:p>
    <w:p w:rsidR="00000000" w:rsidRDefault="002D33E3">
      <w:pPr>
        <w:pStyle w:val="a3"/>
        <w:spacing w:before="120" w:beforeAutospacing="0" w:after="0" w:afterAutospacing="0"/>
        <w:ind w:firstLine="555"/>
        <w:rPr>
          <w:sz w:val="20"/>
          <w:szCs w:val="20"/>
        </w:rPr>
      </w:pPr>
      <w:r>
        <w:rPr>
          <w:sz w:val="20"/>
          <w:szCs w:val="20"/>
        </w:rPr>
        <w:t xml:space="preserve">For the three months ended March 31, 2022, net cash used in financing activities was $19.7 million. </w:t>
      </w:r>
      <w:r>
        <w:rPr>
          <w:sz w:val="20"/>
          <w:szCs w:val="20"/>
        </w:rPr>
        <w:t xml:space="preserve">Cash used in financing activities was driven by the payment of acquisition-related contingent consideration of $10.5 million, term loan amortization payments of $4.4 million related to our 2021 Credit Facility, the payment of the quarterly dividend on the </w:t>
      </w:r>
      <w:r>
        <w:rPr>
          <w:sz w:val="20"/>
          <w:szCs w:val="20"/>
        </w:rPr>
        <w:t>Series A-2 preferred stock of $4.</w:t>
      </w:r>
      <w:r>
        <w:rPr>
          <w:sz w:val="20"/>
          <w:szCs w:val="20"/>
        </w:rPr>
        <w:t>1</w:t>
      </w:r>
    </w:p>
    <w:p w:rsidR="00000000" w:rsidRDefault="002D33E3">
      <w:pPr>
        <w:pStyle w:val="a3"/>
        <w:spacing w:before="240" w:beforeAutospacing="0" w:after="0" w:afterAutospacing="0"/>
        <w:jc w:val="center"/>
        <w:rPr>
          <w:sz w:val="20"/>
          <w:szCs w:val="20"/>
        </w:rPr>
      </w:pPr>
      <w:r>
        <w:rPr>
          <w:sz w:val="20"/>
          <w:szCs w:val="20"/>
        </w:rPr>
        <w:t>3</w:t>
      </w:r>
      <w:r>
        <w:rPr>
          <w:sz w:val="20"/>
          <w:szCs w:val="20"/>
        </w:rPr>
        <w:t>7</w:t>
      </w:r>
    </w:p>
    <w:p w:rsidR="00000000" w:rsidRDefault="002D33E3">
      <w:pPr>
        <w:rPr>
          <w:rFonts w:eastAsia="Times New Roman"/>
        </w:rPr>
      </w:pPr>
      <w:r>
        <w:rPr>
          <w:rFonts w:eastAsia="Times New Roman"/>
        </w:rPr>
        <w:pict>
          <v:rect id="_x0000_i1063"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120" w:beforeAutospacing="0" w:after="0" w:afterAutospacing="0"/>
        <w:rPr>
          <w:sz w:val="20"/>
          <w:szCs w:val="20"/>
        </w:rPr>
      </w:pPr>
      <w:r>
        <w:rPr>
          <w:sz w:val="20"/>
          <w:szCs w:val="20"/>
        </w:rPr>
        <w:t>million, and the repayment of finance leases of $0.9 million, partially offset by proceeds received from the exercise of stock options of $0.4 million</w:t>
      </w:r>
      <w:r>
        <w:rPr>
          <w:sz w:val="20"/>
          <w:szCs w:val="20"/>
        </w:rPr>
        <w:t>.</w:t>
      </w:r>
    </w:p>
    <w:p w:rsidR="00000000" w:rsidRDefault="002D33E3">
      <w:pPr>
        <w:pStyle w:val="a3"/>
        <w:spacing w:before="240" w:beforeAutospacing="0" w:after="0" w:afterAutospacing="0"/>
        <w:ind w:firstLine="555"/>
        <w:rPr>
          <w:sz w:val="20"/>
          <w:szCs w:val="20"/>
        </w:rPr>
      </w:pPr>
      <w:r>
        <w:rPr>
          <w:sz w:val="20"/>
          <w:szCs w:val="20"/>
        </w:rPr>
        <w:t>For the three months ended M</w:t>
      </w:r>
      <w:r>
        <w:rPr>
          <w:sz w:val="20"/>
          <w:szCs w:val="20"/>
        </w:rPr>
        <w:t>arch 31, 2021, net cash used in financing activities was $3.1 million. Cash used in financing activities was driven by the payment of the quarterly dividend on the Series A-2 preferred stock of $4.1 million, the repayment of finance leases of $0.6 million,</w:t>
      </w:r>
      <w:r>
        <w:rPr>
          <w:sz w:val="20"/>
          <w:szCs w:val="20"/>
        </w:rPr>
        <w:t xml:space="preserve"> and term loan amortization payments of $0.5 million related to our 2020 Credit Facility, partially offset by proceeds received from the exercise of stock options of $2.2 million</w:t>
      </w:r>
      <w:r>
        <w:rPr>
          <w:sz w:val="20"/>
          <w:szCs w:val="20"/>
        </w:rPr>
        <w:t>.</w:t>
      </w:r>
    </w:p>
    <w:p w:rsidR="00000000" w:rsidRDefault="002D33E3">
      <w:pPr>
        <w:pStyle w:val="a3"/>
        <w:spacing w:before="360" w:beforeAutospacing="0" w:after="0" w:afterAutospacing="0"/>
        <w:rPr>
          <w:sz w:val="20"/>
          <w:szCs w:val="20"/>
        </w:rPr>
      </w:pPr>
      <w:r>
        <w:rPr>
          <w:b/>
          <w:bCs/>
          <w:i/>
          <w:iCs/>
          <w:sz w:val="20"/>
          <w:szCs w:val="20"/>
        </w:rPr>
        <w:t>Credit Facilitie</w:t>
      </w:r>
      <w:r>
        <w:rPr>
          <w:b/>
          <w:bCs/>
          <w:i/>
          <w:iCs/>
          <w:sz w:val="20"/>
          <w:szCs w:val="20"/>
        </w:rPr>
        <w:t>s</w:t>
      </w:r>
    </w:p>
    <w:p w:rsidR="00000000" w:rsidRDefault="002D33E3">
      <w:pPr>
        <w:pStyle w:val="a3"/>
        <w:spacing w:before="120" w:beforeAutospacing="0" w:after="0" w:afterAutospacing="0"/>
        <w:ind w:firstLine="555"/>
        <w:rPr>
          <w:sz w:val="20"/>
          <w:szCs w:val="20"/>
        </w:rPr>
      </w:pPr>
      <w:r>
        <w:rPr>
          <w:b/>
          <w:bCs/>
          <w:i/>
          <w:iCs/>
          <w:sz w:val="20"/>
          <w:szCs w:val="20"/>
        </w:rPr>
        <w:t>2021 Credit Facilit</w:t>
      </w:r>
      <w:r>
        <w:rPr>
          <w:b/>
          <w:bCs/>
          <w:i/>
          <w:iCs/>
          <w:sz w:val="20"/>
          <w:szCs w:val="20"/>
        </w:rPr>
        <w:t>y</w:t>
      </w:r>
    </w:p>
    <w:p w:rsidR="00000000" w:rsidRDefault="002D33E3">
      <w:pPr>
        <w:pStyle w:val="a3"/>
        <w:spacing w:before="120" w:beforeAutospacing="0" w:after="0" w:afterAutospacing="0"/>
        <w:ind w:firstLine="555"/>
        <w:rPr>
          <w:sz w:val="20"/>
          <w:szCs w:val="20"/>
        </w:rPr>
      </w:pPr>
      <w:r>
        <w:rPr>
          <w:sz w:val="20"/>
          <w:szCs w:val="20"/>
        </w:rPr>
        <w:t xml:space="preserve">On April 27, 2021, we entered into a </w:t>
      </w:r>
      <w:r>
        <w:rPr>
          <w:sz w:val="20"/>
          <w:szCs w:val="20"/>
        </w:rPr>
        <w:t>Senior Secured Credit Agreement, or the 2021 Credit Facility, providing for a $300.0 million credit facility comprised of a $175.0 million term loan and a $125.0 million revolving credit facility, and used a portion of the proceeds to repay all amounts out</w:t>
      </w:r>
      <w:r>
        <w:rPr>
          <w:sz w:val="20"/>
          <w:szCs w:val="20"/>
        </w:rPr>
        <w:t>standing under the 2020 Credit Facility. The 2021 revolving credit facility includes a $20.0 million sublimit for the issuance of letters of credit. Subject to certain exceptions, all amounts under the 2021 Credit Facility will become due on April 27, 2026</w:t>
      </w:r>
      <w:r>
        <w:rPr>
          <w:sz w:val="20"/>
          <w:szCs w:val="20"/>
        </w:rPr>
        <w:t>. We have the option to borrow incremental term loans or request an increase in the aggregate commitments under the revolving credit facility up to an aggregate amount of $150.0 million subject to the satisfaction of certain conditions</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The 2021 Credit Fa</w:t>
      </w:r>
      <w:r>
        <w:rPr>
          <w:sz w:val="20"/>
          <w:szCs w:val="20"/>
        </w:rPr>
        <w:t>cility term loan must be repaid in quarterly installments and shall amortize at the following annualized rates that were scheduled to begin with the quarter ended December 31, 2021 and with the remaining balance due and payable in full upon the five-year a</w:t>
      </w:r>
      <w:r>
        <w:rPr>
          <w:sz w:val="20"/>
          <w:szCs w:val="20"/>
        </w:rPr>
        <w:t>nniversary from the closing date</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044"/>
        <w:gridCol w:w="106"/>
        <w:gridCol w:w="817"/>
        <w:gridCol w:w="105"/>
        <w:gridCol w:w="254"/>
        <w:gridCol w:w="106"/>
        <w:gridCol w:w="817"/>
        <w:gridCol w:w="105"/>
        <w:gridCol w:w="252"/>
        <w:gridCol w:w="106"/>
        <w:gridCol w:w="817"/>
        <w:gridCol w:w="105"/>
        <w:gridCol w:w="253"/>
        <w:gridCol w:w="106"/>
        <w:gridCol w:w="818"/>
        <w:gridCol w:w="105"/>
        <w:gridCol w:w="253"/>
        <w:gridCol w:w="105"/>
        <w:gridCol w:w="818"/>
        <w:gridCol w:w="105"/>
        <w:gridCol w:w="278"/>
      </w:tblGrid>
      <w:tr w:rsidR="00000000">
        <w:trPr>
          <w:tblCellSpacing w:w="15" w:type="dxa"/>
        </w:trPr>
        <w:tc>
          <w:tcPr>
            <w:tcW w:w="738" w:type="pct"/>
            <w:vAlign w:val="center"/>
            <w:hideMark/>
          </w:tcPr>
          <w:p w:rsidR="00000000" w:rsidRDefault="002D33E3">
            <w:pPr>
              <w:rPr>
                <w:sz w:val="20"/>
                <w:szCs w:val="20"/>
              </w:rPr>
            </w:pPr>
          </w:p>
        </w:tc>
        <w:tc>
          <w:tcPr>
            <w:tcW w:w="50" w:type="pct"/>
            <w:vAlign w:val="center"/>
            <w:hideMark/>
          </w:tcPr>
          <w:p w:rsidR="00000000" w:rsidRDefault="002D33E3">
            <w:pPr>
              <w:rPr>
                <w:rFonts w:eastAsia="Times New Roman"/>
                <w:sz w:val="20"/>
                <w:szCs w:val="20"/>
              </w:rPr>
            </w:pPr>
          </w:p>
        </w:tc>
        <w:tc>
          <w:tcPr>
            <w:tcW w:w="582"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70"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82"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69"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82"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69"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82"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69" w:type="pct"/>
            <w:vAlign w:val="center"/>
            <w:hideMark/>
          </w:tcPr>
          <w:p w:rsidR="00000000" w:rsidRDefault="002D33E3">
            <w:pPr>
              <w:rPr>
                <w:rFonts w:eastAsia="Times New Roman"/>
                <w:sz w:val="20"/>
                <w:szCs w:val="20"/>
              </w:rPr>
            </w:pPr>
          </w:p>
        </w:tc>
        <w:tc>
          <w:tcPr>
            <w:tcW w:w="50" w:type="pct"/>
            <w:vAlign w:val="center"/>
            <w:hideMark/>
          </w:tcPr>
          <w:p w:rsidR="00000000" w:rsidRDefault="002D33E3">
            <w:pPr>
              <w:rPr>
                <w:rFonts w:eastAsia="Times New Roman"/>
                <w:sz w:val="20"/>
                <w:szCs w:val="20"/>
              </w:rPr>
            </w:pPr>
          </w:p>
        </w:tc>
        <w:tc>
          <w:tcPr>
            <w:tcW w:w="582" w:type="pct"/>
            <w:vAlign w:val="center"/>
            <w:hideMark/>
          </w:tcPr>
          <w:p w:rsidR="00000000" w:rsidRDefault="002D33E3">
            <w:pPr>
              <w:rPr>
                <w:rFonts w:eastAsia="Times New Roman"/>
                <w:sz w:val="20"/>
                <w:szCs w:val="20"/>
              </w:rPr>
            </w:pPr>
          </w:p>
        </w:tc>
        <w:tc>
          <w:tcPr>
            <w:tcW w:w="48" w:type="pct"/>
            <w:vAlign w:val="center"/>
            <w:hideMark/>
          </w:tcPr>
          <w:p w:rsidR="00000000" w:rsidRDefault="002D33E3">
            <w:pPr>
              <w:rPr>
                <w:rFonts w:eastAsia="Times New Roman"/>
                <w:sz w:val="20"/>
                <w:szCs w:val="20"/>
              </w:rPr>
            </w:pPr>
          </w:p>
        </w:tc>
        <w:tc>
          <w:tcPr>
            <w:tcW w:w="176" w:type="pct"/>
            <w:vAlign w:val="center"/>
            <w:hideMark/>
          </w:tcPr>
          <w:p w:rsidR="00000000" w:rsidRDefault="002D33E3">
            <w:pPr>
              <w:rPr>
                <w:rFonts w:eastAsia="Times New Roman"/>
                <w:sz w:val="20"/>
                <w:szCs w:val="20"/>
              </w:rPr>
            </w:pPr>
          </w:p>
        </w:tc>
      </w:tr>
      <w:tr w:rsidR="00000000">
        <w:trPr>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0"/>
            <w:vAlign w:val="bottom"/>
            <w:hideMark/>
          </w:tcPr>
          <w:p w:rsidR="00000000" w:rsidRDefault="002D33E3">
            <w:pPr>
              <w:pStyle w:val="a3"/>
              <w:spacing w:before="0" w:beforeAutospacing="0" w:after="0" w:afterAutospacing="0"/>
              <w:jc w:val="center"/>
              <w:rPr>
                <w:sz w:val="18"/>
                <w:szCs w:val="18"/>
              </w:rPr>
            </w:pPr>
            <w:r>
              <w:rPr>
                <w:b/>
                <w:bCs/>
                <w:sz w:val="18"/>
                <w:szCs w:val="18"/>
              </w:rPr>
              <w:t>Amortization Tabl</w:t>
            </w:r>
            <w:r>
              <w:rPr>
                <w:b/>
                <w:bCs/>
                <w:sz w:val="18"/>
                <w:szCs w:val="18"/>
              </w:rPr>
              <w:t>e</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Year </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Year </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Year </w:t>
            </w:r>
            <w:r>
              <w:rPr>
                <w:b/>
                <w:bCs/>
                <w:sz w:val="18"/>
                <w:szCs w:val="18"/>
              </w:rPr>
              <w:t>3</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Year </w:t>
            </w:r>
            <w:r>
              <w:rPr>
                <w:b/>
                <w:bCs/>
                <w:sz w:val="18"/>
                <w:szCs w:val="18"/>
              </w:rPr>
              <w:t>4</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Year </w:t>
            </w:r>
            <w:r>
              <w:rPr>
                <w:b/>
                <w:bCs/>
                <w:sz w:val="18"/>
                <w:szCs w:val="18"/>
              </w:rPr>
              <w:t>5</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Term Loa</w:t>
            </w:r>
            <w:r>
              <w:rPr>
                <w:b/>
                <w:bCs/>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bl>
    <w:p w:rsidR="00000000" w:rsidRDefault="002D33E3">
      <w:pPr>
        <w:pStyle w:val="a3"/>
        <w:spacing w:before="240" w:beforeAutospacing="0" w:after="0" w:afterAutospacing="0"/>
        <w:ind w:firstLine="555"/>
        <w:rPr>
          <w:sz w:val="20"/>
          <w:szCs w:val="20"/>
        </w:rPr>
      </w:pPr>
      <w:r>
        <w:rPr>
          <w:sz w:val="20"/>
          <w:szCs w:val="20"/>
        </w:rPr>
        <w:t>The first quarterly installment repayment, amounting to $2.2 million, was billed and charged by the lenders in January 2022. The second quarterly installment repayment amounting to $2.2 million was paid in March 2022</w:t>
      </w:r>
      <w:r>
        <w:rPr>
          <w:sz w:val="20"/>
          <w:szCs w:val="20"/>
        </w:rPr>
        <w:t>.</w:t>
      </w:r>
    </w:p>
    <w:p w:rsidR="00000000" w:rsidRDefault="002D33E3">
      <w:pPr>
        <w:pStyle w:val="a3"/>
        <w:spacing w:before="240" w:beforeAutospacing="0" w:after="0" w:afterAutospacing="0"/>
        <w:ind w:firstLine="555"/>
        <w:rPr>
          <w:sz w:val="20"/>
          <w:szCs w:val="20"/>
        </w:rPr>
      </w:pPr>
      <w:r>
        <w:rPr>
          <w:sz w:val="20"/>
          <w:szCs w:val="20"/>
        </w:rPr>
        <w:t>The 2021 Credit Facility term loan and</w:t>
      </w:r>
      <w:r>
        <w:rPr>
          <w:sz w:val="20"/>
          <w:szCs w:val="20"/>
        </w:rPr>
        <w:t xml:space="preserve"> the revolver bear interest subject to the Company’s leverage ratio and LIBOR as follows</w:t>
      </w:r>
      <w:r>
        <w:rPr>
          <w:sz w:val="20"/>
          <w:szCs w:val="20"/>
        </w:rPr>
        <w:t>:</w:t>
      </w:r>
    </w:p>
    <w:p w:rsidR="00000000" w:rsidRDefault="002D33E3">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4"/>
        <w:gridCol w:w="105"/>
        <w:gridCol w:w="1643"/>
        <w:gridCol w:w="105"/>
        <w:gridCol w:w="106"/>
        <w:gridCol w:w="685"/>
        <w:gridCol w:w="105"/>
        <w:gridCol w:w="210"/>
        <w:gridCol w:w="106"/>
        <w:gridCol w:w="685"/>
        <w:gridCol w:w="105"/>
        <w:gridCol w:w="210"/>
        <w:gridCol w:w="106"/>
        <w:gridCol w:w="999"/>
        <w:gridCol w:w="105"/>
        <w:gridCol w:w="210"/>
        <w:gridCol w:w="106"/>
        <w:gridCol w:w="571"/>
        <w:gridCol w:w="105"/>
        <w:gridCol w:w="225"/>
      </w:tblGrid>
      <w:tr w:rsidR="00000000">
        <w:trPr>
          <w:tblCellSpacing w:w="15" w:type="dxa"/>
        </w:trPr>
        <w:tc>
          <w:tcPr>
            <w:tcW w:w="1223" w:type="pct"/>
            <w:vAlign w:val="center"/>
            <w:hideMark/>
          </w:tcPr>
          <w:p w:rsidR="00000000" w:rsidRDefault="002D33E3">
            <w:pPr>
              <w:rPr>
                <w:sz w:val="20"/>
                <w:szCs w:val="20"/>
              </w:rPr>
            </w:pPr>
          </w:p>
        </w:tc>
        <w:tc>
          <w:tcPr>
            <w:tcW w:w="59" w:type="pct"/>
            <w:vAlign w:val="center"/>
            <w:hideMark/>
          </w:tcPr>
          <w:p w:rsidR="00000000" w:rsidRDefault="002D33E3">
            <w:pPr>
              <w:rPr>
                <w:rFonts w:eastAsia="Times New Roman"/>
                <w:sz w:val="20"/>
                <w:szCs w:val="20"/>
              </w:rPr>
            </w:pPr>
          </w:p>
        </w:tc>
        <w:tc>
          <w:tcPr>
            <w:tcW w:w="1184" w:type="pct"/>
            <w:vAlign w:val="center"/>
            <w:hideMark/>
          </w:tcPr>
          <w:p w:rsidR="00000000" w:rsidRDefault="002D33E3">
            <w:pPr>
              <w:rPr>
                <w:rFonts w:eastAsia="Times New Roman"/>
                <w:sz w:val="20"/>
                <w:szCs w:val="20"/>
              </w:rPr>
            </w:pPr>
          </w:p>
        </w:tc>
        <w:tc>
          <w:tcPr>
            <w:tcW w:w="5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5"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8"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9"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493" w:type="pct"/>
            <w:vAlign w:val="center"/>
            <w:hideMark/>
          </w:tcPr>
          <w:p w:rsidR="00000000" w:rsidRDefault="002D33E3">
            <w:pPr>
              <w:rPr>
                <w:rFonts w:eastAsia="Times New Roman"/>
                <w:sz w:val="20"/>
                <w:szCs w:val="20"/>
              </w:rPr>
            </w:pPr>
          </w:p>
        </w:tc>
        <w:tc>
          <w:tcPr>
            <w:tcW w:w="26" w:type="pct"/>
            <w:vAlign w:val="center"/>
            <w:hideMark/>
          </w:tcPr>
          <w:p w:rsidR="00000000" w:rsidRDefault="002D33E3">
            <w:pPr>
              <w:rPr>
                <w:rFonts w:eastAsia="Times New Roman"/>
                <w:sz w:val="20"/>
                <w:szCs w:val="20"/>
              </w:rPr>
            </w:pPr>
          </w:p>
        </w:tc>
        <w:tc>
          <w:tcPr>
            <w:tcW w:w="69" w:type="pct"/>
            <w:vAlign w:val="center"/>
            <w:hideMark/>
          </w:tcPr>
          <w:p w:rsidR="00000000" w:rsidRDefault="002D33E3">
            <w:pPr>
              <w:rPr>
                <w:rFonts w:eastAsia="Times New Roman"/>
                <w:sz w:val="20"/>
                <w:szCs w:val="20"/>
              </w:rPr>
            </w:pP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b/>
                <w:bCs/>
                <w:sz w:val="18"/>
                <w:szCs w:val="18"/>
              </w:rPr>
              <w:t>Pricing Tie</w:t>
            </w:r>
            <w:r>
              <w:rPr>
                <w:b/>
                <w:bCs/>
                <w:sz w:val="18"/>
                <w:szCs w:val="18"/>
              </w:rPr>
              <w:t>r</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b/>
                <w:bCs/>
                <w:sz w:val="18"/>
                <w:szCs w:val="18"/>
              </w:rPr>
              <w:t>Consolidated</w:t>
            </w:r>
            <w:r>
              <w:rPr>
                <w:b/>
                <w:bCs/>
                <w:sz w:val="18"/>
                <w:szCs w:val="18"/>
              </w:rPr>
              <w:br/>
              <w:t>Leverage Rati</w:t>
            </w:r>
            <w:r>
              <w:rPr>
                <w:b/>
                <w:bCs/>
                <w:sz w:val="18"/>
                <w:szCs w:val="18"/>
              </w:rPr>
              <w:t>o</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LIBO</w:t>
            </w:r>
            <w:r>
              <w:rPr>
                <w:b/>
                <w:bCs/>
                <w:sz w:val="18"/>
                <w:szCs w:val="18"/>
              </w:rPr>
              <w:t>R</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Base Rat</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Commitment</w:t>
            </w:r>
            <w:r>
              <w:rPr>
                <w:b/>
                <w:bCs/>
                <w:sz w:val="18"/>
                <w:szCs w:val="18"/>
              </w:rPr>
              <w:br/>
              <w:t>Fe</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Letter of Credit Fe</w:t>
            </w:r>
            <w:r>
              <w:rPr>
                <w:b/>
                <w:bCs/>
                <w:sz w:val="18"/>
                <w:szCs w:val="18"/>
              </w:rPr>
              <w:t>e</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jc w:val="center"/>
              <w:rPr>
                <w:sz w:val="18"/>
                <w:szCs w:val="18"/>
              </w:rPr>
            </w:pPr>
            <w:r>
              <w:rPr>
                <w:sz w:val="18"/>
                <w:szCs w:val="18"/>
              </w:rPr>
              <w:t>1</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w:t>
            </w:r>
            <w:r>
              <w:rPr>
                <w:sz w:val="18"/>
                <w:szCs w:val="18"/>
              </w:rPr>
              <w:t xml:space="preserve"> 3.75x to 1.</w:t>
            </w:r>
            <w:r>
              <w:rPr>
                <w:sz w:val="18"/>
                <w:szCs w:val="18"/>
              </w:rPr>
              <w:t>0</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0.2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jc w:val="center"/>
              <w:rPr>
                <w:sz w:val="18"/>
                <w:szCs w:val="18"/>
              </w:rPr>
            </w:pPr>
            <w:r>
              <w:rPr>
                <w:sz w:val="18"/>
                <w:szCs w:val="18"/>
              </w:rPr>
              <w:t>2</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xml:space="preserve">&lt; 3.75x to 1.0 but </w:t>
            </w:r>
            <w:r>
              <w:rPr>
                <w:sz w:val="18"/>
                <w:szCs w:val="18"/>
              </w:rPr>
              <w:t>≥</w:t>
            </w:r>
            <w:r>
              <w:rPr>
                <w:sz w:val="18"/>
                <w:szCs w:val="18"/>
              </w:rPr>
              <w:t xml:space="preserve"> 3.25 to 1.</w:t>
            </w:r>
            <w:r>
              <w:rPr>
                <w:sz w:val="18"/>
                <w:szCs w:val="18"/>
              </w:rPr>
              <w:t>0</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0.2</w:t>
            </w:r>
            <w:r>
              <w:rPr>
                <w:sz w:val="18"/>
                <w:szCs w:val="18"/>
              </w:rPr>
              <w:t>3</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jc w:val="center"/>
              <w:rPr>
                <w:sz w:val="18"/>
                <w:szCs w:val="18"/>
              </w:rPr>
            </w:pPr>
            <w:r>
              <w:rPr>
                <w:sz w:val="18"/>
                <w:szCs w:val="18"/>
              </w:rPr>
              <w:t>3</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xml:space="preserve">&lt;3.25x to 1.0 but </w:t>
            </w:r>
            <w:r>
              <w:rPr>
                <w:sz w:val="18"/>
                <w:szCs w:val="18"/>
              </w:rPr>
              <w:t>≥</w:t>
            </w:r>
            <w:r>
              <w:rPr>
                <w:sz w:val="18"/>
                <w:szCs w:val="18"/>
              </w:rPr>
              <w:t xml:space="preserve"> 2.50 to 1.</w:t>
            </w:r>
            <w:r>
              <w:rPr>
                <w:sz w:val="18"/>
                <w:szCs w:val="18"/>
              </w:rPr>
              <w:t>0</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0.2</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2.0</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jc w:val="center"/>
              <w:rPr>
                <w:sz w:val="18"/>
                <w:szCs w:val="18"/>
              </w:rPr>
            </w:pPr>
            <w:r>
              <w:rPr>
                <w:sz w:val="18"/>
                <w:szCs w:val="18"/>
              </w:rPr>
              <w:t>4</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xml:space="preserve">&lt;2.50x to 1.0 but </w:t>
            </w:r>
            <w:r>
              <w:rPr>
                <w:sz w:val="18"/>
                <w:szCs w:val="18"/>
              </w:rPr>
              <w:t>≥</w:t>
            </w:r>
            <w:r>
              <w:rPr>
                <w:sz w:val="18"/>
                <w:szCs w:val="18"/>
              </w:rPr>
              <w:t xml:space="preserve"> 1.75 to 1.</w:t>
            </w:r>
            <w:r>
              <w:rPr>
                <w:sz w:val="18"/>
                <w:szCs w:val="18"/>
              </w:rPr>
              <w:t>0</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0.7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0.1</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1.7</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jc w:val="center"/>
              <w:rPr>
                <w:sz w:val="18"/>
                <w:szCs w:val="18"/>
              </w:rPr>
            </w:pPr>
            <w:r>
              <w:rPr>
                <w:sz w:val="18"/>
                <w:szCs w:val="18"/>
              </w:rPr>
              <w:t>5</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&lt;1.75x to 1.</w:t>
            </w:r>
            <w:r>
              <w:rPr>
                <w:sz w:val="18"/>
                <w:szCs w:val="18"/>
              </w:rPr>
              <w:t>0</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0.5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right"/>
              <w:rPr>
                <w:sz w:val="18"/>
                <w:szCs w:val="18"/>
              </w:rPr>
            </w:pPr>
            <w:r>
              <w:rPr>
                <w:sz w:val="18"/>
                <w:szCs w:val="18"/>
              </w:rPr>
              <w:t>0.1</w:t>
            </w:r>
            <w:r>
              <w:rPr>
                <w:sz w:val="18"/>
                <w:szCs w:val="18"/>
              </w:rPr>
              <w:t>5</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 </w:t>
            </w:r>
          </w:p>
        </w:tc>
      </w:tr>
    </w:tbl>
    <w:p w:rsidR="00000000" w:rsidRDefault="002D33E3">
      <w:pPr>
        <w:pStyle w:val="a3"/>
        <w:spacing w:before="240" w:beforeAutospacing="0" w:after="0" w:afterAutospacing="0"/>
        <w:ind w:firstLine="555"/>
        <w:rPr>
          <w:sz w:val="20"/>
          <w:szCs w:val="20"/>
        </w:rPr>
      </w:pPr>
      <w:r>
        <w:rPr>
          <w:sz w:val="20"/>
          <w:szCs w:val="20"/>
        </w:rPr>
        <w:t>On January 27, 2022, we entered into an interest rate swap transaction fixing the floating component of the interest rate on $100.0 million of borrowings to 1.39% until January 27, 2025. Additionally, we may receive an interest rate adjustment of up to 0.0</w:t>
      </w:r>
      <w:r>
        <w:rPr>
          <w:sz w:val="20"/>
          <w:szCs w:val="20"/>
        </w:rPr>
        <w:t>5% under the 2021 Credit Facility based on our performance against certain defined sustainability and environmental, social and governance related objectives</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Our obligations under the 2021 Credit Facility are guaranteed by certain of our existing and fut</w:t>
      </w:r>
      <w:r>
        <w:rPr>
          <w:sz w:val="20"/>
          <w:szCs w:val="20"/>
        </w:rPr>
        <w:t>ure direct and indirect subsidiaries, and such obligations are secured by substantially all of our assets. The 2021 Credit Facility includes a number of covenants imposing certain restrictions on our business, including, among other things, restrictions on</w:t>
      </w:r>
      <w:r>
        <w:rPr>
          <w:sz w:val="20"/>
          <w:szCs w:val="20"/>
        </w:rPr>
        <w:t xml:space="preserve"> our ability to incur indebtedness, prepay or amend other indebtedness, create liens, make certain fundamental changes including mergers or dissolutions, pay dividends and repurchase or make other payments in respect of capital stock, make certain investme</w:t>
      </w:r>
      <w:r>
        <w:rPr>
          <w:sz w:val="20"/>
          <w:szCs w:val="20"/>
        </w:rPr>
        <w:t>nts, sell assets, change our lines of business, enter into transactions with affiliates and other corporate actions. The 2021 Credit Facility also includes financial covenants requiring us to remain below a maximum total net leverage ratio of 4.25 times, w</w:t>
      </w:r>
      <w:r>
        <w:rPr>
          <w:sz w:val="20"/>
          <w:szCs w:val="20"/>
        </w:rPr>
        <w:t>hich steps down to 4.00 times beginning with the quarter ending December 31, 2022 through and including the quarter ending September 30, 2023 and then to 3.75 times beginning with the quarter ending December 31, 2023 (provided that, subject to certain requ</w:t>
      </w:r>
      <w:r>
        <w:rPr>
          <w:sz w:val="20"/>
          <w:szCs w:val="20"/>
        </w:rPr>
        <w:t>irements, the maximum net leverage ratio may be increased by 0.50:1.00, not to exceed 4.25:1.00, for a period of four consecutive fiscal quarters in connection with certain permitted acquisitions), and a minimum fixed charge coverage ratio of 1.25 times. A</w:t>
      </w:r>
      <w:r>
        <w:rPr>
          <w:sz w:val="20"/>
          <w:szCs w:val="20"/>
        </w:rPr>
        <w:t>s of March 31, 2022, the Company’s consolidated total leverage ratio (as defined in the 2021 Credit Facility) w</w:t>
      </w:r>
      <w:r>
        <w:rPr>
          <w:sz w:val="20"/>
          <w:szCs w:val="20"/>
        </w:rPr>
        <w:t>a</w:t>
      </w:r>
      <w:r>
        <w:rPr>
          <w:sz w:val="20"/>
          <w:szCs w:val="20"/>
        </w:rPr>
        <w:t>s 1.1 t</w:t>
      </w:r>
      <w:r>
        <w:rPr>
          <w:sz w:val="20"/>
          <w:szCs w:val="20"/>
        </w:rPr>
        <w:t>i</w:t>
      </w:r>
      <w:r>
        <w:rPr>
          <w:sz w:val="20"/>
          <w:szCs w:val="20"/>
        </w:rPr>
        <w:t>mes. The calculation of the Company’s consolidated total leverage ratio under the 2021 Credit Facility is consistent with the calculatio</w:t>
      </w:r>
      <w:r>
        <w:rPr>
          <w:sz w:val="20"/>
          <w:szCs w:val="20"/>
        </w:rPr>
        <w:t>n of the consolidated total leverage ratio under the 2020 Credit Facility</w:t>
      </w:r>
      <w:r>
        <w:rPr>
          <w:sz w:val="20"/>
          <w:szCs w:val="20"/>
        </w:rPr>
        <w:t>.</w:t>
      </w:r>
      <w:r>
        <w:rPr>
          <w:sz w:val="20"/>
          <w:szCs w:val="20"/>
        </w:rPr>
        <w:t xml:space="preserve"> </w:t>
      </w:r>
    </w:p>
    <w:p w:rsidR="00000000" w:rsidRDefault="002D33E3">
      <w:pPr>
        <w:pStyle w:val="a3"/>
        <w:spacing w:before="240" w:beforeAutospacing="0" w:after="0" w:afterAutospacing="0"/>
        <w:jc w:val="center"/>
        <w:rPr>
          <w:sz w:val="20"/>
          <w:szCs w:val="20"/>
        </w:rPr>
      </w:pPr>
      <w:r>
        <w:rPr>
          <w:sz w:val="20"/>
          <w:szCs w:val="20"/>
        </w:rPr>
        <w:t>3</w:t>
      </w:r>
      <w:r>
        <w:rPr>
          <w:sz w:val="20"/>
          <w:szCs w:val="20"/>
        </w:rPr>
        <w:t>8</w:t>
      </w:r>
    </w:p>
    <w:p w:rsidR="00000000" w:rsidRDefault="002D33E3">
      <w:pPr>
        <w:rPr>
          <w:rFonts w:eastAsia="Times New Roman"/>
        </w:rPr>
      </w:pPr>
      <w:r>
        <w:rPr>
          <w:rFonts w:eastAsia="Times New Roman"/>
        </w:rPr>
        <w:pict>
          <v:rect id="_x0000_i1064"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ind w:firstLine="555"/>
        <w:rPr>
          <w:sz w:val="20"/>
          <w:szCs w:val="20"/>
        </w:rPr>
      </w:pPr>
      <w:r>
        <w:rPr>
          <w:sz w:val="20"/>
          <w:szCs w:val="20"/>
        </w:rPr>
        <w:t>The weighted average interest rate on the 2021 Credit Facility for the three months ended March 31, 2022 was 1.8%. We were in compliance w</w:t>
      </w:r>
      <w:r>
        <w:rPr>
          <w:sz w:val="20"/>
          <w:szCs w:val="20"/>
        </w:rPr>
        <w:t>ith all applicable covenants under the 2021 Credit Facility as of March 31, 2022</w:t>
      </w:r>
      <w:r>
        <w:rPr>
          <w:sz w:val="20"/>
          <w:szCs w:val="20"/>
        </w:rPr>
        <w:t>.</w:t>
      </w:r>
    </w:p>
    <w:p w:rsidR="00000000" w:rsidRDefault="002D33E3">
      <w:pPr>
        <w:pStyle w:val="a3"/>
        <w:spacing w:before="240" w:beforeAutospacing="0" w:after="0" w:afterAutospacing="0"/>
        <w:ind w:firstLine="555"/>
        <w:rPr>
          <w:sz w:val="20"/>
          <w:szCs w:val="20"/>
        </w:rPr>
      </w:pPr>
      <w:r>
        <w:rPr>
          <w:sz w:val="20"/>
          <w:szCs w:val="20"/>
        </w:rPr>
        <w:t>The 2021 Credit Facility contains a mandatory prepayment feature upon a number of events, including with the proceeds of certain asset sales and proceeds from the issuance of</w:t>
      </w:r>
      <w:r>
        <w:rPr>
          <w:sz w:val="20"/>
          <w:szCs w:val="20"/>
        </w:rPr>
        <w:t xml:space="preserve"> any debt</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See Note 12 to our unaudited condensed consolidated financial statements included in Part I, Item 1. “Financial Statements.</w:t>
      </w:r>
      <w:r>
        <w:rPr>
          <w:sz w:val="20"/>
          <w:szCs w:val="20"/>
        </w:rPr>
        <w:t>”</w:t>
      </w:r>
    </w:p>
    <w:p w:rsidR="00000000" w:rsidRDefault="002D33E3">
      <w:pPr>
        <w:pStyle w:val="a3"/>
        <w:spacing w:before="360" w:beforeAutospacing="0" w:after="0" w:afterAutospacing="0"/>
        <w:ind w:firstLine="555"/>
        <w:rPr>
          <w:sz w:val="20"/>
          <w:szCs w:val="20"/>
        </w:rPr>
      </w:pPr>
      <w:r>
        <w:rPr>
          <w:b/>
          <w:bCs/>
          <w:i/>
          <w:iCs/>
          <w:sz w:val="20"/>
          <w:szCs w:val="20"/>
        </w:rPr>
        <w:t>2020 Credit Facilit</w:t>
      </w:r>
      <w:r>
        <w:rPr>
          <w:b/>
          <w:bCs/>
          <w:i/>
          <w:iCs/>
          <w:sz w:val="20"/>
          <w:szCs w:val="20"/>
        </w:rPr>
        <w:t>y</w:t>
      </w:r>
    </w:p>
    <w:p w:rsidR="00000000" w:rsidRDefault="002D33E3">
      <w:pPr>
        <w:pStyle w:val="a3"/>
        <w:spacing w:before="120" w:beforeAutospacing="0" w:after="0" w:afterAutospacing="0"/>
        <w:ind w:firstLine="555"/>
        <w:rPr>
          <w:sz w:val="20"/>
          <w:szCs w:val="20"/>
        </w:rPr>
      </w:pPr>
      <w:r>
        <w:rPr>
          <w:sz w:val="20"/>
          <w:szCs w:val="20"/>
        </w:rPr>
        <w:t>On April 13, 2020, we entered into a Unitranche Credit Agreement, or the 2020 Credit Facility, pro</w:t>
      </w:r>
      <w:r>
        <w:rPr>
          <w:sz w:val="20"/>
          <w:szCs w:val="20"/>
        </w:rPr>
        <w:t>viding for a $225.0 million credit facility comprised of a $175.0 million term loan and a $50.0 million revolving credit facility, and used a portion of the proceeds from the 2020 Credit Facility to repay all amounts outstanding under the prior senior secu</w:t>
      </w:r>
      <w:r>
        <w:rPr>
          <w:sz w:val="20"/>
          <w:szCs w:val="20"/>
        </w:rPr>
        <w:t>red credit facility. The 2020 Credit Facility would have matured on the earliest of (a) April 13, 2025 and (b) so long as our Series A-2 preferred stock had not been redeemed in full or otherwise not converted into common stock of Montrose, the date that w</w:t>
      </w:r>
      <w:r>
        <w:rPr>
          <w:sz w:val="20"/>
          <w:szCs w:val="20"/>
        </w:rPr>
        <w:t>as 180 days before the Series A-2 preferred equity mandatory redemption date, unless prior to such date, the Series A-2 preferred equity mandatory redemption date had been extended to a date not earlier than one hundred eighty (180) days after April 13, 20</w:t>
      </w:r>
      <w:r>
        <w:rPr>
          <w:sz w:val="20"/>
          <w:szCs w:val="20"/>
        </w:rPr>
        <w:t>25</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Initially, the term loan bore interest at a rate of LIBOR plus 5.0% (subject to a 1.0% LIBOR floor) or the base rate plus 4.0%. Effective October 6, 2020, we amended the 2020 Credit Facility to provide for a reduction on the applicable interest rate o</w:t>
      </w:r>
      <w:r>
        <w:rPr>
          <w:sz w:val="20"/>
          <w:szCs w:val="20"/>
        </w:rPr>
        <w:t>n the term loan from LIBOR plus 5.0% with a 1.0% LIBOR floor to LIBOR plus 4.5% with a 1.0% LIBOR floor. The revolver bore interest at a rate of LIBOR plus 3.5% or the base rate plus 2.5%. The revolver was also subject to an unused commitment fee of 0.35%</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The term loan began amortizing quarterly with fiscal quarter ending September 30, 2020, with a required repayment of (a) $0.5 million for fiscal quarter ending September 30, 2020 and each other fiscal quarter through and including June 30, 2021, (b) $1.1</w:t>
      </w:r>
      <w:r>
        <w:rPr>
          <w:sz w:val="20"/>
          <w:szCs w:val="20"/>
        </w:rPr>
        <w:t xml:space="preserve"> million for fiscal quarter ending June 30, 2021 and each other fiscal quarter through and including September 30, 2022, and (c) $1.6 million for each fiscal quarter ending thereafter</w:t>
      </w:r>
      <w:r>
        <w:rPr>
          <w:sz w:val="20"/>
          <w:szCs w:val="20"/>
        </w:rPr>
        <w:t>.</w:t>
      </w:r>
      <w:r>
        <w:rPr>
          <w:sz w:val="20"/>
          <w:szCs w:val="20"/>
        </w:rPr>
        <w:t xml:space="preserve"> </w:t>
      </w:r>
    </w:p>
    <w:p w:rsidR="00000000" w:rsidRDefault="002D33E3">
      <w:pPr>
        <w:pStyle w:val="a3"/>
        <w:spacing w:before="240" w:beforeAutospacing="0" w:after="0" w:afterAutospacing="0"/>
        <w:ind w:firstLine="555"/>
        <w:rPr>
          <w:sz w:val="20"/>
          <w:szCs w:val="20"/>
        </w:rPr>
      </w:pPr>
      <w:r>
        <w:rPr>
          <w:sz w:val="20"/>
          <w:szCs w:val="20"/>
        </w:rPr>
        <w:t>The 2020 Credit Facility also contained financial covenants requiring us to remain below a maximum consolidated total leverage ratio of 4.25 times, which stepped down to 4.00 times beginning December 31, 2021 and then to 3.75 times beginning December 31, 2</w:t>
      </w:r>
      <w:r>
        <w:rPr>
          <w:sz w:val="20"/>
          <w:szCs w:val="20"/>
        </w:rPr>
        <w:t xml:space="preserve">022, and a minimum consolidated fixed charge coverage ratio of 1.25 times. As of March 31, 2021, the Company’s leverage ratio, which included the impact of contingent consideration payable in cash, was 3.10 times. The weighted average interest rate on the </w:t>
      </w:r>
      <w:r>
        <w:rPr>
          <w:sz w:val="20"/>
          <w:szCs w:val="20"/>
        </w:rPr>
        <w:t>2020 Credit Facility for the three months ended March 31, 2021 was 5.5%. We were in compliance with all applicable covenants under the 2020 Credit Facility as of March 31, 2021</w:t>
      </w:r>
      <w:r>
        <w:rPr>
          <w:sz w:val="20"/>
          <w:szCs w:val="20"/>
        </w:rPr>
        <w:t>.</w:t>
      </w:r>
    </w:p>
    <w:p w:rsidR="00000000" w:rsidRDefault="002D33E3">
      <w:pPr>
        <w:pStyle w:val="a3"/>
        <w:spacing w:before="240" w:beforeAutospacing="0" w:after="0" w:afterAutospacing="0"/>
        <w:ind w:firstLine="555"/>
        <w:rPr>
          <w:sz w:val="20"/>
          <w:szCs w:val="20"/>
        </w:rPr>
      </w:pPr>
      <w:r>
        <w:rPr>
          <w:sz w:val="20"/>
          <w:szCs w:val="20"/>
        </w:rPr>
        <w:t>All amounts outstanding under the 2020 Credit Facility were repaid on April 27</w:t>
      </w:r>
      <w:r>
        <w:rPr>
          <w:sz w:val="20"/>
          <w:szCs w:val="20"/>
        </w:rPr>
        <w:t>, 2021</w:t>
      </w:r>
      <w:r>
        <w:rPr>
          <w:sz w:val="20"/>
          <w:szCs w:val="20"/>
        </w:rPr>
        <w:t>.</w:t>
      </w:r>
    </w:p>
    <w:p w:rsidR="00000000" w:rsidRDefault="002D33E3">
      <w:pPr>
        <w:pStyle w:val="a3"/>
        <w:spacing w:before="240" w:beforeAutospacing="0" w:after="0" w:afterAutospacing="0"/>
        <w:ind w:firstLine="555"/>
        <w:rPr>
          <w:sz w:val="20"/>
          <w:szCs w:val="20"/>
        </w:rPr>
      </w:pPr>
      <w:r>
        <w:rPr>
          <w:sz w:val="20"/>
          <w:szCs w:val="20"/>
        </w:rPr>
        <w:t>See Note 12 to our unaudited condensed consolidated financial statements included in Part I, Item 1. “Financial Statements.</w:t>
      </w:r>
      <w:r>
        <w:rPr>
          <w:sz w:val="20"/>
          <w:szCs w:val="20"/>
        </w:rPr>
        <w:t>”</w:t>
      </w:r>
      <w:r>
        <w:rPr>
          <w:sz w:val="20"/>
          <w:szCs w:val="20"/>
        </w:rPr>
        <w:t xml:space="preserve"> </w:t>
      </w:r>
    </w:p>
    <w:p w:rsidR="00000000" w:rsidRDefault="002D33E3">
      <w:pPr>
        <w:pStyle w:val="a3"/>
        <w:spacing w:before="360" w:beforeAutospacing="0" w:after="0" w:afterAutospacing="0"/>
        <w:rPr>
          <w:sz w:val="20"/>
          <w:szCs w:val="20"/>
        </w:rPr>
      </w:pPr>
      <w:r>
        <w:rPr>
          <w:b/>
          <w:bCs/>
          <w:i/>
          <w:iCs/>
          <w:sz w:val="20"/>
          <w:szCs w:val="20"/>
        </w:rPr>
        <w:t>Series A-2 Preferred Stoc</w:t>
      </w:r>
      <w:r>
        <w:rPr>
          <w:b/>
          <w:bCs/>
          <w:i/>
          <w:iCs/>
          <w:sz w:val="20"/>
          <w:szCs w:val="20"/>
        </w:rPr>
        <w:t>k</w:t>
      </w:r>
    </w:p>
    <w:p w:rsidR="00000000" w:rsidRDefault="002D33E3">
      <w:pPr>
        <w:pStyle w:val="a3"/>
        <w:spacing w:before="120" w:beforeAutospacing="0" w:after="0" w:afterAutospacing="0"/>
        <w:ind w:firstLine="555"/>
        <w:rPr>
          <w:sz w:val="20"/>
          <w:szCs w:val="20"/>
        </w:rPr>
      </w:pPr>
      <w:r>
        <w:rPr>
          <w:sz w:val="20"/>
          <w:szCs w:val="20"/>
        </w:rPr>
        <w:t>On April 13, 2020, we issued</w:t>
      </w:r>
      <w:r>
        <w:rPr>
          <w:sz w:val="20"/>
          <w:szCs w:val="20"/>
        </w:rPr>
        <w:t xml:space="preserve"> </w:t>
      </w:r>
      <w:r>
        <w:rPr>
          <w:sz w:val="20"/>
          <w:szCs w:val="20"/>
        </w:rPr>
        <w:t>17,50</w:t>
      </w:r>
      <w:r>
        <w:rPr>
          <w:sz w:val="20"/>
          <w:szCs w:val="20"/>
        </w:rPr>
        <w:t>0</w:t>
      </w:r>
      <w:r>
        <w:rPr>
          <w:sz w:val="20"/>
          <w:szCs w:val="20"/>
        </w:rPr>
        <w:t xml:space="preserve"> shares of the Series A-2 preferred stock with a par value o</w:t>
      </w:r>
      <w:r>
        <w:rPr>
          <w:sz w:val="20"/>
          <w:szCs w:val="20"/>
        </w:rPr>
        <w:t>f $0.0001 per share and a warrant to purchase common stock, in exchange for $175.0 million. Prior to the completion of the IPO, each share of Series A-2 preferred stock accrued dividends at the rate of 15.0% per annum with respect to dividends that were pa</w:t>
      </w:r>
      <w:r>
        <w:rPr>
          <w:sz w:val="20"/>
          <w:szCs w:val="20"/>
        </w:rPr>
        <w:t xml:space="preserve">id in cash, and 14.2% per annum, with respect to dividends that accrued and compounded, resulting in an annual dividend rate of 15.0%. Following the completion of the IPO, the Series A-2 preferred stock does not mature or have a cash repayment obligation; </w:t>
      </w:r>
      <w:r>
        <w:rPr>
          <w:sz w:val="20"/>
          <w:szCs w:val="20"/>
        </w:rPr>
        <w:t xml:space="preserve">however, it is redeemable at our option. The Series A-2 preferred stock becomes convertible into our common stock beginning on the four-year anniversary of the Series A-2 preferred stock issuance. Upon the four-year anniversary of the issuance, holders of </w:t>
      </w:r>
      <w:r>
        <w:rPr>
          <w:sz w:val="20"/>
          <w:szCs w:val="20"/>
        </w:rPr>
        <w:t>Series A-2 preferred stock may convert up to $60.0 million of such shares into our common stock at a conversion rate discounted to 85.0% of the volume weighted average trading value, with the permitted amount of Series A-2 preferred stock to be converted i</w:t>
      </w:r>
      <w:r>
        <w:rPr>
          <w:sz w:val="20"/>
          <w:szCs w:val="20"/>
        </w:rPr>
        <w:t xml:space="preserve">ncreasing at each subsequent anniversary of the issuance until the sixth anniversary, after which all of the Series A-2 preferred stock may be converted at the holder’s option. Following the completion of the IPO on July 27, 2020, the Series A-2 preferred </w:t>
      </w:r>
      <w:r>
        <w:rPr>
          <w:sz w:val="20"/>
          <w:szCs w:val="20"/>
        </w:rPr>
        <w:t>stock dividend rate changed to 9.0% per annum with required quarterly cash payments. If permitted under our existing debt facilities, we must pay the Series A-2 preferred stock dividend in cash each quarter</w:t>
      </w:r>
      <w:r>
        <w:rPr>
          <w:sz w:val="20"/>
          <w:szCs w:val="20"/>
        </w:rPr>
        <w:t>.</w:t>
      </w:r>
    </w:p>
    <w:p w:rsidR="00000000" w:rsidRDefault="002D33E3">
      <w:pPr>
        <w:pStyle w:val="a3"/>
        <w:spacing w:before="240" w:beforeAutospacing="0" w:after="0" w:afterAutospacing="0"/>
        <w:ind w:firstLine="555"/>
        <w:rPr>
          <w:sz w:val="20"/>
          <w:szCs w:val="20"/>
        </w:rPr>
      </w:pPr>
      <w:r>
        <w:rPr>
          <w:sz w:val="20"/>
          <w:szCs w:val="20"/>
        </w:rPr>
        <w:t>With respect to any redemption of any share of t</w:t>
      </w:r>
      <w:r>
        <w:rPr>
          <w:sz w:val="20"/>
          <w:szCs w:val="20"/>
        </w:rPr>
        <w:t>he Series A-2 preferred stock prior to April 13, 2023, we are subject to a make whole penalty in which the holder is guaranteed at least three years of dividend payments on the redeemed amount</w:t>
      </w:r>
      <w:r>
        <w:rPr>
          <w:sz w:val="20"/>
          <w:szCs w:val="20"/>
        </w:rPr>
        <w:t>.</w:t>
      </w:r>
    </w:p>
    <w:p w:rsidR="00000000" w:rsidRDefault="002D33E3">
      <w:pPr>
        <w:pStyle w:val="a3"/>
        <w:spacing w:before="240" w:beforeAutospacing="0" w:after="0" w:afterAutospacing="0"/>
        <w:ind w:firstLine="555"/>
        <w:rPr>
          <w:sz w:val="20"/>
          <w:szCs w:val="20"/>
        </w:rPr>
      </w:pPr>
      <w:r>
        <w:rPr>
          <w:sz w:val="20"/>
          <w:szCs w:val="20"/>
        </w:rPr>
        <w:t xml:space="preserve">See Note 15 to our unaudited condensed consolidated financial </w:t>
      </w:r>
      <w:r>
        <w:rPr>
          <w:sz w:val="20"/>
          <w:szCs w:val="20"/>
        </w:rPr>
        <w:t>statements included in Part I, Item 1. “Financial Statements.</w:t>
      </w:r>
      <w:r>
        <w:rPr>
          <w:sz w:val="20"/>
          <w:szCs w:val="20"/>
        </w:rPr>
        <w:t>”</w:t>
      </w:r>
    </w:p>
    <w:p w:rsidR="00000000" w:rsidRDefault="002D33E3">
      <w:pPr>
        <w:pStyle w:val="a3"/>
        <w:spacing w:before="240" w:beforeAutospacing="0" w:after="0" w:afterAutospacing="0"/>
        <w:jc w:val="center"/>
        <w:rPr>
          <w:sz w:val="20"/>
          <w:szCs w:val="20"/>
        </w:rPr>
      </w:pPr>
      <w:r>
        <w:rPr>
          <w:sz w:val="20"/>
          <w:szCs w:val="20"/>
        </w:rPr>
        <w:t>3</w:t>
      </w:r>
      <w:r>
        <w:rPr>
          <w:sz w:val="20"/>
          <w:szCs w:val="20"/>
        </w:rPr>
        <w:t>9</w:t>
      </w:r>
    </w:p>
    <w:p w:rsidR="00000000" w:rsidRDefault="002D33E3">
      <w:pPr>
        <w:rPr>
          <w:rFonts w:eastAsia="Times New Roman"/>
        </w:rPr>
      </w:pPr>
      <w:r>
        <w:rPr>
          <w:rFonts w:eastAsia="Times New Roman"/>
        </w:rPr>
        <w:pict>
          <v:rect id="_x0000_i1065"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rPr>
          <w:sz w:val="20"/>
          <w:szCs w:val="20"/>
        </w:rPr>
      </w:pPr>
      <w:r>
        <w:rPr>
          <w:b/>
          <w:bCs/>
          <w:sz w:val="20"/>
          <w:szCs w:val="20"/>
        </w:rPr>
        <w:t>Critical Accounting Policies and Estimate</w:t>
      </w:r>
      <w:r>
        <w:rPr>
          <w:b/>
          <w:bCs/>
          <w:sz w:val="20"/>
          <w:szCs w:val="20"/>
        </w:rPr>
        <w:t>s</w:t>
      </w:r>
    </w:p>
    <w:p w:rsidR="00000000" w:rsidRDefault="002D33E3">
      <w:pPr>
        <w:pStyle w:val="a3"/>
        <w:spacing w:before="120" w:beforeAutospacing="0" w:after="0" w:afterAutospacing="0"/>
        <w:ind w:firstLine="555"/>
        <w:rPr>
          <w:sz w:val="20"/>
          <w:szCs w:val="20"/>
        </w:rPr>
      </w:pPr>
      <w:r>
        <w:rPr>
          <w:sz w:val="20"/>
          <w:szCs w:val="20"/>
        </w:rPr>
        <w:t>Our 2021 Form 10-K includes a summary of the critical accounting policies and estimates we believe are the mo</w:t>
      </w:r>
      <w:r>
        <w:rPr>
          <w:sz w:val="20"/>
          <w:szCs w:val="20"/>
        </w:rPr>
        <w:t>st important to aid in understanding our financial results. There have been no material changes to those critical accounting policies and estimates as disclosed therein, other than as described in Note 2 to our unaudited condensed consolidated financial st</w:t>
      </w:r>
      <w:r>
        <w:rPr>
          <w:sz w:val="20"/>
          <w:szCs w:val="20"/>
        </w:rPr>
        <w:t>atements included in Part I, Item 1. “Financial Statements.</w:t>
      </w:r>
      <w:r>
        <w:rPr>
          <w:sz w:val="20"/>
          <w:szCs w:val="20"/>
        </w:rPr>
        <w:t>”</w:t>
      </w:r>
      <w:r>
        <w:rPr>
          <w:sz w:val="20"/>
          <w:szCs w:val="20"/>
        </w:rPr>
        <w:t xml:space="preserve"> </w:t>
      </w:r>
    </w:p>
    <w:p w:rsidR="00000000" w:rsidRDefault="002D33E3">
      <w:pPr>
        <w:pStyle w:val="a3"/>
        <w:spacing w:before="360" w:beforeAutospacing="0" w:after="0" w:afterAutospacing="0"/>
        <w:rPr>
          <w:sz w:val="20"/>
          <w:szCs w:val="20"/>
        </w:rPr>
      </w:pPr>
      <w:r>
        <w:rPr>
          <w:b/>
          <w:bCs/>
          <w:sz w:val="20"/>
          <w:szCs w:val="20"/>
        </w:rPr>
        <w:t>NON-GAAP Financial Informatio</w:t>
      </w:r>
      <w:r>
        <w:rPr>
          <w:b/>
          <w:bCs/>
          <w:sz w:val="20"/>
          <w:szCs w:val="20"/>
        </w:rPr>
        <w:t>n</w:t>
      </w:r>
    </w:p>
    <w:p w:rsidR="00000000" w:rsidRDefault="002D33E3">
      <w:pPr>
        <w:pStyle w:val="a3"/>
        <w:spacing w:before="120" w:beforeAutospacing="0" w:after="0" w:afterAutospacing="0"/>
        <w:ind w:firstLine="555"/>
        <w:rPr>
          <w:sz w:val="20"/>
          <w:szCs w:val="20"/>
        </w:rPr>
      </w:pPr>
      <w:r>
        <w:rPr>
          <w:sz w:val="20"/>
          <w:szCs w:val="20"/>
        </w:rPr>
        <w:t>In addition to our results under GAAP, we also present in this Quarterly Report on Form 10-Q other supplemental financial measures of financial performance that ar</w:t>
      </w:r>
      <w:r>
        <w:rPr>
          <w:sz w:val="20"/>
          <w:szCs w:val="20"/>
        </w:rPr>
        <w:t>e not required by, or presented in accordance with, GAAP, including Adjusted EBITDA and Adjusted EBITDA margin. We calculate Adjusted EBITDA as net income (loss) before interest expense, income tax expense (benefit) and depreciation and amortization, adjus</w:t>
      </w:r>
      <w:r>
        <w:rPr>
          <w:sz w:val="20"/>
          <w:szCs w:val="20"/>
        </w:rPr>
        <w:t>ted for the impact of certain other items, including stock-based compensation expense and acquisition-related costs, as set forth in greater detail in the table below. Adjusted EBITDA margin represents Adjusted EBITDA as a percentage of revenues for a give</w:t>
      </w:r>
      <w:r>
        <w:rPr>
          <w:sz w:val="20"/>
          <w:szCs w:val="20"/>
        </w:rPr>
        <w:t>n period</w:t>
      </w:r>
      <w:r>
        <w:rPr>
          <w:sz w:val="20"/>
          <w:szCs w:val="20"/>
        </w:rPr>
        <w:t>.</w:t>
      </w:r>
    </w:p>
    <w:p w:rsidR="00000000" w:rsidRDefault="002D33E3">
      <w:pPr>
        <w:pStyle w:val="a3"/>
        <w:spacing w:before="240" w:beforeAutospacing="0" w:after="0" w:afterAutospacing="0"/>
        <w:ind w:firstLine="555"/>
        <w:rPr>
          <w:sz w:val="20"/>
          <w:szCs w:val="20"/>
        </w:rPr>
      </w:pPr>
      <w:r>
        <w:rPr>
          <w:sz w:val="20"/>
          <w:szCs w:val="20"/>
        </w:rPr>
        <w:t>Adjusted EBITDA and Adjusted EBITDA margin are two of the primary metrics used by management to evaluate our financial performance and compare it to that of our peers, evaluate the effectiveness of our business strategies, make budgeting and capi</w:t>
      </w:r>
      <w:r>
        <w:rPr>
          <w:sz w:val="20"/>
          <w:szCs w:val="20"/>
        </w:rPr>
        <w:t>tal allocation decisions and in connection with our executive incentive compensation. These measures are also frequently used by analysts, investors and other interested parties to evaluate companies in our industry. Further, we believe they are helpful in</w:t>
      </w:r>
      <w:r>
        <w:rPr>
          <w:sz w:val="20"/>
          <w:szCs w:val="20"/>
        </w:rPr>
        <w:t xml:space="preserve"> highlighting trends in our operating results because they allow for more consistent comparisons of financial performance between periods by excluding gains and losses that are non-operational in nature or outside the control of management, as well as item</w:t>
      </w:r>
      <w:r>
        <w:rPr>
          <w:sz w:val="20"/>
          <w:szCs w:val="20"/>
        </w:rPr>
        <w:t>s that may differ significantly depending on long-term strategic decisions regarding capital structure, the tax jurisdictions in which we operate and capital investments</w:t>
      </w:r>
      <w:r>
        <w:rPr>
          <w:sz w:val="20"/>
          <w:szCs w:val="20"/>
        </w:rPr>
        <w:t>.</w:t>
      </w:r>
    </w:p>
    <w:p w:rsidR="00000000" w:rsidRDefault="002D33E3">
      <w:pPr>
        <w:pStyle w:val="a3"/>
        <w:spacing w:before="240" w:beforeAutospacing="0" w:after="0" w:afterAutospacing="0"/>
        <w:ind w:firstLine="555"/>
        <w:rPr>
          <w:sz w:val="20"/>
          <w:szCs w:val="20"/>
        </w:rPr>
      </w:pPr>
      <w:r>
        <w:rPr>
          <w:sz w:val="20"/>
          <w:szCs w:val="20"/>
        </w:rPr>
        <w:t>These non-GAAP measures do, however, have certain limitations and should not be consi</w:t>
      </w:r>
      <w:r>
        <w:rPr>
          <w:sz w:val="20"/>
          <w:szCs w:val="20"/>
        </w:rPr>
        <w:t>dered as an alternative to net income (loss) or any other performance measure derived in accordance with GAAP. Our presentation of Adjusted EBITDA and Adjusted EBITDA margin should not be construed as an inference that our future results will be unaffected</w:t>
      </w:r>
      <w:r>
        <w:rPr>
          <w:sz w:val="20"/>
          <w:szCs w:val="20"/>
        </w:rPr>
        <w:t xml:space="preserve"> by unusual or non-recurring items for which we may make adjustments. In addition, Adjusted EBITDA and Adjusted EBITDA margin may not be comparable to similarly titled measures used by other companies in our industry or across different industries, and oth</w:t>
      </w:r>
      <w:r>
        <w:rPr>
          <w:sz w:val="20"/>
          <w:szCs w:val="20"/>
        </w:rPr>
        <w:t xml:space="preserve">er companies may not present these or similar measures. Management compensates for these limitations by using these measures as supplemental financial metrics and in conjunction with our results prepared in accordance with GAAP. We encourage investors and </w:t>
      </w:r>
      <w:r>
        <w:rPr>
          <w:sz w:val="20"/>
          <w:szCs w:val="20"/>
        </w:rPr>
        <w:t>others to review our financial information in its entirety, not to rely on any single measure and to view Adjusted EBITDA and Adjusted EBITDA margin in conjunction with the related GAAP measures</w:t>
      </w:r>
      <w:r>
        <w:rPr>
          <w:sz w:val="20"/>
          <w:szCs w:val="20"/>
        </w:rPr>
        <w:t>.</w:t>
      </w:r>
    </w:p>
    <w:p w:rsidR="00000000" w:rsidRDefault="002D33E3">
      <w:pPr>
        <w:pStyle w:val="a3"/>
        <w:spacing w:before="240" w:beforeAutospacing="0" w:after="0" w:afterAutospacing="0"/>
        <w:ind w:firstLine="555"/>
        <w:rPr>
          <w:sz w:val="20"/>
          <w:szCs w:val="20"/>
        </w:rPr>
      </w:pPr>
      <w:r>
        <w:rPr>
          <w:sz w:val="20"/>
          <w:szCs w:val="20"/>
        </w:rPr>
        <w:t>The following is a reconciliation of our net loss to Adjuste</w:t>
      </w:r>
      <w:r>
        <w:rPr>
          <w:sz w:val="20"/>
          <w:szCs w:val="20"/>
        </w:rPr>
        <w:t>d EBITDA</w:t>
      </w:r>
      <w:r>
        <w:rPr>
          <w:sz w:val="20"/>
          <w:szCs w:val="20"/>
        </w:rPr>
        <w:t>:</w:t>
      </w:r>
    </w:p>
    <w:p w:rsidR="00000000" w:rsidRDefault="002D33E3">
      <w:pPr>
        <w:pStyle w:val="a3"/>
        <w:spacing w:before="0" w:beforeAutospacing="0" w:after="0" w:afterAutospacing="0"/>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652"/>
        <w:gridCol w:w="106"/>
        <w:gridCol w:w="150"/>
        <w:gridCol w:w="844"/>
        <w:gridCol w:w="300"/>
        <w:gridCol w:w="107"/>
        <w:gridCol w:w="150"/>
        <w:gridCol w:w="851"/>
        <w:gridCol w:w="315"/>
      </w:tblGrid>
      <w:tr w:rsidR="00000000">
        <w:trPr>
          <w:tblCellSpacing w:w="15" w:type="dxa"/>
        </w:trPr>
        <w:tc>
          <w:tcPr>
            <w:tcW w:w="3231" w:type="pct"/>
            <w:vAlign w:val="center"/>
            <w:hideMark/>
          </w:tcPr>
          <w:p w:rsidR="00000000" w:rsidRDefault="002D33E3">
            <w:pPr>
              <w:rPr>
                <w:sz w:val="20"/>
                <w:szCs w:val="20"/>
              </w:rPr>
            </w:pPr>
          </w:p>
        </w:tc>
        <w:tc>
          <w:tcPr>
            <w:tcW w:w="77"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590" w:type="pct"/>
            <w:vAlign w:val="center"/>
            <w:hideMark/>
          </w:tcPr>
          <w:p w:rsidR="00000000" w:rsidRDefault="002D33E3">
            <w:pPr>
              <w:rPr>
                <w:rFonts w:eastAsia="Times New Roman"/>
                <w:sz w:val="20"/>
                <w:szCs w:val="20"/>
              </w:rPr>
            </w:pPr>
          </w:p>
        </w:tc>
        <w:tc>
          <w:tcPr>
            <w:tcW w:w="150" w:type="pct"/>
            <w:vAlign w:val="center"/>
            <w:hideMark/>
          </w:tcPr>
          <w:p w:rsidR="00000000" w:rsidRDefault="002D33E3">
            <w:pPr>
              <w:rPr>
                <w:rFonts w:eastAsia="Times New Roman"/>
                <w:sz w:val="20"/>
                <w:szCs w:val="20"/>
              </w:rPr>
            </w:pPr>
          </w:p>
        </w:tc>
        <w:tc>
          <w:tcPr>
            <w:tcW w:w="77" w:type="pct"/>
            <w:vAlign w:val="center"/>
            <w:hideMark/>
          </w:tcPr>
          <w:p w:rsidR="00000000" w:rsidRDefault="002D33E3">
            <w:pPr>
              <w:rPr>
                <w:rFonts w:eastAsia="Times New Roman"/>
                <w:sz w:val="20"/>
                <w:szCs w:val="20"/>
              </w:rPr>
            </w:pPr>
          </w:p>
        </w:tc>
        <w:tc>
          <w:tcPr>
            <w:tcW w:w="63" w:type="pct"/>
            <w:vAlign w:val="center"/>
            <w:hideMark/>
          </w:tcPr>
          <w:p w:rsidR="00000000" w:rsidRDefault="002D33E3">
            <w:pPr>
              <w:rPr>
                <w:rFonts w:eastAsia="Times New Roman"/>
                <w:sz w:val="20"/>
                <w:szCs w:val="20"/>
              </w:rPr>
            </w:pPr>
          </w:p>
        </w:tc>
        <w:tc>
          <w:tcPr>
            <w:tcW w:w="594" w:type="pct"/>
            <w:vAlign w:val="center"/>
            <w:hideMark/>
          </w:tcPr>
          <w:p w:rsidR="00000000" w:rsidRDefault="002D33E3">
            <w:pPr>
              <w:rPr>
                <w:rFonts w:eastAsia="Times New Roman"/>
                <w:sz w:val="20"/>
                <w:szCs w:val="20"/>
              </w:rPr>
            </w:pPr>
          </w:p>
        </w:tc>
        <w:tc>
          <w:tcPr>
            <w:tcW w:w="150" w:type="pct"/>
            <w:vAlign w:val="center"/>
            <w:hideMark/>
          </w:tcPr>
          <w:p w:rsidR="00000000" w:rsidRDefault="002D33E3">
            <w:pPr>
              <w:rPr>
                <w:rFonts w:eastAsia="Times New Roman"/>
                <w:sz w:val="20"/>
                <w:szCs w:val="20"/>
              </w:rPr>
            </w:pP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D33E3">
            <w:pPr>
              <w:pStyle w:val="a3"/>
              <w:spacing w:before="0" w:beforeAutospacing="0" w:after="0" w:afterAutospacing="0"/>
              <w:jc w:val="center"/>
              <w:rPr>
                <w:sz w:val="18"/>
                <w:szCs w:val="18"/>
              </w:rPr>
            </w:pPr>
            <w:r>
              <w:rPr>
                <w:b/>
                <w:bCs/>
                <w:sz w:val="18"/>
                <w:szCs w:val="18"/>
              </w:rPr>
              <w:t>For the Three Months Ended March 31</w:t>
            </w:r>
            <w:r>
              <w:rPr>
                <w:b/>
                <w:bCs/>
                <w:sz w:val="18"/>
                <w:szCs w:val="18"/>
              </w:rPr>
              <w:t>,</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2D33E3">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2D33E3">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(7,53</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(12,93</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Interest expens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1,09</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2,68</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Income tax expens</w:t>
            </w:r>
            <w:r>
              <w:rPr>
                <w:sz w:val="18"/>
                <w:szCs w:val="18"/>
              </w:rPr>
              <w:t>e</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1,26</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12,14</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11,79</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EBITD</w:t>
            </w:r>
            <w:r>
              <w:rPr>
                <w:b/>
                <w:bCs/>
                <w:sz w:val="18"/>
                <w:szCs w:val="18"/>
              </w:rPr>
              <w:t>A</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6,96</w:t>
            </w:r>
            <w:r>
              <w:rPr>
                <w:b/>
                <w:bCs/>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1,55</w:t>
            </w:r>
            <w:r>
              <w:rPr>
                <w:b/>
                <w:bCs/>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Stock-based compensation</w:t>
            </w:r>
            <w:r>
              <w:rPr>
                <w:sz w:val="18"/>
                <w:szCs w:val="18"/>
              </w:rPr>
              <w:t xml:space="preserve"> </w:t>
            </w:r>
            <w:r>
              <w:rPr>
                <w:sz w:val="12"/>
                <w:szCs w:val="12"/>
              </w:rPr>
              <w:t>(1</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10,42</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1,80</w:t>
            </w:r>
            <w:r>
              <w:rPr>
                <w:sz w:val="18"/>
                <w:szCs w:val="18"/>
              </w:rPr>
              <w:t>5</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Start-up losses and investment in new services</w:t>
            </w:r>
            <w:r>
              <w:rPr>
                <w:sz w:val="18"/>
                <w:szCs w:val="18"/>
              </w:rPr>
              <w:t xml:space="preserve"> </w:t>
            </w:r>
            <w:r>
              <w:rPr>
                <w:sz w:val="12"/>
                <w:szCs w:val="12"/>
              </w:rPr>
              <w:t>(2</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78</w:t>
            </w:r>
            <w:r>
              <w:rPr>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96</w:t>
            </w:r>
            <w:r>
              <w:rPr>
                <w:sz w:val="18"/>
                <w:szCs w:val="18"/>
              </w:rPr>
              <w:t>8</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Acquisition costs</w:t>
            </w:r>
            <w:r>
              <w:rPr>
                <w:sz w:val="18"/>
                <w:szCs w:val="18"/>
              </w:rPr>
              <w:t xml:space="preserve"> </w:t>
            </w:r>
            <w:r>
              <w:rPr>
                <w:sz w:val="12"/>
                <w:szCs w:val="12"/>
              </w:rPr>
              <w:t>(3</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46</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23</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Fair value changes in financial instrument</w:t>
            </w:r>
            <w:r>
              <w:rPr>
                <w:sz w:val="18"/>
                <w:szCs w:val="18"/>
              </w:rPr>
              <w:t>s</w:t>
            </w:r>
            <w:r>
              <w:rPr>
                <w:sz w:val="12"/>
                <w:szCs w:val="12"/>
              </w:rPr>
              <w:t> (4</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(2,44</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60</w:t>
            </w:r>
            <w:r>
              <w:rPr>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Expenses related to financing transactions</w:t>
            </w:r>
            <w:r>
              <w:rPr>
                <w:sz w:val="18"/>
                <w:szCs w:val="18"/>
              </w:rPr>
              <w:t xml:space="preserve"> </w:t>
            </w:r>
            <w:r>
              <w:rPr>
                <w:sz w:val="12"/>
                <w:szCs w:val="12"/>
              </w:rPr>
              <w:t>(5</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5</w:t>
            </w:r>
            <w:r>
              <w:rPr>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 xml:space="preserve">Fair value changes in business acquisitions </w:t>
            </w:r>
            <w:r>
              <w:rPr>
                <w:sz w:val="18"/>
                <w:szCs w:val="18"/>
              </w:rPr>
              <w:br/>
              <w:t>   contingent consideration</w:t>
            </w:r>
            <w:r>
              <w:rPr>
                <w:sz w:val="18"/>
                <w:szCs w:val="18"/>
              </w:rPr>
              <w:t xml:space="preserve"> </w:t>
            </w:r>
            <w:r>
              <w:rPr>
                <w:sz w:val="12"/>
                <w:szCs w:val="12"/>
              </w:rPr>
              <w:t>(6</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w:t>
            </w:r>
            <w:r>
              <w:rPr>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11,06</w:t>
            </w:r>
            <w:r>
              <w:rPr>
                <w:sz w:val="18"/>
                <w:szCs w:val="18"/>
              </w:rPr>
              <w:t>4</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sz w:val="18"/>
                <w:szCs w:val="18"/>
              </w:rPr>
              <w:t>Other losses and expense</w:t>
            </w:r>
            <w:r>
              <w:rPr>
                <w:sz w:val="18"/>
                <w:szCs w:val="18"/>
              </w:rPr>
              <w:t>s</w:t>
            </w:r>
            <w:r>
              <w:rPr>
                <w:sz w:val="12"/>
                <w:szCs w:val="12"/>
              </w:rPr>
              <w:t>(7</w:t>
            </w:r>
            <w:r>
              <w:rPr>
                <w:sz w:val="12"/>
                <w:szCs w:val="12"/>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26</w:t>
            </w:r>
            <w:r>
              <w:rPr>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sz w:val="18"/>
                <w:szCs w:val="18"/>
              </w:rPr>
              <w:t>51</w:t>
            </w:r>
            <w:r>
              <w:rPr>
                <w:sz w:val="18"/>
                <w:szCs w:val="18"/>
              </w:rPr>
              <w:t>9</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Adjusted EBITD</w:t>
            </w:r>
            <w:r>
              <w:rPr>
                <w:b/>
                <w:bCs/>
                <w:sz w:val="18"/>
                <w:szCs w:val="18"/>
              </w:rPr>
              <w:t>A</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16,45</w:t>
            </w:r>
            <w:r>
              <w:rPr>
                <w:b/>
                <w:bCs/>
                <w:sz w:val="18"/>
                <w:szCs w:val="18"/>
              </w:rPr>
              <w:t>1</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16,80</w:t>
            </w:r>
            <w:r>
              <w:rPr>
                <w:b/>
                <w:bCs/>
                <w:sz w:val="18"/>
                <w:szCs w:val="18"/>
              </w:rPr>
              <w:t>0</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center"/>
            <w:hideMark/>
          </w:tcPr>
          <w:p w:rsidR="00000000" w:rsidRDefault="002D33E3">
            <w:pPr>
              <w:pStyle w:val="a3"/>
              <w:spacing w:before="0" w:beforeAutospacing="0" w:after="0" w:afterAutospacing="0"/>
              <w:rPr>
                <w:sz w:val="18"/>
                <w:szCs w:val="18"/>
              </w:rPr>
            </w:pPr>
            <w:r>
              <w:rPr>
                <w:b/>
                <w:bCs/>
                <w:sz w:val="18"/>
                <w:szCs w:val="18"/>
              </w:rPr>
              <w:t>Net loss margi</w:t>
            </w:r>
            <w:r>
              <w:rPr>
                <w:b/>
                <w:bCs/>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(5.</w:t>
            </w:r>
            <w:r>
              <w:rPr>
                <w:b/>
                <w:bCs/>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(9.</w:t>
            </w:r>
            <w:r>
              <w:rPr>
                <w:b/>
                <w:bCs/>
                <w:sz w:val="18"/>
                <w:szCs w:val="18"/>
              </w:rPr>
              <w:t>7</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r>
              <w:rPr>
                <w:b/>
                <w:bCs/>
                <w:sz w:val="18"/>
                <w:szCs w:val="18"/>
              </w:rPr>
              <w:t>%</w:t>
            </w:r>
          </w:p>
        </w:tc>
      </w:tr>
      <w:tr w:rsidR="00000000">
        <w:trPr>
          <w:trHeight w:val="180"/>
          <w:tblCellSpacing w:w="15" w:type="dxa"/>
        </w:trPr>
        <w:tc>
          <w:tcPr>
            <w:tcW w:w="0" w:type="auto"/>
            <w:hideMark/>
          </w:tcPr>
          <w:p w:rsidR="00000000" w:rsidRDefault="002D33E3">
            <w:pPr>
              <w:pStyle w:val="a3"/>
              <w:spacing w:before="0" w:beforeAutospacing="0" w:after="0" w:afterAutospacing="0"/>
              <w:rPr>
                <w:sz w:val="18"/>
                <w:szCs w:val="18"/>
              </w:rPr>
            </w:pPr>
            <w:r>
              <w:rPr>
                <w:b/>
                <w:bCs/>
                <w:sz w:val="18"/>
                <w:szCs w:val="18"/>
              </w:rPr>
              <w:t>Adjusted EBITDA margi</w:t>
            </w:r>
            <w:r>
              <w:rPr>
                <w:b/>
                <w:bCs/>
                <w:sz w:val="18"/>
                <w:szCs w:val="18"/>
              </w:rPr>
              <w:t>n</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12.</w:t>
            </w:r>
            <w:r>
              <w:rPr>
                <w:b/>
                <w:bCs/>
                <w:sz w:val="18"/>
                <w:szCs w:val="18"/>
              </w:rPr>
              <w:t>2</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jc w:val="right"/>
              <w:rPr>
                <w:sz w:val="18"/>
                <w:szCs w:val="18"/>
              </w:rPr>
            </w:pPr>
            <w:r>
              <w:rPr>
                <w:b/>
                <w:bCs/>
                <w:sz w:val="18"/>
                <w:szCs w:val="18"/>
              </w:rPr>
              <w:t>12.</w:t>
            </w:r>
            <w:r>
              <w:rPr>
                <w:b/>
                <w:bCs/>
                <w:sz w:val="18"/>
                <w:szCs w:val="18"/>
              </w:rPr>
              <w:t>6</w:t>
            </w:r>
          </w:p>
        </w:tc>
        <w:tc>
          <w:tcPr>
            <w:tcW w:w="0" w:type="auto"/>
            <w:vAlign w:val="bottom"/>
            <w:hideMark/>
          </w:tcPr>
          <w:p w:rsidR="00000000" w:rsidRDefault="002D33E3">
            <w:pPr>
              <w:pStyle w:val="a3"/>
              <w:spacing w:before="0" w:beforeAutospacing="0" w:after="0" w:afterAutospacing="0"/>
              <w:rPr>
                <w:sz w:val="18"/>
                <w:szCs w:val="18"/>
              </w:rPr>
            </w:pPr>
            <w:r>
              <w:rPr>
                <w:b/>
                <w:bCs/>
                <w:sz w:val="18"/>
                <w:szCs w:val="18"/>
              </w:rPr>
              <w:t>%</w:t>
            </w:r>
          </w:p>
        </w:tc>
      </w:tr>
      <w:tr w:rsidR="00000000">
        <w:trPr>
          <w:tblCellSpacing w:w="15" w:type="dxa"/>
        </w:trPr>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D33E3">
            <w:pPr>
              <w:pStyle w:val="a3"/>
              <w:spacing w:before="0" w:beforeAutospacing="0" w:after="0" w:afterAutospacing="0"/>
              <w:rPr>
                <w:sz w:val="18"/>
                <w:szCs w:val="18"/>
              </w:rPr>
            </w:pPr>
            <w:r>
              <w:rPr>
                <w:sz w:val="18"/>
                <w:szCs w:val="18"/>
              </w:rPr>
              <w:t> </w:t>
            </w:r>
          </w:p>
        </w:tc>
        <w:tc>
          <w:tcPr>
            <w:tcW w:w="0" w:type="auto"/>
            <w:vAlign w:val="bottom"/>
            <w:hideMark/>
          </w:tcPr>
          <w:p w:rsidR="00000000" w:rsidRDefault="002D33E3">
            <w:pPr>
              <w:pStyle w:val="a3"/>
              <w:spacing w:before="0" w:beforeAutospacing="0" w:after="0" w:afterAutospacing="0"/>
              <w:rPr>
                <w:sz w:val="18"/>
                <w:szCs w:val="18"/>
              </w:rPr>
            </w:pPr>
            <w:r>
              <w:rPr>
                <w:sz w:val="18"/>
                <w:szCs w:val="18"/>
              </w:rPr>
              <w:t> </w:t>
            </w:r>
          </w:p>
        </w:tc>
      </w:tr>
    </w:tbl>
    <w:p w:rsidR="00000000" w:rsidRDefault="002D33E3">
      <w:pPr>
        <w:pStyle w:val="a3"/>
        <w:pBdr>
          <w:bottom w:val="single" w:sz="4" w:space="1" w:color="auto"/>
        </w:pBdr>
        <w:spacing w:before="0" w:beforeAutospacing="0" w:after="0" w:afterAutospacing="0"/>
        <w:ind w:right="9167"/>
        <w:rPr>
          <w:sz w:val="20"/>
          <w:szCs w:val="20"/>
        </w:rPr>
      </w:pPr>
      <w:r>
        <w:rPr>
          <w:sz w:val="12"/>
          <w:szCs w:val="12"/>
        </w:rPr>
        <w:t> </w:t>
      </w:r>
    </w:p>
    <w:p w:rsidR="00000000" w:rsidRDefault="002D33E3">
      <w:pPr>
        <w:divId w:val="276064283"/>
        <w:rPr>
          <w:rFonts w:eastAsia="Times New Roman"/>
        </w:rPr>
      </w:pPr>
      <w:r>
        <w:rPr>
          <w:rFonts w:eastAsia="Times New Roman"/>
          <w:sz w:val="16"/>
          <w:szCs w:val="16"/>
        </w:rPr>
        <w:t>(1</w:t>
      </w:r>
      <w:r>
        <w:rPr>
          <w:rFonts w:eastAsia="Times New Roman"/>
          <w:sz w:val="16"/>
          <w:szCs w:val="16"/>
        </w:rPr>
        <w:t>)</w:t>
      </w:r>
    </w:p>
    <w:p w:rsidR="00000000" w:rsidRDefault="002D33E3">
      <w:pPr>
        <w:divId w:val="316960176"/>
        <w:rPr>
          <w:rFonts w:eastAsia="Times New Roman"/>
        </w:rPr>
      </w:pPr>
      <w:r>
        <w:rPr>
          <w:rFonts w:eastAsia="Times New Roman"/>
          <w:sz w:val="16"/>
          <w:szCs w:val="16"/>
        </w:rPr>
        <w:t>Represents non-cash stock-based compensation expenses related to (i) option awards issued to employees, (ii) restricted stock grants issued to directors and selected employees, (iii) and stock appreciation rights grants issued to selected employees</w:t>
      </w:r>
      <w:r>
        <w:rPr>
          <w:rFonts w:eastAsia="Times New Roman"/>
          <w:sz w:val="16"/>
          <w:szCs w:val="16"/>
        </w:rPr>
        <w:t>.</w:t>
      </w:r>
    </w:p>
    <w:p w:rsidR="00000000" w:rsidRDefault="002D33E3">
      <w:pPr>
        <w:rPr>
          <w:rFonts w:eastAsia="Times New Roman"/>
        </w:rPr>
      </w:pPr>
      <w:r>
        <w:rPr>
          <w:rFonts w:eastAsia="Times New Roman"/>
          <w:sz w:val="16"/>
          <w:szCs w:val="16"/>
        </w:rPr>
        <w:t>(2</w:t>
      </w:r>
      <w:r>
        <w:rPr>
          <w:rFonts w:eastAsia="Times New Roman"/>
          <w:sz w:val="16"/>
          <w:szCs w:val="16"/>
        </w:rPr>
        <w:t>)</w:t>
      </w:r>
    </w:p>
    <w:p w:rsidR="00000000" w:rsidRDefault="002D33E3">
      <w:pPr>
        <w:divId w:val="1894190080"/>
        <w:rPr>
          <w:rFonts w:eastAsia="Times New Roman"/>
        </w:rPr>
      </w:pPr>
      <w:r>
        <w:rPr>
          <w:rFonts w:eastAsia="Times New Roman"/>
          <w:sz w:val="16"/>
          <w:szCs w:val="16"/>
        </w:rPr>
        <w:t>Re</w:t>
      </w:r>
      <w:r>
        <w:rPr>
          <w:rFonts w:eastAsia="Times New Roman"/>
          <w:sz w:val="16"/>
          <w:szCs w:val="16"/>
        </w:rPr>
        <w:t>present start-up losses related to losses incurred on (i) the expansion of lab testing methods and lab capacity, including into new geographies, (ii) introduction of new software and consulting service lines (iii) expansion into Europe in advance of projec</w:t>
      </w:r>
      <w:r>
        <w:rPr>
          <w:rFonts w:eastAsia="Times New Roman"/>
          <w:sz w:val="16"/>
          <w:szCs w:val="16"/>
        </w:rPr>
        <w:t>ts driven by new regulations</w:t>
      </w:r>
      <w:r>
        <w:rPr>
          <w:rFonts w:eastAsia="Times New Roman"/>
          <w:sz w:val="16"/>
          <w:szCs w:val="16"/>
        </w:rPr>
        <w:t>.</w:t>
      </w:r>
    </w:p>
    <w:p w:rsidR="00000000" w:rsidRDefault="002D33E3">
      <w:pPr>
        <w:pStyle w:val="a3"/>
        <w:spacing w:before="240" w:beforeAutospacing="0" w:after="0" w:afterAutospacing="0"/>
        <w:jc w:val="center"/>
        <w:rPr>
          <w:sz w:val="20"/>
          <w:szCs w:val="20"/>
        </w:rPr>
      </w:pPr>
      <w:r>
        <w:rPr>
          <w:sz w:val="20"/>
          <w:szCs w:val="20"/>
        </w:rPr>
        <w:t>4</w:t>
      </w:r>
      <w:r>
        <w:rPr>
          <w:sz w:val="20"/>
          <w:szCs w:val="20"/>
        </w:rPr>
        <w:t>0</w:t>
      </w:r>
    </w:p>
    <w:p w:rsidR="00000000" w:rsidRDefault="002D33E3">
      <w:pPr>
        <w:rPr>
          <w:rFonts w:eastAsia="Times New Roman"/>
        </w:rPr>
      </w:pPr>
      <w:r>
        <w:rPr>
          <w:rFonts w:eastAsia="Times New Roman"/>
        </w:rPr>
        <w:pict>
          <v:rect id="_x0000_i1066"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rPr>
          <w:rFonts w:eastAsia="Times New Roman"/>
        </w:rPr>
      </w:pPr>
      <w:r>
        <w:rPr>
          <w:rFonts w:eastAsia="Times New Roman"/>
          <w:sz w:val="16"/>
          <w:szCs w:val="16"/>
        </w:rPr>
        <w:t>(3</w:t>
      </w:r>
      <w:r>
        <w:rPr>
          <w:rFonts w:eastAsia="Times New Roman"/>
          <w:sz w:val="16"/>
          <w:szCs w:val="16"/>
        </w:rPr>
        <w:t>)</w:t>
      </w:r>
    </w:p>
    <w:p w:rsidR="00000000" w:rsidRDefault="002D33E3">
      <w:pPr>
        <w:divId w:val="1653826829"/>
        <w:rPr>
          <w:rFonts w:eastAsia="Times New Roman"/>
        </w:rPr>
      </w:pPr>
      <w:r>
        <w:rPr>
          <w:rFonts w:eastAsia="Times New Roman"/>
          <w:sz w:val="16"/>
          <w:szCs w:val="16"/>
        </w:rPr>
        <w:t>Includes financial and tax diligence, consulting, legal, valuation, accounting and travel costs and acquisition-related incentives related to our acquisition activity</w:t>
      </w:r>
      <w:r>
        <w:rPr>
          <w:rFonts w:eastAsia="Times New Roman"/>
          <w:sz w:val="16"/>
          <w:szCs w:val="16"/>
        </w:rPr>
        <w:t>.</w:t>
      </w:r>
    </w:p>
    <w:p w:rsidR="00000000" w:rsidRDefault="002D33E3">
      <w:pPr>
        <w:rPr>
          <w:rFonts w:eastAsia="Times New Roman"/>
        </w:rPr>
      </w:pPr>
      <w:r>
        <w:rPr>
          <w:rFonts w:eastAsia="Times New Roman"/>
          <w:sz w:val="16"/>
          <w:szCs w:val="16"/>
        </w:rPr>
        <w:t>(4</w:t>
      </w:r>
      <w:r>
        <w:rPr>
          <w:rFonts w:eastAsia="Times New Roman"/>
          <w:sz w:val="16"/>
          <w:szCs w:val="16"/>
        </w:rPr>
        <w:t>)</w:t>
      </w:r>
    </w:p>
    <w:p w:rsidR="00000000" w:rsidRDefault="002D33E3">
      <w:pPr>
        <w:divId w:val="1184249851"/>
        <w:rPr>
          <w:rFonts w:eastAsia="Times New Roman"/>
        </w:rPr>
      </w:pPr>
      <w:r>
        <w:rPr>
          <w:rFonts w:eastAsia="Times New Roman"/>
          <w:sz w:val="16"/>
          <w:szCs w:val="16"/>
        </w:rPr>
        <w:t xml:space="preserve">Amounts relate to the change in fair value of the interest rate swap instrument and </w:t>
      </w:r>
      <w:r>
        <w:rPr>
          <w:rFonts w:eastAsia="Times New Roman"/>
          <w:sz w:val="16"/>
          <w:szCs w:val="16"/>
        </w:rPr>
        <w:t>the embedded derivative attached to the Series A-2 preferred stock.</w:t>
      </w:r>
      <w:r>
        <w:rPr>
          <w:rFonts w:eastAsia="Times New Roman"/>
          <w:sz w:val="16"/>
          <w:szCs w:val="16"/>
        </w:rPr>
        <w:t xml:space="preserve"> </w:t>
      </w:r>
    </w:p>
    <w:p w:rsidR="00000000" w:rsidRDefault="002D33E3">
      <w:pPr>
        <w:rPr>
          <w:rFonts w:eastAsia="Times New Roman"/>
        </w:rPr>
      </w:pPr>
      <w:r>
        <w:rPr>
          <w:rFonts w:eastAsia="Times New Roman"/>
          <w:sz w:val="16"/>
          <w:szCs w:val="16"/>
        </w:rPr>
        <w:t>(5</w:t>
      </w:r>
      <w:r>
        <w:rPr>
          <w:rFonts w:eastAsia="Times New Roman"/>
          <w:sz w:val="16"/>
          <w:szCs w:val="16"/>
        </w:rPr>
        <w:t>)</w:t>
      </w:r>
    </w:p>
    <w:p w:rsidR="00000000" w:rsidRDefault="002D33E3">
      <w:pPr>
        <w:divId w:val="707098441"/>
        <w:rPr>
          <w:rFonts w:eastAsia="Times New Roman"/>
        </w:rPr>
      </w:pPr>
      <w:r>
        <w:rPr>
          <w:rFonts w:eastAsia="Times New Roman"/>
          <w:sz w:val="16"/>
          <w:szCs w:val="16"/>
        </w:rPr>
        <w:t>Amounts represent non-capitalizable expenses associated with refinancing and amending our debt facilities.</w:t>
      </w:r>
      <w:r>
        <w:rPr>
          <w:rFonts w:eastAsia="Times New Roman"/>
          <w:sz w:val="16"/>
          <w:szCs w:val="16"/>
        </w:rPr>
        <w:t xml:space="preserve"> </w:t>
      </w:r>
    </w:p>
    <w:p w:rsidR="00000000" w:rsidRDefault="002D33E3">
      <w:pPr>
        <w:rPr>
          <w:rFonts w:eastAsia="Times New Roman"/>
        </w:rPr>
      </w:pPr>
      <w:r>
        <w:rPr>
          <w:rFonts w:eastAsia="Times New Roman"/>
          <w:sz w:val="16"/>
          <w:szCs w:val="16"/>
        </w:rPr>
        <w:t>(6</w:t>
      </w:r>
      <w:r>
        <w:rPr>
          <w:rFonts w:eastAsia="Times New Roman"/>
          <w:sz w:val="16"/>
          <w:szCs w:val="16"/>
        </w:rPr>
        <w:t>)</w:t>
      </w:r>
    </w:p>
    <w:p w:rsidR="00000000" w:rsidRDefault="002D33E3">
      <w:pPr>
        <w:divId w:val="1562594827"/>
        <w:rPr>
          <w:rFonts w:eastAsia="Times New Roman"/>
        </w:rPr>
      </w:pPr>
      <w:r>
        <w:rPr>
          <w:rFonts w:eastAsia="Times New Roman"/>
          <w:sz w:val="16"/>
          <w:szCs w:val="16"/>
        </w:rPr>
        <w:t>Reflects the difference between the expected settlement value of acquis</w:t>
      </w:r>
      <w:r>
        <w:rPr>
          <w:rFonts w:eastAsia="Times New Roman"/>
          <w:sz w:val="16"/>
          <w:szCs w:val="16"/>
        </w:rPr>
        <w:t>ition related earn-out payments at the time of the closing of acquisitions and the expected (or actual) value of earn-outs at the end of the relevant period.</w:t>
      </w:r>
      <w:r>
        <w:rPr>
          <w:rFonts w:eastAsia="Times New Roman"/>
          <w:sz w:val="16"/>
          <w:szCs w:val="16"/>
        </w:rPr>
        <w:t xml:space="preserve"> </w:t>
      </w:r>
    </w:p>
    <w:p w:rsidR="00000000" w:rsidRDefault="002D33E3">
      <w:pPr>
        <w:rPr>
          <w:rFonts w:eastAsia="Times New Roman"/>
        </w:rPr>
      </w:pPr>
      <w:r>
        <w:rPr>
          <w:rFonts w:eastAsia="Times New Roman"/>
          <w:sz w:val="16"/>
          <w:szCs w:val="16"/>
        </w:rPr>
        <w:t>(7</w:t>
      </w:r>
      <w:r>
        <w:rPr>
          <w:rFonts w:eastAsia="Times New Roman"/>
          <w:sz w:val="16"/>
          <w:szCs w:val="16"/>
        </w:rPr>
        <w:t>)</w:t>
      </w:r>
    </w:p>
    <w:p w:rsidR="00000000" w:rsidRDefault="002D33E3">
      <w:pPr>
        <w:divId w:val="767042874"/>
        <w:rPr>
          <w:rFonts w:eastAsia="Times New Roman"/>
        </w:rPr>
      </w:pPr>
      <w:r>
        <w:rPr>
          <w:rFonts w:eastAsia="Times New Roman"/>
          <w:sz w:val="16"/>
          <w:szCs w:val="16"/>
        </w:rPr>
        <w:t>In 2022, amounts include costs associated with the closing of a lab. In 2021, amounts include non-operational charges incurred due to the remeasurement of finance leases as a result of the adoption of ASC 842 and costs related to the implementation of a ne</w:t>
      </w:r>
      <w:r>
        <w:rPr>
          <w:rFonts w:eastAsia="Times New Roman"/>
          <w:sz w:val="16"/>
          <w:szCs w:val="16"/>
        </w:rPr>
        <w:t>w ERP</w:t>
      </w:r>
      <w:r>
        <w:rPr>
          <w:rFonts w:eastAsia="Times New Roman"/>
          <w:sz w:val="16"/>
          <w:szCs w:val="16"/>
        </w:rPr>
        <w:t>.</w:t>
      </w:r>
    </w:p>
    <w:p w:rsidR="00000000" w:rsidRDefault="002D33E3">
      <w:pPr>
        <w:pStyle w:val="a3"/>
        <w:spacing w:before="360" w:beforeAutospacing="0" w:after="0" w:afterAutospacing="0"/>
        <w:rPr>
          <w:sz w:val="20"/>
          <w:szCs w:val="20"/>
        </w:rPr>
      </w:pPr>
      <w:r>
        <w:rPr>
          <w:b/>
          <w:bCs/>
          <w:sz w:val="20"/>
          <w:szCs w:val="20"/>
        </w:rPr>
        <w:t>Item 3. Quantitative and Qualitat</w:t>
      </w:r>
      <w:r>
        <w:rPr>
          <w:b/>
          <w:bCs/>
          <w:sz w:val="20"/>
          <w:szCs w:val="20"/>
        </w:rPr>
        <w:t>i</w:t>
      </w:r>
      <w:r>
        <w:rPr>
          <w:b/>
          <w:bCs/>
          <w:sz w:val="20"/>
          <w:szCs w:val="20"/>
        </w:rPr>
        <w:t>ve Disclosures About Market Risk</w:t>
      </w:r>
      <w:r>
        <w:rPr>
          <w:b/>
          <w:bCs/>
          <w:sz w:val="20"/>
          <w:szCs w:val="20"/>
        </w:rPr>
        <w:t>.</w:t>
      </w:r>
    </w:p>
    <w:p w:rsidR="00000000" w:rsidRDefault="002D33E3">
      <w:pPr>
        <w:pStyle w:val="a3"/>
        <w:spacing w:before="120" w:beforeAutospacing="0" w:after="0" w:afterAutospacing="0"/>
        <w:rPr>
          <w:sz w:val="20"/>
          <w:szCs w:val="20"/>
        </w:rPr>
      </w:pPr>
      <w:r>
        <w:rPr>
          <w:b/>
          <w:bCs/>
          <w:i/>
          <w:iCs/>
          <w:sz w:val="20"/>
          <w:szCs w:val="20"/>
        </w:rPr>
        <w:t>Interest Rate Ris</w:t>
      </w:r>
      <w:r>
        <w:rPr>
          <w:b/>
          <w:bCs/>
          <w:i/>
          <w:iCs/>
          <w:sz w:val="20"/>
          <w:szCs w:val="20"/>
        </w:rPr>
        <w:t>k</w:t>
      </w:r>
    </w:p>
    <w:p w:rsidR="00000000" w:rsidRDefault="002D33E3">
      <w:pPr>
        <w:pStyle w:val="a3"/>
        <w:spacing w:before="120" w:beforeAutospacing="0" w:after="0" w:afterAutospacing="0"/>
        <w:ind w:firstLine="555"/>
        <w:rPr>
          <w:sz w:val="20"/>
          <w:szCs w:val="20"/>
        </w:rPr>
      </w:pPr>
      <w:r>
        <w:rPr>
          <w:sz w:val="20"/>
          <w:szCs w:val="20"/>
        </w:rPr>
        <w:t>We have market risk exposure arising from changes in interest rates on our credit facility, which bears interest at rates that are benchmarked subject to the Comp</w:t>
      </w:r>
      <w:r>
        <w:rPr>
          <w:sz w:val="20"/>
          <w:szCs w:val="20"/>
        </w:rPr>
        <w:t>any’s leverage ratio and LIBOR. Based on our overall interest rate exposure to variable rate debt outstanding as of March 31, 2022, which factors in our interest rate swap on $100.0 million of debt, a 1.0% increase in interest rates on the term loan and re</w:t>
      </w:r>
      <w:r>
        <w:rPr>
          <w:sz w:val="20"/>
          <w:szCs w:val="20"/>
        </w:rPr>
        <w:t>volver would increase annual income (loss) before income taxes by approximately $0.7 million</w:t>
      </w:r>
      <w:r>
        <w:rPr>
          <w:sz w:val="20"/>
          <w:szCs w:val="20"/>
        </w:rPr>
        <w:t>.</w:t>
      </w:r>
      <w:r>
        <w:rPr>
          <w:sz w:val="20"/>
          <w:szCs w:val="20"/>
        </w:rPr>
        <w:t xml:space="preserve"> Due to the LIBOR rate of 0.4% in effect at March 31, 2022, any decrease in LIBOR rates would have had a de minimis benefit to annual income (loss) before income t</w:t>
      </w:r>
      <w:r>
        <w:rPr>
          <w:sz w:val="20"/>
          <w:szCs w:val="20"/>
        </w:rPr>
        <w:t>axes</w:t>
      </w:r>
      <w:r>
        <w:rPr>
          <w:sz w:val="20"/>
          <w:szCs w:val="20"/>
        </w:rPr>
        <w:t>.</w:t>
      </w:r>
      <w:r>
        <w:t xml:space="preserve"> </w:t>
      </w:r>
    </w:p>
    <w:p w:rsidR="00000000" w:rsidRDefault="002D33E3">
      <w:pPr>
        <w:pStyle w:val="a3"/>
        <w:spacing w:before="240" w:beforeAutospacing="0" w:after="0" w:afterAutospacing="0"/>
        <w:rPr>
          <w:sz w:val="20"/>
          <w:szCs w:val="20"/>
        </w:rPr>
      </w:pPr>
      <w:r>
        <w:rPr>
          <w:b/>
          <w:bCs/>
          <w:i/>
          <w:iCs/>
          <w:sz w:val="20"/>
          <w:szCs w:val="20"/>
        </w:rPr>
        <w:t>Inflation Ris</w:t>
      </w:r>
      <w:r>
        <w:rPr>
          <w:b/>
          <w:bCs/>
          <w:i/>
          <w:iCs/>
          <w:sz w:val="20"/>
          <w:szCs w:val="20"/>
        </w:rPr>
        <w:t>k</w:t>
      </w:r>
    </w:p>
    <w:p w:rsidR="00000000" w:rsidRDefault="002D33E3">
      <w:pPr>
        <w:pStyle w:val="a3"/>
        <w:spacing w:before="120" w:beforeAutospacing="0" w:after="0" w:afterAutospacing="0"/>
        <w:ind w:firstLine="555"/>
        <w:rPr>
          <w:sz w:val="20"/>
          <w:szCs w:val="20"/>
        </w:rPr>
      </w:pPr>
      <w:r>
        <w:rPr>
          <w:sz w:val="20"/>
          <w:szCs w:val="20"/>
        </w:rPr>
        <w:t>We do not believe that inflation has had a material effect on our business, financial condition or results of operations. If our costs were to become subject to sign</w:t>
      </w:r>
      <w:r>
        <w:rPr>
          <w:sz w:val="20"/>
          <w:szCs w:val="20"/>
        </w:rPr>
        <w:t>i</w:t>
      </w:r>
      <w:r>
        <w:rPr>
          <w:sz w:val="20"/>
          <w:szCs w:val="20"/>
        </w:rPr>
        <w:t>ficant inflationary pressures, we may not be able to fully offset su</w:t>
      </w:r>
      <w:r>
        <w:rPr>
          <w:sz w:val="20"/>
          <w:szCs w:val="20"/>
        </w:rPr>
        <w:t>ch higher costs through price increases. Our inability or failure to do so could adversely affect our business, financial condition and results of operations</w:t>
      </w:r>
      <w:r>
        <w:rPr>
          <w:sz w:val="20"/>
          <w:szCs w:val="20"/>
        </w:rPr>
        <w:t>.</w:t>
      </w:r>
    </w:p>
    <w:p w:rsidR="00000000" w:rsidRDefault="002D33E3">
      <w:pPr>
        <w:pStyle w:val="a3"/>
        <w:spacing w:before="360" w:beforeAutospacing="0" w:after="0" w:afterAutospacing="0"/>
        <w:rPr>
          <w:sz w:val="20"/>
          <w:szCs w:val="20"/>
        </w:rPr>
      </w:pPr>
      <w:r>
        <w:rPr>
          <w:b/>
          <w:bCs/>
          <w:sz w:val="20"/>
          <w:szCs w:val="20"/>
        </w:rPr>
        <w:t>Item 4. Control</w:t>
      </w:r>
      <w:r>
        <w:rPr>
          <w:b/>
          <w:bCs/>
          <w:sz w:val="20"/>
          <w:szCs w:val="20"/>
        </w:rPr>
        <w:t>s</w:t>
      </w:r>
      <w:r>
        <w:rPr>
          <w:b/>
          <w:bCs/>
          <w:sz w:val="20"/>
          <w:szCs w:val="20"/>
        </w:rPr>
        <w:t xml:space="preserve"> and Procedures</w:t>
      </w:r>
      <w:r>
        <w:rPr>
          <w:b/>
          <w:bCs/>
          <w:sz w:val="20"/>
          <w:szCs w:val="20"/>
        </w:rPr>
        <w:t>.</w:t>
      </w:r>
    </w:p>
    <w:p w:rsidR="00000000" w:rsidRDefault="002D33E3">
      <w:pPr>
        <w:pStyle w:val="a3"/>
        <w:spacing w:before="120" w:beforeAutospacing="0" w:after="0" w:afterAutospacing="0"/>
        <w:rPr>
          <w:sz w:val="20"/>
          <w:szCs w:val="20"/>
        </w:rPr>
      </w:pPr>
      <w:r>
        <w:rPr>
          <w:b/>
          <w:bCs/>
          <w:sz w:val="20"/>
          <w:szCs w:val="20"/>
        </w:rPr>
        <w:t>Evaluation of Disclosure Controls and Procedure</w:t>
      </w:r>
      <w:r>
        <w:rPr>
          <w:b/>
          <w:bCs/>
          <w:sz w:val="20"/>
          <w:szCs w:val="20"/>
        </w:rPr>
        <w:t>s</w:t>
      </w:r>
    </w:p>
    <w:p w:rsidR="00000000" w:rsidRDefault="002D33E3">
      <w:pPr>
        <w:pStyle w:val="a3"/>
        <w:spacing w:before="120" w:beforeAutospacing="0" w:after="0" w:afterAutospacing="0"/>
        <w:ind w:firstLine="555"/>
        <w:rPr>
          <w:sz w:val="20"/>
          <w:szCs w:val="20"/>
        </w:rPr>
      </w:pPr>
      <w:r>
        <w:rPr>
          <w:sz w:val="20"/>
          <w:szCs w:val="20"/>
        </w:rPr>
        <w:t xml:space="preserve">As required by </w:t>
      </w:r>
      <w:r>
        <w:rPr>
          <w:sz w:val="20"/>
          <w:szCs w:val="20"/>
        </w:rPr>
        <w:t>Rule 13a-15(b) under the Exchange Act, our management, including our Chief Executive Officer and Chief Financial Officer, carried out an evaluation of the effectiveness of the design and operation of our disclosure controls and procedures (as defined in Ru</w:t>
      </w:r>
      <w:r>
        <w:rPr>
          <w:sz w:val="20"/>
          <w:szCs w:val="20"/>
        </w:rPr>
        <w:t>le 13a-15(e) under the Exchange Act), as of March 31, 2022, the end of the period covered by this Quarterly Report on Form 10-Q. Based on the foregoing, our Chief Executive Officer and Chief Financial Officer concluded that, as of March 31, 2022, the end o</w:t>
      </w:r>
      <w:r>
        <w:rPr>
          <w:sz w:val="20"/>
          <w:szCs w:val="20"/>
        </w:rPr>
        <w:t>f the period covered by this Quarterly Report on Form 10-Q, our disclosure controls and procedures were effective at the reasonable assurance level</w:t>
      </w:r>
      <w:r>
        <w:rPr>
          <w:sz w:val="20"/>
          <w:szCs w:val="20"/>
        </w:rPr>
        <w:t>.</w:t>
      </w:r>
    </w:p>
    <w:p w:rsidR="00000000" w:rsidRDefault="002D33E3">
      <w:pPr>
        <w:pStyle w:val="a3"/>
        <w:spacing w:before="360" w:beforeAutospacing="0" w:after="0" w:afterAutospacing="0"/>
        <w:rPr>
          <w:sz w:val="20"/>
          <w:szCs w:val="20"/>
        </w:rPr>
      </w:pPr>
      <w:r>
        <w:rPr>
          <w:b/>
          <w:bCs/>
          <w:sz w:val="20"/>
          <w:szCs w:val="20"/>
        </w:rPr>
        <w:t>Internal Control Over Financial Reportin</w:t>
      </w:r>
      <w:r>
        <w:rPr>
          <w:b/>
          <w:bCs/>
          <w:sz w:val="20"/>
          <w:szCs w:val="20"/>
        </w:rPr>
        <w:t>g</w:t>
      </w:r>
    </w:p>
    <w:p w:rsidR="00000000" w:rsidRDefault="002D33E3">
      <w:pPr>
        <w:pStyle w:val="a3"/>
        <w:spacing w:before="120" w:beforeAutospacing="0" w:after="0" w:afterAutospacing="0"/>
        <w:ind w:firstLine="555"/>
        <w:rPr>
          <w:sz w:val="20"/>
          <w:szCs w:val="20"/>
        </w:rPr>
      </w:pPr>
      <w:r>
        <w:rPr>
          <w:sz w:val="20"/>
          <w:szCs w:val="20"/>
        </w:rPr>
        <w:t>There were no changes in our internal control over financial repo</w:t>
      </w:r>
      <w:r>
        <w:rPr>
          <w:sz w:val="20"/>
          <w:szCs w:val="20"/>
        </w:rPr>
        <w:t>rting (as defined in Rule 13a-15(f) under the Exchange Act) that occurred during the quarter ended March 31, 2022, that have materially affected, or are reasonably likely to materially affect, our internal control over financial reporting</w:t>
      </w:r>
      <w:r>
        <w:rPr>
          <w:sz w:val="20"/>
          <w:szCs w:val="20"/>
        </w:rPr>
        <w:t>.</w:t>
      </w:r>
    </w:p>
    <w:p w:rsidR="00000000" w:rsidRDefault="002D33E3">
      <w:pPr>
        <w:pStyle w:val="a3"/>
        <w:spacing w:before="360" w:beforeAutospacing="0" w:after="0" w:afterAutospacing="0"/>
        <w:rPr>
          <w:sz w:val="20"/>
          <w:szCs w:val="20"/>
        </w:rPr>
      </w:pPr>
      <w:r>
        <w:rPr>
          <w:b/>
          <w:bCs/>
          <w:sz w:val="20"/>
          <w:szCs w:val="20"/>
        </w:rPr>
        <w:t>Limitations on E</w:t>
      </w:r>
      <w:r>
        <w:rPr>
          <w:b/>
          <w:bCs/>
          <w:sz w:val="20"/>
          <w:szCs w:val="20"/>
        </w:rPr>
        <w:t>ffectiveness of Control</w:t>
      </w:r>
      <w:r>
        <w:rPr>
          <w:b/>
          <w:bCs/>
          <w:sz w:val="20"/>
          <w:szCs w:val="20"/>
        </w:rPr>
        <w:t>s</w:t>
      </w:r>
    </w:p>
    <w:p w:rsidR="00000000" w:rsidRDefault="002D33E3">
      <w:pPr>
        <w:pStyle w:val="a3"/>
        <w:spacing w:before="120" w:beforeAutospacing="0" w:after="0" w:afterAutospacing="0"/>
        <w:ind w:firstLine="555"/>
        <w:rPr>
          <w:sz w:val="20"/>
          <w:szCs w:val="20"/>
        </w:rPr>
      </w:pPr>
      <w:r>
        <w:rPr>
          <w:sz w:val="20"/>
          <w:szCs w:val="20"/>
        </w:rPr>
        <w:t>Our management, including our Chief Executive Officer and Chief Financial Officer, does not expect that our disclosure controls and procedures or our system of internal control over financial reporting will prevent or detect all er</w:t>
      </w:r>
      <w:r>
        <w:rPr>
          <w:sz w:val="20"/>
          <w:szCs w:val="20"/>
        </w:rPr>
        <w:t>rors and all fraud. A control system, no matter how well designed or operated, can provide only reasonable, but not absolute, assurance that the objectives of the system of internal control are met. The design of our control system reflects the fact that t</w:t>
      </w:r>
      <w:r>
        <w:rPr>
          <w:sz w:val="20"/>
          <w:szCs w:val="20"/>
        </w:rPr>
        <w:t>here are resource constraints, and that the benefits of such control system must be considered relative to their costs. Further, because of the inherent limitations in all control systems, no evaluation of controls can provide absolute assurance that all c</w:t>
      </w:r>
      <w:r>
        <w:rPr>
          <w:sz w:val="20"/>
          <w:szCs w:val="20"/>
        </w:rPr>
        <w:t>ontrol failures and instances of fraud, if any, within the Company have been detected. These inherent limitations include the realities that judgments in decision-making can be faulty and that breakdowns can occur because of simple error or mistake. Additi</w:t>
      </w:r>
      <w:r>
        <w:rPr>
          <w:sz w:val="20"/>
          <w:szCs w:val="20"/>
        </w:rPr>
        <w:t>onally, controls can be circumvented by the intentional acts of individuals, by collusion of two or more people, or by management override of the controls. The design of any system of controls is also based in part on certain assumptions about the likeliho</w:t>
      </w:r>
      <w:r>
        <w:rPr>
          <w:sz w:val="20"/>
          <w:szCs w:val="20"/>
        </w:rPr>
        <w:t>od of future events, and there can be no assurance that the design of any particular control will always succeed in achieving its objective under all potential future conditions</w:t>
      </w:r>
      <w:r>
        <w:rPr>
          <w:sz w:val="20"/>
          <w:szCs w:val="20"/>
        </w:rPr>
        <w:t>.</w:t>
      </w:r>
    </w:p>
    <w:p w:rsidR="00000000" w:rsidRDefault="002D33E3">
      <w:pPr>
        <w:pStyle w:val="a3"/>
        <w:spacing w:before="240" w:beforeAutospacing="0" w:after="0" w:afterAutospacing="0"/>
        <w:jc w:val="center"/>
        <w:rPr>
          <w:sz w:val="20"/>
          <w:szCs w:val="20"/>
        </w:rPr>
      </w:pPr>
      <w:r>
        <w:rPr>
          <w:sz w:val="20"/>
          <w:szCs w:val="20"/>
        </w:rPr>
        <w:t>4</w:t>
      </w:r>
      <w:r>
        <w:rPr>
          <w:sz w:val="20"/>
          <w:szCs w:val="20"/>
        </w:rPr>
        <w:t>1</w:t>
      </w:r>
    </w:p>
    <w:p w:rsidR="00000000" w:rsidRDefault="002D33E3">
      <w:pPr>
        <w:rPr>
          <w:rFonts w:eastAsia="Times New Roman"/>
        </w:rPr>
      </w:pPr>
      <w:r>
        <w:rPr>
          <w:rFonts w:eastAsia="Times New Roman"/>
        </w:rPr>
        <w:pict>
          <v:rect id="_x0000_i1067"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jc w:val="center"/>
        <w:rPr>
          <w:sz w:val="20"/>
          <w:szCs w:val="20"/>
        </w:rPr>
      </w:pPr>
      <w:r>
        <w:rPr>
          <w:b/>
          <w:bCs/>
          <w:sz w:val="20"/>
          <w:szCs w:val="20"/>
        </w:rPr>
        <w:t>PART II—OTH</w:t>
      </w:r>
      <w:r>
        <w:rPr>
          <w:b/>
          <w:bCs/>
          <w:sz w:val="20"/>
          <w:szCs w:val="20"/>
        </w:rPr>
        <w:t>E</w:t>
      </w:r>
      <w:r>
        <w:rPr>
          <w:b/>
          <w:bCs/>
          <w:sz w:val="20"/>
          <w:szCs w:val="20"/>
        </w:rPr>
        <w:t>R INFORMATIO</w:t>
      </w:r>
      <w:r>
        <w:rPr>
          <w:b/>
          <w:bCs/>
          <w:sz w:val="20"/>
          <w:szCs w:val="20"/>
        </w:rPr>
        <w:t>N</w:t>
      </w:r>
    </w:p>
    <w:p w:rsidR="00000000" w:rsidRDefault="002D33E3">
      <w:pPr>
        <w:pStyle w:val="a3"/>
        <w:spacing w:before="240" w:beforeAutospacing="0" w:after="0" w:afterAutospacing="0"/>
        <w:rPr>
          <w:sz w:val="20"/>
          <w:szCs w:val="20"/>
        </w:rPr>
      </w:pPr>
      <w:r>
        <w:rPr>
          <w:b/>
          <w:bCs/>
          <w:sz w:val="20"/>
          <w:szCs w:val="20"/>
        </w:rPr>
        <w:t>Item 1. Legal</w:t>
      </w:r>
      <w:r>
        <w:rPr>
          <w:b/>
          <w:bCs/>
          <w:sz w:val="20"/>
          <w:szCs w:val="20"/>
        </w:rPr>
        <w:t xml:space="preserve"> </w:t>
      </w:r>
      <w:r>
        <w:rPr>
          <w:b/>
          <w:bCs/>
          <w:sz w:val="20"/>
          <w:szCs w:val="20"/>
        </w:rPr>
        <w:t>Proceedings</w:t>
      </w:r>
      <w:r>
        <w:rPr>
          <w:b/>
          <w:bCs/>
          <w:sz w:val="20"/>
          <w:szCs w:val="20"/>
        </w:rPr>
        <w:t>.</w:t>
      </w:r>
    </w:p>
    <w:p w:rsidR="00000000" w:rsidRDefault="002D33E3">
      <w:pPr>
        <w:pStyle w:val="a3"/>
        <w:spacing w:before="120" w:beforeAutospacing="0" w:after="0" w:afterAutospacing="0"/>
        <w:ind w:firstLine="555"/>
        <w:rPr>
          <w:sz w:val="20"/>
          <w:szCs w:val="20"/>
        </w:rPr>
      </w:pPr>
      <w:r>
        <w:rPr>
          <w:sz w:val="20"/>
          <w:szCs w:val="20"/>
        </w:rPr>
        <w:t>From time to time, we are subject to various legal proceedings that arise in the normal course of our business activities, including those involving labor and employ</w:t>
      </w:r>
      <w:r>
        <w:rPr>
          <w:sz w:val="20"/>
          <w:szCs w:val="20"/>
        </w:rPr>
        <w:t>ment, anti-discrimination, commercial disputes and other matters. We are not a party to any litigation the outcome of which, if determined adversely to us, would individually or in the aggregate be reasonably expected to have a material adverse effect on o</w:t>
      </w:r>
      <w:r>
        <w:rPr>
          <w:sz w:val="20"/>
          <w:szCs w:val="20"/>
        </w:rPr>
        <w:t>ur results of operations or financial position. Regardless of outcome, litigation can have an adverse impact on us because of defense and settlement costs, diversion of management resources and other factors</w:t>
      </w:r>
      <w:r>
        <w:rPr>
          <w:sz w:val="20"/>
          <w:szCs w:val="20"/>
        </w:rPr>
        <w:t>.</w:t>
      </w:r>
      <w:r>
        <w:rPr>
          <w:sz w:val="20"/>
          <w:szCs w:val="20"/>
        </w:rPr>
        <w:t xml:space="preserve"> </w:t>
      </w:r>
    </w:p>
    <w:p w:rsidR="00000000" w:rsidRDefault="002D33E3">
      <w:pPr>
        <w:pStyle w:val="a3"/>
        <w:spacing w:before="360" w:beforeAutospacing="0" w:after="0" w:afterAutospacing="0"/>
        <w:rPr>
          <w:sz w:val="20"/>
          <w:szCs w:val="20"/>
        </w:rPr>
      </w:pPr>
      <w:r>
        <w:rPr>
          <w:b/>
          <w:bCs/>
          <w:sz w:val="20"/>
          <w:szCs w:val="20"/>
        </w:rPr>
        <w:t>Item 1A. R</w:t>
      </w:r>
      <w:r>
        <w:rPr>
          <w:b/>
          <w:bCs/>
          <w:sz w:val="20"/>
          <w:szCs w:val="20"/>
        </w:rPr>
        <w:t>i</w:t>
      </w:r>
      <w:r>
        <w:rPr>
          <w:b/>
          <w:bCs/>
          <w:sz w:val="20"/>
          <w:szCs w:val="20"/>
        </w:rPr>
        <w:t>sk Factors</w:t>
      </w:r>
      <w:r>
        <w:rPr>
          <w:b/>
          <w:bCs/>
          <w:sz w:val="20"/>
          <w:szCs w:val="20"/>
        </w:rPr>
        <w:t>.</w:t>
      </w:r>
    </w:p>
    <w:p w:rsidR="00000000" w:rsidRDefault="002D33E3">
      <w:pPr>
        <w:pStyle w:val="a3"/>
        <w:spacing w:before="120" w:beforeAutospacing="0" w:after="0" w:afterAutospacing="0"/>
        <w:ind w:firstLine="555"/>
        <w:rPr>
          <w:sz w:val="20"/>
          <w:szCs w:val="20"/>
        </w:rPr>
      </w:pPr>
      <w:r>
        <w:rPr>
          <w:sz w:val="20"/>
          <w:szCs w:val="20"/>
        </w:rPr>
        <w:t>There have been no mate</w:t>
      </w:r>
      <w:r>
        <w:rPr>
          <w:sz w:val="20"/>
          <w:szCs w:val="20"/>
        </w:rPr>
        <w:t xml:space="preserve">rial changes to our risk factors from the risk factors disclosed in our 2021 Form 10-K. The risks described in our 2021 Form 10-K, in addition to the other information set forth in this Quarterly Report on Form 10-Q, are not the only risks facing we face. </w:t>
      </w:r>
      <w:r>
        <w:rPr>
          <w:sz w:val="20"/>
          <w:szCs w:val="20"/>
        </w:rPr>
        <w:t>Additional risks and uncertainties not currently known to us or that we currently deem to be immaterial also may materially adversely affect our business, financial condition and/or operating results</w:t>
      </w:r>
      <w:r>
        <w:rPr>
          <w:sz w:val="20"/>
          <w:szCs w:val="20"/>
        </w:rPr>
        <w:t>.</w:t>
      </w:r>
    </w:p>
    <w:p w:rsidR="00000000" w:rsidRDefault="002D33E3">
      <w:pPr>
        <w:pStyle w:val="a3"/>
        <w:spacing w:before="360" w:beforeAutospacing="0" w:after="0" w:afterAutospacing="0"/>
        <w:rPr>
          <w:sz w:val="20"/>
          <w:szCs w:val="20"/>
        </w:rPr>
      </w:pPr>
      <w:r>
        <w:rPr>
          <w:b/>
          <w:bCs/>
          <w:sz w:val="20"/>
          <w:szCs w:val="20"/>
        </w:rPr>
        <w:t>Item 2. Unregistered Sales of Equ</w:t>
      </w:r>
      <w:r>
        <w:rPr>
          <w:b/>
          <w:bCs/>
          <w:sz w:val="20"/>
          <w:szCs w:val="20"/>
        </w:rPr>
        <w:t>i</w:t>
      </w:r>
      <w:r>
        <w:rPr>
          <w:b/>
          <w:bCs/>
          <w:sz w:val="20"/>
          <w:szCs w:val="20"/>
        </w:rPr>
        <w:t>ty Securities and Use</w:t>
      </w:r>
      <w:r>
        <w:rPr>
          <w:b/>
          <w:bCs/>
          <w:sz w:val="20"/>
          <w:szCs w:val="20"/>
        </w:rPr>
        <w:t xml:space="preserve"> of Proceeds</w:t>
      </w:r>
      <w:r>
        <w:rPr>
          <w:b/>
          <w:bCs/>
          <w:sz w:val="20"/>
          <w:szCs w:val="20"/>
        </w:rPr>
        <w:t>.</w:t>
      </w:r>
    </w:p>
    <w:p w:rsidR="00000000" w:rsidRDefault="002D33E3">
      <w:pPr>
        <w:pStyle w:val="a3"/>
        <w:spacing w:before="120" w:beforeAutospacing="0" w:after="0" w:afterAutospacing="0"/>
        <w:ind w:firstLine="555"/>
        <w:rPr>
          <w:sz w:val="20"/>
          <w:szCs w:val="20"/>
        </w:rPr>
      </w:pPr>
      <w:r>
        <w:rPr>
          <w:sz w:val="20"/>
          <w:szCs w:val="20"/>
        </w:rPr>
        <w:t>None</w:t>
      </w:r>
      <w:r>
        <w:rPr>
          <w:sz w:val="20"/>
          <w:szCs w:val="20"/>
        </w:rPr>
        <w:t>.</w:t>
      </w:r>
    </w:p>
    <w:p w:rsidR="00000000" w:rsidRDefault="002D33E3">
      <w:pPr>
        <w:pStyle w:val="a3"/>
        <w:spacing w:before="360" w:beforeAutospacing="0" w:after="0" w:afterAutospacing="0"/>
        <w:rPr>
          <w:sz w:val="20"/>
          <w:szCs w:val="20"/>
        </w:rPr>
      </w:pPr>
      <w:r>
        <w:rPr>
          <w:b/>
          <w:bCs/>
          <w:sz w:val="20"/>
          <w:szCs w:val="20"/>
        </w:rPr>
        <w:t>Item 3. Defaults Up</w:t>
      </w:r>
      <w:r>
        <w:rPr>
          <w:b/>
          <w:bCs/>
          <w:sz w:val="20"/>
          <w:szCs w:val="20"/>
        </w:rPr>
        <w:t>o</w:t>
      </w:r>
      <w:r>
        <w:rPr>
          <w:b/>
          <w:bCs/>
          <w:sz w:val="20"/>
          <w:szCs w:val="20"/>
        </w:rPr>
        <w:t>n Senior Securities</w:t>
      </w:r>
      <w:r>
        <w:rPr>
          <w:b/>
          <w:bCs/>
          <w:sz w:val="20"/>
          <w:szCs w:val="20"/>
        </w:rPr>
        <w:t>.</w:t>
      </w:r>
    </w:p>
    <w:p w:rsidR="00000000" w:rsidRDefault="002D33E3">
      <w:pPr>
        <w:pStyle w:val="a3"/>
        <w:spacing w:before="120" w:beforeAutospacing="0" w:after="0" w:afterAutospacing="0"/>
        <w:ind w:firstLine="555"/>
        <w:rPr>
          <w:sz w:val="20"/>
          <w:szCs w:val="20"/>
        </w:rPr>
      </w:pPr>
      <w:r>
        <w:rPr>
          <w:sz w:val="20"/>
          <w:szCs w:val="20"/>
        </w:rPr>
        <w:t>None</w:t>
      </w:r>
      <w:r>
        <w:rPr>
          <w:sz w:val="20"/>
          <w:szCs w:val="20"/>
        </w:rPr>
        <w:t>.</w:t>
      </w:r>
    </w:p>
    <w:p w:rsidR="00000000" w:rsidRDefault="002D33E3">
      <w:pPr>
        <w:pStyle w:val="a3"/>
        <w:spacing w:before="360" w:beforeAutospacing="0" w:after="0" w:afterAutospacing="0"/>
        <w:rPr>
          <w:sz w:val="20"/>
          <w:szCs w:val="20"/>
        </w:rPr>
      </w:pPr>
      <w:r>
        <w:rPr>
          <w:b/>
          <w:bCs/>
          <w:sz w:val="20"/>
          <w:szCs w:val="20"/>
        </w:rPr>
        <w:t>Item 4. Mine Saf</w:t>
      </w:r>
      <w:r>
        <w:rPr>
          <w:b/>
          <w:bCs/>
          <w:sz w:val="20"/>
          <w:szCs w:val="20"/>
        </w:rPr>
        <w:t>e</w:t>
      </w:r>
      <w:r>
        <w:rPr>
          <w:b/>
          <w:bCs/>
          <w:sz w:val="20"/>
          <w:szCs w:val="20"/>
        </w:rPr>
        <w:t>ty Disclosures</w:t>
      </w:r>
      <w:r>
        <w:rPr>
          <w:b/>
          <w:bCs/>
          <w:sz w:val="20"/>
          <w:szCs w:val="20"/>
        </w:rPr>
        <w:t>.</w:t>
      </w:r>
    </w:p>
    <w:p w:rsidR="00000000" w:rsidRDefault="002D33E3">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2D33E3">
      <w:pPr>
        <w:pStyle w:val="a3"/>
        <w:spacing w:before="360" w:beforeAutospacing="0" w:after="0" w:afterAutospacing="0"/>
        <w:rPr>
          <w:sz w:val="20"/>
          <w:szCs w:val="20"/>
        </w:rPr>
      </w:pPr>
      <w:r>
        <w:rPr>
          <w:b/>
          <w:bCs/>
          <w:sz w:val="20"/>
          <w:szCs w:val="20"/>
        </w:rPr>
        <w:t>Item 5. Other</w:t>
      </w:r>
      <w:r>
        <w:rPr>
          <w:b/>
          <w:bCs/>
          <w:sz w:val="20"/>
          <w:szCs w:val="20"/>
        </w:rPr>
        <w:t xml:space="preserve"> </w:t>
      </w:r>
      <w:r>
        <w:rPr>
          <w:b/>
          <w:bCs/>
          <w:sz w:val="20"/>
          <w:szCs w:val="20"/>
        </w:rPr>
        <w:t>Information</w:t>
      </w:r>
      <w:r>
        <w:rPr>
          <w:b/>
          <w:bCs/>
          <w:sz w:val="20"/>
          <w:szCs w:val="20"/>
        </w:rPr>
        <w:t>.</w:t>
      </w:r>
    </w:p>
    <w:p w:rsidR="00000000" w:rsidRDefault="002D33E3">
      <w:pPr>
        <w:pStyle w:val="a3"/>
        <w:spacing w:before="120" w:beforeAutospacing="0" w:after="0" w:afterAutospacing="0"/>
        <w:ind w:firstLine="555"/>
        <w:rPr>
          <w:sz w:val="20"/>
          <w:szCs w:val="20"/>
        </w:rPr>
      </w:pPr>
      <w:r>
        <w:rPr>
          <w:sz w:val="20"/>
          <w:szCs w:val="20"/>
        </w:rPr>
        <w:t>None</w:t>
      </w:r>
      <w:r>
        <w:rPr>
          <w:sz w:val="20"/>
          <w:szCs w:val="20"/>
        </w:rPr>
        <w:t>.</w:t>
      </w:r>
    </w:p>
    <w:p w:rsidR="00000000" w:rsidRDefault="002D33E3">
      <w:pPr>
        <w:pStyle w:val="a3"/>
        <w:spacing w:before="240" w:beforeAutospacing="0" w:after="0" w:afterAutospacing="0"/>
        <w:jc w:val="center"/>
        <w:rPr>
          <w:sz w:val="20"/>
          <w:szCs w:val="20"/>
        </w:rPr>
      </w:pPr>
      <w:r>
        <w:rPr>
          <w:sz w:val="20"/>
          <w:szCs w:val="20"/>
        </w:rPr>
        <w:t>4</w:t>
      </w:r>
      <w:r>
        <w:rPr>
          <w:sz w:val="20"/>
          <w:szCs w:val="20"/>
        </w:rPr>
        <w:t>2</w:t>
      </w:r>
    </w:p>
    <w:p w:rsidR="00000000" w:rsidRDefault="002D33E3">
      <w:pPr>
        <w:rPr>
          <w:rFonts w:eastAsia="Times New Roman"/>
        </w:rPr>
      </w:pPr>
      <w:r>
        <w:rPr>
          <w:rFonts w:eastAsia="Times New Roman"/>
        </w:rPr>
        <w:pict>
          <v:rect id="_x0000_i1068"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360" w:beforeAutospacing="0" w:after="0" w:afterAutospacing="0"/>
        <w:rPr>
          <w:sz w:val="20"/>
          <w:szCs w:val="20"/>
        </w:rPr>
      </w:pPr>
      <w:r>
        <w:rPr>
          <w:b/>
          <w:bCs/>
          <w:sz w:val="20"/>
          <w:szCs w:val="20"/>
        </w:rPr>
        <w:t xml:space="preserve">Item 6. </w:t>
      </w:r>
      <w:r>
        <w:rPr>
          <w:b/>
          <w:bCs/>
          <w:sz w:val="20"/>
          <w:szCs w:val="20"/>
        </w:rPr>
        <w:t>E</w:t>
      </w:r>
      <w:r>
        <w:rPr>
          <w:b/>
          <w:bCs/>
          <w:sz w:val="20"/>
          <w:szCs w:val="20"/>
        </w:rPr>
        <w:t>xhibits</w:t>
      </w:r>
      <w:r>
        <w:rPr>
          <w:b/>
          <w:bCs/>
          <w:sz w:val="20"/>
          <w:szCs w:val="20"/>
        </w:rPr>
        <w:t>.</w:t>
      </w:r>
    </w:p>
    <w:p w:rsidR="00000000" w:rsidRDefault="002D33E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4"/>
        <w:gridCol w:w="109"/>
        <w:gridCol w:w="7273"/>
      </w:tblGrid>
      <w:tr w:rsidR="00000000">
        <w:trPr>
          <w:tblCellSpacing w:w="15" w:type="dxa"/>
        </w:trPr>
        <w:tc>
          <w:tcPr>
            <w:tcW w:w="450" w:type="pct"/>
            <w:vAlign w:val="center"/>
            <w:hideMark/>
          </w:tcPr>
          <w:p w:rsidR="00000000" w:rsidRDefault="002D33E3">
            <w:pPr>
              <w:rPr>
                <w:sz w:val="20"/>
                <w:szCs w:val="20"/>
              </w:rPr>
            </w:pPr>
          </w:p>
        </w:tc>
        <w:tc>
          <w:tcPr>
            <w:tcW w:w="50" w:type="pct"/>
            <w:vAlign w:val="center"/>
            <w:hideMark/>
          </w:tcPr>
          <w:p w:rsidR="00000000" w:rsidRDefault="002D33E3">
            <w:pPr>
              <w:rPr>
                <w:rFonts w:eastAsia="Times New Roman"/>
                <w:sz w:val="20"/>
                <w:szCs w:val="20"/>
              </w:rPr>
            </w:pPr>
          </w:p>
        </w:tc>
        <w:tc>
          <w:tcPr>
            <w:tcW w:w="4500" w:type="pct"/>
            <w:vAlign w:val="center"/>
            <w:hideMark/>
          </w:tcPr>
          <w:p w:rsidR="00000000" w:rsidRDefault="002D33E3">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2D33E3">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center"/>
              <w:rPr>
                <w:sz w:val="16"/>
                <w:szCs w:val="16"/>
              </w:rPr>
            </w:pPr>
            <w:r>
              <w:rPr>
                <w:b/>
                <w:bCs/>
                <w:sz w:val="16"/>
                <w:szCs w:val="16"/>
              </w:rPr>
              <w:t>Descriptio</w:t>
            </w:r>
            <w:r>
              <w:rPr>
                <w:b/>
                <w:bCs/>
                <w:sz w:val="16"/>
                <w:szCs w:val="16"/>
              </w:rPr>
              <w:t>n</w:t>
            </w:r>
          </w:p>
        </w:tc>
      </w:tr>
      <w:tr w:rsidR="00000000">
        <w:trPr>
          <w:trHeight w:val="120"/>
          <w:tblCellSpacing w:w="15" w:type="dxa"/>
        </w:trPr>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31.1</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hyperlink r:id="rId4" w:history="1">
              <w:r>
                <w:rPr>
                  <w:rStyle w:val="a4"/>
                  <w:sz w:val="20"/>
                  <w:szCs w:val="20"/>
                </w:rPr>
                <w:t>Certification of Principal Executive Officer Pursuant to Rules 13a-14(a) and 15d-14(a) under the Securities Exchange Act of 1934, as Adopted Pursuant to Section 302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31.2</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hyperlink r:id="rId5" w:history="1">
              <w:r>
                <w:rPr>
                  <w:rStyle w:val="a4"/>
                  <w:sz w:val="20"/>
                  <w:szCs w:val="20"/>
                </w:rPr>
                <w:t>Certification of Principal Financial Officer Pursuant to Rules 13a-14(a) and 15d-14(a) under the Securities Exchange Act of 1934, as Adopted Pursuant to Section 302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32.1*</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hyperlink r:id="rId6" w:history="1">
              <w:r>
                <w:rPr>
                  <w:rStyle w:val="a4"/>
                  <w:sz w:val="20"/>
                  <w:szCs w:val="20"/>
                </w:rPr>
                <w:t>Certification of Principal Executive Officer Pursuant to 18 U.S.C. Section 1350, as Adopted Pursuant to Section 906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32.2*</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hyperlink r:id="rId7" w:history="1">
              <w:r>
                <w:rPr>
                  <w:rStyle w:val="a4"/>
                  <w:sz w:val="20"/>
                  <w:szCs w:val="20"/>
                </w:rPr>
                <w:t xml:space="preserve">Certification of </w:t>
              </w:r>
              <w:r>
                <w:rPr>
                  <w:rStyle w:val="a4"/>
                  <w:sz w:val="20"/>
                  <w:szCs w:val="20"/>
                </w:rPr>
                <w:t>Principal Financial Officer Pursuant to 18 U.S.C. Section 1350, as Adopted Pursuant to Section 906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101.INS</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Inline XBRL Instance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101.SCH</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101.CAL</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101.DEF</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101.LAB</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101.PRE</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104</w:t>
            </w:r>
            <w:r>
              <w:rPr>
                <w:sz w:val="20"/>
                <w:szCs w:val="20"/>
              </w:rPr>
              <w:t>*</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Cover Page Interactive Data File – The cover page from the Company’s Quarterly Report on Form 10-Q for the quarter ended March 31, 2022 is formatted in Inline XBRL (included as Exhibit 101</w:t>
            </w:r>
            <w:r>
              <w:rPr>
                <w:sz w:val="20"/>
                <w:szCs w:val="20"/>
              </w:rPr>
              <w:t>)</w:t>
            </w:r>
          </w:p>
        </w:tc>
      </w:tr>
    </w:tbl>
    <w:p w:rsidR="00000000" w:rsidRDefault="002D33E3">
      <w:pPr>
        <w:pStyle w:val="a3"/>
        <w:pBdr>
          <w:bottom w:val="single" w:sz="4" w:space="1" w:color="auto"/>
        </w:pBdr>
        <w:spacing w:before="0" w:beforeAutospacing="0" w:after="0" w:afterAutospacing="0"/>
        <w:ind w:right="9167"/>
        <w:rPr>
          <w:sz w:val="20"/>
          <w:szCs w:val="20"/>
        </w:rPr>
      </w:pPr>
      <w:r>
        <w:rPr>
          <w:sz w:val="20"/>
          <w:szCs w:val="20"/>
        </w:rPr>
        <w:t> </w:t>
      </w:r>
    </w:p>
    <w:p w:rsidR="00000000" w:rsidRDefault="002D33E3">
      <w:pPr>
        <w:pStyle w:val="a3"/>
        <w:spacing w:before="40" w:beforeAutospacing="0" w:after="0" w:afterAutospacing="0"/>
        <w:rPr>
          <w:sz w:val="20"/>
          <w:szCs w:val="20"/>
        </w:rPr>
      </w:pPr>
      <w:r>
        <w:rPr>
          <w:sz w:val="16"/>
          <w:szCs w:val="16"/>
        </w:rPr>
        <w:t>* Filed herewith</w:t>
      </w:r>
      <w:r>
        <w:rPr>
          <w:sz w:val="16"/>
          <w:szCs w:val="16"/>
        </w:rPr>
        <w:t>.</w:t>
      </w:r>
    </w:p>
    <w:p w:rsidR="00000000" w:rsidRDefault="002D33E3">
      <w:pPr>
        <w:pStyle w:val="a3"/>
        <w:spacing w:before="0" w:beforeAutospacing="0" w:after="0" w:afterAutospacing="0"/>
        <w:rPr>
          <w:sz w:val="20"/>
          <w:szCs w:val="20"/>
        </w:rPr>
      </w:pPr>
      <w:r>
        <w:rPr>
          <w:sz w:val="16"/>
          <w:szCs w:val="16"/>
        </w:rPr>
        <w:t>** Exhibit is furnished and shall not be deem</w:t>
      </w:r>
      <w:r>
        <w:rPr>
          <w:sz w:val="16"/>
          <w:szCs w:val="16"/>
        </w:rPr>
        <w:t>ed “filed” for purposes of Section 18 of the Exchange Act, or otherwise subject to the liabilities of that section, nor shall it be deemed incorporated by reference in any filing under the Securities Act, or the Exchange Act, except as shall be expressly s</w:t>
      </w:r>
      <w:r>
        <w:rPr>
          <w:sz w:val="16"/>
          <w:szCs w:val="16"/>
        </w:rPr>
        <w:t>et forth by specific reference in such filing</w:t>
      </w:r>
      <w:r>
        <w:rPr>
          <w:sz w:val="16"/>
          <w:szCs w:val="16"/>
        </w:rPr>
        <w:t>.</w:t>
      </w:r>
    </w:p>
    <w:p w:rsidR="00000000" w:rsidRDefault="002D33E3">
      <w:pPr>
        <w:pStyle w:val="a3"/>
        <w:spacing w:before="40" w:beforeAutospacing="0" w:after="0" w:afterAutospacing="0"/>
        <w:ind w:hanging="581"/>
        <w:rPr>
          <w:sz w:val="20"/>
          <w:szCs w:val="20"/>
        </w:rPr>
      </w:pPr>
      <w:r>
        <w:rPr>
          <w:sz w:val="20"/>
          <w:szCs w:val="20"/>
        </w:rPr>
        <w:t> </w:t>
      </w:r>
    </w:p>
    <w:p w:rsidR="00000000" w:rsidRDefault="002D33E3">
      <w:pPr>
        <w:pStyle w:val="a3"/>
        <w:spacing w:before="240" w:beforeAutospacing="0" w:after="0" w:afterAutospacing="0"/>
        <w:jc w:val="center"/>
        <w:rPr>
          <w:sz w:val="20"/>
          <w:szCs w:val="20"/>
        </w:rPr>
      </w:pPr>
      <w:r>
        <w:rPr>
          <w:sz w:val="20"/>
          <w:szCs w:val="20"/>
        </w:rPr>
        <w:t>4</w:t>
      </w:r>
      <w:r>
        <w:rPr>
          <w:sz w:val="20"/>
          <w:szCs w:val="20"/>
        </w:rPr>
        <w:t>3</w:t>
      </w:r>
    </w:p>
    <w:p w:rsidR="00000000" w:rsidRDefault="002D33E3">
      <w:pPr>
        <w:rPr>
          <w:rFonts w:eastAsia="Times New Roman"/>
        </w:rPr>
      </w:pPr>
      <w:r>
        <w:rPr>
          <w:rFonts w:eastAsia="Times New Roman"/>
        </w:rPr>
        <w:pict>
          <v:rect id="_x0000_i1069" style="width:0;height:1.5pt" o:hralign="center" o:hrstd="t" o:hr="t" fillcolor="#a0a0a0" stroked="f"/>
        </w:pict>
      </w:r>
    </w:p>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0" w:beforeAutospacing="0" w:after="0" w:afterAutospacing="0"/>
        <w:jc w:val="center"/>
        <w:rPr>
          <w:sz w:val="20"/>
          <w:szCs w:val="20"/>
        </w:rPr>
      </w:pPr>
      <w:r>
        <w:rPr>
          <w:b/>
          <w:bCs/>
          <w:sz w:val="20"/>
          <w:szCs w:val="20"/>
        </w:rPr>
        <w:t>SIGN</w:t>
      </w:r>
      <w:r>
        <w:rPr>
          <w:b/>
          <w:bCs/>
          <w:sz w:val="20"/>
          <w:szCs w:val="20"/>
        </w:rPr>
        <w:t>A</w:t>
      </w:r>
      <w:r>
        <w:rPr>
          <w:b/>
          <w:bCs/>
          <w:sz w:val="20"/>
          <w:szCs w:val="20"/>
        </w:rPr>
        <w:t>TURE</w:t>
      </w:r>
      <w:r>
        <w:rPr>
          <w:b/>
          <w:bCs/>
          <w:sz w:val="20"/>
          <w:szCs w:val="20"/>
        </w:rPr>
        <w:t>S</w:t>
      </w:r>
    </w:p>
    <w:p w:rsidR="00000000" w:rsidRDefault="002D33E3">
      <w:pPr>
        <w:pStyle w:val="a3"/>
        <w:spacing w:before="240" w:beforeAutospacing="0" w:after="0" w:afterAutospacing="0"/>
        <w:ind w:firstLine="555"/>
        <w:rPr>
          <w:sz w:val="20"/>
          <w:szCs w:val="20"/>
        </w:rPr>
      </w:pPr>
      <w:r>
        <w:rPr>
          <w:sz w:val="20"/>
          <w:szCs w:val="20"/>
        </w:rPr>
        <w:t>Pursuant to the requirements of the Securities Exchange Act of 1934, the registrant has duly caused this report to be signed on its behalf by the undersign</w:t>
      </w:r>
      <w:r>
        <w:rPr>
          <w:sz w:val="20"/>
          <w:szCs w:val="20"/>
        </w:rPr>
        <w:t>ed thereunto duly authorized</w:t>
      </w:r>
      <w:r>
        <w:rPr>
          <w:sz w:val="20"/>
          <w:szCs w:val="20"/>
        </w:rPr>
        <w:t>.</w:t>
      </w:r>
    </w:p>
    <w:p w:rsidR="00000000" w:rsidRDefault="002D33E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5"/>
        <w:gridCol w:w="112"/>
        <w:gridCol w:w="356"/>
        <w:gridCol w:w="4123"/>
      </w:tblGrid>
      <w:tr w:rsidR="00000000">
        <w:trPr>
          <w:tblCellSpacing w:w="15" w:type="dxa"/>
        </w:trPr>
        <w:tc>
          <w:tcPr>
            <w:tcW w:w="2250" w:type="pct"/>
            <w:vAlign w:val="center"/>
            <w:hideMark/>
          </w:tcPr>
          <w:p w:rsidR="00000000" w:rsidRDefault="002D33E3">
            <w:pPr>
              <w:rPr>
                <w:sz w:val="20"/>
                <w:szCs w:val="20"/>
              </w:rPr>
            </w:pPr>
          </w:p>
        </w:tc>
        <w:tc>
          <w:tcPr>
            <w:tcW w:w="50" w:type="pct"/>
            <w:vAlign w:val="center"/>
            <w:hideMark/>
          </w:tcPr>
          <w:p w:rsidR="00000000" w:rsidRDefault="002D33E3">
            <w:pPr>
              <w:rPr>
                <w:rFonts w:eastAsia="Times New Roman"/>
                <w:sz w:val="20"/>
                <w:szCs w:val="20"/>
              </w:rPr>
            </w:pPr>
          </w:p>
        </w:tc>
        <w:tc>
          <w:tcPr>
            <w:tcW w:w="200" w:type="pct"/>
            <w:vAlign w:val="center"/>
            <w:hideMark/>
          </w:tcPr>
          <w:p w:rsidR="00000000" w:rsidRDefault="002D33E3">
            <w:pPr>
              <w:rPr>
                <w:rFonts w:eastAsia="Times New Roman"/>
                <w:sz w:val="20"/>
                <w:szCs w:val="20"/>
              </w:rPr>
            </w:pPr>
          </w:p>
        </w:tc>
        <w:tc>
          <w:tcPr>
            <w:tcW w:w="2500" w:type="pct"/>
            <w:vAlign w:val="center"/>
            <w:hideMark/>
          </w:tcPr>
          <w:p w:rsidR="00000000" w:rsidRDefault="002D33E3">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Montrose Environmental Group, Inc</w:t>
            </w:r>
            <w:r>
              <w:rPr>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Date: May 10, 202</w:t>
            </w:r>
            <w:r>
              <w:rPr>
                <w:sz w:val="20"/>
                <w:szCs w:val="20"/>
              </w:rPr>
              <w:t>2</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D33E3">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center"/>
              <w:rPr>
                <w:sz w:val="20"/>
                <w:szCs w:val="20"/>
              </w:rPr>
            </w:pPr>
            <w:r>
              <w:rPr>
                <w:sz w:val="20"/>
                <w:szCs w:val="20"/>
              </w:rPr>
              <w:t>/s/ Allan Dick</w:t>
            </w:r>
            <w:r>
              <w:rPr>
                <w:sz w:val="20"/>
                <w:szCs w:val="20"/>
              </w:rPr>
              <w:t>s</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center"/>
              <w:rPr>
                <w:sz w:val="20"/>
                <w:szCs w:val="20"/>
              </w:rPr>
            </w:pPr>
            <w:r>
              <w:rPr>
                <w:sz w:val="20"/>
                <w:szCs w:val="20"/>
              </w:rPr>
              <w:t>Allan Dick</w:t>
            </w:r>
            <w:r>
              <w:rPr>
                <w:sz w:val="20"/>
                <w:szCs w:val="20"/>
              </w:rPr>
              <w:t>s</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D33E3">
            <w:pPr>
              <w:pStyle w:val="a3"/>
              <w:spacing w:before="0" w:beforeAutospacing="0" w:after="0" w:afterAutospacing="0"/>
              <w:jc w:val="center"/>
              <w:rPr>
                <w:sz w:val="20"/>
                <w:szCs w:val="20"/>
              </w:rPr>
            </w:pPr>
            <w:r>
              <w:rPr>
                <w:sz w:val="20"/>
                <w:szCs w:val="20"/>
              </w:rPr>
              <w:t>Chief Financial Office</w:t>
            </w:r>
            <w:r>
              <w:rPr>
                <w:sz w:val="20"/>
                <w:szCs w:val="20"/>
              </w:rPr>
              <w:t>r</w:t>
            </w:r>
          </w:p>
        </w:tc>
      </w:tr>
    </w:tbl>
    <w:p w:rsidR="00000000" w:rsidRDefault="002D33E3">
      <w:pPr>
        <w:pStyle w:val="a3"/>
        <w:spacing w:before="0" w:beforeAutospacing="0" w:after="0" w:afterAutospacing="0"/>
        <w:rPr>
          <w:sz w:val="20"/>
          <w:szCs w:val="20"/>
        </w:rPr>
      </w:pPr>
      <w:r>
        <w:rPr>
          <w:sz w:val="20"/>
          <w:szCs w:val="20"/>
        </w:rPr>
        <w:t> </w:t>
      </w:r>
    </w:p>
    <w:p w:rsidR="00000000" w:rsidRDefault="002D33E3">
      <w:pPr>
        <w:pStyle w:val="a3"/>
        <w:spacing w:before="240" w:beforeAutospacing="0" w:after="0" w:afterAutospacing="0"/>
        <w:jc w:val="center"/>
        <w:rPr>
          <w:sz w:val="20"/>
          <w:szCs w:val="20"/>
        </w:rPr>
      </w:pPr>
      <w:r>
        <w:rPr>
          <w:sz w:val="20"/>
          <w:szCs w:val="20"/>
        </w:rPr>
        <w:t>4</w:t>
      </w:r>
      <w:r>
        <w:rPr>
          <w:sz w:val="20"/>
          <w:szCs w:val="20"/>
        </w:rPr>
        <w:t>4</w:t>
      </w:r>
    </w:p>
    <w:p w:rsidR="002D33E3" w:rsidRDefault="002D33E3">
      <w:pPr>
        <w:rPr>
          <w:rFonts w:eastAsia="Times New Roman"/>
        </w:rPr>
      </w:pPr>
      <w:r>
        <w:rPr>
          <w:rFonts w:eastAsia="Times New Roman"/>
        </w:rPr>
        <w:pict>
          <v:rect id="_x0000_i1070" style="width:0;height:1.5pt" o:hralign="center" o:hrstd="t" o:hr="t" fillcolor="#a0a0a0" stroked="f"/>
        </w:pict>
      </w:r>
    </w:p>
    <w:sectPr w:rsidR="002D33E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D33E3"/>
    <w:rsid w:val="002D33E3"/>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1q4"/>
  <w:attachedSchema w:val="http://fasb.org/us-gaap/2021-01-31"/>
  <w:attachedSchema w:val="http://www.xbrl.org/2003/iso4217"/>
  <w:attachedSchema w:val="http://xbrl.org/2020/extensible-enumerations-2.0"/>
  <w:attachedSchema w:val="http://www.xbrl.org/dtr/type/2020-01-21"/>
  <w:attachedSchema w:val="http://montrose-env.com/20220331"/>
  <w:attachedSchema w:val="http://fasb.org/srt/2021-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696">
      <w:marLeft w:val="4"/>
      <w:marRight w:val="0"/>
      <w:marTop w:val="120"/>
      <w:marBottom w:val="0"/>
      <w:divBdr>
        <w:top w:val="none" w:sz="0" w:space="0" w:color="auto"/>
        <w:left w:val="none" w:sz="0" w:space="0" w:color="auto"/>
        <w:bottom w:val="none" w:sz="0" w:space="0" w:color="auto"/>
        <w:right w:val="none" w:sz="0" w:space="0" w:color="auto"/>
      </w:divBdr>
      <w:divsChild>
        <w:div w:id="2088336119">
          <w:marLeft w:val="0"/>
          <w:marRight w:val="0"/>
          <w:marTop w:val="0"/>
          <w:marBottom w:val="0"/>
          <w:divBdr>
            <w:top w:val="none" w:sz="0" w:space="0" w:color="auto"/>
            <w:left w:val="none" w:sz="0" w:space="0" w:color="auto"/>
            <w:bottom w:val="none" w:sz="0" w:space="0" w:color="auto"/>
            <w:right w:val="none" w:sz="0" w:space="0" w:color="auto"/>
          </w:divBdr>
        </w:div>
      </w:divsChild>
    </w:div>
    <w:div w:id="59377261">
      <w:marLeft w:val="4"/>
      <w:marRight w:val="0"/>
      <w:marTop w:val="120"/>
      <w:marBottom w:val="0"/>
      <w:divBdr>
        <w:top w:val="none" w:sz="0" w:space="0" w:color="auto"/>
        <w:left w:val="none" w:sz="0" w:space="0" w:color="auto"/>
        <w:bottom w:val="none" w:sz="0" w:space="0" w:color="auto"/>
        <w:right w:val="none" w:sz="0" w:space="0" w:color="auto"/>
      </w:divBdr>
      <w:divsChild>
        <w:div w:id="1616790883">
          <w:marLeft w:val="0"/>
          <w:marRight w:val="0"/>
          <w:marTop w:val="0"/>
          <w:marBottom w:val="0"/>
          <w:divBdr>
            <w:top w:val="none" w:sz="0" w:space="0" w:color="auto"/>
            <w:left w:val="none" w:sz="0" w:space="0" w:color="auto"/>
            <w:bottom w:val="none" w:sz="0" w:space="0" w:color="auto"/>
            <w:right w:val="none" w:sz="0" w:space="0" w:color="auto"/>
          </w:divBdr>
        </w:div>
      </w:divsChild>
    </w:div>
    <w:div w:id="101844285">
      <w:marLeft w:val="0"/>
      <w:marRight w:val="0"/>
      <w:marTop w:val="0"/>
      <w:marBottom w:val="0"/>
      <w:divBdr>
        <w:top w:val="none" w:sz="0" w:space="0" w:color="auto"/>
        <w:left w:val="none" w:sz="0" w:space="0" w:color="auto"/>
        <w:bottom w:val="none" w:sz="0" w:space="0" w:color="auto"/>
        <w:right w:val="none" w:sz="0" w:space="0" w:color="auto"/>
      </w:divBdr>
      <w:divsChild>
        <w:div w:id="299728665">
          <w:marLeft w:val="0"/>
          <w:marRight w:val="0"/>
          <w:marTop w:val="0"/>
          <w:marBottom w:val="0"/>
          <w:divBdr>
            <w:top w:val="none" w:sz="0" w:space="0" w:color="auto"/>
            <w:left w:val="none" w:sz="0" w:space="0" w:color="auto"/>
            <w:bottom w:val="none" w:sz="0" w:space="0" w:color="auto"/>
            <w:right w:val="none" w:sz="0" w:space="0" w:color="auto"/>
          </w:divBdr>
        </w:div>
      </w:divsChild>
    </w:div>
    <w:div w:id="108670261">
      <w:marLeft w:val="0"/>
      <w:marRight w:val="0"/>
      <w:marTop w:val="0"/>
      <w:marBottom w:val="0"/>
      <w:divBdr>
        <w:top w:val="none" w:sz="0" w:space="0" w:color="auto"/>
        <w:left w:val="none" w:sz="0" w:space="0" w:color="auto"/>
        <w:bottom w:val="none" w:sz="0" w:space="0" w:color="auto"/>
        <w:right w:val="none" w:sz="0" w:space="0" w:color="auto"/>
      </w:divBdr>
      <w:divsChild>
        <w:div w:id="1133060112">
          <w:marLeft w:val="0"/>
          <w:marRight w:val="0"/>
          <w:marTop w:val="0"/>
          <w:marBottom w:val="0"/>
          <w:divBdr>
            <w:top w:val="none" w:sz="0" w:space="0" w:color="auto"/>
            <w:left w:val="none" w:sz="0" w:space="0" w:color="auto"/>
            <w:bottom w:val="none" w:sz="0" w:space="0" w:color="auto"/>
            <w:right w:val="none" w:sz="0" w:space="0" w:color="auto"/>
          </w:divBdr>
        </w:div>
      </w:divsChild>
    </w:div>
    <w:div w:id="276064283">
      <w:marLeft w:val="0"/>
      <w:marRight w:val="0"/>
      <w:marTop w:val="40"/>
      <w:marBottom w:val="0"/>
      <w:divBdr>
        <w:top w:val="none" w:sz="0" w:space="0" w:color="auto"/>
        <w:left w:val="none" w:sz="0" w:space="0" w:color="auto"/>
        <w:bottom w:val="none" w:sz="0" w:space="0" w:color="auto"/>
        <w:right w:val="none" w:sz="0" w:space="0" w:color="auto"/>
      </w:divBdr>
      <w:divsChild>
        <w:div w:id="316960176">
          <w:marLeft w:val="0"/>
          <w:marRight w:val="0"/>
          <w:marTop w:val="0"/>
          <w:marBottom w:val="0"/>
          <w:divBdr>
            <w:top w:val="none" w:sz="0" w:space="0" w:color="auto"/>
            <w:left w:val="none" w:sz="0" w:space="0" w:color="auto"/>
            <w:bottom w:val="none" w:sz="0" w:space="0" w:color="auto"/>
            <w:right w:val="none" w:sz="0" w:space="0" w:color="auto"/>
          </w:divBdr>
        </w:div>
      </w:divsChild>
    </w:div>
    <w:div w:id="291136991">
      <w:marLeft w:val="4"/>
      <w:marRight w:val="0"/>
      <w:marTop w:val="120"/>
      <w:marBottom w:val="0"/>
      <w:divBdr>
        <w:top w:val="none" w:sz="0" w:space="0" w:color="auto"/>
        <w:left w:val="none" w:sz="0" w:space="0" w:color="auto"/>
        <w:bottom w:val="none" w:sz="0" w:space="0" w:color="auto"/>
        <w:right w:val="none" w:sz="0" w:space="0" w:color="auto"/>
      </w:divBdr>
      <w:divsChild>
        <w:div w:id="2101246361">
          <w:marLeft w:val="0"/>
          <w:marRight w:val="0"/>
          <w:marTop w:val="0"/>
          <w:marBottom w:val="0"/>
          <w:divBdr>
            <w:top w:val="none" w:sz="0" w:space="0" w:color="auto"/>
            <w:left w:val="none" w:sz="0" w:space="0" w:color="auto"/>
            <w:bottom w:val="none" w:sz="0" w:space="0" w:color="auto"/>
            <w:right w:val="none" w:sz="0" w:space="0" w:color="auto"/>
          </w:divBdr>
        </w:div>
      </w:divsChild>
    </w:div>
    <w:div w:id="309402165">
      <w:marLeft w:val="4"/>
      <w:marRight w:val="0"/>
      <w:marTop w:val="120"/>
      <w:marBottom w:val="0"/>
      <w:divBdr>
        <w:top w:val="none" w:sz="0" w:space="0" w:color="auto"/>
        <w:left w:val="none" w:sz="0" w:space="0" w:color="auto"/>
        <w:bottom w:val="none" w:sz="0" w:space="0" w:color="auto"/>
        <w:right w:val="none" w:sz="0" w:space="0" w:color="auto"/>
      </w:divBdr>
      <w:divsChild>
        <w:div w:id="1958171207">
          <w:marLeft w:val="0"/>
          <w:marRight w:val="0"/>
          <w:marTop w:val="0"/>
          <w:marBottom w:val="0"/>
          <w:divBdr>
            <w:top w:val="none" w:sz="0" w:space="0" w:color="auto"/>
            <w:left w:val="none" w:sz="0" w:space="0" w:color="auto"/>
            <w:bottom w:val="none" w:sz="0" w:space="0" w:color="auto"/>
            <w:right w:val="none" w:sz="0" w:space="0" w:color="auto"/>
          </w:divBdr>
        </w:div>
      </w:divsChild>
    </w:div>
    <w:div w:id="350028948">
      <w:marLeft w:val="0"/>
      <w:marRight w:val="0"/>
      <w:marTop w:val="0"/>
      <w:marBottom w:val="0"/>
      <w:divBdr>
        <w:top w:val="none" w:sz="0" w:space="0" w:color="auto"/>
        <w:left w:val="none" w:sz="0" w:space="0" w:color="auto"/>
        <w:bottom w:val="none" w:sz="0" w:space="0" w:color="auto"/>
        <w:right w:val="none" w:sz="0" w:space="0" w:color="auto"/>
      </w:divBdr>
    </w:div>
    <w:div w:id="354766911">
      <w:marLeft w:val="4"/>
      <w:marRight w:val="0"/>
      <w:marTop w:val="120"/>
      <w:marBottom w:val="0"/>
      <w:divBdr>
        <w:top w:val="none" w:sz="0" w:space="0" w:color="auto"/>
        <w:left w:val="none" w:sz="0" w:space="0" w:color="auto"/>
        <w:bottom w:val="none" w:sz="0" w:space="0" w:color="auto"/>
        <w:right w:val="none" w:sz="0" w:space="0" w:color="auto"/>
      </w:divBdr>
      <w:divsChild>
        <w:div w:id="1433821481">
          <w:marLeft w:val="0"/>
          <w:marRight w:val="0"/>
          <w:marTop w:val="0"/>
          <w:marBottom w:val="0"/>
          <w:divBdr>
            <w:top w:val="none" w:sz="0" w:space="0" w:color="auto"/>
            <w:left w:val="none" w:sz="0" w:space="0" w:color="auto"/>
            <w:bottom w:val="none" w:sz="0" w:space="0" w:color="auto"/>
            <w:right w:val="none" w:sz="0" w:space="0" w:color="auto"/>
          </w:divBdr>
        </w:div>
      </w:divsChild>
    </w:div>
    <w:div w:id="380790705">
      <w:marLeft w:val="4"/>
      <w:marRight w:val="0"/>
      <w:marTop w:val="120"/>
      <w:marBottom w:val="0"/>
      <w:divBdr>
        <w:top w:val="none" w:sz="0" w:space="0" w:color="auto"/>
        <w:left w:val="none" w:sz="0" w:space="0" w:color="auto"/>
        <w:bottom w:val="none" w:sz="0" w:space="0" w:color="auto"/>
        <w:right w:val="none" w:sz="0" w:space="0" w:color="auto"/>
      </w:divBdr>
      <w:divsChild>
        <w:div w:id="261499057">
          <w:marLeft w:val="0"/>
          <w:marRight w:val="0"/>
          <w:marTop w:val="0"/>
          <w:marBottom w:val="0"/>
          <w:divBdr>
            <w:top w:val="none" w:sz="0" w:space="0" w:color="auto"/>
            <w:left w:val="none" w:sz="0" w:space="0" w:color="auto"/>
            <w:bottom w:val="none" w:sz="0" w:space="0" w:color="auto"/>
            <w:right w:val="none" w:sz="0" w:space="0" w:color="auto"/>
          </w:divBdr>
        </w:div>
      </w:divsChild>
    </w:div>
    <w:div w:id="405154466">
      <w:marLeft w:val="0"/>
      <w:marRight w:val="0"/>
      <w:marTop w:val="0"/>
      <w:marBottom w:val="0"/>
      <w:divBdr>
        <w:top w:val="none" w:sz="0" w:space="0" w:color="auto"/>
        <w:left w:val="none" w:sz="0" w:space="0" w:color="auto"/>
        <w:bottom w:val="none" w:sz="0" w:space="0" w:color="auto"/>
        <w:right w:val="none" w:sz="0" w:space="0" w:color="auto"/>
      </w:divBdr>
    </w:div>
    <w:div w:id="478302466">
      <w:marLeft w:val="4"/>
      <w:marRight w:val="0"/>
      <w:marTop w:val="120"/>
      <w:marBottom w:val="0"/>
      <w:divBdr>
        <w:top w:val="none" w:sz="0" w:space="0" w:color="auto"/>
        <w:left w:val="none" w:sz="0" w:space="0" w:color="auto"/>
        <w:bottom w:val="none" w:sz="0" w:space="0" w:color="auto"/>
        <w:right w:val="none" w:sz="0" w:space="0" w:color="auto"/>
      </w:divBdr>
      <w:divsChild>
        <w:div w:id="167251823">
          <w:marLeft w:val="0"/>
          <w:marRight w:val="0"/>
          <w:marTop w:val="0"/>
          <w:marBottom w:val="0"/>
          <w:divBdr>
            <w:top w:val="none" w:sz="0" w:space="0" w:color="auto"/>
            <w:left w:val="none" w:sz="0" w:space="0" w:color="auto"/>
            <w:bottom w:val="none" w:sz="0" w:space="0" w:color="auto"/>
            <w:right w:val="none" w:sz="0" w:space="0" w:color="auto"/>
          </w:divBdr>
        </w:div>
      </w:divsChild>
    </w:div>
    <w:div w:id="487675467">
      <w:marLeft w:val="3"/>
      <w:marRight w:val="0"/>
      <w:marTop w:val="40"/>
      <w:marBottom w:val="0"/>
      <w:divBdr>
        <w:top w:val="none" w:sz="0" w:space="0" w:color="auto"/>
        <w:left w:val="none" w:sz="0" w:space="0" w:color="auto"/>
        <w:bottom w:val="none" w:sz="0" w:space="0" w:color="auto"/>
        <w:right w:val="none" w:sz="0" w:space="0" w:color="auto"/>
      </w:divBdr>
      <w:divsChild>
        <w:div w:id="170918179">
          <w:marLeft w:val="0"/>
          <w:marRight w:val="0"/>
          <w:marTop w:val="0"/>
          <w:marBottom w:val="0"/>
          <w:divBdr>
            <w:top w:val="none" w:sz="0" w:space="0" w:color="auto"/>
            <w:left w:val="none" w:sz="0" w:space="0" w:color="auto"/>
            <w:bottom w:val="none" w:sz="0" w:space="0" w:color="auto"/>
            <w:right w:val="none" w:sz="0" w:space="0" w:color="auto"/>
          </w:divBdr>
        </w:div>
      </w:divsChild>
    </w:div>
    <w:div w:id="489560949">
      <w:marLeft w:val="4"/>
      <w:marRight w:val="0"/>
      <w:marTop w:val="120"/>
      <w:marBottom w:val="0"/>
      <w:divBdr>
        <w:top w:val="none" w:sz="0" w:space="0" w:color="auto"/>
        <w:left w:val="none" w:sz="0" w:space="0" w:color="auto"/>
        <w:bottom w:val="none" w:sz="0" w:space="0" w:color="auto"/>
        <w:right w:val="none" w:sz="0" w:space="0" w:color="auto"/>
      </w:divBdr>
      <w:divsChild>
        <w:div w:id="820925607">
          <w:marLeft w:val="0"/>
          <w:marRight w:val="0"/>
          <w:marTop w:val="0"/>
          <w:marBottom w:val="0"/>
          <w:divBdr>
            <w:top w:val="none" w:sz="0" w:space="0" w:color="auto"/>
            <w:left w:val="none" w:sz="0" w:space="0" w:color="auto"/>
            <w:bottom w:val="none" w:sz="0" w:space="0" w:color="auto"/>
            <w:right w:val="none" w:sz="0" w:space="0" w:color="auto"/>
          </w:divBdr>
        </w:div>
      </w:divsChild>
    </w:div>
    <w:div w:id="541405204">
      <w:marLeft w:val="0"/>
      <w:marRight w:val="0"/>
      <w:marTop w:val="0"/>
      <w:marBottom w:val="0"/>
      <w:divBdr>
        <w:top w:val="none" w:sz="0" w:space="0" w:color="auto"/>
        <w:left w:val="none" w:sz="0" w:space="0" w:color="auto"/>
        <w:bottom w:val="none" w:sz="0" w:space="0" w:color="auto"/>
        <w:right w:val="none" w:sz="0" w:space="0" w:color="auto"/>
      </w:divBdr>
      <w:divsChild>
        <w:div w:id="2041738016">
          <w:marLeft w:val="0"/>
          <w:marRight w:val="0"/>
          <w:marTop w:val="0"/>
          <w:marBottom w:val="0"/>
          <w:divBdr>
            <w:top w:val="none" w:sz="0" w:space="0" w:color="auto"/>
            <w:left w:val="none" w:sz="0" w:space="0" w:color="auto"/>
            <w:bottom w:val="none" w:sz="0" w:space="0" w:color="auto"/>
            <w:right w:val="none" w:sz="0" w:space="0" w:color="auto"/>
          </w:divBdr>
        </w:div>
        <w:div w:id="1300500180">
          <w:marLeft w:val="0"/>
          <w:marRight w:val="0"/>
          <w:marTop w:val="0"/>
          <w:marBottom w:val="0"/>
          <w:divBdr>
            <w:top w:val="none" w:sz="0" w:space="0" w:color="auto"/>
            <w:left w:val="none" w:sz="0" w:space="0" w:color="auto"/>
            <w:bottom w:val="none" w:sz="0" w:space="0" w:color="auto"/>
            <w:right w:val="none" w:sz="0" w:space="0" w:color="auto"/>
          </w:divBdr>
        </w:div>
        <w:div w:id="1502966931">
          <w:marLeft w:val="0"/>
          <w:marRight w:val="0"/>
          <w:marTop w:val="0"/>
          <w:marBottom w:val="0"/>
          <w:divBdr>
            <w:top w:val="none" w:sz="0" w:space="0" w:color="auto"/>
            <w:left w:val="none" w:sz="0" w:space="0" w:color="auto"/>
            <w:bottom w:val="none" w:sz="0" w:space="0" w:color="auto"/>
            <w:right w:val="none" w:sz="0" w:space="0" w:color="auto"/>
          </w:divBdr>
        </w:div>
        <w:div w:id="154497263">
          <w:marLeft w:val="0"/>
          <w:marRight w:val="0"/>
          <w:marTop w:val="0"/>
          <w:marBottom w:val="0"/>
          <w:divBdr>
            <w:top w:val="none" w:sz="0" w:space="0" w:color="auto"/>
            <w:left w:val="none" w:sz="0" w:space="0" w:color="auto"/>
            <w:bottom w:val="none" w:sz="0" w:space="0" w:color="auto"/>
            <w:right w:val="none" w:sz="0" w:space="0" w:color="auto"/>
          </w:divBdr>
        </w:div>
      </w:divsChild>
    </w:div>
    <w:div w:id="574046688">
      <w:marLeft w:val="4"/>
      <w:marRight w:val="0"/>
      <w:marTop w:val="120"/>
      <w:marBottom w:val="0"/>
      <w:divBdr>
        <w:top w:val="none" w:sz="0" w:space="0" w:color="auto"/>
        <w:left w:val="none" w:sz="0" w:space="0" w:color="auto"/>
        <w:bottom w:val="none" w:sz="0" w:space="0" w:color="auto"/>
        <w:right w:val="none" w:sz="0" w:space="0" w:color="auto"/>
      </w:divBdr>
      <w:divsChild>
        <w:div w:id="1952399442">
          <w:marLeft w:val="0"/>
          <w:marRight w:val="0"/>
          <w:marTop w:val="0"/>
          <w:marBottom w:val="0"/>
          <w:divBdr>
            <w:top w:val="none" w:sz="0" w:space="0" w:color="auto"/>
            <w:left w:val="none" w:sz="0" w:space="0" w:color="auto"/>
            <w:bottom w:val="none" w:sz="0" w:space="0" w:color="auto"/>
            <w:right w:val="none" w:sz="0" w:space="0" w:color="auto"/>
          </w:divBdr>
        </w:div>
      </w:divsChild>
    </w:div>
    <w:div w:id="601842392">
      <w:marLeft w:val="4"/>
      <w:marRight w:val="0"/>
      <w:marTop w:val="120"/>
      <w:marBottom w:val="0"/>
      <w:divBdr>
        <w:top w:val="none" w:sz="0" w:space="0" w:color="auto"/>
        <w:left w:val="none" w:sz="0" w:space="0" w:color="auto"/>
        <w:bottom w:val="none" w:sz="0" w:space="0" w:color="auto"/>
        <w:right w:val="none" w:sz="0" w:space="0" w:color="auto"/>
      </w:divBdr>
      <w:divsChild>
        <w:div w:id="842669853">
          <w:marLeft w:val="0"/>
          <w:marRight w:val="0"/>
          <w:marTop w:val="0"/>
          <w:marBottom w:val="0"/>
          <w:divBdr>
            <w:top w:val="none" w:sz="0" w:space="0" w:color="auto"/>
            <w:left w:val="none" w:sz="0" w:space="0" w:color="auto"/>
            <w:bottom w:val="none" w:sz="0" w:space="0" w:color="auto"/>
            <w:right w:val="none" w:sz="0" w:space="0" w:color="auto"/>
          </w:divBdr>
        </w:div>
      </w:divsChild>
    </w:div>
    <w:div w:id="667707975">
      <w:marLeft w:val="0"/>
      <w:marRight w:val="0"/>
      <w:marTop w:val="0"/>
      <w:marBottom w:val="0"/>
      <w:divBdr>
        <w:top w:val="none" w:sz="0" w:space="0" w:color="auto"/>
        <w:left w:val="none" w:sz="0" w:space="0" w:color="auto"/>
        <w:bottom w:val="none" w:sz="0" w:space="0" w:color="auto"/>
        <w:right w:val="none" w:sz="0" w:space="0" w:color="auto"/>
      </w:divBdr>
      <w:divsChild>
        <w:div w:id="984361134">
          <w:marLeft w:val="0"/>
          <w:marRight w:val="0"/>
          <w:marTop w:val="0"/>
          <w:marBottom w:val="0"/>
          <w:divBdr>
            <w:top w:val="none" w:sz="0" w:space="0" w:color="auto"/>
            <w:left w:val="none" w:sz="0" w:space="0" w:color="auto"/>
            <w:bottom w:val="none" w:sz="0" w:space="0" w:color="auto"/>
            <w:right w:val="none" w:sz="0" w:space="0" w:color="auto"/>
          </w:divBdr>
        </w:div>
      </w:divsChild>
    </w:div>
    <w:div w:id="668141492">
      <w:marLeft w:val="4"/>
      <w:marRight w:val="0"/>
      <w:marTop w:val="120"/>
      <w:marBottom w:val="0"/>
      <w:divBdr>
        <w:top w:val="none" w:sz="0" w:space="0" w:color="auto"/>
        <w:left w:val="none" w:sz="0" w:space="0" w:color="auto"/>
        <w:bottom w:val="none" w:sz="0" w:space="0" w:color="auto"/>
        <w:right w:val="none" w:sz="0" w:space="0" w:color="auto"/>
      </w:divBdr>
      <w:divsChild>
        <w:div w:id="69274432">
          <w:marLeft w:val="0"/>
          <w:marRight w:val="0"/>
          <w:marTop w:val="0"/>
          <w:marBottom w:val="0"/>
          <w:divBdr>
            <w:top w:val="none" w:sz="0" w:space="0" w:color="auto"/>
            <w:left w:val="none" w:sz="0" w:space="0" w:color="auto"/>
            <w:bottom w:val="none" w:sz="0" w:space="0" w:color="auto"/>
            <w:right w:val="none" w:sz="0" w:space="0" w:color="auto"/>
          </w:divBdr>
        </w:div>
      </w:divsChild>
    </w:div>
    <w:div w:id="686374600">
      <w:marLeft w:val="0"/>
      <w:marRight w:val="0"/>
      <w:marTop w:val="0"/>
      <w:marBottom w:val="0"/>
      <w:divBdr>
        <w:top w:val="none" w:sz="0" w:space="0" w:color="auto"/>
        <w:left w:val="none" w:sz="0" w:space="0" w:color="auto"/>
        <w:bottom w:val="none" w:sz="0" w:space="0" w:color="auto"/>
        <w:right w:val="none" w:sz="0" w:space="0" w:color="auto"/>
      </w:divBdr>
      <w:divsChild>
        <w:div w:id="613095487">
          <w:marLeft w:val="0"/>
          <w:marRight w:val="0"/>
          <w:marTop w:val="0"/>
          <w:marBottom w:val="0"/>
          <w:divBdr>
            <w:top w:val="none" w:sz="0" w:space="0" w:color="auto"/>
            <w:left w:val="none" w:sz="0" w:space="0" w:color="auto"/>
            <w:bottom w:val="none" w:sz="0" w:space="0" w:color="auto"/>
            <w:right w:val="none" w:sz="0" w:space="0" w:color="auto"/>
          </w:divBdr>
        </w:div>
      </w:divsChild>
    </w:div>
    <w:div w:id="707098441">
      <w:marLeft w:val="0"/>
      <w:marRight w:val="0"/>
      <w:marTop w:val="0"/>
      <w:marBottom w:val="0"/>
      <w:divBdr>
        <w:top w:val="none" w:sz="0" w:space="0" w:color="auto"/>
        <w:left w:val="none" w:sz="0" w:space="0" w:color="auto"/>
        <w:bottom w:val="none" w:sz="0" w:space="0" w:color="auto"/>
        <w:right w:val="none" w:sz="0" w:space="0" w:color="auto"/>
      </w:divBdr>
    </w:div>
    <w:div w:id="726925673">
      <w:marLeft w:val="0"/>
      <w:marRight w:val="0"/>
      <w:marTop w:val="0"/>
      <w:marBottom w:val="0"/>
      <w:divBdr>
        <w:top w:val="none" w:sz="0" w:space="0" w:color="auto"/>
        <w:left w:val="none" w:sz="0" w:space="0" w:color="auto"/>
        <w:bottom w:val="none" w:sz="0" w:space="0" w:color="auto"/>
        <w:right w:val="none" w:sz="0" w:space="0" w:color="auto"/>
      </w:divBdr>
      <w:divsChild>
        <w:div w:id="1496259200">
          <w:marLeft w:val="0"/>
          <w:marRight w:val="0"/>
          <w:marTop w:val="0"/>
          <w:marBottom w:val="0"/>
          <w:divBdr>
            <w:top w:val="none" w:sz="0" w:space="0" w:color="auto"/>
            <w:left w:val="none" w:sz="0" w:space="0" w:color="auto"/>
            <w:bottom w:val="none" w:sz="0" w:space="0" w:color="auto"/>
            <w:right w:val="none" w:sz="0" w:space="0" w:color="auto"/>
          </w:divBdr>
        </w:div>
      </w:divsChild>
    </w:div>
    <w:div w:id="760443629">
      <w:marLeft w:val="0"/>
      <w:marRight w:val="0"/>
      <w:marTop w:val="0"/>
      <w:marBottom w:val="0"/>
      <w:divBdr>
        <w:top w:val="none" w:sz="0" w:space="0" w:color="auto"/>
        <w:left w:val="none" w:sz="0" w:space="0" w:color="auto"/>
        <w:bottom w:val="none" w:sz="0" w:space="0" w:color="auto"/>
        <w:right w:val="none" w:sz="0" w:space="0" w:color="auto"/>
      </w:divBdr>
      <w:divsChild>
        <w:div w:id="422800870">
          <w:marLeft w:val="0"/>
          <w:marRight w:val="0"/>
          <w:marTop w:val="0"/>
          <w:marBottom w:val="0"/>
          <w:divBdr>
            <w:top w:val="none" w:sz="0" w:space="0" w:color="auto"/>
            <w:left w:val="none" w:sz="0" w:space="0" w:color="auto"/>
            <w:bottom w:val="none" w:sz="0" w:space="0" w:color="auto"/>
            <w:right w:val="none" w:sz="0" w:space="0" w:color="auto"/>
          </w:divBdr>
        </w:div>
      </w:divsChild>
    </w:div>
    <w:div w:id="767042874">
      <w:marLeft w:val="0"/>
      <w:marRight w:val="0"/>
      <w:marTop w:val="0"/>
      <w:marBottom w:val="0"/>
      <w:divBdr>
        <w:top w:val="none" w:sz="0" w:space="0" w:color="auto"/>
        <w:left w:val="none" w:sz="0" w:space="0" w:color="auto"/>
        <w:bottom w:val="none" w:sz="0" w:space="0" w:color="auto"/>
        <w:right w:val="none" w:sz="0" w:space="0" w:color="auto"/>
      </w:divBdr>
    </w:div>
    <w:div w:id="769741291">
      <w:marLeft w:val="4"/>
      <w:marRight w:val="0"/>
      <w:marTop w:val="120"/>
      <w:marBottom w:val="0"/>
      <w:divBdr>
        <w:top w:val="none" w:sz="0" w:space="0" w:color="auto"/>
        <w:left w:val="none" w:sz="0" w:space="0" w:color="auto"/>
        <w:bottom w:val="none" w:sz="0" w:space="0" w:color="auto"/>
        <w:right w:val="none" w:sz="0" w:space="0" w:color="auto"/>
      </w:divBdr>
      <w:divsChild>
        <w:div w:id="744573061">
          <w:marLeft w:val="0"/>
          <w:marRight w:val="0"/>
          <w:marTop w:val="0"/>
          <w:marBottom w:val="0"/>
          <w:divBdr>
            <w:top w:val="none" w:sz="0" w:space="0" w:color="auto"/>
            <w:left w:val="none" w:sz="0" w:space="0" w:color="auto"/>
            <w:bottom w:val="none" w:sz="0" w:space="0" w:color="auto"/>
            <w:right w:val="none" w:sz="0" w:space="0" w:color="auto"/>
          </w:divBdr>
        </w:div>
      </w:divsChild>
    </w:div>
    <w:div w:id="889220081">
      <w:marLeft w:val="0"/>
      <w:marRight w:val="0"/>
      <w:marTop w:val="0"/>
      <w:marBottom w:val="0"/>
      <w:divBdr>
        <w:top w:val="none" w:sz="0" w:space="0" w:color="auto"/>
        <w:left w:val="none" w:sz="0" w:space="0" w:color="auto"/>
        <w:bottom w:val="none" w:sz="0" w:space="0" w:color="auto"/>
        <w:right w:val="none" w:sz="0" w:space="0" w:color="auto"/>
      </w:divBdr>
      <w:divsChild>
        <w:div w:id="1221134032">
          <w:marLeft w:val="0"/>
          <w:marRight w:val="0"/>
          <w:marTop w:val="0"/>
          <w:marBottom w:val="0"/>
          <w:divBdr>
            <w:top w:val="none" w:sz="0" w:space="0" w:color="auto"/>
            <w:left w:val="none" w:sz="0" w:space="0" w:color="auto"/>
            <w:bottom w:val="none" w:sz="0" w:space="0" w:color="auto"/>
            <w:right w:val="none" w:sz="0" w:space="0" w:color="auto"/>
          </w:divBdr>
        </w:div>
        <w:div w:id="1294140684">
          <w:marLeft w:val="0"/>
          <w:marRight w:val="0"/>
          <w:marTop w:val="0"/>
          <w:marBottom w:val="0"/>
          <w:divBdr>
            <w:top w:val="none" w:sz="0" w:space="0" w:color="auto"/>
            <w:left w:val="none" w:sz="0" w:space="0" w:color="auto"/>
            <w:bottom w:val="none" w:sz="0" w:space="0" w:color="auto"/>
            <w:right w:val="none" w:sz="0" w:space="0" w:color="auto"/>
          </w:divBdr>
        </w:div>
        <w:div w:id="263002635">
          <w:marLeft w:val="0"/>
          <w:marRight w:val="0"/>
          <w:marTop w:val="0"/>
          <w:marBottom w:val="0"/>
          <w:divBdr>
            <w:top w:val="none" w:sz="0" w:space="0" w:color="auto"/>
            <w:left w:val="none" w:sz="0" w:space="0" w:color="auto"/>
            <w:bottom w:val="none" w:sz="0" w:space="0" w:color="auto"/>
            <w:right w:val="none" w:sz="0" w:space="0" w:color="auto"/>
          </w:divBdr>
          <w:divsChild>
            <w:div w:id="565070093">
              <w:marLeft w:val="0"/>
              <w:marRight w:val="0"/>
              <w:marTop w:val="40"/>
              <w:marBottom w:val="0"/>
              <w:divBdr>
                <w:top w:val="none" w:sz="0" w:space="0" w:color="auto"/>
                <w:left w:val="none" w:sz="0" w:space="0" w:color="auto"/>
                <w:bottom w:val="none" w:sz="0" w:space="0" w:color="auto"/>
                <w:right w:val="none" w:sz="0" w:space="0" w:color="auto"/>
              </w:divBdr>
              <w:divsChild>
                <w:div w:id="637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6414">
      <w:marLeft w:val="4"/>
      <w:marRight w:val="0"/>
      <w:marTop w:val="120"/>
      <w:marBottom w:val="0"/>
      <w:divBdr>
        <w:top w:val="none" w:sz="0" w:space="0" w:color="auto"/>
        <w:left w:val="none" w:sz="0" w:space="0" w:color="auto"/>
        <w:bottom w:val="none" w:sz="0" w:space="0" w:color="auto"/>
        <w:right w:val="none" w:sz="0" w:space="0" w:color="auto"/>
      </w:divBdr>
      <w:divsChild>
        <w:div w:id="1217661063">
          <w:marLeft w:val="0"/>
          <w:marRight w:val="0"/>
          <w:marTop w:val="0"/>
          <w:marBottom w:val="0"/>
          <w:divBdr>
            <w:top w:val="none" w:sz="0" w:space="0" w:color="auto"/>
            <w:left w:val="none" w:sz="0" w:space="0" w:color="auto"/>
            <w:bottom w:val="none" w:sz="0" w:space="0" w:color="auto"/>
            <w:right w:val="none" w:sz="0" w:space="0" w:color="auto"/>
          </w:divBdr>
        </w:div>
      </w:divsChild>
    </w:div>
    <w:div w:id="923958695">
      <w:marLeft w:val="4"/>
      <w:marRight w:val="0"/>
      <w:marTop w:val="120"/>
      <w:marBottom w:val="0"/>
      <w:divBdr>
        <w:top w:val="none" w:sz="0" w:space="0" w:color="auto"/>
        <w:left w:val="none" w:sz="0" w:space="0" w:color="auto"/>
        <w:bottom w:val="none" w:sz="0" w:space="0" w:color="auto"/>
        <w:right w:val="none" w:sz="0" w:space="0" w:color="auto"/>
      </w:divBdr>
      <w:divsChild>
        <w:div w:id="619380747">
          <w:marLeft w:val="0"/>
          <w:marRight w:val="0"/>
          <w:marTop w:val="0"/>
          <w:marBottom w:val="0"/>
          <w:divBdr>
            <w:top w:val="none" w:sz="0" w:space="0" w:color="auto"/>
            <w:left w:val="none" w:sz="0" w:space="0" w:color="auto"/>
            <w:bottom w:val="none" w:sz="0" w:space="0" w:color="auto"/>
            <w:right w:val="none" w:sz="0" w:space="0" w:color="auto"/>
          </w:divBdr>
        </w:div>
      </w:divsChild>
    </w:div>
    <w:div w:id="934359949">
      <w:marLeft w:val="4"/>
      <w:marRight w:val="0"/>
      <w:marTop w:val="120"/>
      <w:marBottom w:val="0"/>
      <w:divBdr>
        <w:top w:val="none" w:sz="0" w:space="0" w:color="auto"/>
        <w:left w:val="none" w:sz="0" w:space="0" w:color="auto"/>
        <w:bottom w:val="none" w:sz="0" w:space="0" w:color="auto"/>
        <w:right w:val="none" w:sz="0" w:space="0" w:color="auto"/>
      </w:divBdr>
      <w:divsChild>
        <w:div w:id="2084060189">
          <w:marLeft w:val="0"/>
          <w:marRight w:val="0"/>
          <w:marTop w:val="0"/>
          <w:marBottom w:val="0"/>
          <w:divBdr>
            <w:top w:val="none" w:sz="0" w:space="0" w:color="auto"/>
            <w:left w:val="none" w:sz="0" w:space="0" w:color="auto"/>
            <w:bottom w:val="none" w:sz="0" w:space="0" w:color="auto"/>
            <w:right w:val="none" w:sz="0" w:space="0" w:color="auto"/>
          </w:divBdr>
        </w:div>
      </w:divsChild>
    </w:div>
    <w:div w:id="1050804254">
      <w:marLeft w:val="4"/>
      <w:marRight w:val="0"/>
      <w:marTop w:val="120"/>
      <w:marBottom w:val="0"/>
      <w:divBdr>
        <w:top w:val="none" w:sz="0" w:space="0" w:color="auto"/>
        <w:left w:val="none" w:sz="0" w:space="0" w:color="auto"/>
        <w:bottom w:val="none" w:sz="0" w:space="0" w:color="auto"/>
        <w:right w:val="none" w:sz="0" w:space="0" w:color="auto"/>
      </w:divBdr>
      <w:divsChild>
        <w:div w:id="1655446902">
          <w:marLeft w:val="0"/>
          <w:marRight w:val="0"/>
          <w:marTop w:val="0"/>
          <w:marBottom w:val="0"/>
          <w:divBdr>
            <w:top w:val="none" w:sz="0" w:space="0" w:color="auto"/>
            <w:left w:val="none" w:sz="0" w:space="0" w:color="auto"/>
            <w:bottom w:val="none" w:sz="0" w:space="0" w:color="auto"/>
            <w:right w:val="none" w:sz="0" w:space="0" w:color="auto"/>
          </w:divBdr>
        </w:div>
      </w:divsChild>
    </w:div>
    <w:div w:id="1056047316">
      <w:marLeft w:val="0"/>
      <w:marRight w:val="0"/>
      <w:marTop w:val="0"/>
      <w:marBottom w:val="0"/>
      <w:divBdr>
        <w:top w:val="none" w:sz="0" w:space="0" w:color="auto"/>
        <w:left w:val="none" w:sz="0" w:space="0" w:color="auto"/>
        <w:bottom w:val="none" w:sz="0" w:space="0" w:color="auto"/>
        <w:right w:val="none" w:sz="0" w:space="0" w:color="auto"/>
      </w:divBdr>
      <w:divsChild>
        <w:div w:id="360010466">
          <w:marLeft w:val="0"/>
          <w:marRight w:val="0"/>
          <w:marTop w:val="0"/>
          <w:marBottom w:val="0"/>
          <w:divBdr>
            <w:top w:val="none" w:sz="0" w:space="0" w:color="auto"/>
            <w:left w:val="none" w:sz="0" w:space="0" w:color="auto"/>
            <w:bottom w:val="none" w:sz="0" w:space="0" w:color="auto"/>
            <w:right w:val="none" w:sz="0" w:space="0" w:color="auto"/>
          </w:divBdr>
        </w:div>
      </w:divsChild>
    </w:div>
    <w:div w:id="1069772286">
      <w:marLeft w:val="0"/>
      <w:marRight w:val="0"/>
      <w:marTop w:val="0"/>
      <w:marBottom w:val="0"/>
      <w:divBdr>
        <w:top w:val="none" w:sz="0" w:space="0" w:color="auto"/>
        <w:left w:val="none" w:sz="0" w:space="0" w:color="auto"/>
        <w:bottom w:val="none" w:sz="0" w:space="0" w:color="auto"/>
        <w:right w:val="none" w:sz="0" w:space="0" w:color="auto"/>
      </w:divBdr>
      <w:divsChild>
        <w:div w:id="1504784543">
          <w:marLeft w:val="0"/>
          <w:marRight w:val="0"/>
          <w:marTop w:val="0"/>
          <w:marBottom w:val="0"/>
          <w:divBdr>
            <w:top w:val="none" w:sz="0" w:space="0" w:color="auto"/>
            <w:left w:val="none" w:sz="0" w:space="0" w:color="auto"/>
            <w:bottom w:val="none" w:sz="0" w:space="0" w:color="auto"/>
            <w:right w:val="none" w:sz="0" w:space="0" w:color="auto"/>
          </w:divBdr>
        </w:div>
        <w:div w:id="308440233">
          <w:marLeft w:val="0"/>
          <w:marRight w:val="0"/>
          <w:marTop w:val="0"/>
          <w:marBottom w:val="0"/>
          <w:divBdr>
            <w:top w:val="none" w:sz="0" w:space="0" w:color="auto"/>
            <w:left w:val="none" w:sz="0" w:space="0" w:color="auto"/>
            <w:bottom w:val="none" w:sz="0" w:space="0" w:color="auto"/>
            <w:right w:val="none" w:sz="0" w:space="0" w:color="auto"/>
          </w:divBdr>
        </w:div>
      </w:divsChild>
    </w:div>
    <w:div w:id="1088305971">
      <w:marLeft w:val="3"/>
      <w:marRight w:val="0"/>
      <w:marTop w:val="40"/>
      <w:marBottom w:val="0"/>
      <w:divBdr>
        <w:top w:val="none" w:sz="0" w:space="0" w:color="auto"/>
        <w:left w:val="none" w:sz="0" w:space="0" w:color="auto"/>
        <w:bottom w:val="none" w:sz="0" w:space="0" w:color="auto"/>
        <w:right w:val="none" w:sz="0" w:space="0" w:color="auto"/>
      </w:divBdr>
      <w:divsChild>
        <w:div w:id="678700900">
          <w:marLeft w:val="0"/>
          <w:marRight w:val="0"/>
          <w:marTop w:val="0"/>
          <w:marBottom w:val="0"/>
          <w:divBdr>
            <w:top w:val="none" w:sz="0" w:space="0" w:color="auto"/>
            <w:left w:val="none" w:sz="0" w:space="0" w:color="auto"/>
            <w:bottom w:val="none" w:sz="0" w:space="0" w:color="auto"/>
            <w:right w:val="none" w:sz="0" w:space="0" w:color="auto"/>
          </w:divBdr>
        </w:div>
      </w:divsChild>
    </w:div>
    <w:div w:id="1089037648">
      <w:marLeft w:val="4"/>
      <w:marRight w:val="0"/>
      <w:marTop w:val="120"/>
      <w:marBottom w:val="0"/>
      <w:divBdr>
        <w:top w:val="none" w:sz="0" w:space="0" w:color="auto"/>
        <w:left w:val="none" w:sz="0" w:space="0" w:color="auto"/>
        <w:bottom w:val="none" w:sz="0" w:space="0" w:color="auto"/>
        <w:right w:val="none" w:sz="0" w:space="0" w:color="auto"/>
      </w:divBdr>
      <w:divsChild>
        <w:div w:id="1840805624">
          <w:marLeft w:val="0"/>
          <w:marRight w:val="0"/>
          <w:marTop w:val="0"/>
          <w:marBottom w:val="0"/>
          <w:divBdr>
            <w:top w:val="none" w:sz="0" w:space="0" w:color="auto"/>
            <w:left w:val="none" w:sz="0" w:space="0" w:color="auto"/>
            <w:bottom w:val="none" w:sz="0" w:space="0" w:color="auto"/>
            <w:right w:val="none" w:sz="0" w:space="0" w:color="auto"/>
          </w:divBdr>
        </w:div>
      </w:divsChild>
    </w:div>
    <w:div w:id="1173372682">
      <w:marLeft w:val="4"/>
      <w:marRight w:val="0"/>
      <w:marTop w:val="120"/>
      <w:marBottom w:val="0"/>
      <w:divBdr>
        <w:top w:val="none" w:sz="0" w:space="0" w:color="auto"/>
        <w:left w:val="none" w:sz="0" w:space="0" w:color="auto"/>
        <w:bottom w:val="none" w:sz="0" w:space="0" w:color="auto"/>
        <w:right w:val="none" w:sz="0" w:space="0" w:color="auto"/>
      </w:divBdr>
      <w:divsChild>
        <w:div w:id="1119493094">
          <w:marLeft w:val="0"/>
          <w:marRight w:val="0"/>
          <w:marTop w:val="0"/>
          <w:marBottom w:val="0"/>
          <w:divBdr>
            <w:top w:val="none" w:sz="0" w:space="0" w:color="auto"/>
            <w:left w:val="none" w:sz="0" w:space="0" w:color="auto"/>
            <w:bottom w:val="none" w:sz="0" w:space="0" w:color="auto"/>
            <w:right w:val="none" w:sz="0" w:space="0" w:color="auto"/>
          </w:divBdr>
        </w:div>
      </w:divsChild>
    </w:div>
    <w:div w:id="1184249851">
      <w:marLeft w:val="0"/>
      <w:marRight w:val="0"/>
      <w:marTop w:val="0"/>
      <w:marBottom w:val="0"/>
      <w:divBdr>
        <w:top w:val="none" w:sz="0" w:space="0" w:color="auto"/>
        <w:left w:val="none" w:sz="0" w:space="0" w:color="auto"/>
        <w:bottom w:val="none" w:sz="0" w:space="0" w:color="auto"/>
        <w:right w:val="none" w:sz="0" w:space="0" w:color="auto"/>
      </w:divBdr>
    </w:div>
    <w:div w:id="1338925291">
      <w:marLeft w:val="0"/>
      <w:marRight w:val="0"/>
      <w:marTop w:val="0"/>
      <w:marBottom w:val="0"/>
      <w:divBdr>
        <w:top w:val="none" w:sz="0" w:space="0" w:color="auto"/>
        <w:left w:val="none" w:sz="0" w:space="0" w:color="auto"/>
        <w:bottom w:val="none" w:sz="0" w:space="0" w:color="auto"/>
        <w:right w:val="none" w:sz="0" w:space="0" w:color="auto"/>
      </w:divBdr>
      <w:divsChild>
        <w:div w:id="160705154">
          <w:marLeft w:val="0"/>
          <w:marRight w:val="0"/>
          <w:marTop w:val="0"/>
          <w:marBottom w:val="0"/>
          <w:divBdr>
            <w:top w:val="none" w:sz="0" w:space="0" w:color="auto"/>
            <w:left w:val="none" w:sz="0" w:space="0" w:color="auto"/>
            <w:bottom w:val="none" w:sz="0" w:space="0" w:color="auto"/>
            <w:right w:val="none" w:sz="0" w:space="0" w:color="auto"/>
          </w:divBdr>
        </w:div>
        <w:div w:id="1819565693">
          <w:marLeft w:val="0"/>
          <w:marRight w:val="0"/>
          <w:marTop w:val="0"/>
          <w:marBottom w:val="0"/>
          <w:divBdr>
            <w:top w:val="none" w:sz="0" w:space="0" w:color="auto"/>
            <w:left w:val="none" w:sz="0" w:space="0" w:color="auto"/>
            <w:bottom w:val="none" w:sz="0" w:space="0" w:color="auto"/>
            <w:right w:val="none" w:sz="0" w:space="0" w:color="auto"/>
          </w:divBdr>
        </w:div>
        <w:div w:id="308749099">
          <w:marLeft w:val="0"/>
          <w:marRight w:val="0"/>
          <w:marTop w:val="0"/>
          <w:marBottom w:val="0"/>
          <w:divBdr>
            <w:top w:val="none" w:sz="0" w:space="0" w:color="auto"/>
            <w:left w:val="none" w:sz="0" w:space="0" w:color="auto"/>
            <w:bottom w:val="none" w:sz="0" w:space="0" w:color="auto"/>
            <w:right w:val="none" w:sz="0" w:space="0" w:color="auto"/>
          </w:divBdr>
        </w:div>
        <w:div w:id="352653011">
          <w:marLeft w:val="0"/>
          <w:marRight w:val="0"/>
          <w:marTop w:val="0"/>
          <w:marBottom w:val="0"/>
          <w:divBdr>
            <w:top w:val="none" w:sz="0" w:space="0" w:color="auto"/>
            <w:left w:val="none" w:sz="0" w:space="0" w:color="auto"/>
            <w:bottom w:val="none" w:sz="0" w:space="0" w:color="auto"/>
            <w:right w:val="none" w:sz="0" w:space="0" w:color="auto"/>
          </w:divBdr>
        </w:div>
        <w:div w:id="341973214">
          <w:marLeft w:val="0"/>
          <w:marRight w:val="0"/>
          <w:marTop w:val="0"/>
          <w:marBottom w:val="0"/>
          <w:divBdr>
            <w:top w:val="none" w:sz="0" w:space="0" w:color="auto"/>
            <w:left w:val="none" w:sz="0" w:space="0" w:color="auto"/>
            <w:bottom w:val="none" w:sz="0" w:space="0" w:color="auto"/>
            <w:right w:val="none" w:sz="0" w:space="0" w:color="auto"/>
          </w:divBdr>
        </w:div>
        <w:div w:id="1977299465">
          <w:marLeft w:val="0"/>
          <w:marRight w:val="0"/>
          <w:marTop w:val="0"/>
          <w:marBottom w:val="0"/>
          <w:divBdr>
            <w:top w:val="none" w:sz="0" w:space="0" w:color="auto"/>
            <w:left w:val="none" w:sz="0" w:space="0" w:color="auto"/>
            <w:bottom w:val="none" w:sz="0" w:space="0" w:color="auto"/>
            <w:right w:val="none" w:sz="0" w:space="0" w:color="auto"/>
          </w:divBdr>
        </w:div>
        <w:div w:id="472411325">
          <w:marLeft w:val="0"/>
          <w:marRight w:val="0"/>
          <w:marTop w:val="0"/>
          <w:marBottom w:val="0"/>
          <w:divBdr>
            <w:top w:val="none" w:sz="0" w:space="0" w:color="auto"/>
            <w:left w:val="none" w:sz="0" w:space="0" w:color="auto"/>
            <w:bottom w:val="none" w:sz="0" w:space="0" w:color="auto"/>
            <w:right w:val="none" w:sz="0" w:space="0" w:color="auto"/>
          </w:divBdr>
        </w:div>
        <w:div w:id="353002554">
          <w:marLeft w:val="0"/>
          <w:marRight w:val="0"/>
          <w:marTop w:val="0"/>
          <w:marBottom w:val="0"/>
          <w:divBdr>
            <w:top w:val="none" w:sz="0" w:space="0" w:color="auto"/>
            <w:left w:val="none" w:sz="0" w:space="0" w:color="auto"/>
            <w:bottom w:val="none" w:sz="0" w:space="0" w:color="auto"/>
            <w:right w:val="none" w:sz="0" w:space="0" w:color="auto"/>
          </w:divBdr>
        </w:div>
        <w:div w:id="125314666">
          <w:marLeft w:val="0"/>
          <w:marRight w:val="0"/>
          <w:marTop w:val="0"/>
          <w:marBottom w:val="0"/>
          <w:divBdr>
            <w:top w:val="none" w:sz="0" w:space="0" w:color="auto"/>
            <w:left w:val="none" w:sz="0" w:space="0" w:color="auto"/>
            <w:bottom w:val="none" w:sz="0" w:space="0" w:color="auto"/>
            <w:right w:val="none" w:sz="0" w:space="0" w:color="auto"/>
          </w:divBdr>
        </w:div>
      </w:divsChild>
    </w:div>
    <w:div w:id="1349140377">
      <w:marLeft w:val="0"/>
      <w:marRight w:val="0"/>
      <w:marTop w:val="0"/>
      <w:marBottom w:val="0"/>
      <w:divBdr>
        <w:top w:val="none" w:sz="0" w:space="0" w:color="auto"/>
        <w:left w:val="none" w:sz="0" w:space="0" w:color="auto"/>
        <w:bottom w:val="none" w:sz="0" w:space="0" w:color="auto"/>
        <w:right w:val="none" w:sz="0" w:space="0" w:color="auto"/>
      </w:divBdr>
    </w:div>
    <w:div w:id="1358387072">
      <w:marLeft w:val="0"/>
      <w:marRight w:val="0"/>
      <w:marTop w:val="0"/>
      <w:marBottom w:val="0"/>
      <w:divBdr>
        <w:top w:val="none" w:sz="0" w:space="0" w:color="auto"/>
        <w:left w:val="none" w:sz="0" w:space="0" w:color="auto"/>
        <w:bottom w:val="none" w:sz="0" w:space="0" w:color="auto"/>
        <w:right w:val="none" w:sz="0" w:space="0" w:color="auto"/>
      </w:divBdr>
      <w:divsChild>
        <w:div w:id="1371494908">
          <w:marLeft w:val="0"/>
          <w:marRight w:val="0"/>
          <w:marTop w:val="0"/>
          <w:marBottom w:val="0"/>
          <w:divBdr>
            <w:top w:val="none" w:sz="0" w:space="0" w:color="auto"/>
            <w:left w:val="none" w:sz="0" w:space="0" w:color="auto"/>
            <w:bottom w:val="none" w:sz="0" w:space="0" w:color="auto"/>
            <w:right w:val="none" w:sz="0" w:space="0" w:color="auto"/>
          </w:divBdr>
        </w:div>
        <w:div w:id="198474487">
          <w:marLeft w:val="0"/>
          <w:marRight w:val="0"/>
          <w:marTop w:val="0"/>
          <w:marBottom w:val="0"/>
          <w:divBdr>
            <w:top w:val="none" w:sz="0" w:space="0" w:color="auto"/>
            <w:left w:val="none" w:sz="0" w:space="0" w:color="auto"/>
            <w:bottom w:val="none" w:sz="0" w:space="0" w:color="auto"/>
            <w:right w:val="none" w:sz="0" w:space="0" w:color="auto"/>
          </w:divBdr>
        </w:div>
        <w:div w:id="483859866">
          <w:marLeft w:val="0"/>
          <w:marRight w:val="0"/>
          <w:marTop w:val="0"/>
          <w:marBottom w:val="0"/>
          <w:divBdr>
            <w:top w:val="none" w:sz="0" w:space="0" w:color="auto"/>
            <w:left w:val="none" w:sz="0" w:space="0" w:color="auto"/>
            <w:bottom w:val="none" w:sz="0" w:space="0" w:color="auto"/>
            <w:right w:val="none" w:sz="0" w:space="0" w:color="auto"/>
          </w:divBdr>
        </w:div>
        <w:div w:id="978651596">
          <w:marLeft w:val="0"/>
          <w:marRight w:val="0"/>
          <w:marTop w:val="0"/>
          <w:marBottom w:val="0"/>
          <w:divBdr>
            <w:top w:val="none" w:sz="0" w:space="0" w:color="auto"/>
            <w:left w:val="none" w:sz="0" w:space="0" w:color="auto"/>
            <w:bottom w:val="none" w:sz="0" w:space="0" w:color="auto"/>
            <w:right w:val="none" w:sz="0" w:space="0" w:color="auto"/>
          </w:divBdr>
        </w:div>
      </w:divsChild>
    </w:div>
    <w:div w:id="1361970630">
      <w:marLeft w:val="4"/>
      <w:marRight w:val="0"/>
      <w:marTop w:val="120"/>
      <w:marBottom w:val="0"/>
      <w:divBdr>
        <w:top w:val="none" w:sz="0" w:space="0" w:color="auto"/>
        <w:left w:val="none" w:sz="0" w:space="0" w:color="auto"/>
        <w:bottom w:val="none" w:sz="0" w:space="0" w:color="auto"/>
        <w:right w:val="none" w:sz="0" w:space="0" w:color="auto"/>
      </w:divBdr>
      <w:divsChild>
        <w:div w:id="1016426506">
          <w:marLeft w:val="0"/>
          <w:marRight w:val="0"/>
          <w:marTop w:val="0"/>
          <w:marBottom w:val="0"/>
          <w:divBdr>
            <w:top w:val="none" w:sz="0" w:space="0" w:color="auto"/>
            <w:left w:val="none" w:sz="0" w:space="0" w:color="auto"/>
            <w:bottom w:val="none" w:sz="0" w:space="0" w:color="auto"/>
            <w:right w:val="none" w:sz="0" w:space="0" w:color="auto"/>
          </w:divBdr>
        </w:div>
      </w:divsChild>
    </w:div>
    <w:div w:id="1366297934">
      <w:marLeft w:val="4"/>
      <w:marRight w:val="0"/>
      <w:marTop w:val="120"/>
      <w:marBottom w:val="0"/>
      <w:divBdr>
        <w:top w:val="none" w:sz="0" w:space="0" w:color="auto"/>
        <w:left w:val="none" w:sz="0" w:space="0" w:color="auto"/>
        <w:bottom w:val="none" w:sz="0" w:space="0" w:color="auto"/>
        <w:right w:val="none" w:sz="0" w:space="0" w:color="auto"/>
      </w:divBdr>
      <w:divsChild>
        <w:div w:id="561451732">
          <w:marLeft w:val="0"/>
          <w:marRight w:val="0"/>
          <w:marTop w:val="0"/>
          <w:marBottom w:val="0"/>
          <w:divBdr>
            <w:top w:val="none" w:sz="0" w:space="0" w:color="auto"/>
            <w:left w:val="none" w:sz="0" w:space="0" w:color="auto"/>
            <w:bottom w:val="none" w:sz="0" w:space="0" w:color="auto"/>
            <w:right w:val="none" w:sz="0" w:space="0" w:color="auto"/>
          </w:divBdr>
        </w:div>
      </w:divsChild>
    </w:div>
    <w:div w:id="1392578992">
      <w:marLeft w:val="4"/>
      <w:marRight w:val="0"/>
      <w:marTop w:val="120"/>
      <w:marBottom w:val="0"/>
      <w:divBdr>
        <w:top w:val="none" w:sz="0" w:space="0" w:color="auto"/>
        <w:left w:val="none" w:sz="0" w:space="0" w:color="auto"/>
        <w:bottom w:val="none" w:sz="0" w:space="0" w:color="auto"/>
        <w:right w:val="none" w:sz="0" w:space="0" w:color="auto"/>
      </w:divBdr>
      <w:divsChild>
        <w:div w:id="2014607360">
          <w:marLeft w:val="0"/>
          <w:marRight w:val="0"/>
          <w:marTop w:val="0"/>
          <w:marBottom w:val="0"/>
          <w:divBdr>
            <w:top w:val="none" w:sz="0" w:space="0" w:color="auto"/>
            <w:left w:val="none" w:sz="0" w:space="0" w:color="auto"/>
            <w:bottom w:val="none" w:sz="0" w:space="0" w:color="auto"/>
            <w:right w:val="none" w:sz="0" w:space="0" w:color="auto"/>
          </w:divBdr>
        </w:div>
      </w:divsChild>
    </w:div>
    <w:div w:id="1415781439">
      <w:marLeft w:val="0"/>
      <w:marRight w:val="0"/>
      <w:marTop w:val="0"/>
      <w:marBottom w:val="0"/>
      <w:divBdr>
        <w:top w:val="none" w:sz="0" w:space="0" w:color="auto"/>
        <w:left w:val="none" w:sz="0" w:space="0" w:color="auto"/>
        <w:bottom w:val="none" w:sz="0" w:space="0" w:color="auto"/>
        <w:right w:val="none" w:sz="0" w:space="0" w:color="auto"/>
      </w:divBdr>
      <w:divsChild>
        <w:div w:id="1516190337">
          <w:marLeft w:val="0"/>
          <w:marRight w:val="0"/>
          <w:marTop w:val="0"/>
          <w:marBottom w:val="0"/>
          <w:divBdr>
            <w:top w:val="none" w:sz="0" w:space="0" w:color="auto"/>
            <w:left w:val="none" w:sz="0" w:space="0" w:color="auto"/>
            <w:bottom w:val="none" w:sz="0" w:space="0" w:color="auto"/>
            <w:right w:val="none" w:sz="0" w:space="0" w:color="auto"/>
          </w:divBdr>
        </w:div>
        <w:div w:id="2104253208">
          <w:marLeft w:val="0"/>
          <w:marRight w:val="0"/>
          <w:marTop w:val="0"/>
          <w:marBottom w:val="0"/>
          <w:divBdr>
            <w:top w:val="none" w:sz="0" w:space="0" w:color="auto"/>
            <w:left w:val="none" w:sz="0" w:space="0" w:color="auto"/>
            <w:bottom w:val="none" w:sz="0" w:space="0" w:color="auto"/>
            <w:right w:val="none" w:sz="0" w:space="0" w:color="auto"/>
          </w:divBdr>
        </w:div>
        <w:div w:id="1368794637">
          <w:marLeft w:val="0"/>
          <w:marRight w:val="0"/>
          <w:marTop w:val="0"/>
          <w:marBottom w:val="0"/>
          <w:divBdr>
            <w:top w:val="none" w:sz="0" w:space="0" w:color="auto"/>
            <w:left w:val="none" w:sz="0" w:space="0" w:color="auto"/>
            <w:bottom w:val="none" w:sz="0" w:space="0" w:color="auto"/>
            <w:right w:val="none" w:sz="0" w:space="0" w:color="auto"/>
          </w:divBdr>
        </w:div>
      </w:divsChild>
    </w:div>
    <w:div w:id="1511529686">
      <w:marLeft w:val="0"/>
      <w:marRight w:val="0"/>
      <w:marTop w:val="0"/>
      <w:marBottom w:val="0"/>
      <w:divBdr>
        <w:top w:val="none" w:sz="0" w:space="0" w:color="auto"/>
        <w:left w:val="none" w:sz="0" w:space="0" w:color="auto"/>
        <w:bottom w:val="none" w:sz="0" w:space="0" w:color="auto"/>
        <w:right w:val="none" w:sz="0" w:space="0" w:color="auto"/>
      </w:divBdr>
    </w:div>
    <w:div w:id="1540045717">
      <w:marLeft w:val="0"/>
      <w:marRight w:val="0"/>
      <w:marTop w:val="0"/>
      <w:marBottom w:val="0"/>
      <w:divBdr>
        <w:top w:val="none" w:sz="0" w:space="0" w:color="auto"/>
        <w:left w:val="none" w:sz="0" w:space="0" w:color="auto"/>
        <w:bottom w:val="none" w:sz="0" w:space="0" w:color="auto"/>
        <w:right w:val="none" w:sz="0" w:space="0" w:color="auto"/>
      </w:divBdr>
      <w:divsChild>
        <w:div w:id="14312165">
          <w:marLeft w:val="0"/>
          <w:marRight w:val="0"/>
          <w:marTop w:val="0"/>
          <w:marBottom w:val="0"/>
          <w:divBdr>
            <w:top w:val="none" w:sz="0" w:space="0" w:color="auto"/>
            <w:left w:val="none" w:sz="0" w:space="0" w:color="auto"/>
            <w:bottom w:val="none" w:sz="0" w:space="0" w:color="auto"/>
            <w:right w:val="none" w:sz="0" w:space="0" w:color="auto"/>
          </w:divBdr>
        </w:div>
        <w:div w:id="1971128670">
          <w:marLeft w:val="0"/>
          <w:marRight w:val="0"/>
          <w:marTop w:val="0"/>
          <w:marBottom w:val="0"/>
          <w:divBdr>
            <w:top w:val="none" w:sz="0" w:space="0" w:color="auto"/>
            <w:left w:val="none" w:sz="0" w:space="0" w:color="auto"/>
            <w:bottom w:val="none" w:sz="0" w:space="0" w:color="auto"/>
            <w:right w:val="none" w:sz="0" w:space="0" w:color="auto"/>
          </w:divBdr>
        </w:div>
      </w:divsChild>
    </w:div>
    <w:div w:id="1562594827">
      <w:marLeft w:val="0"/>
      <w:marRight w:val="0"/>
      <w:marTop w:val="0"/>
      <w:marBottom w:val="0"/>
      <w:divBdr>
        <w:top w:val="none" w:sz="0" w:space="0" w:color="auto"/>
        <w:left w:val="none" w:sz="0" w:space="0" w:color="auto"/>
        <w:bottom w:val="none" w:sz="0" w:space="0" w:color="auto"/>
        <w:right w:val="none" w:sz="0" w:space="0" w:color="auto"/>
      </w:divBdr>
    </w:div>
    <w:div w:id="1652978897">
      <w:marLeft w:val="4"/>
      <w:marRight w:val="0"/>
      <w:marTop w:val="120"/>
      <w:marBottom w:val="0"/>
      <w:divBdr>
        <w:top w:val="none" w:sz="0" w:space="0" w:color="auto"/>
        <w:left w:val="none" w:sz="0" w:space="0" w:color="auto"/>
        <w:bottom w:val="none" w:sz="0" w:space="0" w:color="auto"/>
        <w:right w:val="none" w:sz="0" w:space="0" w:color="auto"/>
      </w:divBdr>
      <w:divsChild>
        <w:div w:id="1923953703">
          <w:marLeft w:val="0"/>
          <w:marRight w:val="0"/>
          <w:marTop w:val="0"/>
          <w:marBottom w:val="0"/>
          <w:divBdr>
            <w:top w:val="none" w:sz="0" w:space="0" w:color="auto"/>
            <w:left w:val="none" w:sz="0" w:space="0" w:color="auto"/>
            <w:bottom w:val="none" w:sz="0" w:space="0" w:color="auto"/>
            <w:right w:val="none" w:sz="0" w:space="0" w:color="auto"/>
          </w:divBdr>
        </w:div>
      </w:divsChild>
    </w:div>
    <w:div w:id="1653826829">
      <w:marLeft w:val="0"/>
      <w:marRight w:val="0"/>
      <w:marTop w:val="0"/>
      <w:marBottom w:val="0"/>
      <w:divBdr>
        <w:top w:val="none" w:sz="0" w:space="0" w:color="auto"/>
        <w:left w:val="none" w:sz="0" w:space="0" w:color="auto"/>
        <w:bottom w:val="none" w:sz="0" w:space="0" w:color="auto"/>
        <w:right w:val="none" w:sz="0" w:space="0" w:color="auto"/>
      </w:divBdr>
    </w:div>
    <w:div w:id="1721323367">
      <w:marLeft w:val="0"/>
      <w:marRight w:val="0"/>
      <w:marTop w:val="0"/>
      <w:marBottom w:val="0"/>
      <w:divBdr>
        <w:top w:val="none" w:sz="0" w:space="0" w:color="auto"/>
        <w:left w:val="none" w:sz="0" w:space="0" w:color="auto"/>
        <w:bottom w:val="none" w:sz="0" w:space="0" w:color="auto"/>
        <w:right w:val="none" w:sz="0" w:space="0" w:color="auto"/>
      </w:divBdr>
    </w:div>
    <w:div w:id="1752121633">
      <w:marLeft w:val="4"/>
      <w:marRight w:val="0"/>
      <w:marTop w:val="120"/>
      <w:marBottom w:val="0"/>
      <w:divBdr>
        <w:top w:val="none" w:sz="0" w:space="0" w:color="auto"/>
        <w:left w:val="none" w:sz="0" w:space="0" w:color="auto"/>
        <w:bottom w:val="none" w:sz="0" w:space="0" w:color="auto"/>
        <w:right w:val="none" w:sz="0" w:space="0" w:color="auto"/>
      </w:divBdr>
      <w:divsChild>
        <w:div w:id="589123429">
          <w:marLeft w:val="0"/>
          <w:marRight w:val="0"/>
          <w:marTop w:val="0"/>
          <w:marBottom w:val="0"/>
          <w:divBdr>
            <w:top w:val="none" w:sz="0" w:space="0" w:color="auto"/>
            <w:left w:val="none" w:sz="0" w:space="0" w:color="auto"/>
            <w:bottom w:val="none" w:sz="0" w:space="0" w:color="auto"/>
            <w:right w:val="none" w:sz="0" w:space="0" w:color="auto"/>
          </w:divBdr>
        </w:div>
      </w:divsChild>
    </w:div>
    <w:div w:id="1785883194">
      <w:marLeft w:val="0"/>
      <w:marRight w:val="0"/>
      <w:marTop w:val="0"/>
      <w:marBottom w:val="0"/>
      <w:divBdr>
        <w:top w:val="none" w:sz="0" w:space="0" w:color="auto"/>
        <w:left w:val="none" w:sz="0" w:space="0" w:color="auto"/>
        <w:bottom w:val="none" w:sz="0" w:space="0" w:color="auto"/>
        <w:right w:val="none" w:sz="0" w:space="0" w:color="auto"/>
      </w:divBdr>
    </w:div>
    <w:div w:id="1815290691">
      <w:marLeft w:val="4"/>
      <w:marRight w:val="0"/>
      <w:marTop w:val="120"/>
      <w:marBottom w:val="0"/>
      <w:divBdr>
        <w:top w:val="none" w:sz="0" w:space="0" w:color="auto"/>
        <w:left w:val="none" w:sz="0" w:space="0" w:color="auto"/>
        <w:bottom w:val="none" w:sz="0" w:space="0" w:color="auto"/>
        <w:right w:val="none" w:sz="0" w:space="0" w:color="auto"/>
      </w:divBdr>
      <w:divsChild>
        <w:div w:id="377437795">
          <w:marLeft w:val="0"/>
          <w:marRight w:val="0"/>
          <w:marTop w:val="0"/>
          <w:marBottom w:val="0"/>
          <w:divBdr>
            <w:top w:val="none" w:sz="0" w:space="0" w:color="auto"/>
            <w:left w:val="none" w:sz="0" w:space="0" w:color="auto"/>
            <w:bottom w:val="none" w:sz="0" w:space="0" w:color="auto"/>
            <w:right w:val="none" w:sz="0" w:space="0" w:color="auto"/>
          </w:divBdr>
        </w:div>
      </w:divsChild>
    </w:div>
    <w:div w:id="1894190080">
      <w:marLeft w:val="0"/>
      <w:marRight w:val="0"/>
      <w:marTop w:val="0"/>
      <w:marBottom w:val="0"/>
      <w:divBdr>
        <w:top w:val="none" w:sz="0" w:space="0" w:color="auto"/>
        <w:left w:val="none" w:sz="0" w:space="0" w:color="auto"/>
        <w:bottom w:val="none" w:sz="0" w:space="0" w:color="auto"/>
        <w:right w:val="none" w:sz="0" w:space="0" w:color="auto"/>
      </w:divBdr>
    </w:div>
    <w:div w:id="1922399525">
      <w:marLeft w:val="0"/>
      <w:marRight w:val="0"/>
      <w:marTop w:val="0"/>
      <w:marBottom w:val="0"/>
      <w:divBdr>
        <w:top w:val="none" w:sz="0" w:space="0" w:color="auto"/>
        <w:left w:val="none" w:sz="0" w:space="0" w:color="auto"/>
        <w:bottom w:val="none" w:sz="0" w:space="0" w:color="auto"/>
        <w:right w:val="none" w:sz="0" w:space="0" w:color="auto"/>
      </w:divBdr>
      <w:divsChild>
        <w:div w:id="1412852964">
          <w:marLeft w:val="0"/>
          <w:marRight w:val="0"/>
          <w:marTop w:val="0"/>
          <w:marBottom w:val="0"/>
          <w:divBdr>
            <w:top w:val="none" w:sz="0" w:space="0" w:color="auto"/>
            <w:left w:val="none" w:sz="0" w:space="0" w:color="auto"/>
            <w:bottom w:val="none" w:sz="0" w:space="0" w:color="auto"/>
            <w:right w:val="none" w:sz="0" w:space="0" w:color="auto"/>
          </w:divBdr>
        </w:div>
        <w:div w:id="221332754">
          <w:marLeft w:val="0"/>
          <w:marRight w:val="0"/>
          <w:marTop w:val="0"/>
          <w:marBottom w:val="0"/>
          <w:divBdr>
            <w:top w:val="none" w:sz="0" w:space="0" w:color="auto"/>
            <w:left w:val="none" w:sz="0" w:space="0" w:color="auto"/>
            <w:bottom w:val="none" w:sz="0" w:space="0" w:color="auto"/>
            <w:right w:val="none" w:sz="0" w:space="0" w:color="auto"/>
          </w:divBdr>
        </w:div>
      </w:divsChild>
    </w:div>
    <w:div w:id="2023772562">
      <w:marLeft w:val="0"/>
      <w:marRight w:val="0"/>
      <w:marTop w:val="0"/>
      <w:marBottom w:val="0"/>
      <w:divBdr>
        <w:top w:val="none" w:sz="0" w:space="0" w:color="auto"/>
        <w:left w:val="none" w:sz="0" w:space="0" w:color="auto"/>
        <w:bottom w:val="none" w:sz="0" w:space="0" w:color="auto"/>
        <w:right w:val="none" w:sz="0" w:space="0" w:color="auto"/>
      </w:divBdr>
    </w:div>
    <w:div w:id="2031102268">
      <w:marLeft w:val="4"/>
      <w:marRight w:val="0"/>
      <w:marTop w:val="120"/>
      <w:marBottom w:val="0"/>
      <w:divBdr>
        <w:top w:val="none" w:sz="0" w:space="0" w:color="auto"/>
        <w:left w:val="none" w:sz="0" w:space="0" w:color="auto"/>
        <w:bottom w:val="none" w:sz="0" w:space="0" w:color="auto"/>
        <w:right w:val="none" w:sz="0" w:space="0" w:color="auto"/>
      </w:divBdr>
      <w:divsChild>
        <w:div w:id="609431855">
          <w:marLeft w:val="0"/>
          <w:marRight w:val="0"/>
          <w:marTop w:val="0"/>
          <w:marBottom w:val="0"/>
          <w:divBdr>
            <w:top w:val="none" w:sz="0" w:space="0" w:color="auto"/>
            <w:left w:val="none" w:sz="0" w:space="0" w:color="auto"/>
            <w:bottom w:val="none" w:sz="0" w:space="0" w:color="auto"/>
            <w:right w:val="none" w:sz="0" w:space="0" w:color="auto"/>
          </w:divBdr>
        </w:div>
      </w:divsChild>
    </w:div>
    <w:div w:id="2046631898">
      <w:marLeft w:val="0"/>
      <w:marRight w:val="0"/>
      <w:marTop w:val="0"/>
      <w:marBottom w:val="0"/>
      <w:divBdr>
        <w:top w:val="none" w:sz="0" w:space="0" w:color="auto"/>
        <w:left w:val="none" w:sz="0" w:space="0" w:color="auto"/>
        <w:bottom w:val="none" w:sz="0" w:space="0" w:color="auto"/>
        <w:right w:val="none" w:sz="0" w:space="0" w:color="auto"/>
      </w:divBdr>
      <w:divsChild>
        <w:div w:id="93131793">
          <w:marLeft w:val="0"/>
          <w:marRight w:val="0"/>
          <w:marTop w:val="0"/>
          <w:marBottom w:val="0"/>
          <w:divBdr>
            <w:top w:val="none" w:sz="0" w:space="0" w:color="auto"/>
            <w:left w:val="none" w:sz="0" w:space="0" w:color="auto"/>
            <w:bottom w:val="none" w:sz="0" w:space="0" w:color="auto"/>
            <w:right w:val="none" w:sz="0" w:space="0" w:color="auto"/>
          </w:divBdr>
        </w:div>
        <w:div w:id="1744716765">
          <w:marLeft w:val="0"/>
          <w:marRight w:val="0"/>
          <w:marTop w:val="0"/>
          <w:marBottom w:val="0"/>
          <w:divBdr>
            <w:top w:val="none" w:sz="0" w:space="0" w:color="auto"/>
            <w:left w:val="none" w:sz="0" w:space="0" w:color="auto"/>
            <w:bottom w:val="none" w:sz="0" w:space="0" w:color="auto"/>
            <w:right w:val="none" w:sz="0" w:space="0" w:color="auto"/>
          </w:divBdr>
        </w:div>
        <w:div w:id="2039700398">
          <w:marLeft w:val="0"/>
          <w:marRight w:val="0"/>
          <w:marTop w:val="0"/>
          <w:marBottom w:val="0"/>
          <w:divBdr>
            <w:top w:val="none" w:sz="0" w:space="0" w:color="auto"/>
            <w:left w:val="none" w:sz="0" w:space="0" w:color="auto"/>
            <w:bottom w:val="none" w:sz="0" w:space="0" w:color="auto"/>
            <w:right w:val="none" w:sz="0" w:space="0" w:color="auto"/>
          </w:divBdr>
        </w:div>
        <w:div w:id="915087938">
          <w:marLeft w:val="0"/>
          <w:marRight w:val="0"/>
          <w:marTop w:val="0"/>
          <w:marBottom w:val="0"/>
          <w:divBdr>
            <w:top w:val="none" w:sz="0" w:space="0" w:color="auto"/>
            <w:left w:val="none" w:sz="0" w:space="0" w:color="auto"/>
            <w:bottom w:val="none" w:sz="0" w:space="0" w:color="auto"/>
            <w:right w:val="none" w:sz="0" w:space="0" w:color="auto"/>
          </w:divBdr>
        </w:div>
        <w:div w:id="672994506">
          <w:marLeft w:val="0"/>
          <w:marRight w:val="0"/>
          <w:marTop w:val="0"/>
          <w:marBottom w:val="0"/>
          <w:divBdr>
            <w:top w:val="none" w:sz="0" w:space="0" w:color="auto"/>
            <w:left w:val="none" w:sz="0" w:space="0" w:color="auto"/>
            <w:bottom w:val="none" w:sz="0" w:space="0" w:color="auto"/>
            <w:right w:val="none" w:sz="0" w:space="0" w:color="auto"/>
          </w:divBdr>
        </w:div>
        <w:div w:id="1296981492">
          <w:marLeft w:val="0"/>
          <w:marRight w:val="0"/>
          <w:marTop w:val="0"/>
          <w:marBottom w:val="0"/>
          <w:divBdr>
            <w:top w:val="none" w:sz="0" w:space="0" w:color="auto"/>
            <w:left w:val="none" w:sz="0" w:space="0" w:color="auto"/>
            <w:bottom w:val="none" w:sz="0" w:space="0" w:color="auto"/>
            <w:right w:val="none" w:sz="0" w:space="0" w:color="auto"/>
          </w:divBdr>
        </w:div>
        <w:div w:id="8211193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eg-ex32_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eg-ex32_1.htm" TargetMode="External"/><Relationship Id="rId5" Type="http://schemas.openxmlformats.org/officeDocument/2006/relationships/hyperlink" Target="meg-ex31_2.htm" TargetMode="External"/><Relationship Id="rId4" Type="http://schemas.openxmlformats.org/officeDocument/2006/relationships/hyperlink" Target="meg-ex31_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29115</Words>
  <Characters>165962</Characters>
  <Application>Microsoft Office Word</Application>
  <DocSecurity>0</DocSecurity>
  <Lines>1383</Lines>
  <Paragraphs>389</Paragraphs>
  <ScaleCrop>false</ScaleCrop>
  <Company/>
  <LinksUpToDate>false</LinksUpToDate>
  <CharactersWithSpaces>194688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